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BD6B" w14:textId="77777777" w:rsidR="00716B30" w:rsidRPr="00623A2B" w:rsidRDefault="004A47F0" w:rsidP="00716B30">
      <w:pPr>
        <w:tabs>
          <w:tab w:val="clear" w:pos="720"/>
          <w:tab w:val="clear" w:pos="1440"/>
          <w:tab w:val="clear" w:pos="2160"/>
          <w:tab w:val="clear" w:pos="2880"/>
          <w:tab w:val="clear" w:pos="3600"/>
          <w:tab w:val="clear" w:pos="4320"/>
          <w:tab w:val="clear" w:pos="5760"/>
          <w:tab w:val="clear" w:pos="6480"/>
          <w:tab w:val="clear" w:pos="7200"/>
          <w:tab w:val="clear" w:pos="7920"/>
          <w:tab w:val="left" w:pos="7560"/>
        </w:tabs>
        <w:ind w:right="-1109"/>
        <w:rPr>
          <w:rFonts w:ascii="Times New Roman" w:hAnsi="Times New Roman"/>
          <w:szCs w:val="22"/>
          <w:lang w:val="fr-FR"/>
        </w:rPr>
      </w:pPr>
      <w:r>
        <w:rPr>
          <w:rFonts w:ascii="Times New Roman" w:hAnsi="Times New Roman"/>
          <w:szCs w:val="22"/>
          <w:lang w:val="fr-FR"/>
        </w:rPr>
        <w:object w:dxaOrig="1440" w:dyaOrig="1440" w14:anchorId="02B2D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3.85pt;margin-top:-45.45pt;width:320.1pt;height:28.05pt;z-index:251671552;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1" DrawAspect="Content" ObjectID="_1699986083" r:id="rId9"/>
        </w:object>
      </w:r>
      <w:r w:rsidR="00716B30" w:rsidRPr="00623A2B">
        <w:rPr>
          <w:rFonts w:ascii="Times New Roman" w:hAnsi="Times New Roman"/>
          <w:szCs w:val="22"/>
          <w:lang w:val="fr-FR"/>
        </w:rPr>
        <w:t>CINQUANTE-ET-UNIÈME SESSION ORDINAIRE</w:t>
      </w:r>
      <w:r w:rsidR="00716B30" w:rsidRPr="00623A2B">
        <w:rPr>
          <w:rFonts w:ascii="Times New Roman" w:hAnsi="Times New Roman"/>
          <w:szCs w:val="22"/>
          <w:lang w:val="fr-FR"/>
        </w:rPr>
        <w:tab/>
        <w:t>OEA/</w:t>
      </w:r>
      <w:proofErr w:type="spellStart"/>
      <w:r w:rsidR="00716B30" w:rsidRPr="00623A2B">
        <w:rPr>
          <w:rFonts w:ascii="Times New Roman" w:hAnsi="Times New Roman"/>
          <w:szCs w:val="22"/>
          <w:lang w:val="fr-FR"/>
        </w:rPr>
        <w:t>Ser.P</w:t>
      </w:r>
      <w:proofErr w:type="spellEnd"/>
    </w:p>
    <w:p w14:paraId="65E372D5" w14:textId="22DBECDB" w:rsidR="00716B30" w:rsidRPr="00623A2B" w:rsidRDefault="00716B30" w:rsidP="00716B30">
      <w:pPr>
        <w:tabs>
          <w:tab w:val="clear" w:pos="720"/>
          <w:tab w:val="clear" w:pos="1440"/>
          <w:tab w:val="clear" w:pos="2160"/>
          <w:tab w:val="clear" w:pos="2880"/>
          <w:tab w:val="clear" w:pos="3600"/>
          <w:tab w:val="clear" w:pos="4320"/>
          <w:tab w:val="clear" w:pos="5760"/>
          <w:tab w:val="clear" w:pos="6480"/>
          <w:tab w:val="clear" w:pos="7200"/>
          <w:tab w:val="clear" w:pos="7920"/>
          <w:tab w:val="left" w:pos="7560"/>
        </w:tabs>
        <w:ind w:right="-1469"/>
        <w:jc w:val="left"/>
        <w:rPr>
          <w:rFonts w:ascii="Times New Roman" w:hAnsi="Times New Roman"/>
          <w:szCs w:val="22"/>
          <w:lang w:val="fr-FR"/>
        </w:rPr>
      </w:pPr>
      <w:r w:rsidRPr="00623A2B">
        <w:rPr>
          <w:rFonts w:ascii="Times New Roman" w:hAnsi="Times New Roman"/>
          <w:szCs w:val="22"/>
          <w:lang w:val="fr-FR"/>
        </w:rPr>
        <w:t>Du 10 au 12 novembre 2021</w:t>
      </w:r>
      <w:r w:rsidRPr="00623A2B">
        <w:rPr>
          <w:rFonts w:ascii="Times New Roman" w:hAnsi="Times New Roman"/>
          <w:szCs w:val="22"/>
          <w:lang w:val="fr-FR"/>
        </w:rPr>
        <w:tab/>
        <w:t>AG/doc.57</w:t>
      </w:r>
      <w:r w:rsidR="00523C54" w:rsidRPr="00623A2B">
        <w:rPr>
          <w:rFonts w:ascii="Times New Roman" w:hAnsi="Times New Roman"/>
          <w:szCs w:val="22"/>
          <w:lang w:val="fr-FR"/>
        </w:rPr>
        <w:t>55</w:t>
      </w:r>
      <w:r w:rsidRPr="00623A2B">
        <w:rPr>
          <w:rFonts w:ascii="Times New Roman" w:hAnsi="Times New Roman"/>
          <w:szCs w:val="22"/>
          <w:lang w:val="fr-FR"/>
        </w:rPr>
        <w:t>/21</w:t>
      </w:r>
    </w:p>
    <w:p w14:paraId="61B941B9" w14:textId="0787A06B" w:rsidR="00716B30" w:rsidRPr="00623A2B" w:rsidRDefault="00716B30" w:rsidP="00716B30">
      <w:pPr>
        <w:tabs>
          <w:tab w:val="clear" w:pos="720"/>
          <w:tab w:val="clear" w:pos="1440"/>
          <w:tab w:val="clear" w:pos="2160"/>
          <w:tab w:val="clear" w:pos="2880"/>
          <w:tab w:val="clear" w:pos="3600"/>
          <w:tab w:val="clear" w:pos="4320"/>
          <w:tab w:val="clear" w:pos="5760"/>
          <w:tab w:val="clear" w:pos="6480"/>
          <w:tab w:val="clear" w:pos="7200"/>
          <w:tab w:val="clear" w:pos="7920"/>
          <w:tab w:val="left" w:pos="7560"/>
        </w:tabs>
        <w:ind w:right="-1109"/>
        <w:rPr>
          <w:rFonts w:ascii="Times New Roman" w:hAnsi="Times New Roman"/>
          <w:szCs w:val="22"/>
          <w:lang w:val="fr-FR"/>
        </w:rPr>
      </w:pPr>
      <w:r w:rsidRPr="00623A2B">
        <w:rPr>
          <w:rFonts w:ascii="Times New Roman" w:hAnsi="Times New Roman"/>
          <w:color w:val="0D0C12"/>
          <w:szCs w:val="22"/>
          <w:lang w:val="fr-FR"/>
        </w:rPr>
        <w:t>Guatemala</w:t>
      </w:r>
      <w:r w:rsidRPr="00623A2B">
        <w:rPr>
          <w:rFonts w:ascii="Times New Roman" w:hAnsi="Times New Roman"/>
          <w:szCs w:val="22"/>
          <w:lang w:val="fr-FR"/>
        </w:rPr>
        <w:t xml:space="preserve">, République du </w:t>
      </w:r>
      <w:r w:rsidRPr="00623A2B">
        <w:rPr>
          <w:rFonts w:ascii="Times New Roman" w:hAnsi="Times New Roman"/>
          <w:color w:val="0D0C12"/>
          <w:szCs w:val="22"/>
          <w:lang w:val="fr-FR"/>
        </w:rPr>
        <w:t>Guatemala</w:t>
      </w:r>
      <w:r w:rsidRPr="00623A2B">
        <w:rPr>
          <w:rFonts w:ascii="Times New Roman" w:hAnsi="Times New Roman"/>
          <w:szCs w:val="22"/>
          <w:lang w:val="fr-FR"/>
        </w:rPr>
        <w:tab/>
      </w:r>
      <w:r w:rsidR="00523C54" w:rsidRPr="00623A2B">
        <w:rPr>
          <w:rFonts w:ascii="Times New Roman" w:hAnsi="Times New Roman"/>
          <w:szCs w:val="22"/>
          <w:lang w:val="fr-FR"/>
        </w:rPr>
        <w:t>2</w:t>
      </w:r>
      <w:r w:rsidR="00E82A61" w:rsidRPr="00623A2B">
        <w:rPr>
          <w:rFonts w:ascii="Times New Roman" w:hAnsi="Times New Roman"/>
          <w:szCs w:val="22"/>
          <w:lang w:val="fr-FR"/>
        </w:rPr>
        <w:t>3</w:t>
      </w:r>
      <w:r w:rsidR="00523C54" w:rsidRPr="00623A2B">
        <w:rPr>
          <w:rFonts w:ascii="Times New Roman" w:hAnsi="Times New Roman"/>
          <w:szCs w:val="22"/>
          <w:lang w:val="fr-FR"/>
        </w:rPr>
        <w:t xml:space="preserve"> novembre</w:t>
      </w:r>
      <w:r w:rsidRPr="00623A2B">
        <w:rPr>
          <w:rFonts w:ascii="Times New Roman" w:hAnsi="Times New Roman"/>
          <w:szCs w:val="22"/>
          <w:lang w:val="fr-FR"/>
        </w:rPr>
        <w:t xml:space="preserve"> 2021</w:t>
      </w:r>
    </w:p>
    <w:p w14:paraId="1B1B4913" w14:textId="77777777" w:rsidR="00716B30" w:rsidRPr="00623A2B" w:rsidRDefault="00716B30" w:rsidP="00716B30">
      <w:pPr>
        <w:tabs>
          <w:tab w:val="clear" w:pos="720"/>
          <w:tab w:val="clear" w:pos="1440"/>
          <w:tab w:val="clear" w:pos="2160"/>
          <w:tab w:val="clear" w:pos="2880"/>
          <w:tab w:val="clear" w:pos="3600"/>
          <w:tab w:val="clear" w:pos="4320"/>
          <w:tab w:val="clear" w:pos="5760"/>
          <w:tab w:val="clear" w:pos="6480"/>
          <w:tab w:val="clear" w:pos="7200"/>
          <w:tab w:val="clear" w:pos="7920"/>
          <w:tab w:val="left" w:pos="7560"/>
        </w:tabs>
        <w:ind w:right="-1109"/>
        <w:rPr>
          <w:rFonts w:ascii="Times New Roman" w:hAnsi="Times New Roman"/>
          <w:szCs w:val="22"/>
          <w:lang w:val="fr-FR"/>
        </w:rPr>
      </w:pPr>
      <w:r w:rsidRPr="00623A2B">
        <w:rPr>
          <w:rFonts w:ascii="Times New Roman" w:hAnsi="Times New Roman"/>
          <w:szCs w:val="22"/>
          <w:lang w:val="fr-FR"/>
        </w:rPr>
        <w:t>VIRTUELLE</w:t>
      </w:r>
      <w:r w:rsidRPr="00623A2B">
        <w:rPr>
          <w:rFonts w:ascii="Times New Roman" w:hAnsi="Times New Roman"/>
          <w:szCs w:val="22"/>
          <w:lang w:val="fr-FR"/>
        </w:rPr>
        <w:tab/>
      </w:r>
      <w:proofErr w:type="gramStart"/>
      <w:r w:rsidRPr="00623A2B">
        <w:rPr>
          <w:rFonts w:ascii="Times New Roman" w:hAnsi="Times New Roman"/>
          <w:szCs w:val="22"/>
          <w:lang w:val="fr-FR"/>
        </w:rPr>
        <w:t>Original:</w:t>
      </w:r>
      <w:proofErr w:type="gramEnd"/>
      <w:r w:rsidRPr="00623A2B">
        <w:rPr>
          <w:rFonts w:ascii="Times New Roman" w:hAnsi="Times New Roman"/>
          <w:szCs w:val="22"/>
          <w:lang w:val="fr-FR"/>
        </w:rPr>
        <w:t xml:space="preserve"> espagnol</w:t>
      </w:r>
    </w:p>
    <w:p w14:paraId="00CF22D7" w14:textId="77777777" w:rsidR="00716B30" w:rsidRPr="00623A2B" w:rsidRDefault="00716B30" w:rsidP="00716B30">
      <w:pPr>
        <w:ind w:right="-1109"/>
        <w:rPr>
          <w:rFonts w:ascii="Times New Roman" w:hAnsi="Times New Roman"/>
          <w:szCs w:val="22"/>
          <w:lang w:val="fr-FR"/>
        </w:rPr>
      </w:pPr>
    </w:p>
    <w:p w14:paraId="75074B82" w14:textId="77777777" w:rsidR="00E2371D" w:rsidRPr="00623A2B" w:rsidRDefault="00E2371D" w:rsidP="00E2371D">
      <w:pPr>
        <w:rPr>
          <w:rFonts w:ascii="Times New Roman" w:hAnsi="Times New Roman"/>
          <w:lang w:val="fr-FR"/>
        </w:rPr>
      </w:pPr>
    </w:p>
    <w:p w14:paraId="33E8ADB1" w14:textId="77777777" w:rsidR="00E2371D" w:rsidRPr="00623A2B" w:rsidRDefault="00E2371D" w:rsidP="00E2371D">
      <w:pPr>
        <w:rPr>
          <w:rFonts w:ascii="Times New Roman" w:hAnsi="Times New Roman"/>
          <w:lang w:val="fr-FR"/>
        </w:rPr>
      </w:pPr>
    </w:p>
    <w:p w14:paraId="005C35B3" w14:textId="77777777" w:rsidR="00E2371D" w:rsidRPr="00623A2B" w:rsidRDefault="00E2371D" w:rsidP="00E2371D">
      <w:pPr>
        <w:rPr>
          <w:rFonts w:ascii="Times New Roman" w:hAnsi="Times New Roman"/>
          <w:lang w:val="fr-FR"/>
        </w:rPr>
      </w:pPr>
    </w:p>
    <w:p w14:paraId="6C84B1B2" w14:textId="77777777" w:rsidR="00E2371D" w:rsidRPr="00623A2B" w:rsidRDefault="00E2371D" w:rsidP="00E2371D">
      <w:pPr>
        <w:rPr>
          <w:rFonts w:ascii="Times New Roman" w:hAnsi="Times New Roman"/>
          <w:lang w:val="fr-FR"/>
        </w:rPr>
      </w:pPr>
    </w:p>
    <w:p w14:paraId="39A1F72C" w14:textId="77777777" w:rsidR="00E2371D" w:rsidRPr="00623A2B" w:rsidRDefault="00E2371D" w:rsidP="00E2371D">
      <w:pPr>
        <w:rPr>
          <w:rFonts w:ascii="Times New Roman" w:hAnsi="Times New Roman"/>
          <w:lang w:val="fr-FR"/>
        </w:rPr>
      </w:pPr>
    </w:p>
    <w:p w14:paraId="15941E71" w14:textId="77777777" w:rsidR="00E2371D" w:rsidRPr="00623A2B" w:rsidRDefault="00E2371D" w:rsidP="00E2371D">
      <w:pPr>
        <w:rPr>
          <w:rFonts w:ascii="Times New Roman" w:hAnsi="Times New Roman"/>
          <w:lang w:val="fr-FR"/>
        </w:rPr>
      </w:pPr>
    </w:p>
    <w:p w14:paraId="6E608527" w14:textId="77777777" w:rsidR="00E2371D" w:rsidRPr="00623A2B" w:rsidRDefault="00E2371D" w:rsidP="00E2371D">
      <w:pPr>
        <w:rPr>
          <w:rFonts w:ascii="Times New Roman" w:hAnsi="Times New Roman"/>
          <w:lang w:val="fr-FR"/>
        </w:rPr>
      </w:pPr>
    </w:p>
    <w:p w14:paraId="07E11A8A" w14:textId="77777777" w:rsidR="00E2371D" w:rsidRPr="00623A2B" w:rsidRDefault="00E2371D" w:rsidP="00E2371D">
      <w:pPr>
        <w:rPr>
          <w:rFonts w:ascii="Times New Roman" w:hAnsi="Times New Roman"/>
          <w:lang w:val="fr-FR"/>
        </w:rPr>
      </w:pPr>
    </w:p>
    <w:p w14:paraId="61C3CCDD" w14:textId="77777777" w:rsidR="00E2371D" w:rsidRPr="00623A2B" w:rsidRDefault="00E2371D" w:rsidP="00E2371D">
      <w:pPr>
        <w:rPr>
          <w:rFonts w:ascii="Times New Roman" w:hAnsi="Times New Roman"/>
          <w:lang w:val="fr-FR"/>
        </w:rPr>
      </w:pPr>
    </w:p>
    <w:p w14:paraId="2F9724FC" w14:textId="77777777" w:rsidR="00E2371D" w:rsidRPr="00623A2B" w:rsidRDefault="00E2371D" w:rsidP="00E2371D">
      <w:pPr>
        <w:rPr>
          <w:rFonts w:ascii="Times New Roman" w:hAnsi="Times New Roman"/>
          <w:lang w:val="fr-FR"/>
        </w:rPr>
      </w:pPr>
    </w:p>
    <w:p w14:paraId="5472A433" w14:textId="77777777" w:rsidR="00E2371D" w:rsidRPr="00623A2B" w:rsidRDefault="00E2371D" w:rsidP="00E2371D">
      <w:pPr>
        <w:rPr>
          <w:rFonts w:ascii="Times New Roman" w:hAnsi="Times New Roman"/>
          <w:lang w:val="fr-FR"/>
        </w:rPr>
      </w:pPr>
    </w:p>
    <w:p w14:paraId="4D120B66" w14:textId="77777777" w:rsidR="00E2371D" w:rsidRPr="00623A2B" w:rsidRDefault="00E2371D" w:rsidP="00E2371D">
      <w:pPr>
        <w:rPr>
          <w:rFonts w:ascii="Times New Roman" w:hAnsi="Times New Roman"/>
          <w:lang w:val="fr-FR"/>
        </w:rPr>
      </w:pPr>
    </w:p>
    <w:p w14:paraId="484C1DD9" w14:textId="77777777" w:rsidR="00E2371D" w:rsidRPr="00623A2B" w:rsidRDefault="00E2371D" w:rsidP="00E2371D">
      <w:pPr>
        <w:rPr>
          <w:rFonts w:ascii="Times New Roman" w:hAnsi="Times New Roman"/>
          <w:lang w:val="fr-FR"/>
        </w:rPr>
      </w:pPr>
    </w:p>
    <w:p w14:paraId="2B21E6D9" w14:textId="77777777" w:rsidR="00E2371D" w:rsidRPr="00623A2B" w:rsidRDefault="00E2371D" w:rsidP="00E2371D">
      <w:pPr>
        <w:rPr>
          <w:rFonts w:ascii="Times New Roman" w:hAnsi="Times New Roman"/>
          <w:lang w:val="fr-FR"/>
        </w:rPr>
      </w:pPr>
    </w:p>
    <w:p w14:paraId="4EA1E494" w14:textId="77777777" w:rsidR="00E2371D" w:rsidRPr="00623A2B" w:rsidRDefault="00E2371D" w:rsidP="00E2371D">
      <w:pPr>
        <w:rPr>
          <w:rFonts w:ascii="Times New Roman" w:hAnsi="Times New Roman"/>
          <w:lang w:val="fr-FR"/>
        </w:rPr>
      </w:pPr>
    </w:p>
    <w:p w14:paraId="33CAE220" w14:textId="77777777" w:rsidR="00E2371D" w:rsidRPr="00623A2B" w:rsidRDefault="00E2371D" w:rsidP="00E2371D">
      <w:pPr>
        <w:rPr>
          <w:rFonts w:ascii="Times New Roman" w:hAnsi="Times New Roman"/>
          <w:lang w:val="fr-FR"/>
        </w:rPr>
      </w:pPr>
    </w:p>
    <w:p w14:paraId="0951AFBC" w14:textId="5BD3E4D8" w:rsidR="00E2371D" w:rsidRPr="00623A2B" w:rsidRDefault="00E2371D" w:rsidP="00E2371D">
      <w:pPr>
        <w:jc w:val="center"/>
        <w:rPr>
          <w:rFonts w:ascii="Times New Roman" w:hAnsi="Times New Roman"/>
          <w:szCs w:val="22"/>
          <w:lang w:val="fr-FR"/>
        </w:rPr>
      </w:pPr>
      <w:r w:rsidRPr="00623A2B">
        <w:rPr>
          <w:rFonts w:ascii="Times New Roman" w:hAnsi="Times New Roman"/>
          <w:szCs w:val="22"/>
          <w:lang w:val="fr-FR"/>
        </w:rPr>
        <w:t>DÉCLARATIO</w:t>
      </w:r>
      <w:r w:rsidR="009F6DC4" w:rsidRPr="00623A2B">
        <w:rPr>
          <w:rFonts w:ascii="Times New Roman" w:hAnsi="Times New Roman"/>
          <w:szCs w:val="22"/>
          <w:lang w:val="fr-FR"/>
        </w:rPr>
        <w:t>NS</w:t>
      </w:r>
      <w:r w:rsidRPr="00623A2B">
        <w:rPr>
          <w:rFonts w:ascii="Times New Roman" w:hAnsi="Times New Roman"/>
          <w:szCs w:val="22"/>
          <w:lang w:val="fr-FR"/>
        </w:rPr>
        <w:t xml:space="preserve"> ET RÉSOLUTIONS ADOPTÉES PAR L'ASSEMBLÉE GÉNÉRALE</w:t>
      </w:r>
    </w:p>
    <w:p w14:paraId="1DCF6510" w14:textId="77777777" w:rsidR="00E2371D" w:rsidRPr="00623A2B" w:rsidRDefault="00E2371D" w:rsidP="00E2371D">
      <w:pPr>
        <w:rPr>
          <w:rFonts w:ascii="Times New Roman" w:hAnsi="Times New Roman"/>
          <w:szCs w:val="22"/>
          <w:lang w:val="fr-FR"/>
        </w:rPr>
      </w:pPr>
    </w:p>
    <w:p w14:paraId="3864DF45" w14:textId="77777777" w:rsidR="00E2371D" w:rsidRPr="00623A2B" w:rsidRDefault="00E2371D" w:rsidP="00E2371D">
      <w:pPr>
        <w:jc w:val="center"/>
        <w:rPr>
          <w:rFonts w:ascii="Times New Roman" w:hAnsi="Times New Roman"/>
          <w:szCs w:val="22"/>
          <w:lang w:val="fr-FR"/>
        </w:rPr>
      </w:pPr>
      <w:r w:rsidRPr="00623A2B">
        <w:rPr>
          <w:rFonts w:ascii="Times New Roman" w:hAnsi="Times New Roman"/>
          <w:szCs w:val="22"/>
          <w:lang w:val="fr-FR"/>
        </w:rPr>
        <w:t>(Version provisoire, sous réserve de révision par la Commission de style)</w:t>
      </w:r>
    </w:p>
    <w:p w14:paraId="41AB6E07" w14:textId="77777777" w:rsidR="0069284F" w:rsidRPr="00623A2B" w:rsidRDefault="0069284F" w:rsidP="00B53F69">
      <w:pPr>
        <w:jc w:val="center"/>
        <w:rPr>
          <w:rFonts w:ascii="Times New Roman" w:hAnsi="Times New Roman"/>
          <w:szCs w:val="22"/>
          <w:lang w:val="fr-FR"/>
        </w:rPr>
      </w:pPr>
    </w:p>
    <w:p w14:paraId="2E10B9D1" w14:textId="77777777" w:rsidR="0069284F" w:rsidRPr="00623A2B" w:rsidRDefault="0069284F" w:rsidP="00B53F69">
      <w:pPr>
        <w:jc w:val="center"/>
        <w:rPr>
          <w:rFonts w:ascii="Times New Roman" w:hAnsi="Times New Roman"/>
          <w:szCs w:val="22"/>
          <w:lang w:val="fr-FR"/>
        </w:rPr>
      </w:pPr>
    </w:p>
    <w:p w14:paraId="1B3C5709" w14:textId="3D1A1E7F" w:rsidR="0069284F" w:rsidRPr="00623A2B" w:rsidRDefault="0069284F" w:rsidP="00B53F69">
      <w:pPr>
        <w:jc w:val="center"/>
        <w:rPr>
          <w:rFonts w:ascii="Times New Roman" w:hAnsi="Times New Roman"/>
          <w:szCs w:val="22"/>
          <w:lang w:val="fr-FR"/>
        </w:rPr>
        <w:sectPr w:rsidR="0069284F" w:rsidRPr="00623A2B" w:rsidSect="00623A2B">
          <w:footnotePr>
            <w:numRestart w:val="eachSect"/>
          </w:footnotePr>
          <w:type w:val="oddPage"/>
          <w:pgSz w:w="12240" w:h="15840" w:code="1"/>
          <w:pgMar w:top="2160" w:right="1570" w:bottom="1296" w:left="1699" w:header="720" w:footer="720" w:gutter="0"/>
          <w:pgNumType w:start="1"/>
          <w:cols w:space="720"/>
          <w:noEndnote/>
          <w:titlePg/>
        </w:sectPr>
      </w:pPr>
    </w:p>
    <w:p w14:paraId="27B6054F" w14:textId="6AFA1E14" w:rsidR="0069284F" w:rsidRPr="00623A2B" w:rsidRDefault="00AC1929" w:rsidP="00B53F69">
      <w:pPr>
        <w:jc w:val="center"/>
        <w:rPr>
          <w:rFonts w:ascii="Times New Roman" w:hAnsi="Times New Roman"/>
          <w:szCs w:val="22"/>
          <w:lang w:val="es-AR"/>
        </w:rPr>
      </w:pPr>
      <w:r w:rsidRPr="00623A2B">
        <w:rPr>
          <w:rFonts w:ascii="Times New Roman" w:hAnsi="Times New Roman"/>
          <w:lang w:val="fr-FR"/>
        </w:rPr>
        <w:lastRenderedPageBreak/>
        <w:t>TABLE DES MATIÈRES</w:t>
      </w:r>
    </w:p>
    <w:sdt>
      <w:sdtPr>
        <w:rPr>
          <w:rFonts w:ascii="Times New Roman" w:eastAsia="Times New Roman" w:hAnsi="Times New Roman" w:cs="Times New Roman"/>
          <w:color w:val="auto"/>
          <w:sz w:val="22"/>
          <w:szCs w:val="22"/>
          <w:lang w:val="es-ES"/>
        </w:rPr>
        <w:id w:val="-1667316588"/>
        <w:docPartObj>
          <w:docPartGallery w:val="Table of Contents"/>
          <w:docPartUnique/>
        </w:docPartObj>
      </w:sdtPr>
      <w:sdtEndPr>
        <w:rPr>
          <w:noProof/>
        </w:rPr>
      </w:sdtEndPr>
      <w:sdtContent>
        <w:p w14:paraId="16C6AC0B" w14:textId="5A59E615" w:rsidR="00A16BE1" w:rsidRPr="00623A2B" w:rsidRDefault="00A16BE1" w:rsidP="009F6DC4">
          <w:pPr>
            <w:pStyle w:val="TOCHeading"/>
            <w:rPr>
              <w:rFonts w:ascii="Times New Roman" w:hAnsi="Times New Roman" w:cs="Times New Roman"/>
              <w:sz w:val="22"/>
              <w:szCs w:val="22"/>
            </w:rPr>
          </w:pPr>
        </w:p>
        <w:p w14:paraId="55F10737" w14:textId="250CB979" w:rsidR="003B64BB" w:rsidRPr="00623A2B" w:rsidRDefault="00164583" w:rsidP="00A40B4B">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r w:rsidRPr="00623A2B">
            <w:rPr>
              <w:rFonts w:ascii="Times New Roman" w:hAnsi="Times New Roman" w:cs="Times New Roman"/>
              <w:b w:val="0"/>
              <w:bCs w:val="0"/>
              <w:caps w:val="0"/>
              <w:sz w:val="22"/>
              <w:szCs w:val="22"/>
            </w:rPr>
            <w:fldChar w:fldCharType="begin"/>
          </w:r>
          <w:r w:rsidRPr="00623A2B">
            <w:rPr>
              <w:rFonts w:ascii="Times New Roman" w:hAnsi="Times New Roman" w:cs="Times New Roman"/>
              <w:b w:val="0"/>
              <w:bCs w:val="0"/>
              <w:caps w:val="0"/>
              <w:sz w:val="22"/>
              <w:szCs w:val="22"/>
            </w:rPr>
            <w:instrText xml:space="preserve"> TOC \o "1-1" \h \z \u </w:instrText>
          </w:r>
          <w:r w:rsidRPr="00623A2B">
            <w:rPr>
              <w:rFonts w:ascii="Times New Roman" w:hAnsi="Times New Roman" w:cs="Times New Roman"/>
              <w:b w:val="0"/>
              <w:bCs w:val="0"/>
              <w:caps w:val="0"/>
              <w:sz w:val="22"/>
              <w:szCs w:val="22"/>
            </w:rPr>
            <w:fldChar w:fldCharType="separate"/>
          </w:r>
          <w:hyperlink w:anchor="_Toc89177452" w:history="1">
            <w:r w:rsidR="003B64BB" w:rsidRPr="00623A2B">
              <w:rPr>
                <w:rStyle w:val="Hyperlink"/>
                <w:rFonts w:ascii="Times New Roman" w:hAnsi="Times New Roman" w:cs="Times New Roman"/>
                <w:b w:val="0"/>
                <w:bCs w:val="0"/>
                <w:noProof/>
                <w:sz w:val="22"/>
                <w:szCs w:val="22"/>
                <w:lang w:val="fr-FR"/>
              </w:rPr>
              <w:t>AG/DEC. 103 (LI-O/21)</w:t>
            </w:r>
            <w:r w:rsidR="00E66332" w:rsidRPr="00623A2B">
              <w:rPr>
                <w:rStyle w:val="Hyperlink"/>
                <w:rFonts w:ascii="Times New Roman" w:hAnsi="Times New Roman" w:cs="Times New Roman"/>
                <w:b w:val="0"/>
                <w:bCs w:val="0"/>
                <w:noProof/>
                <w:sz w:val="22"/>
                <w:szCs w:val="22"/>
                <w:lang w:val="fr-FR"/>
              </w:rPr>
              <w:tab/>
            </w:r>
            <w:r w:rsidR="003B64BB" w:rsidRPr="00623A2B">
              <w:rPr>
                <w:rStyle w:val="Hyperlink"/>
                <w:rFonts w:ascii="Times New Roman" w:hAnsi="Times New Roman" w:cs="Times New Roman"/>
                <w:b w:val="0"/>
                <w:bCs w:val="0"/>
                <w:noProof/>
                <w:sz w:val="22"/>
                <w:szCs w:val="22"/>
              </w:rPr>
              <w:t>DÉCLARATION</w:t>
            </w:r>
            <w:r w:rsidR="003B64BB" w:rsidRPr="00623A2B">
              <w:rPr>
                <w:rStyle w:val="Hyperlink"/>
                <w:rFonts w:ascii="Times New Roman" w:hAnsi="Times New Roman" w:cs="Times New Roman"/>
                <w:b w:val="0"/>
                <w:bCs w:val="0"/>
                <w:noProof/>
                <w:sz w:val="22"/>
                <w:szCs w:val="22"/>
                <w:lang w:val="fr-CA"/>
              </w:rPr>
              <w:t xml:space="preserve"> SUR « LA QUESTION DES ÎLES MALOUINES »</w:t>
            </w:r>
            <w:r w:rsidR="003B64BB" w:rsidRPr="00623A2B">
              <w:rPr>
                <w:rFonts w:ascii="Times New Roman" w:hAnsi="Times New Roman" w:cs="Times New Roman"/>
                <w:b w:val="0"/>
                <w:bCs w:val="0"/>
                <w:noProof/>
                <w:webHidden/>
                <w:sz w:val="22"/>
                <w:szCs w:val="22"/>
              </w:rPr>
              <w:tab/>
            </w:r>
            <w:r w:rsidR="003B64BB" w:rsidRPr="00623A2B">
              <w:rPr>
                <w:rFonts w:ascii="Times New Roman" w:hAnsi="Times New Roman" w:cs="Times New Roman"/>
                <w:b w:val="0"/>
                <w:bCs w:val="0"/>
                <w:noProof/>
                <w:webHidden/>
                <w:sz w:val="22"/>
                <w:szCs w:val="22"/>
              </w:rPr>
              <w:fldChar w:fldCharType="begin"/>
            </w:r>
            <w:r w:rsidR="003B64BB" w:rsidRPr="00623A2B">
              <w:rPr>
                <w:rFonts w:ascii="Times New Roman" w:hAnsi="Times New Roman" w:cs="Times New Roman"/>
                <w:b w:val="0"/>
                <w:bCs w:val="0"/>
                <w:noProof/>
                <w:webHidden/>
                <w:sz w:val="22"/>
                <w:szCs w:val="22"/>
              </w:rPr>
              <w:instrText xml:space="preserve"> PAGEREF _Toc89177452 \h </w:instrText>
            </w:r>
            <w:r w:rsidR="003B64BB" w:rsidRPr="00623A2B">
              <w:rPr>
                <w:rFonts w:ascii="Times New Roman" w:hAnsi="Times New Roman" w:cs="Times New Roman"/>
                <w:b w:val="0"/>
                <w:bCs w:val="0"/>
                <w:noProof/>
                <w:webHidden/>
                <w:sz w:val="22"/>
                <w:szCs w:val="22"/>
              </w:rPr>
            </w:r>
            <w:r w:rsidR="003B64BB" w:rsidRPr="00623A2B">
              <w:rPr>
                <w:rFonts w:ascii="Times New Roman" w:hAnsi="Times New Roman" w:cs="Times New Roman"/>
                <w:b w:val="0"/>
                <w:bCs w:val="0"/>
                <w:noProof/>
                <w:webHidden/>
                <w:sz w:val="22"/>
                <w:szCs w:val="22"/>
              </w:rPr>
              <w:fldChar w:fldCharType="separate"/>
            </w:r>
            <w:r w:rsidR="00CD49D4">
              <w:rPr>
                <w:rFonts w:ascii="Times New Roman" w:hAnsi="Times New Roman" w:cs="Times New Roman"/>
                <w:b w:val="0"/>
                <w:bCs w:val="0"/>
                <w:noProof/>
                <w:webHidden/>
                <w:sz w:val="22"/>
                <w:szCs w:val="22"/>
              </w:rPr>
              <w:t>1</w:t>
            </w:r>
            <w:r w:rsidR="003B64BB" w:rsidRPr="00623A2B">
              <w:rPr>
                <w:rFonts w:ascii="Times New Roman" w:hAnsi="Times New Roman" w:cs="Times New Roman"/>
                <w:b w:val="0"/>
                <w:bCs w:val="0"/>
                <w:noProof/>
                <w:webHidden/>
                <w:sz w:val="22"/>
                <w:szCs w:val="22"/>
              </w:rPr>
              <w:fldChar w:fldCharType="end"/>
            </w:r>
          </w:hyperlink>
        </w:p>
        <w:p w14:paraId="307C2A31" w14:textId="77777777" w:rsidR="00E033E5" w:rsidRPr="00623A2B" w:rsidRDefault="00E033E5" w:rsidP="00E033E5">
          <w:pPr>
            <w:rPr>
              <w:rFonts w:ascii="Times New Roman" w:eastAsiaTheme="minorEastAsia" w:hAnsi="Times New Roman"/>
              <w:noProof/>
            </w:rPr>
          </w:pPr>
        </w:p>
        <w:p w14:paraId="1AAE9B67" w14:textId="3716085E" w:rsidR="003B64BB" w:rsidRPr="00623A2B" w:rsidRDefault="004A47F0" w:rsidP="00E033E5">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9177453" w:history="1">
            <w:r w:rsidR="003B64BB" w:rsidRPr="00623A2B">
              <w:rPr>
                <w:rStyle w:val="Hyperlink"/>
                <w:rFonts w:ascii="Times New Roman" w:hAnsi="Times New Roman" w:cs="Times New Roman"/>
                <w:b w:val="0"/>
                <w:bCs w:val="0"/>
                <w:noProof/>
                <w:sz w:val="22"/>
                <w:szCs w:val="22"/>
                <w:lang w:val="fr-FR"/>
              </w:rPr>
              <w:t>AG/DEC. 104 (LI-O/21)</w:t>
            </w:r>
            <w:r w:rsidR="000F4430" w:rsidRPr="00623A2B">
              <w:rPr>
                <w:rStyle w:val="Hyperlink"/>
                <w:rFonts w:ascii="Times New Roman" w:hAnsi="Times New Roman" w:cs="Times New Roman"/>
                <w:b w:val="0"/>
                <w:bCs w:val="0"/>
                <w:noProof/>
                <w:sz w:val="22"/>
                <w:szCs w:val="22"/>
                <w:lang w:val="fr-FR"/>
              </w:rPr>
              <w:tab/>
            </w:r>
            <w:r w:rsidR="003B64BB" w:rsidRPr="00623A2B">
              <w:rPr>
                <w:rStyle w:val="Hyperlink"/>
                <w:rFonts w:ascii="Times New Roman" w:hAnsi="Times New Roman" w:cs="Times New Roman"/>
                <w:b w:val="0"/>
                <w:bCs w:val="0"/>
                <w:noProof/>
                <w:sz w:val="22"/>
                <w:szCs w:val="22"/>
                <w:lang w:val="fr-FR"/>
              </w:rPr>
              <w:t xml:space="preserve">ENGAGEMENT RENOUVELÉ ENVERS LE DÉVELOPPEMENT </w:t>
            </w:r>
            <w:r w:rsidR="003B64BB" w:rsidRPr="00623A2B">
              <w:rPr>
                <w:rStyle w:val="Hyperlink"/>
                <w:rFonts w:ascii="Times New Roman" w:hAnsi="Times New Roman" w:cs="Times New Roman"/>
                <w:b w:val="0"/>
                <w:bCs w:val="0"/>
                <w:noProof/>
                <w:sz w:val="22"/>
                <w:szCs w:val="22"/>
              </w:rPr>
              <w:t>DURABLE</w:t>
            </w:r>
            <w:r w:rsidR="003B64BB" w:rsidRPr="00623A2B">
              <w:rPr>
                <w:rStyle w:val="Hyperlink"/>
                <w:rFonts w:ascii="Times New Roman" w:hAnsi="Times New Roman" w:cs="Times New Roman"/>
                <w:b w:val="0"/>
                <w:bCs w:val="0"/>
                <w:noProof/>
                <w:sz w:val="22"/>
                <w:szCs w:val="22"/>
                <w:lang w:val="fr-FR"/>
              </w:rPr>
              <w:t xml:space="preserve">  DANS LES AMÉRIQUES APRÈS LA COVID-19</w:t>
            </w:r>
            <w:r w:rsidR="003B64BB" w:rsidRPr="00623A2B">
              <w:rPr>
                <w:rFonts w:ascii="Times New Roman" w:hAnsi="Times New Roman" w:cs="Times New Roman"/>
                <w:b w:val="0"/>
                <w:bCs w:val="0"/>
                <w:noProof/>
                <w:webHidden/>
                <w:sz w:val="22"/>
                <w:szCs w:val="22"/>
              </w:rPr>
              <w:tab/>
            </w:r>
            <w:r w:rsidR="003B64BB" w:rsidRPr="00623A2B">
              <w:rPr>
                <w:rFonts w:ascii="Times New Roman" w:hAnsi="Times New Roman" w:cs="Times New Roman"/>
                <w:b w:val="0"/>
                <w:bCs w:val="0"/>
                <w:noProof/>
                <w:webHidden/>
                <w:sz w:val="22"/>
                <w:szCs w:val="22"/>
              </w:rPr>
              <w:fldChar w:fldCharType="begin"/>
            </w:r>
            <w:r w:rsidR="003B64BB" w:rsidRPr="00623A2B">
              <w:rPr>
                <w:rFonts w:ascii="Times New Roman" w:hAnsi="Times New Roman" w:cs="Times New Roman"/>
                <w:b w:val="0"/>
                <w:bCs w:val="0"/>
                <w:noProof/>
                <w:webHidden/>
                <w:sz w:val="22"/>
                <w:szCs w:val="22"/>
              </w:rPr>
              <w:instrText xml:space="preserve"> PAGEREF _Toc89177453 \h </w:instrText>
            </w:r>
            <w:r w:rsidR="003B64BB" w:rsidRPr="00623A2B">
              <w:rPr>
                <w:rFonts w:ascii="Times New Roman" w:hAnsi="Times New Roman" w:cs="Times New Roman"/>
                <w:b w:val="0"/>
                <w:bCs w:val="0"/>
                <w:noProof/>
                <w:webHidden/>
                <w:sz w:val="22"/>
                <w:szCs w:val="22"/>
              </w:rPr>
            </w:r>
            <w:r w:rsidR="003B64BB" w:rsidRPr="00623A2B">
              <w:rPr>
                <w:rFonts w:ascii="Times New Roman" w:hAnsi="Times New Roman" w:cs="Times New Roman"/>
                <w:b w:val="0"/>
                <w:bCs w:val="0"/>
                <w:noProof/>
                <w:webHidden/>
                <w:sz w:val="22"/>
                <w:szCs w:val="22"/>
              </w:rPr>
              <w:fldChar w:fldCharType="separate"/>
            </w:r>
            <w:r w:rsidR="00CD49D4">
              <w:rPr>
                <w:rFonts w:ascii="Times New Roman" w:hAnsi="Times New Roman" w:cs="Times New Roman"/>
                <w:b w:val="0"/>
                <w:bCs w:val="0"/>
                <w:noProof/>
                <w:webHidden/>
                <w:sz w:val="22"/>
                <w:szCs w:val="22"/>
              </w:rPr>
              <w:t>5</w:t>
            </w:r>
            <w:r w:rsidR="003B64BB" w:rsidRPr="00623A2B">
              <w:rPr>
                <w:rFonts w:ascii="Times New Roman" w:hAnsi="Times New Roman" w:cs="Times New Roman"/>
                <w:b w:val="0"/>
                <w:bCs w:val="0"/>
                <w:noProof/>
                <w:webHidden/>
                <w:sz w:val="22"/>
                <w:szCs w:val="22"/>
              </w:rPr>
              <w:fldChar w:fldCharType="end"/>
            </w:r>
          </w:hyperlink>
        </w:p>
        <w:p w14:paraId="0117D34A" w14:textId="77777777" w:rsidR="00E033E5" w:rsidRPr="00623A2B" w:rsidRDefault="00E033E5" w:rsidP="00E033E5">
          <w:pPr>
            <w:rPr>
              <w:rFonts w:ascii="Times New Roman" w:eastAsiaTheme="minorEastAsia" w:hAnsi="Times New Roman"/>
              <w:noProof/>
            </w:rPr>
          </w:pPr>
        </w:p>
        <w:p w14:paraId="378C90C4" w14:textId="04EDFAA2" w:rsidR="003B64BB" w:rsidRPr="00623A2B" w:rsidRDefault="004A47F0" w:rsidP="00E033E5">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9177454" w:history="1">
            <w:r w:rsidR="003B64BB" w:rsidRPr="00623A2B">
              <w:rPr>
                <w:rStyle w:val="Hyperlink"/>
                <w:rFonts w:ascii="Times New Roman" w:hAnsi="Times New Roman" w:cs="Times New Roman"/>
                <w:b w:val="0"/>
                <w:bCs w:val="0"/>
                <w:noProof/>
                <w:sz w:val="22"/>
                <w:szCs w:val="22"/>
                <w:lang w:val="fr-CA"/>
              </w:rPr>
              <w:t xml:space="preserve">AG/DEC. </w:t>
            </w:r>
            <w:r w:rsidR="003B64BB" w:rsidRPr="00623A2B">
              <w:rPr>
                <w:rStyle w:val="Hyperlink"/>
                <w:rFonts w:ascii="Times New Roman" w:hAnsi="Times New Roman" w:cs="Times New Roman"/>
                <w:b w:val="0"/>
                <w:bCs w:val="0"/>
                <w:noProof/>
                <w:sz w:val="22"/>
                <w:szCs w:val="22"/>
              </w:rPr>
              <w:t>105</w:t>
            </w:r>
            <w:r w:rsidR="003B64BB" w:rsidRPr="00623A2B">
              <w:rPr>
                <w:rStyle w:val="Hyperlink"/>
                <w:rFonts w:ascii="Times New Roman" w:hAnsi="Times New Roman" w:cs="Times New Roman"/>
                <w:b w:val="0"/>
                <w:bCs w:val="0"/>
                <w:noProof/>
                <w:sz w:val="22"/>
                <w:szCs w:val="22"/>
                <w:lang w:val="fr-CA"/>
              </w:rPr>
              <w:t xml:space="preserve"> (LI-O/21)</w:t>
            </w:r>
            <w:r w:rsidR="000F4430" w:rsidRPr="00623A2B">
              <w:rPr>
                <w:rStyle w:val="Hyperlink"/>
                <w:rFonts w:ascii="Times New Roman" w:hAnsi="Times New Roman" w:cs="Times New Roman"/>
                <w:b w:val="0"/>
                <w:bCs w:val="0"/>
                <w:noProof/>
                <w:sz w:val="22"/>
                <w:szCs w:val="22"/>
                <w:lang w:val="fr-CA"/>
              </w:rPr>
              <w:tab/>
            </w:r>
            <w:r w:rsidR="003B64BB" w:rsidRPr="00623A2B">
              <w:rPr>
                <w:rStyle w:val="Hyperlink"/>
                <w:rFonts w:ascii="Times New Roman" w:hAnsi="Times New Roman" w:cs="Times New Roman"/>
                <w:b w:val="0"/>
                <w:bCs w:val="0"/>
                <w:noProof/>
                <w:sz w:val="22"/>
                <w:szCs w:val="22"/>
                <w:lang w:val="fr-CA"/>
              </w:rPr>
              <w:t>LA SITUATION EN HAÏTI</w:t>
            </w:r>
            <w:r w:rsidR="003B64BB" w:rsidRPr="00623A2B">
              <w:rPr>
                <w:rFonts w:ascii="Times New Roman" w:hAnsi="Times New Roman" w:cs="Times New Roman"/>
                <w:b w:val="0"/>
                <w:bCs w:val="0"/>
                <w:noProof/>
                <w:webHidden/>
                <w:sz w:val="22"/>
                <w:szCs w:val="22"/>
              </w:rPr>
              <w:tab/>
            </w:r>
            <w:r w:rsidR="003B64BB" w:rsidRPr="00623A2B">
              <w:rPr>
                <w:rFonts w:ascii="Times New Roman" w:hAnsi="Times New Roman" w:cs="Times New Roman"/>
                <w:b w:val="0"/>
                <w:bCs w:val="0"/>
                <w:noProof/>
                <w:webHidden/>
                <w:sz w:val="22"/>
                <w:szCs w:val="22"/>
              </w:rPr>
              <w:fldChar w:fldCharType="begin"/>
            </w:r>
            <w:r w:rsidR="003B64BB" w:rsidRPr="00623A2B">
              <w:rPr>
                <w:rFonts w:ascii="Times New Roman" w:hAnsi="Times New Roman" w:cs="Times New Roman"/>
                <w:b w:val="0"/>
                <w:bCs w:val="0"/>
                <w:noProof/>
                <w:webHidden/>
                <w:sz w:val="22"/>
                <w:szCs w:val="22"/>
              </w:rPr>
              <w:instrText xml:space="preserve"> PAGEREF _Toc89177454 \h </w:instrText>
            </w:r>
            <w:r w:rsidR="003B64BB" w:rsidRPr="00623A2B">
              <w:rPr>
                <w:rFonts w:ascii="Times New Roman" w:hAnsi="Times New Roman" w:cs="Times New Roman"/>
                <w:b w:val="0"/>
                <w:bCs w:val="0"/>
                <w:noProof/>
                <w:webHidden/>
                <w:sz w:val="22"/>
                <w:szCs w:val="22"/>
              </w:rPr>
            </w:r>
            <w:r w:rsidR="003B64BB" w:rsidRPr="00623A2B">
              <w:rPr>
                <w:rFonts w:ascii="Times New Roman" w:hAnsi="Times New Roman" w:cs="Times New Roman"/>
                <w:b w:val="0"/>
                <w:bCs w:val="0"/>
                <w:noProof/>
                <w:webHidden/>
                <w:sz w:val="22"/>
                <w:szCs w:val="22"/>
              </w:rPr>
              <w:fldChar w:fldCharType="separate"/>
            </w:r>
            <w:r w:rsidR="00CD49D4">
              <w:rPr>
                <w:rFonts w:ascii="Times New Roman" w:hAnsi="Times New Roman" w:cs="Times New Roman"/>
                <w:b w:val="0"/>
                <w:bCs w:val="0"/>
                <w:noProof/>
                <w:webHidden/>
                <w:sz w:val="22"/>
                <w:szCs w:val="22"/>
              </w:rPr>
              <w:t>9</w:t>
            </w:r>
            <w:r w:rsidR="003B64BB" w:rsidRPr="00623A2B">
              <w:rPr>
                <w:rFonts w:ascii="Times New Roman" w:hAnsi="Times New Roman" w:cs="Times New Roman"/>
                <w:b w:val="0"/>
                <w:bCs w:val="0"/>
                <w:noProof/>
                <w:webHidden/>
                <w:sz w:val="22"/>
                <w:szCs w:val="22"/>
              </w:rPr>
              <w:fldChar w:fldCharType="end"/>
            </w:r>
          </w:hyperlink>
        </w:p>
        <w:p w14:paraId="5922B482" w14:textId="77777777" w:rsidR="00E033E5" w:rsidRPr="00623A2B" w:rsidRDefault="00E033E5" w:rsidP="00E033E5">
          <w:pPr>
            <w:rPr>
              <w:rFonts w:ascii="Times New Roman" w:eastAsiaTheme="minorEastAsia" w:hAnsi="Times New Roman"/>
              <w:noProof/>
            </w:rPr>
          </w:pPr>
        </w:p>
        <w:p w14:paraId="269A7A95" w14:textId="59512D55" w:rsidR="003B64BB" w:rsidRPr="00623A2B" w:rsidRDefault="004A47F0" w:rsidP="00E033E5">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9177455" w:history="1">
            <w:r w:rsidR="003B64BB" w:rsidRPr="00623A2B">
              <w:rPr>
                <w:rStyle w:val="Hyperlink"/>
                <w:rFonts w:ascii="Times New Roman" w:hAnsi="Times New Roman" w:cs="Times New Roman"/>
                <w:b w:val="0"/>
                <w:bCs w:val="0"/>
                <w:noProof/>
                <w:sz w:val="22"/>
                <w:szCs w:val="22"/>
                <w:lang w:val="fr-CA"/>
              </w:rPr>
              <w:t>AG/RES. 2965 (LI-O/21)</w:t>
            </w:r>
            <w:r w:rsidR="000F4430" w:rsidRPr="00623A2B">
              <w:rPr>
                <w:rStyle w:val="Hyperlink"/>
                <w:rFonts w:ascii="Times New Roman" w:hAnsi="Times New Roman" w:cs="Times New Roman"/>
                <w:b w:val="0"/>
                <w:bCs w:val="0"/>
                <w:noProof/>
                <w:sz w:val="22"/>
                <w:szCs w:val="22"/>
                <w:lang w:val="fr-CA"/>
              </w:rPr>
              <w:tab/>
            </w:r>
            <w:r w:rsidR="003B64BB" w:rsidRPr="00623A2B">
              <w:rPr>
                <w:rStyle w:val="Hyperlink"/>
                <w:rFonts w:ascii="Times New Roman" w:hAnsi="Times New Roman" w:cs="Times New Roman"/>
                <w:b w:val="0"/>
                <w:bCs w:val="0"/>
                <w:noProof/>
                <w:kern w:val="32"/>
                <w:sz w:val="22"/>
                <w:szCs w:val="22"/>
                <w:lang w:val="fr-FR" w:eastAsia="ar-SA"/>
              </w:rPr>
              <w:t xml:space="preserve">RÔLE PRIORITAIRE DE L'ORGANISATION DES ÉTATS AMÉRICAINS DANS  LE DÉVELOPPEMENT DES </w:t>
            </w:r>
            <w:r w:rsidR="003B64BB" w:rsidRPr="00623A2B">
              <w:rPr>
                <w:rStyle w:val="Hyperlink"/>
                <w:rFonts w:ascii="Times New Roman" w:hAnsi="Times New Roman" w:cs="Times New Roman"/>
                <w:b w:val="0"/>
                <w:bCs w:val="0"/>
                <w:noProof/>
                <w:sz w:val="22"/>
                <w:szCs w:val="22"/>
              </w:rPr>
              <w:t>TÉLÉCOMMUNICATIONS</w:t>
            </w:r>
            <w:r w:rsidR="003B64BB" w:rsidRPr="00623A2B">
              <w:rPr>
                <w:rStyle w:val="Hyperlink"/>
                <w:rFonts w:ascii="Times New Roman" w:hAnsi="Times New Roman" w:cs="Times New Roman"/>
                <w:b w:val="0"/>
                <w:bCs w:val="0"/>
                <w:noProof/>
                <w:kern w:val="32"/>
                <w:sz w:val="22"/>
                <w:szCs w:val="22"/>
                <w:lang w:val="fr-FR" w:eastAsia="ar-SA"/>
              </w:rPr>
              <w:t>/TECHNOLOGIES DE l'INFORMATION ET DES COMMUNICATIONS PAR L'INTERMÉDIAIRE DE  LA COMMISSION INTERAMÉRICAINE DES TÉLÉCOMMUNICATIONS (CITEL)</w:t>
            </w:r>
            <w:r w:rsidR="003B64BB" w:rsidRPr="00623A2B">
              <w:rPr>
                <w:rFonts w:ascii="Times New Roman" w:hAnsi="Times New Roman" w:cs="Times New Roman"/>
                <w:b w:val="0"/>
                <w:bCs w:val="0"/>
                <w:noProof/>
                <w:webHidden/>
                <w:sz w:val="22"/>
                <w:szCs w:val="22"/>
              </w:rPr>
              <w:tab/>
            </w:r>
            <w:r w:rsidR="003B64BB" w:rsidRPr="00623A2B">
              <w:rPr>
                <w:rFonts w:ascii="Times New Roman" w:hAnsi="Times New Roman" w:cs="Times New Roman"/>
                <w:b w:val="0"/>
                <w:bCs w:val="0"/>
                <w:noProof/>
                <w:webHidden/>
                <w:sz w:val="22"/>
                <w:szCs w:val="22"/>
              </w:rPr>
              <w:fldChar w:fldCharType="begin"/>
            </w:r>
            <w:r w:rsidR="003B64BB" w:rsidRPr="00623A2B">
              <w:rPr>
                <w:rFonts w:ascii="Times New Roman" w:hAnsi="Times New Roman" w:cs="Times New Roman"/>
                <w:b w:val="0"/>
                <w:bCs w:val="0"/>
                <w:noProof/>
                <w:webHidden/>
                <w:sz w:val="22"/>
                <w:szCs w:val="22"/>
              </w:rPr>
              <w:instrText xml:space="preserve"> PAGEREF _Toc89177455 \h </w:instrText>
            </w:r>
            <w:r w:rsidR="003B64BB" w:rsidRPr="00623A2B">
              <w:rPr>
                <w:rFonts w:ascii="Times New Roman" w:hAnsi="Times New Roman" w:cs="Times New Roman"/>
                <w:b w:val="0"/>
                <w:bCs w:val="0"/>
                <w:noProof/>
                <w:webHidden/>
                <w:sz w:val="22"/>
                <w:szCs w:val="22"/>
              </w:rPr>
            </w:r>
            <w:r w:rsidR="003B64BB" w:rsidRPr="00623A2B">
              <w:rPr>
                <w:rFonts w:ascii="Times New Roman" w:hAnsi="Times New Roman" w:cs="Times New Roman"/>
                <w:b w:val="0"/>
                <w:bCs w:val="0"/>
                <w:noProof/>
                <w:webHidden/>
                <w:sz w:val="22"/>
                <w:szCs w:val="22"/>
              </w:rPr>
              <w:fldChar w:fldCharType="separate"/>
            </w:r>
            <w:r w:rsidR="00CD49D4">
              <w:rPr>
                <w:rFonts w:ascii="Times New Roman" w:hAnsi="Times New Roman" w:cs="Times New Roman"/>
                <w:b w:val="0"/>
                <w:bCs w:val="0"/>
                <w:noProof/>
                <w:webHidden/>
                <w:sz w:val="22"/>
                <w:szCs w:val="22"/>
              </w:rPr>
              <w:t>13</w:t>
            </w:r>
            <w:r w:rsidR="003B64BB" w:rsidRPr="00623A2B">
              <w:rPr>
                <w:rFonts w:ascii="Times New Roman" w:hAnsi="Times New Roman" w:cs="Times New Roman"/>
                <w:b w:val="0"/>
                <w:bCs w:val="0"/>
                <w:noProof/>
                <w:webHidden/>
                <w:sz w:val="22"/>
                <w:szCs w:val="22"/>
              </w:rPr>
              <w:fldChar w:fldCharType="end"/>
            </w:r>
          </w:hyperlink>
        </w:p>
        <w:p w14:paraId="2D037B1E" w14:textId="77777777" w:rsidR="00E033E5" w:rsidRPr="00623A2B" w:rsidRDefault="00E033E5" w:rsidP="00E033E5">
          <w:pPr>
            <w:rPr>
              <w:rFonts w:ascii="Times New Roman" w:eastAsiaTheme="minorEastAsia" w:hAnsi="Times New Roman"/>
              <w:noProof/>
            </w:rPr>
          </w:pPr>
        </w:p>
        <w:p w14:paraId="0F5D75A2" w14:textId="17CC9FCE" w:rsidR="003B64BB" w:rsidRPr="00623A2B" w:rsidRDefault="004A47F0" w:rsidP="00E033E5">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9177456" w:history="1">
            <w:r w:rsidR="003B64BB" w:rsidRPr="00623A2B">
              <w:rPr>
                <w:rStyle w:val="Hyperlink"/>
                <w:rFonts w:ascii="Times New Roman" w:hAnsi="Times New Roman" w:cs="Times New Roman"/>
                <w:b w:val="0"/>
                <w:bCs w:val="0"/>
                <w:noProof/>
                <w:sz w:val="22"/>
                <w:szCs w:val="22"/>
                <w:lang w:val="fr-CA"/>
              </w:rPr>
              <w:t>AG/RES. 2966 (LI-O/21)</w:t>
            </w:r>
            <w:r w:rsidR="000F4430" w:rsidRPr="00623A2B">
              <w:rPr>
                <w:rStyle w:val="Hyperlink"/>
                <w:rFonts w:ascii="Times New Roman" w:hAnsi="Times New Roman" w:cs="Times New Roman"/>
                <w:b w:val="0"/>
                <w:bCs w:val="0"/>
                <w:noProof/>
                <w:sz w:val="22"/>
                <w:szCs w:val="22"/>
                <w:lang w:val="fr-CA"/>
              </w:rPr>
              <w:tab/>
            </w:r>
            <w:r w:rsidR="003B64BB" w:rsidRPr="00623A2B">
              <w:rPr>
                <w:rStyle w:val="Hyperlink"/>
                <w:rFonts w:ascii="Times New Roman" w:hAnsi="Times New Roman" w:cs="Times New Roman"/>
                <w:b w:val="0"/>
                <w:bCs w:val="0"/>
                <w:noProof/>
                <w:sz w:val="22"/>
                <w:szCs w:val="22"/>
                <w:lang w:val="fr-FR"/>
              </w:rPr>
              <w:t>INITIATIVES POUR L’EXPANSION DES TÉLÉCOMMUNICATIONS/TIC DANS  LES ZONES RURALES ET DANS LES ZONES NON DESSERVIES  OU INSUFFISAMMENT DESSERVIES</w:t>
            </w:r>
            <w:r w:rsidR="003B64BB" w:rsidRPr="00623A2B">
              <w:rPr>
                <w:rFonts w:ascii="Times New Roman" w:hAnsi="Times New Roman" w:cs="Times New Roman"/>
                <w:b w:val="0"/>
                <w:bCs w:val="0"/>
                <w:noProof/>
                <w:webHidden/>
                <w:sz w:val="22"/>
                <w:szCs w:val="22"/>
              </w:rPr>
              <w:tab/>
            </w:r>
            <w:r w:rsidR="003B64BB" w:rsidRPr="00623A2B">
              <w:rPr>
                <w:rFonts w:ascii="Times New Roman" w:hAnsi="Times New Roman" w:cs="Times New Roman"/>
                <w:b w:val="0"/>
                <w:bCs w:val="0"/>
                <w:noProof/>
                <w:webHidden/>
                <w:sz w:val="22"/>
                <w:szCs w:val="22"/>
              </w:rPr>
              <w:fldChar w:fldCharType="begin"/>
            </w:r>
            <w:r w:rsidR="003B64BB" w:rsidRPr="00623A2B">
              <w:rPr>
                <w:rFonts w:ascii="Times New Roman" w:hAnsi="Times New Roman" w:cs="Times New Roman"/>
                <w:b w:val="0"/>
                <w:bCs w:val="0"/>
                <w:noProof/>
                <w:webHidden/>
                <w:sz w:val="22"/>
                <w:szCs w:val="22"/>
              </w:rPr>
              <w:instrText xml:space="preserve"> PAGEREF _Toc89177456 \h </w:instrText>
            </w:r>
            <w:r w:rsidR="003B64BB" w:rsidRPr="00623A2B">
              <w:rPr>
                <w:rFonts w:ascii="Times New Roman" w:hAnsi="Times New Roman" w:cs="Times New Roman"/>
                <w:b w:val="0"/>
                <w:bCs w:val="0"/>
                <w:noProof/>
                <w:webHidden/>
                <w:sz w:val="22"/>
                <w:szCs w:val="22"/>
              </w:rPr>
            </w:r>
            <w:r w:rsidR="003B64BB" w:rsidRPr="00623A2B">
              <w:rPr>
                <w:rFonts w:ascii="Times New Roman" w:hAnsi="Times New Roman" w:cs="Times New Roman"/>
                <w:b w:val="0"/>
                <w:bCs w:val="0"/>
                <w:noProof/>
                <w:webHidden/>
                <w:sz w:val="22"/>
                <w:szCs w:val="22"/>
              </w:rPr>
              <w:fldChar w:fldCharType="separate"/>
            </w:r>
            <w:r w:rsidR="00CD49D4">
              <w:rPr>
                <w:rFonts w:ascii="Times New Roman" w:hAnsi="Times New Roman" w:cs="Times New Roman"/>
                <w:b w:val="0"/>
                <w:bCs w:val="0"/>
                <w:noProof/>
                <w:webHidden/>
                <w:sz w:val="22"/>
                <w:szCs w:val="22"/>
              </w:rPr>
              <w:t>19</w:t>
            </w:r>
            <w:r w:rsidR="003B64BB" w:rsidRPr="00623A2B">
              <w:rPr>
                <w:rFonts w:ascii="Times New Roman" w:hAnsi="Times New Roman" w:cs="Times New Roman"/>
                <w:b w:val="0"/>
                <w:bCs w:val="0"/>
                <w:noProof/>
                <w:webHidden/>
                <w:sz w:val="22"/>
                <w:szCs w:val="22"/>
              </w:rPr>
              <w:fldChar w:fldCharType="end"/>
            </w:r>
          </w:hyperlink>
        </w:p>
        <w:p w14:paraId="3255AC3B" w14:textId="77777777" w:rsidR="00E033E5" w:rsidRPr="00623A2B" w:rsidRDefault="00E033E5" w:rsidP="00E033E5">
          <w:pPr>
            <w:rPr>
              <w:rFonts w:ascii="Times New Roman" w:eastAsiaTheme="minorEastAsia" w:hAnsi="Times New Roman"/>
              <w:noProof/>
            </w:rPr>
          </w:pPr>
        </w:p>
        <w:p w14:paraId="0F76709E" w14:textId="1369C4E8" w:rsidR="003B64BB" w:rsidRPr="00623A2B" w:rsidRDefault="004A47F0" w:rsidP="00E033E5">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9177457" w:history="1">
            <w:r w:rsidR="003B64BB" w:rsidRPr="00623A2B">
              <w:rPr>
                <w:rStyle w:val="Hyperlink"/>
                <w:rFonts w:ascii="Times New Roman" w:hAnsi="Times New Roman" w:cs="Times New Roman"/>
                <w:b w:val="0"/>
                <w:bCs w:val="0"/>
                <w:noProof/>
                <w:sz w:val="22"/>
                <w:szCs w:val="22"/>
                <w:lang w:val="fr-CA"/>
              </w:rPr>
              <w:t>AG/RES. 2967 (LI-O/21)</w:t>
            </w:r>
            <w:r w:rsidR="000F4430" w:rsidRPr="00623A2B">
              <w:rPr>
                <w:rStyle w:val="Hyperlink"/>
                <w:rFonts w:ascii="Times New Roman" w:hAnsi="Times New Roman" w:cs="Times New Roman"/>
                <w:b w:val="0"/>
                <w:bCs w:val="0"/>
                <w:noProof/>
                <w:sz w:val="22"/>
                <w:szCs w:val="22"/>
                <w:lang w:val="fr-CA"/>
              </w:rPr>
              <w:tab/>
            </w:r>
            <w:r w:rsidR="003B64BB" w:rsidRPr="00623A2B">
              <w:rPr>
                <w:rStyle w:val="Hyperlink"/>
                <w:rFonts w:ascii="Times New Roman" w:hAnsi="Times New Roman" w:cs="Times New Roman"/>
                <w:b w:val="0"/>
                <w:bCs w:val="0"/>
                <w:noProof/>
                <w:sz w:val="22"/>
                <w:szCs w:val="22"/>
                <w:lang w:val="fr-FR"/>
              </w:rPr>
              <w:t xml:space="preserve">ENCOURAGER LES INITIATIVES CONTINENTALES EN MATIÈRE  DE </w:t>
            </w:r>
            <w:r w:rsidR="003B64BB" w:rsidRPr="00623A2B">
              <w:rPr>
                <w:rStyle w:val="Hyperlink"/>
                <w:rFonts w:ascii="Times New Roman" w:hAnsi="Times New Roman" w:cs="Times New Roman"/>
                <w:b w:val="0"/>
                <w:bCs w:val="0"/>
                <w:noProof/>
                <w:sz w:val="22"/>
                <w:szCs w:val="22"/>
              </w:rPr>
              <w:t>DÉVELOPPEMENT</w:t>
            </w:r>
            <w:r w:rsidR="003B64BB" w:rsidRPr="00623A2B">
              <w:rPr>
                <w:rStyle w:val="Hyperlink"/>
                <w:rFonts w:ascii="Times New Roman" w:hAnsi="Times New Roman" w:cs="Times New Roman"/>
                <w:b w:val="0"/>
                <w:bCs w:val="0"/>
                <w:noProof/>
                <w:sz w:val="22"/>
                <w:szCs w:val="22"/>
                <w:lang w:val="fr-FR"/>
              </w:rPr>
              <w:t xml:space="preserve"> INTÉGRÉ : PROMOTION DE LA RÉSILIENCE</w:t>
            </w:r>
            <w:r w:rsidR="003B64BB" w:rsidRPr="00623A2B">
              <w:rPr>
                <w:rFonts w:ascii="Times New Roman" w:hAnsi="Times New Roman" w:cs="Times New Roman"/>
                <w:b w:val="0"/>
                <w:bCs w:val="0"/>
                <w:noProof/>
                <w:webHidden/>
                <w:sz w:val="22"/>
                <w:szCs w:val="22"/>
              </w:rPr>
              <w:tab/>
            </w:r>
            <w:r w:rsidR="003B64BB" w:rsidRPr="00623A2B">
              <w:rPr>
                <w:rFonts w:ascii="Times New Roman" w:hAnsi="Times New Roman" w:cs="Times New Roman"/>
                <w:b w:val="0"/>
                <w:bCs w:val="0"/>
                <w:noProof/>
                <w:webHidden/>
                <w:sz w:val="22"/>
                <w:szCs w:val="22"/>
              </w:rPr>
              <w:fldChar w:fldCharType="begin"/>
            </w:r>
            <w:r w:rsidR="003B64BB" w:rsidRPr="00623A2B">
              <w:rPr>
                <w:rFonts w:ascii="Times New Roman" w:hAnsi="Times New Roman" w:cs="Times New Roman"/>
                <w:b w:val="0"/>
                <w:bCs w:val="0"/>
                <w:noProof/>
                <w:webHidden/>
                <w:sz w:val="22"/>
                <w:szCs w:val="22"/>
              </w:rPr>
              <w:instrText xml:space="preserve"> PAGEREF _Toc89177457 \h </w:instrText>
            </w:r>
            <w:r w:rsidR="003B64BB" w:rsidRPr="00623A2B">
              <w:rPr>
                <w:rFonts w:ascii="Times New Roman" w:hAnsi="Times New Roman" w:cs="Times New Roman"/>
                <w:b w:val="0"/>
                <w:bCs w:val="0"/>
                <w:noProof/>
                <w:webHidden/>
                <w:sz w:val="22"/>
                <w:szCs w:val="22"/>
              </w:rPr>
            </w:r>
            <w:r w:rsidR="003B64BB" w:rsidRPr="00623A2B">
              <w:rPr>
                <w:rFonts w:ascii="Times New Roman" w:hAnsi="Times New Roman" w:cs="Times New Roman"/>
                <w:b w:val="0"/>
                <w:bCs w:val="0"/>
                <w:noProof/>
                <w:webHidden/>
                <w:sz w:val="22"/>
                <w:szCs w:val="22"/>
              </w:rPr>
              <w:fldChar w:fldCharType="separate"/>
            </w:r>
            <w:r w:rsidR="00CD49D4">
              <w:rPr>
                <w:rFonts w:ascii="Times New Roman" w:hAnsi="Times New Roman" w:cs="Times New Roman"/>
                <w:b w:val="0"/>
                <w:bCs w:val="0"/>
                <w:noProof/>
                <w:webHidden/>
                <w:sz w:val="22"/>
                <w:szCs w:val="22"/>
              </w:rPr>
              <w:t>25</w:t>
            </w:r>
            <w:r w:rsidR="003B64BB" w:rsidRPr="00623A2B">
              <w:rPr>
                <w:rFonts w:ascii="Times New Roman" w:hAnsi="Times New Roman" w:cs="Times New Roman"/>
                <w:b w:val="0"/>
                <w:bCs w:val="0"/>
                <w:noProof/>
                <w:webHidden/>
                <w:sz w:val="22"/>
                <w:szCs w:val="22"/>
              </w:rPr>
              <w:fldChar w:fldCharType="end"/>
            </w:r>
          </w:hyperlink>
        </w:p>
        <w:p w14:paraId="40204EE6" w14:textId="77777777" w:rsidR="00E033E5" w:rsidRPr="00623A2B" w:rsidRDefault="00E033E5" w:rsidP="00E033E5">
          <w:pPr>
            <w:rPr>
              <w:rFonts w:ascii="Times New Roman" w:eastAsiaTheme="minorEastAsia" w:hAnsi="Times New Roman"/>
              <w:noProof/>
            </w:rPr>
          </w:pPr>
        </w:p>
        <w:p w14:paraId="4DCB09AE" w14:textId="64E42A41" w:rsidR="003B64BB" w:rsidRPr="00623A2B" w:rsidRDefault="004A47F0" w:rsidP="00E033E5">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9177458" w:history="1">
            <w:r w:rsidR="003B64BB" w:rsidRPr="00623A2B">
              <w:rPr>
                <w:rStyle w:val="Hyperlink"/>
                <w:rFonts w:ascii="Times New Roman" w:hAnsi="Times New Roman" w:cs="Times New Roman"/>
                <w:b w:val="0"/>
                <w:bCs w:val="0"/>
                <w:noProof/>
                <w:sz w:val="22"/>
                <w:szCs w:val="22"/>
                <w:lang w:val="fr-FR"/>
              </w:rPr>
              <w:t>AG/RES. 2968 (LI-O/21)</w:t>
            </w:r>
            <w:r w:rsidR="000F4430" w:rsidRPr="00623A2B">
              <w:rPr>
                <w:rStyle w:val="Hyperlink"/>
                <w:rFonts w:ascii="Times New Roman" w:hAnsi="Times New Roman" w:cs="Times New Roman"/>
                <w:b w:val="0"/>
                <w:bCs w:val="0"/>
                <w:noProof/>
                <w:sz w:val="22"/>
                <w:szCs w:val="22"/>
                <w:lang w:val="fr-FR"/>
              </w:rPr>
              <w:tab/>
            </w:r>
            <w:r w:rsidR="003B64BB" w:rsidRPr="00623A2B">
              <w:rPr>
                <w:rStyle w:val="Hyperlink"/>
                <w:rFonts w:ascii="Times New Roman" w:hAnsi="Times New Roman" w:cs="Times New Roman"/>
                <w:b w:val="0"/>
                <w:bCs w:val="0"/>
                <w:noProof/>
                <w:sz w:val="22"/>
                <w:szCs w:val="22"/>
                <w:lang w:val="fr-FR"/>
              </w:rPr>
              <w:t xml:space="preserve">COORDINATION DU VOLONTARIAT DANS LE CONTINENT </w:t>
            </w:r>
            <w:r w:rsidR="003B64BB" w:rsidRPr="00623A2B">
              <w:rPr>
                <w:rStyle w:val="Hyperlink"/>
                <w:rFonts w:ascii="Times New Roman" w:hAnsi="Times New Roman" w:cs="Times New Roman"/>
                <w:b w:val="0"/>
                <w:bCs w:val="0"/>
                <w:noProof/>
                <w:sz w:val="22"/>
                <w:szCs w:val="22"/>
              </w:rPr>
              <w:t>AMÉRICAIN</w:t>
            </w:r>
            <w:r w:rsidR="003B64BB" w:rsidRPr="00623A2B">
              <w:rPr>
                <w:rStyle w:val="Hyperlink"/>
                <w:rFonts w:ascii="Times New Roman" w:hAnsi="Times New Roman" w:cs="Times New Roman"/>
                <w:b w:val="0"/>
                <w:bCs w:val="0"/>
                <w:noProof/>
                <w:sz w:val="22"/>
                <w:szCs w:val="22"/>
                <w:lang w:val="fr-FR"/>
              </w:rPr>
              <w:t xml:space="preserve"> AU TITRE DES INTERVENTIONS EN CAS DE CATASTROPHE NATURELLE ET DANS LA LUTTE CONTRE LA FAIM ET LA PAUVRETÉ − INITIATIVE CASQUES BLANCS</w:t>
            </w:r>
            <w:r w:rsidR="003B64BB" w:rsidRPr="00623A2B">
              <w:rPr>
                <w:rFonts w:ascii="Times New Roman" w:hAnsi="Times New Roman" w:cs="Times New Roman"/>
                <w:b w:val="0"/>
                <w:bCs w:val="0"/>
                <w:noProof/>
                <w:webHidden/>
                <w:sz w:val="22"/>
                <w:szCs w:val="22"/>
              </w:rPr>
              <w:tab/>
            </w:r>
            <w:r w:rsidR="003B64BB" w:rsidRPr="00623A2B">
              <w:rPr>
                <w:rFonts w:ascii="Times New Roman" w:hAnsi="Times New Roman" w:cs="Times New Roman"/>
                <w:b w:val="0"/>
                <w:bCs w:val="0"/>
                <w:noProof/>
                <w:webHidden/>
                <w:sz w:val="22"/>
                <w:szCs w:val="22"/>
              </w:rPr>
              <w:fldChar w:fldCharType="begin"/>
            </w:r>
            <w:r w:rsidR="003B64BB" w:rsidRPr="00623A2B">
              <w:rPr>
                <w:rFonts w:ascii="Times New Roman" w:hAnsi="Times New Roman" w:cs="Times New Roman"/>
                <w:b w:val="0"/>
                <w:bCs w:val="0"/>
                <w:noProof/>
                <w:webHidden/>
                <w:sz w:val="22"/>
                <w:szCs w:val="22"/>
              </w:rPr>
              <w:instrText xml:space="preserve"> PAGEREF _Toc89177458 \h </w:instrText>
            </w:r>
            <w:r w:rsidR="003B64BB" w:rsidRPr="00623A2B">
              <w:rPr>
                <w:rFonts w:ascii="Times New Roman" w:hAnsi="Times New Roman" w:cs="Times New Roman"/>
                <w:b w:val="0"/>
                <w:bCs w:val="0"/>
                <w:noProof/>
                <w:webHidden/>
                <w:sz w:val="22"/>
                <w:szCs w:val="22"/>
              </w:rPr>
            </w:r>
            <w:r w:rsidR="003B64BB" w:rsidRPr="00623A2B">
              <w:rPr>
                <w:rFonts w:ascii="Times New Roman" w:hAnsi="Times New Roman" w:cs="Times New Roman"/>
                <w:b w:val="0"/>
                <w:bCs w:val="0"/>
                <w:noProof/>
                <w:webHidden/>
                <w:sz w:val="22"/>
                <w:szCs w:val="22"/>
              </w:rPr>
              <w:fldChar w:fldCharType="separate"/>
            </w:r>
            <w:r w:rsidR="00CD49D4">
              <w:rPr>
                <w:rFonts w:ascii="Times New Roman" w:hAnsi="Times New Roman" w:cs="Times New Roman"/>
                <w:b w:val="0"/>
                <w:bCs w:val="0"/>
                <w:noProof/>
                <w:webHidden/>
                <w:sz w:val="22"/>
                <w:szCs w:val="22"/>
              </w:rPr>
              <w:t>45</w:t>
            </w:r>
            <w:r w:rsidR="003B64BB" w:rsidRPr="00623A2B">
              <w:rPr>
                <w:rFonts w:ascii="Times New Roman" w:hAnsi="Times New Roman" w:cs="Times New Roman"/>
                <w:b w:val="0"/>
                <w:bCs w:val="0"/>
                <w:noProof/>
                <w:webHidden/>
                <w:sz w:val="22"/>
                <w:szCs w:val="22"/>
              </w:rPr>
              <w:fldChar w:fldCharType="end"/>
            </w:r>
          </w:hyperlink>
        </w:p>
        <w:p w14:paraId="6781D123" w14:textId="77777777" w:rsidR="00E033E5" w:rsidRPr="00623A2B" w:rsidRDefault="00E033E5" w:rsidP="00E033E5">
          <w:pPr>
            <w:rPr>
              <w:rFonts w:ascii="Times New Roman" w:eastAsiaTheme="minorEastAsia" w:hAnsi="Times New Roman"/>
              <w:noProof/>
            </w:rPr>
          </w:pPr>
        </w:p>
        <w:p w14:paraId="013F3F77" w14:textId="574D2024" w:rsidR="003B64BB" w:rsidRPr="00623A2B" w:rsidRDefault="004A47F0" w:rsidP="00E033E5">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9177459" w:history="1">
            <w:r w:rsidR="003B64BB" w:rsidRPr="00623A2B">
              <w:rPr>
                <w:rStyle w:val="Hyperlink"/>
                <w:rFonts w:ascii="Times New Roman" w:hAnsi="Times New Roman" w:cs="Times New Roman"/>
                <w:b w:val="0"/>
                <w:bCs w:val="0"/>
                <w:noProof/>
                <w:sz w:val="22"/>
                <w:szCs w:val="22"/>
                <w:lang w:val="fr-CA"/>
              </w:rPr>
              <w:t>AG/RES. 2969 (</w:t>
            </w:r>
            <w:r w:rsidR="003B64BB" w:rsidRPr="00623A2B">
              <w:rPr>
                <w:rStyle w:val="Hyperlink"/>
                <w:rFonts w:ascii="Times New Roman" w:hAnsi="Times New Roman" w:cs="Times New Roman"/>
                <w:b w:val="0"/>
                <w:bCs w:val="0"/>
                <w:noProof/>
                <w:sz w:val="22"/>
                <w:szCs w:val="22"/>
              </w:rPr>
              <w:t>LI</w:t>
            </w:r>
            <w:r w:rsidR="003B64BB" w:rsidRPr="00623A2B">
              <w:rPr>
                <w:rStyle w:val="Hyperlink"/>
                <w:rFonts w:ascii="Times New Roman" w:hAnsi="Times New Roman" w:cs="Times New Roman"/>
                <w:b w:val="0"/>
                <w:bCs w:val="0"/>
                <w:noProof/>
                <w:sz w:val="22"/>
                <w:szCs w:val="22"/>
                <w:lang w:val="fr-CA"/>
              </w:rPr>
              <w:t>-O/21)</w:t>
            </w:r>
            <w:r w:rsidR="000F4430" w:rsidRPr="00623A2B">
              <w:rPr>
                <w:rStyle w:val="Hyperlink"/>
                <w:rFonts w:ascii="Times New Roman" w:hAnsi="Times New Roman" w:cs="Times New Roman"/>
                <w:b w:val="0"/>
                <w:bCs w:val="0"/>
                <w:noProof/>
                <w:sz w:val="22"/>
                <w:szCs w:val="22"/>
                <w:lang w:val="fr-CA"/>
              </w:rPr>
              <w:tab/>
            </w:r>
            <w:r w:rsidR="003B64BB" w:rsidRPr="00623A2B">
              <w:rPr>
                <w:rStyle w:val="Hyperlink"/>
                <w:rFonts w:ascii="Times New Roman" w:eastAsia="CG Times" w:hAnsi="Times New Roman" w:cs="Times New Roman"/>
                <w:b w:val="0"/>
                <w:bCs w:val="0"/>
                <w:noProof/>
                <w:position w:val="-1"/>
                <w:sz w:val="22"/>
                <w:szCs w:val="22"/>
                <w:lang w:val="fr-FR"/>
              </w:rPr>
              <w:t>CHARTE INTERAMÉRICAINE DES ENTREPRISES</w:t>
            </w:r>
            <w:r w:rsidR="003B64BB" w:rsidRPr="00623A2B">
              <w:rPr>
                <w:rFonts w:ascii="Times New Roman" w:hAnsi="Times New Roman" w:cs="Times New Roman"/>
                <w:b w:val="0"/>
                <w:bCs w:val="0"/>
                <w:noProof/>
                <w:webHidden/>
                <w:sz w:val="22"/>
                <w:szCs w:val="22"/>
              </w:rPr>
              <w:tab/>
            </w:r>
            <w:r w:rsidR="003B64BB" w:rsidRPr="00623A2B">
              <w:rPr>
                <w:rFonts w:ascii="Times New Roman" w:hAnsi="Times New Roman" w:cs="Times New Roman"/>
                <w:b w:val="0"/>
                <w:bCs w:val="0"/>
                <w:noProof/>
                <w:webHidden/>
                <w:sz w:val="22"/>
                <w:szCs w:val="22"/>
              </w:rPr>
              <w:fldChar w:fldCharType="begin"/>
            </w:r>
            <w:r w:rsidR="003B64BB" w:rsidRPr="00623A2B">
              <w:rPr>
                <w:rFonts w:ascii="Times New Roman" w:hAnsi="Times New Roman" w:cs="Times New Roman"/>
                <w:b w:val="0"/>
                <w:bCs w:val="0"/>
                <w:noProof/>
                <w:webHidden/>
                <w:sz w:val="22"/>
                <w:szCs w:val="22"/>
              </w:rPr>
              <w:instrText xml:space="preserve"> PAGEREF _Toc89177459 \h </w:instrText>
            </w:r>
            <w:r w:rsidR="003B64BB" w:rsidRPr="00623A2B">
              <w:rPr>
                <w:rFonts w:ascii="Times New Roman" w:hAnsi="Times New Roman" w:cs="Times New Roman"/>
                <w:b w:val="0"/>
                <w:bCs w:val="0"/>
                <w:noProof/>
                <w:webHidden/>
                <w:sz w:val="22"/>
                <w:szCs w:val="22"/>
              </w:rPr>
            </w:r>
            <w:r w:rsidR="003B64BB" w:rsidRPr="00623A2B">
              <w:rPr>
                <w:rFonts w:ascii="Times New Roman" w:hAnsi="Times New Roman" w:cs="Times New Roman"/>
                <w:b w:val="0"/>
                <w:bCs w:val="0"/>
                <w:noProof/>
                <w:webHidden/>
                <w:sz w:val="22"/>
                <w:szCs w:val="22"/>
              </w:rPr>
              <w:fldChar w:fldCharType="separate"/>
            </w:r>
            <w:r w:rsidR="00CD49D4">
              <w:rPr>
                <w:rFonts w:ascii="Times New Roman" w:hAnsi="Times New Roman" w:cs="Times New Roman"/>
                <w:b w:val="0"/>
                <w:bCs w:val="0"/>
                <w:noProof/>
                <w:webHidden/>
                <w:sz w:val="22"/>
                <w:szCs w:val="22"/>
              </w:rPr>
              <w:t>51</w:t>
            </w:r>
            <w:r w:rsidR="003B64BB" w:rsidRPr="00623A2B">
              <w:rPr>
                <w:rFonts w:ascii="Times New Roman" w:hAnsi="Times New Roman" w:cs="Times New Roman"/>
                <w:b w:val="0"/>
                <w:bCs w:val="0"/>
                <w:noProof/>
                <w:webHidden/>
                <w:sz w:val="22"/>
                <w:szCs w:val="22"/>
              </w:rPr>
              <w:fldChar w:fldCharType="end"/>
            </w:r>
          </w:hyperlink>
        </w:p>
        <w:p w14:paraId="2C7BDEE1" w14:textId="77777777" w:rsidR="00E033E5" w:rsidRPr="00623A2B" w:rsidRDefault="00E033E5" w:rsidP="00E033E5">
          <w:pPr>
            <w:rPr>
              <w:rFonts w:ascii="Times New Roman" w:eastAsiaTheme="minorEastAsia" w:hAnsi="Times New Roman"/>
              <w:noProof/>
            </w:rPr>
          </w:pPr>
        </w:p>
        <w:p w14:paraId="7272773E" w14:textId="6D52F547" w:rsidR="003B64BB" w:rsidRPr="00623A2B" w:rsidRDefault="004A47F0" w:rsidP="00E033E5">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9177460" w:history="1">
            <w:r w:rsidR="003B64BB" w:rsidRPr="00623A2B">
              <w:rPr>
                <w:rStyle w:val="Hyperlink"/>
                <w:rFonts w:ascii="Times New Roman" w:hAnsi="Times New Roman" w:cs="Times New Roman"/>
                <w:b w:val="0"/>
                <w:bCs w:val="0"/>
                <w:noProof/>
                <w:sz w:val="22"/>
                <w:szCs w:val="22"/>
                <w:lang w:val="fr-CA"/>
              </w:rPr>
              <w:t>AG/RES. 2970 (LI-O/21)</w:t>
            </w:r>
            <w:r w:rsidR="000F4430" w:rsidRPr="00623A2B">
              <w:rPr>
                <w:rStyle w:val="Hyperlink"/>
                <w:rFonts w:ascii="Times New Roman" w:hAnsi="Times New Roman" w:cs="Times New Roman"/>
                <w:b w:val="0"/>
                <w:bCs w:val="0"/>
                <w:noProof/>
                <w:sz w:val="22"/>
                <w:szCs w:val="22"/>
                <w:lang w:val="fr-CA"/>
              </w:rPr>
              <w:tab/>
            </w:r>
            <w:r w:rsidR="003B64BB" w:rsidRPr="00623A2B">
              <w:rPr>
                <w:rStyle w:val="Hyperlink"/>
                <w:rFonts w:ascii="Times New Roman" w:hAnsi="Times New Roman" w:cs="Times New Roman"/>
                <w:b w:val="0"/>
                <w:bCs w:val="0"/>
                <w:noProof/>
                <w:sz w:val="22"/>
                <w:szCs w:val="22"/>
                <w:lang w:val="fr-FR"/>
              </w:rPr>
              <w:t xml:space="preserve">PROMOTION DE LA SÉCURITÉ CONTINENTALE : UNE APPROCHE </w:t>
            </w:r>
            <w:r w:rsidR="003B64BB" w:rsidRPr="00623A2B">
              <w:rPr>
                <w:rStyle w:val="Hyperlink"/>
                <w:rFonts w:ascii="Times New Roman" w:hAnsi="Times New Roman" w:cs="Times New Roman"/>
                <w:b w:val="0"/>
                <w:bCs w:val="0"/>
                <w:noProof/>
                <w:sz w:val="22"/>
                <w:szCs w:val="22"/>
              </w:rPr>
              <w:t>MULTIDIMENSIONNELLE</w:t>
            </w:r>
            <w:r w:rsidR="003B64BB" w:rsidRPr="00623A2B">
              <w:rPr>
                <w:rFonts w:ascii="Times New Roman" w:hAnsi="Times New Roman" w:cs="Times New Roman"/>
                <w:b w:val="0"/>
                <w:bCs w:val="0"/>
                <w:noProof/>
                <w:webHidden/>
                <w:sz w:val="22"/>
                <w:szCs w:val="22"/>
              </w:rPr>
              <w:tab/>
            </w:r>
            <w:r w:rsidR="003B64BB" w:rsidRPr="00623A2B">
              <w:rPr>
                <w:rFonts w:ascii="Times New Roman" w:hAnsi="Times New Roman" w:cs="Times New Roman"/>
                <w:b w:val="0"/>
                <w:bCs w:val="0"/>
                <w:noProof/>
                <w:webHidden/>
                <w:sz w:val="22"/>
                <w:szCs w:val="22"/>
              </w:rPr>
              <w:fldChar w:fldCharType="begin"/>
            </w:r>
            <w:r w:rsidR="003B64BB" w:rsidRPr="00623A2B">
              <w:rPr>
                <w:rFonts w:ascii="Times New Roman" w:hAnsi="Times New Roman" w:cs="Times New Roman"/>
                <w:b w:val="0"/>
                <w:bCs w:val="0"/>
                <w:noProof/>
                <w:webHidden/>
                <w:sz w:val="22"/>
                <w:szCs w:val="22"/>
              </w:rPr>
              <w:instrText xml:space="preserve"> PAGEREF _Toc89177460 \h </w:instrText>
            </w:r>
            <w:r w:rsidR="003B64BB" w:rsidRPr="00623A2B">
              <w:rPr>
                <w:rFonts w:ascii="Times New Roman" w:hAnsi="Times New Roman" w:cs="Times New Roman"/>
                <w:b w:val="0"/>
                <w:bCs w:val="0"/>
                <w:noProof/>
                <w:webHidden/>
                <w:sz w:val="22"/>
                <w:szCs w:val="22"/>
              </w:rPr>
            </w:r>
            <w:r w:rsidR="003B64BB" w:rsidRPr="00623A2B">
              <w:rPr>
                <w:rFonts w:ascii="Times New Roman" w:hAnsi="Times New Roman" w:cs="Times New Roman"/>
                <w:b w:val="0"/>
                <w:bCs w:val="0"/>
                <w:noProof/>
                <w:webHidden/>
                <w:sz w:val="22"/>
                <w:szCs w:val="22"/>
              </w:rPr>
              <w:fldChar w:fldCharType="separate"/>
            </w:r>
            <w:r w:rsidR="00CD49D4">
              <w:rPr>
                <w:rFonts w:ascii="Times New Roman" w:hAnsi="Times New Roman" w:cs="Times New Roman"/>
                <w:b w:val="0"/>
                <w:bCs w:val="0"/>
                <w:noProof/>
                <w:webHidden/>
                <w:sz w:val="22"/>
                <w:szCs w:val="22"/>
              </w:rPr>
              <w:t>63</w:t>
            </w:r>
            <w:r w:rsidR="003B64BB" w:rsidRPr="00623A2B">
              <w:rPr>
                <w:rFonts w:ascii="Times New Roman" w:hAnsi="Times New Roman" w:cs="Times New Roman"/>
                <w:b w:val="0"/>
                <w:bCs w:val="0"/>
                <w:noProof/>
                <w:webHidden/>
                <w:sz w:val="22"/>
                <w:szCs w:val="22"/>
              </w:rPr>
              <w:fldChar w:fldCharType="end"/>
            </w:r>
          </w:hyperlink>
        </w:p>
        <w:p w14:paraId="0C7025AA" w14:textId="77777777" w:rsidR="000F4430" w:rsidRPr="00623A2B" w:rsidRDefault="000F4430" w:rsidP="000F4430">
          <w:pPr>
            <w:rPr>
              <w:rFonts w:ascii="Times New Roman" w:eastAsiaTheme="minorEastAsia" w:hAnsi="Times New Roman"/>
              <w:noProof/>
            </w:rPr>
          </w:pPr>
        </w:p>
        <w:p w14:paraId="2C557C83" w14:textId="78205DC7" w:rsidR="003B64BB" w:rsidRPr="00623A2B" w:rsidRDefault="004A47F0" w:rsidP="00E033E5">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9177461" w:history="1">
            <w:r w:rsidR="003B64BB" w:rsidRPr="00623A2B">
              <w:rPr>
                <w:rStyle w:val="Hyperlink"/>
                <w:rFonts w:ascii="Times New Roman" w:hAnsi="Times New Roman" w:cs="Times New Roman"/>
                <w:b w:val="0"/>
                <w:bCs w:val="0"/>
                <w:noProof/>
                <w:sz w:val="22"/>
                <w:szCs w:val="22"/>
                <w:lang w:val="fr-FR"/>
              </w:rPr>
              <w:t xml:space="preserve">AG/RES. </w:t>
            </w:r>
            <w:r w:rsidR="003B64BB" w:rsidRPr="00623A2B">
              <w:rPr>
                <w:rStyle w:val="Hyperlink"/>
                <w:rFonts w:ascii="Times New Roman" w:hAnsi="Times New Roman" w:cs="Times New Roman"/>
                <w:b w:val="0"/>
                <w:bCs w:val="0"/>
                <w:noProof/>
                <w:sz w:val="22"/>
                <w:szCs w:val="22"/>
              </w:rPr>
              <w:t>2971</w:t>
            </w:r>
            <w:r w:rsidR="003B64BB" w:rsidRPr="00623A2B">
              <w:rPr>
                <w:rStyle w:val="Hyperlink"/>
                <w:rFonts w:ascii="Times New Roman" w:hAnsi="Times New Roman" w:cs="Times New Roman"/>
                <w:b w:val="0"/>
                <w:bCs w:val="0"/>
                <w:noProof/>
                <w:sz w:val="22"/>
                <w:szCs w:val="22"/>
                <w:lang w:val="fr-FR"/>
              </w:rPr>
              <w:t xml:space="preserve"> (LI-O/21)</w:t>
            </w:r>
            <w:r w:rsidR="00420C46" w:rsidRPr="00623A2B">
              <w:rPr>
                <w:rStyle w:val="Hyperlink"/>
                <w:rFonts w:ascii="Times New Roman" w:hAnsi="Times New Roman" w:cs="Times New Roman"/>
                <w:b w:val="0"/>
                <w:bCs w:val="0"/>
                <w:noProof/>
                <w:sz w:val="22"/>
                <w:szCs w:val="22"/>
                <w:lang w:val="fr-FR"/>
              </w:rPr>
              <w:tab/>
            </w:r>
            <w:r w:rsidR="003B64BB" w:rsidRPr="00623A2B">
              <w:rPr>
                <w:rStyle w:val="Hyperlink"/>
                <w:rFonts w:ascii="Times New Roman" w:eastAsia="Calibri" w:hAnsi="Times New Roman" w:cs="Times New Roman"/>
                <w:b w:val="0"/>
                <w:bCs w:val="0"/>
                <w:noProof/>
                <w:sz w:val="22"/>
                <w:szCs w:val="22"/>
                <w:lang w:val="fr-FR"/>
              </w:rPr>
              <w:t>PROGRAMME-BUDGET 2022 DE L’ORGANISATION</w:t>
            </w:r>
            <w:r w:rsidR="003B64BB" w:rsidRPr="00623A2B">
              <w:rPr>
                <w:rFonts w:ascii="Times New Roman" w:hAnsi="Times New Roman" w:cs="Times New Roman"/>
                <w:b w:val="0"/>
                <w:bCs w:val="0"/>
                <w:noProof/>
                <w:webHidden/>
                <w:sz w:val="22"/>
                <w:szCs w:val="22"/>
              </w:rPr>
              <w:tab/>
            </w:r>
            <w:r w:rsidR="003B64BB" w:rsidRPr="00623A2B">
              <w:rPr>
                <w:rFonts w:ascii="Times New Roman" w:hAnsi="Times New Roman" w:cs="Times New Roman"/>
                <w:b w:val="0"/>
                <w:bCs w:val="0"/>
                <w:noProof/>
                <w:webHidden/>
                <w:sz w:val="22"/>
                <w:szCs w:val="22"/>
              </w:rPr>
              <w:fldChar w:fldCharType="begin"/>
            </w:r>
            <w:r w:rsidR="003B64BB" w:rsidRPr="00623A2B">
              <w:rPr>
                <w:rFonts w:ascii="Times New Roman" w:hAnsi="Times New Roman" w:cs="Times New Roman"/>
                <w:b w:val="0"/>
                <w:bCs w:val="0"/>
                <w:noProof/>
                <w:webHidden/>
                <w:sz w:val="22"/>
                <w:szCs w:val="22"/>
              </w:rPr>
              <w:instrText xml:space="preserve"> PAGEREF _Toc89177461 \h </w:instrText>
            </w:r>
            <w:r w:rsidR="003B64BB" w:rsidRPr="00623A2B">
              <w:rPr>
                <w:rFonts w:ascii="Times New Roman" w:hAnsi="Times New Roman" w:cs="Times New Roman"/>
                <w:b w:val="0"/>
                <w:bCs w:val="0"/>
                <w:noProof/>
                <w:webHidden/>
                <w:sz w:val="22"/>
                <w:szCs w:val="22"/>
              </w:rPr>
            </w:r>
            <w:r w:rsidR="003B64BB" w:rsidRPr="00623A2B">
              <w:rPr>
                <w:rFonts w:ascii="Times New Roman" w:hAnsi="Times New Roman" w:cs="Times New Roman"/>
                <w:b w:val="0"/>
                <w:bCs w:val="0"/>
                <w:noProof/>
                <w:webHidden/>
                <w:sz w:val="22"/>
                <w:szCs w:val="22"/>
              </w:rPr>
              <w:fldChar w:fldCharType="separate"/>
            </w:r>
            <w:r w:rsidR="00CD49D4">
              <w:rPr>
                <w:rFonts w:ascii="Times New Roman" w:hAnsi="Times New Roman" w:cs="Times New Roman"/>
                <w:b w:val="0"/>
                <w:bCs w:val="0"/>
                <w:noProof/>
                <w:webHidden/>
                <w:sz w:val="22"/>
                <w:szCs w:val="22"/>
              </w:rPr>
              <w:t>87</w:t>
            </w:r>
            <w:r w:rsidR="003B64BB" w:rsidRPr="00623A2B">
              <w:rPr>
                <w:rFonts w:ascii="Times New Roman" w:hAnsi="Times New Roman" w:cs="Times New Roman"/>
                <w:b w:val="0"/>
                <w:bCs w:val="0"/>
                <w:noProof/>
                <w:webHidden/>
                <w:sz w:val="22"/>
                <w:szCs w:val="22"/>
              </w:rPr>
              <w:fldChar w:fldCharType="end"/>
            </w:r>
          </w:hyperlink>
        </w:p>
        <w:p w14:paraId="501F5184" w14:textId="77777777" w:rsidR="000F4430" w:rsidRPr="00623A2B" w:rsidRDefault="000F4430" w:rsidP="000F4430">
          <w:pPr>
            <w:rPr>
              <w:rFonts w:ascii="Times New Roman" w:eastAsiaTheme="minorEastAsia" w:hAnsi="Times New Roman"/>
              <w:noProof/>
            </w:rPr>
          </w:pPr>
        </w:p>
        <w:p w14:paraId="66967DB0" w14:textId="1C71BD3B" w:rsidR="003B64BB" w:rsidRPr="00623A2B" w:rsidRDefault="004A47F0" w:rsidP="00E033E5">
          <w:pPr>
            <w:pStyle w:val="TOC1"/>
            <w:widowControl/>
            <w:tabs>
              <w:tab w:val="left" w:pos="2520"/>
              <w:tab w:val="left" w:pos="2880"/>
              <w:tab w:val="right" w:leader="dot" w:pos="8856"/>
              <w:tab w:val="right" w:leader="dot" w:pos="9360"/>
            </w:tabs>
            <w:suppressAutoHyphens/>
            <w:spacing w:before="0" w:after="0"/>
            <w:ind w:left="2520" w:right="1051" w:hanging="2520"/>
            <w:jc w:val="both"/>
            <w:rPr>
              <w:rFonts w:ascii="Times New Roman" w:eastAsiaTheme="minorEastAsia" w:hAnsi="Times New Roman" w:cs="Times New Roman"/>
              <w:b w:val="0"/>
              <w:bCs w:val="0"/>
              <w:caps w:val="0"/>
              <w:noProof/>
              <w:sz w:val="22"/>
              <w:szCs w:val="22"/>
              <w:lang w:val="en-US"/>
            </w:rPr>
          </w:pPr>
          <w:hyperlink w:anchor="_Toc89177462" w:history="1">
            <w:r w:rsidR="003B64BB" w:rsidRPr="00623A2B">
              <w:rPr>
                <w:rStyle w:val="Hyperlink"/>
                <w:rFonts w:ascii="Times New Roman" w:hAnsi="Times New Roman" w:cs="Times New Roman"/>
                <w:b w:val="0"/>
                <w:bCs w:val="0"/>
                <w:noProof/>
                <w:sz w:val="22"/>
                <w:szCs w:val="22"/>
                <w:lang w:val="fr-FR"/>
              </w:rPr>
              <w:t>AG/RES. 2972 (LI-O/21)</w:t>
            </w:r>
            <w:r w:rsidR="00420C46" w:rsidRPr="00623A2B">
              <w:rPr>
                <w:rStyle w:val="Hyperlink"/>
                <w:rFonts w:ascii="Times New Roman" w:hAnsi="Times New Roman" w:cs="Times New Roman"/>
                <w:b w:val="0"/>
                <w:bCs w:val="0"/>
                <w:noProof/>
                <w:sz w:val="22"/>
                <w:szCs w:val="22"/>
                <w:lang w:val="fr-FR"/>
              </w:rPr>
              <w:tab/>
            </w:r>
            <w:r w:rsidR="003B64BB" w:rsidRPr="00623A2B">
              <w:rPr>
                <w:rStyle w:val="Hyperlink"/>
                <w:rFonts w:ascii="Times New Roman" w:hAnsi="Times New Roman" w:cs="Times New Roman"/>
                <w:b w:val="0"/>
                <w:bCs w:val="0"/>
                <w:noProof/>
                <w:sz w:val="22"/>
                <w:szCs w:val="22"/>
                <w:lang w:val="fr-FR"/>
              </w:rPr>
              <w:t xml:space="preserve">ACCROISSEMENT ET RENFORCEMENT DE LA PARTICIPATION DE LA </w:t>
            </w:r>
            <w:r w:rsidR="003B64BB" w:rsidRPr="00623A2B">
              <w:rPr>
                <w:rStyle w:val="Hyperlink"/>
                <w:rFonts w:ascii="Times New Roman" w:hAnsi="Times New Roman" w:cs="Times New Roman"/>
                <w:b w:val="0"/>
                <w:bCs w:val="0"/>
                <w:noProof/>
                <w:sz w:val="22"/>
                <w:szCs w:val="22"/>
              </w:rPr>
              <w:t>SOCIÉTÉ</w:t>
            </w:r>
            <w:r w:rsidR="003B64BB" w:rsidRPr="00623A2B">
              <w:rPr>
                <w:rStyle w:val="Hyperlink"/>
                <w:rFonts w:ascii="Times New Roman" w:hAnsi="Times New Roman" w:cs="Times New Roman"/>
                <w:b w:val="0"/>
                <w:bCs w:val="0"/>
                <w:noProof/>
                <w:sz w:val="22"/>
                <w:szCs w:val="22"/>
                <w:lang w:val="fr-FR"/>
              </w:rPr>
              <w:t xml:space="preserve"> CIVILE ET DES ACTEURS SOCIAUX AUX ACTIVITÉS DE L’ORGANISATION DES ÉTATS AMÉRICAINS ET AU PROCESSUS DES SOMMETS DES AMÉRIQUES</w:t>
            </w:r>
            <w:r w:rsidR="003B64BB" w:rsidRPr="00623A2B">
              <w:rPr>
                <w:rFonts w:ascii="Times New Roman" w:hAnsi="Times New Roman" w:cs="Times New Roman"/>
                <w:b w:val="0"/>
                <w:bCs w:val="0"/>
                <w:noProof/>
                <w:webHidden/>
                <w:sz w:val="22"/>
                <w:szCs w:val="22"/>
              </w:rPr>
              <w:tab/>
            </w:r>
            <w:r w:rsidR="003B64BB" w:rsidRPr="00623A2B">
              <w:rPr>
                <w:rFonts w:ascii="Times New Roman" w:hAnsi="Times New Roman" w:cs="Times New Roman"/>
                <w:b w:val="0"/>
                <w:bCs w:val="0"/>
                <w:noProof/>
                <w:webHidden/>
                <w:sz w:val="22"/>
                <w:szCs w:val="22"/>
              </w:rPr>
              <w:fldChar w:fldCharType="begin"/>
            </w:r>
            <w:r w:rsidR="003B64BB" w:rsidRPr="00623A2B">
              <w:rPr>
                <w:rFonts w:ascii="Times New Roman" w:hAnsi="Times New Roman" w:cs="Times New Roman"/>
                <w:b w:val="0"/>
                <w:bCs w:val="0"/>
                <w:noProof/>
                <w:webHidden/>
                <w:sz w:val="22"/>
                <w:szCs w:val="22"/>
              </w:rPr>
              <w:instrText xml:space="preserve"> PAGEREF _Toc89177462 \h </w:instrText>
            </w:r>
            <w:r w:rsidR="003B64BB" w:rsidRPr="00623A2B">
              <w:rPr>
                <w:rFonts w:ascii="Times New Roman" w:hAnsi="Times New Roman" w:cs="Times New Roman"/>
                <w:b w:val="0"/>
                <w:bCs w:val="0"/>
                <w:noProof/>
                <w:webHidden/>
                <w:sz w:val="22"/>
                <w:szCs w:val="22"/>
              </w:rPr>
            </w:r>
            <w:r w:rsidR="003B64BB" w:rsidRPr="00623A2B">
              <w:rPr>
                <w:rFonts w:ascii="Times New Roman" w:hAnsi="Times New Roman" w:cs="Times New Roman"/>
                <w:b w:val="0"/>
                <w:bCs w:val="0"/>
                <w:noProof/>
                <w:webHidden/>
                <w:sz w:val="22"/>
                <w:szCs w:val="22"/>
              </w:rPr>
              <w:fldChar w:fldCharType="separate"/>
            </w:r>
            <w:r w:rsidR="00CD49D4">
              <w:rPr>
                <w:rFonts w:ascii="Times New Roman" w:hAnsi="Times New Roman" w:cs="Times New Roman"/>
                <w:b w:val="0"/>
                <w:bCs w:val="0"/>
                <w:noProof/>
                <w:webHidden/>
                <w:sz w:val="22"/>
                <w:szCs w:val="22"/>
              </w:rPr>
              <w:t>125</w:t>
            </w:r>
            <w:r w:rsidR="003B64BB" w:rsidRPr="00623A2B">
              <w:rPr>
                <w:rFonts w:ascii="Times New Roman" w:hAnsi="Times New Roman" w:cs="Times New Roman"/>
                <w:b w:val="0"/>
                <w:bCs w:val="0"/>
                <w:noProof/>
                <w:webHidden/>
                <w:sz w:val="22"/>
                <w:szCs w:val="22"/>
              </w:rPr>
              <w:fldChar w:fldCharType="end"/>
            </w:r>
          </w:hyperlink>
        </w:p>
        <w:p w14:paraId="3660A972" w14:textId="373AE8B3" w:rsidR="003B64BB" w:rsidRPr="00623A2B" w:rsidRDefault="004A47F0" w:rsidP="00E033E5">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9177463" w:history="1">
            <w:r w:rsidR="003B64BB" w:rsidRPr="00623A2B">
              <w:rPr>
                <w:rStyle w:val="Hyperlink"/>
                <w:rFonts w:ascii="Times New Roman" w:hAnsi="Times New Roman" w:cs="Times New Roman"/>
                <w:b w:val="0"/>
                <w:bCs w:val="0"/>
                <w:noProof/>
                <w:sz w:val="22"/>
                <w:szCs w:val="22"/>
                <w:lang w:val="fr-FR"/>
              </w:rPr>
              <w:t>AG/RES. 2973 (LI-O/21)</w:t>
            </w:r>
            <w:r w:rsidR="00420C46" w:rsidRPr="00623A2B">
              <w:rPr>
                <w:rStyle w:val="Hyperlink"/>
                <w:rFonts w:ascii="Times New Roman" w:hAnsi="Times New Roman" w:cs="Times New Roman"/>
                <w:b w:val="0"/>
                <w:bCs w:val="0"/>
                <w:noProof/>
                <w:sz w:val="22"/>
                <w:szCs w:val="22"/>
                <w:lang w:val="fr-FR"/>
              </w:rPr>
              <w:tab/>
            </w:r>
            <w:r w:rsidR="003B64BB" w:rsidRPr="00623A2B">
              <w:rPr>
                <w:rStyle w:val="Hyperlink"/>
                <w:rFonts w:ascii="Times New Roman" w:hAnsi="Times New Roman" w:cs="Times New Roman"/>
                <w:b w:val="0"/>
                <w:bCs w:val="0"/>
                <w:noProof/>
                <w:sz w:val="22"/>
                <w:szCs w:val="22"/>
                <w:lang w:val="fr-FR"/>
              </w:rPr>
              <w:t>SOUTIEN ET SUIVI DU PROCESSUS DES SOMMETS DES AMÉRIQUES</w:t>
            </w:r>
            <w:r w:rsidR="003B64BB" w:rsidRPr="00623A2B">
              <w:rPr>
                <w:rFonts w:ascii="Times New Roman" w:hAnsi="Times New Roman" w:cs="Times New Roman"/>
                <w:b w:val="0"/>
                <w:bCs w:val="0"/>
                <w:noProof/>
                <w:webHidden/>
                <w:sz w:val="22"/>
                <w:szCs w:val="22"/>
              </w:rPr>
              <w:tab/>
            </w:r>
            <w:r w:rsidR="003B64BB" w:rsidRPr="00623A2B">
              <w:rPr>
                <w:rFonts w:ascii="Times New Roman" w:hAnsi="Times New Roman" w:cs="Times New Roman"/>
                <w:b w:val="0"/>
                <w:bCs w:val="0"/>
                <w:noProof/>
                <w:webHidden/>
                <w:sz w:val="22"/>
                <w:szCs w:val="22"/>
              </w:rPr>
              <w:fldChar w:fldCharType="begin"/>
            </w:r>
            <w:r w:rsidR="003B64BB" w:rsidRPr="00623A2B">
              <w:rPr>
                <w:rFonts w:ascii="Times New Roman" w:hAnsi="Times New Roman" w:cs="Times New Roman"/>
                <w:b w:val="0"/>
                <w:bCs w:val="0"/>
                <w:noProof/>
                <w:webHidden/>
                <w:sz w:val="22"/>
                <w:szCs w:val="22"/>
              </w:rPr>
              <w:instrText xml:space="preserve"> PAGEREF _Toc89177463 \h </w:instrText>
            </w:r>
            <w:r w:rsidR="003B64BB" w:rsidRPr="00623A2B">
              <w:rPr>
                <w:rFonts w:ascii="Times New Roman" w:hAnsi="Times New Roman" w:cs="Times New Roman"/>
                <w:b w:val="0"/>
                <w:bCs w:val="0"/>
                <w:noProof/>
                <w:webHidden/>
                <w:sz w:val="22"/>
                <w:szCs w:val="22"/>
              </w:rPr>
            </w:r>
            <w:r w:rsidR="003B64BB" w:rsidRPr="00623A2B">
              <w:rPr>
                <w:rFonts w:ascii="Times New Roman" w:hAnsi="Times New Roman" w:cs="Times New Roman"/>
                <w:b w:val="0"/>
                <w:bCs w:val="0"/>
                <w:noProof/>
                <w:webHidden/>
                <w:sz w:val="22"/>
                <w:szCs w:val="22"/>
              </w:rPr>
              <w:fldChar w:fldCharType="separate"/>
            </w:r>
            <w:r w:rsidR="00CD49D4">
              <w:rPr>
                <w:rFonts w:ascii="Times New Roman" w:hAnsi="Times New Roman" w:cs="Times New Roman"/>
                <w:b w:val="0"/>
                <w:bCs w:val="0"/>
                <w:noProof/>
                <w:webHidden/>
                <w:sz w:val="22"/>
                <w:szCs w:val="22"/>
              </w:rPr>
              <w:t>129</w:t>
            </w:r>
            <w:r w:rsidR="003B64BB" w:rsidRPr="00623A2B">
              <w:rPr>
                <w:rFonts w:ascii="Times New Roman" w:hAnsi="Times New Roman" w:cs="Times New Roman"/>
                <w:b w:val="0"/>
                <w:bCs w:val="0"/>
                <w:noProof/>
                <w:webHidden/>
                <w:sz w:val="22"/>
                <w:szCs w:val="22"/>
              </w:rPr>
              <w:fldChar w:fldCharType="end"/>
            </w:r>
          </w:hyperlink>
        </w:p>
        <w:p w14:paraId="67CC74F3" w14:textId="77777777" w:rsidR="000F4430" w:rsidRPr="00623A2B" w:rsidRDefault="000F4430" w:rsidP="000F4430">
          <w:pPr>
            <w:rPr>
              <w:rFonts w:ascii="Times New Roman" w:eastAsiaTheme="minorEastAsia" w:hAnsi="Times New Roman"/>
              <w:noProof/>
            </w:rPr>
          </w:pPr>
        </w:p>
        <w:p w14:paraId="35515275" w14:textId="48B15A66" w:rsidR="003B64BB" w:rsidRPr="00623A2B" w:rsidRDefault="004A47F0" w:rsidP="00E033E5">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9177464" w:history="1">
            <w:r w:rsidR="003B64BB" w:rsidRPr="00623A2B">
              <w:rPr>
                <w:rStyle w:val="Hyperlink"/>
                <w:rFonts w:ascii="Times New Roman" w:hAnsi="Times New Roman" w:cs="Times New Roman"/>
                <w:b w:val="0"/>
                <w:bCs w:val="0"/>
                <w:noProof/>
                <w:sz w:val="22"/>
                <w:szCs w:val="22"/>
                <w:lang w:val="fr-FR"/>
              </w:rPr>
              <w:t xml:space="preserve">AG/RES. </w:t>
            </w:r>
            <w:r w:rsidR="003B64BB" w:rsidRPr="00623A2B">
              <w:rPr>
                <w:rStyle w:val="Hyperlink"/>
                <w:rFonts w:ascii="Times New Roman" w:hAnsi="Times New Roman" w:cs="Times New Roman"/>
                <w:b w:val="0"/>
                <w:bCs w:val="0"/>
                <w:noProof/>
                <w:sz w:val="22"/>
                <w:szCs w:val="22"/>
              </w:rPr>
              <w:t>2974</w:t>
            </w:r>
            <w:r w:rsidR="003B64BB" w:rsidRPr="00623A2B">
              <w:rPr>
                <w:rStyle w:val="Hyperlink"/>
                <w:rFonts w:ascii="Times New Roman" w:hAnsi="Times New Roman" w:cs="Times New Roman"/>
                <w:b w:val="0"/>
                <w:bCs w:val="0"/>
                <w:noProof/>
                <w:sz w:val="22"/>
                <w:szCs w:val="22"/>
                <w:lang w:val="fr-FR"/>
              </w:rPr>
              <w:t xml:space="preserve"> (LI-O/21)</w:t>
            </w:r>
            <w:r w:rsidR="00420C46" w:rsidRPr="00623A2B">
              <w:rPr>
                <w:rStyle w:val="Hyperlink"/>
                <w:rFonts w:ascii="Times New Roman" w:hAnsi="Times New Roman" w:cs="Times New Roman"/>
                <w:b w:val="0"/>
                <w:bCs w:val="0"/>
                <w:noProof/>
                <w:sz w:val="22"/>
                <w:szCs w:val="22"/>
                <w:lang w:val="fr-FR"/>
              </w:rPr>
              <w:tab/>
            </w:r>
            <w:r w:rsidR="003B64BB" w:rsidRPr="00623A2B">
              <w:rPr>
                <w:rStyle w:val="Hyperlink"/>
                <w:rFonts w:ascii="Times New Roman" w:hAnsi="Times New Roman" w:cs="Times New Roman"/>
                <w:b w:val="0"/>
                <w:bCs w:val="0"/>
                <w:noProof/>
                <w:sz w:val="22"/>
                <w:szCs w:val="22"/>
                <w:lang w:val="fr-FR"/>
              </w:rPr>
              <w:t>DROIT INTERNATIONAL</w:t>
            </w:r>
            <w:r w:rsidR="003B64BB" w:rsidRPr="00623A2B">
              <w:rPr>
                <w:rFonts w:ascii="Times New Roman" w:hAnsi="Times New Roman" w:cs="Times New Roman"/>
                <w:b w:val="0"/>
                <w:bCs w:val="0"/>
                <w:noProof/>
                <w:webHidden/>
                <w:sz w:val="22"/>
                <w:szCs w:val="22"/>
              </w:rPr>
              <w:tab/>
            </w:r>
            <w:r w:rsidR="003B64BB" w:rsidRPr="00623A2B">
              <w:rPr>
                <w:rFonts w:ascii="Times New Roman" w:hAnsi="Times New Roman" w:cs="Times New Roman"/>
                <w:b w:val="0"/>
                <w:bCs w:val="0"/>
                <w:noProof/>
                <w:webHidden/>
                <w:sz w:val="22"/>
                <w:szCs w:val="22"/>
              </w:rPr>
              <w:fldChar w:fldCharType="begin"/>
            </w:r>
            <w:r w:rsidR="003B64BB" w:rsidRPr="00623A2B">
              <w:rPr>
                <w:rFonts w:ascii="Times New Roman" w:hAnsi="Times New Roman" w:cs="Times New Roman"/>
                <w:b w:val="0"/>
                <w:bCs w:val="0"/>
                <w:noProof/>
                <w:webHidden/>
                <w:sz w:val="22"/>
                <w:szCs w:val="22"/>
              </w:rPr>
              <w:instrText xml:space="preserve"> PAGEREF _Toc89177464 \h </w:instrText>
            </w:r>
            <w:r w:rsidR="003B64BB" w:rsidRPr="00623A2B">
              <w:rPr>
                <w:rFonts w:ascii="Times New Roman" w:hAnsi="Times New Roman" w:cs="Times New Roman"/>
                <w:b w:val="0"/>
                <w:bCs w:val="0"/>
                <w:noProof/>
                <w:webHidden/>
                <w:sz w:val="22"/>
                <w:szCs w:val="22"/>
              </w:rPr>
            </w:r>
            <w:r w:rsidR="003B64BB" w:rsidRPr="00623A2B">
              <w:rPr>
                <w:rFonts w:ascii="Times New Roman" w:hAnsi="Times New Roman" w:cs="Times New Roman"/>
                <w:b w:val="0"/>
                <w:bCs w:val="0"/>
                <w:noProof/>
                <w:webHidden/>
                <w:sz w:val="22"/>
                <w:szCs w:val="22"/>
              </w:rPr>
              <w:fldChar w:fldCharType="separate"/>
            </w:r>
            <w:r w:rsidR="00CD49D4">
              <w:rPr>
                <w:rFonts w:ascii="Times New Roman" w:hAnsi="Times New Roman" w:cs="Times New Roman"/>
                <w:b w:val="0"/>
                <w:bCs w:val="0"/>
                <w:noProof/>
                <w:webHidden/>
                <w:sz w:val="22"/>
                <w:szCs w:val="22"/>
              </w:rPr>
              <w:t>135</w:t>
            </w:r>
            <w:r w:rsidR="003B64BB" w:rsidRPr="00623A2B">
              <w:rPr>
                <w:rFonts w:ascii="Times New Roman" w:hAnsi="Times New Roman" w:cs="Times New Roman"/>
                <w:b w:val="0"/>
                <w:bCs w:val="0"/>
                <w:noProof/>
                <w:webHidden/>
                <w:sz w:val="22"/>
                <w:szCs w:val="22"/>
              </w:rPr>
              <w:fldChar w:fldCharType="end"/>
            </w:r>
          </w:hyperlink>
        </w:p>
        <w:p w14:paraId="4B0603E1" w14:textId="77777777" w:rsidR="000F4430" w:rsidRPr="00623A2B" w:rsidRDefault="000F4430" w:rsidP="000F4430">
          <w:pPr>
            <w:rPr>
              <w:rFonts w:ascii="Times New Roman" w:eastAsiaTheme="minorEastAsia" w:hAnsi="Times New Roman"/>
              <w:noProof/>
            </w:rPr>
          </w:pPr>
        </w:p>
        <w:p w14:paraId="0BD51664" w14:textId="52F2E2BA" w:rsidR="003B64BB" w:rsidRPr="00623A2B" w:rsidRDefault="004A47F0" w:rsidP="00E033E5">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9177465" w:history="1">
            <w:r w:rsidR="003B64BB" w:rsidRPr="00623A2B">
              <w:rPr>
                <w:rStyle w:val="Hyperlink"/>
                <w:rFonts w:ascii="Times New Roman" w:hAnsi="Times New Roman" w:cs="Times New Roman"/>
                <w:b w:val="0"/>
                <w:bCs w:val="0"/>
                <w:noProof/>
                <w:sz w:val="22"/>
                <w:szCs w:val="22"/>
                <w:lang w:val="fr-FR"/>
              </w:rPr>
              <w:t>AG/RES. 2975 (LI-O/21)</w:t>
            </w:r>
            <w:r w:rsidR="00420C46" w:rsidRPr="00623A2B">
              <w:rPr>
                <w:rStyle w:val="Hyperlink"/>
                <w:rFonts w:ascii="Times New Roman" w:hAnsi="Times New Roman" w:cs="Times New Roman"/>
                <w:b w:val="0"/>
                <w:bCs w:val="0"/>
                <w:noProof/>
                <w:sz w:val="22"/>
                <w:szCs w:val="22"/>
                <w:lang w:val="fr-FR"/>
              </w:rPr>
              <w:tab/>
            </w:r>
            <w:r w:rsidR="003B64BB" w:rsidRPr="00623A2B">
              <w:rPr>
                <w:rStyle w:val="Hyperlink"/>
                <w:rFonts w:ascii="Times New Roman" w:hAnsi="Times New Roman" w:cs="Times New Roman"/>
                <w:b w:val="0"/>
                <w:bCs w:val="0"/>
                <w:noProof/>
                <w:sz w:val="22"/>
                <w:szCs w:val="22"/>
                <w:lang w:val="fr-FR"/>
              </w:rPr>
              <w:t>RENFORCEMENT DE LA DÉMOCRATIE</w:t>
            </w:r>
            <w:r w:rsidR="003B64BB" w:rsidRPr="00623A2B">
              <w:rPr>
                <w:rFonts w:ascii="Times New Roman" w:hAnsi="Times New Roman" w:cs="Times New Roman"/>
                <w:b w:val="0"/>
                <w:bCs w:val="0"/>
                <w:noProof/>
                <w:webHidden/>
                <w:sz w:val="22"/>
                <w:szCs w:val="22"/>
              </w:rPr>
              <w:tab/>
            </w:r>
            <w:r w:rsidR="003B64BB" w:rsidRPr="00623A2B">
              <w:rPr>
                <w:rFonts w:ascii="Times New Roman" w:hAnsi="Times New Roman" w:cs="Times New Roman"/>
                <w:b w:val="0"/>
                <w:bCs w:val="0"/>
                <w:noProof/>
                <w:webHidden/>
                <w:sz w:val="22"/>
                <w:szCs w:val="22"/>
              </w:rPr>
              <w:fldChar w:fldCharType="begin"/>
            </w:r>
            <w:r w:rsidR="003B64BB" w:rsidRPr="00623A2B">
              <w:rPr>
                <w:rFonts w:ascii="Times New Roman" w:hAnsi="Times New Roman" w:cs="Times New Roman"/>
                <w:b w:val="0"/>
                <w:bCs w:val="0"/>
                <w:noProof/>
                <w:webHidden/>
                <w:sz w:val="22"/>
                <w:szCs w:val="22"/>
              </w:rPr>
              <w:instrText xml:space="preserve"> PAGEREF _Toc89177465 \h </w:instrText>
            </w:r>
            <w:r w:rsidR="003B64BB" w:rsidRPr="00623A2B">
              <w:rPr>
                <w:rFonts w:ascii="Times New Roman" w:hAnsi="Times New Roman" w:cs="Times New Roman"/>
                <w:b w:val="0"/>
                <w:bCs w:val="0"/>
                <w:noProof/>
                <w:webHidden/>
                <w:sz w:val="22"/>
                <w:szCs w:val="22"/>
              </w:rPr>
            </w:r>
            <w:r w:rsidR="003B64BB" w:rsidRPr="00623A2B">
              <w:rPr>
                <w:rFonts w:ascii="Times New Roman" w:hAnsi="Times New Roman" w:cs="Times New Roman"/>
                <w:b w:val="0"/>
                <w:bCs w:val="0"/>
                <w:noProof/>
                <w:webHidden/>
                <w:sz w:val="22"/>
                <w:szCs w:val="22"/>
              </w:rPr>
              <w:fldChar w:fldCharType="separate"/>
            </w:r>
            <w:r w:rsidR="00CD49D4">
              <w:rPr>
                <w:rFonts w:ascii="Times New Roman" w:hAnsi="Times New Roman" w:cs="Times New Roman"/>
                <w:b w:val="0"/>
                <w:bCs w:val="0"/>
                <w:noProof/>
                <w:webHidden/>
                <w:sz w:val="22"/>
                <w:szCs w:val="22"/>
              </w:rPr>
              <w:t>145</w:t>
            </w:r>
            <w:r w:rsidR="003B64BB" w:rsidRPr="00623A2B">
              <w:rPr>
                <w:rFonts w:ascii="Times New Roman" w:hAnsi="Times New Roman" w:cs="Times New Roman"/>
                <w:b w:val="0"/>
                <w:bCs w:val="0"/>
                <w:noProof/>
                <w:webHidden/>
                <w:sz w:val="22"/>
                <w:szCs w:val="22"/>
              </w:rPr>
              <w:fldChar w:fldCharType="end"/>
            </w:r>
          </w:hyperlink>
        </w:p>
        <w:p w14:paraId="785DD4A0" w14:textId="77777777" w:rsidR="000F4430" w:rsidRPr="00623A2B" w:rsidRDefault="000F4430" w:rsidP="000F4430">
          <w:pPr>
            <w:rPr>
              <w:rFonts w:ascii="Times New Roman" w:eastAsiaTheme="minorEastAsia" w:hAnsi="Times New Roman"/>
              <w:noProof/>
            </w:rPr>
          </w:pPr>
        </w:p>
        <w:p w14:paraId="08C8C389" w14:textId="470ABB82" w:rsidR="003B64BB" w:rsidRPr="00623A2B" w:rsidRDefault="004A47F0" w:rsidP="00E033E5">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9177466" w:history="1">
            <w:r w:rsidR="003B64BB" w:rsidRPr="00623A2B">
              <w:rPr>
                <w:rStyle w:val="Hyperlink"/>
                <w:rFonts w:ascii="Times New Roman" w:hAnsi="Times New Roman" w:cs="Times New Roman"/>
                <w:b w:val="0"/>
                <w:bCs w:val="0"/>
                <w:noProof/>
                <w:sz w:val="22"/>
                <w:szCs w:val="22"/>
                <w:lang w:val="fr-FR"/>
              </w:rPr>
              <w:t>AG/RES. 2976 (LI-O/21)</w:t>
            </w:r>
            <w:r w:rsidR="00420C46" w:rsidRPr="00623A2B">
              <w:rPr>
                <w:rStyle w:val="Hyperlink"/>
                <w:rFonts w:ascii="Times New Roman" w:hAnsi="Times New Roman" w:cs="Times New Roman"/>
                <w:b w:val="0"/>
                <w:bCs w:val="0"/>
                <w:noProof/>
                <w:sz w:val="22"/>
                <w:szCs w:val="22"/>
                <w:lang w:val="fr-FR"/>
              </w:rPr>
              <w:tab/>
            </w:r>
            <w:r w:rsidR="003B64BB" w:rsidRPr="00623A2B">
              <w:rPr>
                <w:rStyle w:val="Hyperlink"/>
                <w:rFonts w:ascii="Times New Roman" w:hAnsi="Times New Roman" w:cs="Times New Roman"/>
                <w:b w:val="0"/>
                <w:bCs w:val="0"/>
                <w:noProof/>
                <w:sz w:val="22"/>
                <w:szCs w:val="22"/>
                <w:lang w:val="fr-FR"/>
              </w:rPr>
              <w:t>PROMOTION ET PROTECTION DES DROITS DE LA PERSONNE</w:t>
            </w:r>
            <w:r w:rsidR="003B64BB" w:rsidRPr="00623A2B">
              <w:rPr>
                <w:rFonts w:ascii="Times New Roman" w:hAnsi="Times New Roman" w:cs="Times New Roman"/>
                <w:b w:val="0"/>
                <w:bCs w:val="0"/>
                <w:noProof/>
                <w:webHidden/>
                <w:sz w:val="22"/>
                <w:szCs w:val="22"/>
              </w:rPr>
              <w:tab/>
            </w:r>
            <w:r w:rsidR="003B64BB" w:rsidRPr="00623A2B">
              <w:rPr>
                <w:rFonts w:ascii="Times New Roman" w:hAnsi="Times New Roman" w:cs="Times New Roman"/>
                <w:b w:val="0"/>
                <w:bCs w:val="0"/>
                <w:noProof/>
                <w:webHidden/>
                <w:sz w:val="22"/>
                <w:szCs w:val="22"/>
              </w:rPr>
              <w:fldChar w:fldCharType="begin"/>
            </w:r>
            <w:r w:rsidR="003B64BB" w:rsidRPr="00623A2B">
              <w:rPr>
                <w:rFonts w:ascii="Times New Roman" w:hAnsi="Times New Roman" w:cs="Times New Roman"/>
                <w:b w:val="0"/>
                <w:bCs w:val="0"/>
                <w:noProof/>
                <w:webHidden/>
                <w:sz w:val="22"/>
                <w:szCs w:val="22"/>
              </w:rPr>
              <w:instrText xml:space="preserve"> PAGEREF _Toc89177466 \h </w:instrText>
            </w:r>
            <w:r w:rsidR="003B64BB" w:rsidRPr="00623A2B">
              <w:rPr>
                <w:rFonts w:ascii="Times New Roman" w:hAnsi="Times New Roman" w:cs="Times New Roman"/>
                <w:b w:val="0"/>
                <w:bCs w:val="0"/>
                <w:noProof/>
                <w:webHidden/>
                <w:sz w:val="22"/>
                <w:szCs w:val="22"/>
              </w:rPr>
            </w:r>
            <w:r w:rsidR="003B64BB" w:rsidRPr="00623A2B">
              <w:rPr>
                <w:rFonts w:ascii="Times New Roman" w:hAnsi="Times New Roman" w:cs="Times New Roman"/>
                <w:b w:val="0"/>
                <w:bCs w:val="0"/>
                <w:noProof/>
                <w:webHidden/>
                <w:sz w:val="22"/>
                <w:szCs w:val="22"/>
              </w:rPr>
              <w:fldChar w:fldCharType="separate"/>
            </w:r>
            <w:r w:rsidR="00CD49D4">
              <w:rPr>
                <w:rFonts w:ascii="Times New Roman" w:hAnsi="Times New Roman" w:cs="Times New Roman"/>
                <w:b w:val="0"/>
                <w:bCs w:val="0"/>
                <w:noProof/>
                <w:webHidden/>
                <w:sz w:val="22"/>
                <w:szCs w:val="22"/>
              </w:rPr>
              <w:t>161</w:t>
            </w:r>
            <w:r w:rsidR="003B64BB" w:rsidRPr="00623A2B">
              <w:rPr>
                <w:rFonts w:ascii="Times New Roman" w:hAnsi="Times New Roman" w:cs="Times New Roman"/>
                <w:b w:val="0"/>
                <w:bCs w:val="0"/>
                <w:noProof/>
                <w:webHidden/>
                <w:sz w:val="22"/>
                <w:szCs w:val="22"/>
              </w:rPr>
              <w:fldChar w:fldCharType="end"/>
            </w:r>
          </w:hyperlink>
        </w:p>
        <w:p w14:paraId="678331E2" w14:textId="77777777" w:rsidR="000F4430" w:rsidRPr="00623A2B" w:rsidRDefault="000F4430" w:rsidP="000F4430">
          <w:pPr>
            <w:rPr>
              <w:rFonts w:ascii="Times New Roman" w:eastAsiaTheme="minorEastAsia" w:hAnsi="Times New Roman"/>
              <w:noProof/>
            </w:rPr>
          </w:pPr>
        </w:p>
        <w:p w14:paraId="19022402" w14:textId="7F13031B" w:rsidR="003B64BB" w:rsidRPr="00623A2B" w:rsidRDefault="004A47F0" w:rsidP="00E033E5">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9177467" w:history="1">
            <w:r w:rsidR="003B64BB" w:rsidRPr="00623A2B">
              <w:rPr>
                <w:rStyle w:val="Hyperlink"/>
                <w:rFonts w:ascii="Times New Roman" w:hAnsi="Times New Roman" w:cs="Times New Roman"/>
                <w:b w:val="0"/>
                <w:bCs w:val="0"/>
                <w:noProof/>
                <w:sz w:val="22"/>
                <w:szCs w:val="22"/>
                <w:lang w:val="fr-FR"/>
              </w:rPr>
              <w:t>AG/</w:t>
            </w:r>
            <w:r w:rsidR="003B64BB" w:rsidRPr="00623A2B">
              <w:rPr>
                <w:rStyle w:val="Hyperlink"/>
                <w:rFonts w:ascii="Times New Roman" w:hAnsi="Times New Roman" w:cs="Times New Roman"/>
                <w:b w:val="0"/>
                <w:bCs w:val="0"/>
                <w:noProof/>
                <w:sz w:val="22"/>
                <w:szCs w:val="22"/>
              </w:rPr>
              <w:t>RES</w:t>
            </w:r>
            <w:r w:rsidR="003B64BB" w:rsidRPr="00623A2B">
              <w:rPr>
                <w:rStyle w:val="Hyperlink"/>
                <w:rFonts w:ascii="Times New Roman" w:hAnsi="Times New Roman" w:cs="Times New Roman"/>
                <w:b w:val="0"/>
                <w:bCs w:val="0"/>
                <w:noProof/>
                <w:sz w:val="22"/>
                <w:szCs w:val="22"/>
                <w:lang w:val="fr-FR"/>
              </w:rPr>
              <w:t>. 2977 (LI-O/21)</w:t>
            </w:r>
            <w:r w:rsidR="00420C46" w:rsidRPr="00623A2B">
              <w:rPr>
                <w:rStyle w:val="Hyperlink"/>
                <w:rFonts w:ascii="Times New Roman" w:hAnsi="Times New Roman" w:cs="Times New Roman"/>
                <w:b w:val="0"/>
                <w:bCs w:val="0"/>
                <w:noProof/>
                <w:sz w:val="22"/>
                <w:szCs w:val="22"/>
                <w:lang w:val="fr-FR"/>
              </w:rPr>
              <w:tab/>
            </w:r>
            <w:r w:rsidR="003B64BB" w:rsidRPr="00623A2B">
              <w:rPr>
                <w:rStyle w:val="Hyperlink"/>
                <w:rFonts w:ascii="Times New Roman" w:hAnsi="Times New Roman" w:cs="Times New Roman"/>
                <w:b w:val="0"/>
                <w:bCs w:val="0"/>
                <w:noProof/>
                <w:sz w:val="22"/>
                <w:szCs w:val="22"/>
                <w:lang w:val="fr-FR"/>
              </w:rPr>
              <w:t>L’ÉVOLUTION DE LA PANDÉMIE DE COVID-19 ET SES INCIDENCES SUR LE CONTINENT AMÉRICAIN</w:t>
            </w:r>
            <w:r w:rsidR="003B64BB" w:rsidRPr="00623A2B">
              <w:rPr>
                <w:rFonts w:ascii="Times New Roman" w:hAnsi="Times New Roman" w:cs="Times New Roman"/>
                <w:b w:val="0"/>
                <w:bCs w:val="0"/>
                <w:noProof/>
                <w:webHidden/>
                <w:sz w:val="22"/>
                <w:szCs w:val="22"/>
              </w:rPr>
              <w:tab/>
            </w:r>
            <w:r w:rsidR="003B64BB" w:rsidRPr="00623A2B">
              <w:rPr>
                <w:rFonts w:ascii="Times New Roman" w:hAnsi="Times New Roman" w:cs="Times New Roman"/>
                <w:b w:val="0"/>
                <w:bCs w:val="0"/>
                <w:noProof/>
                <w:webHidden/>
                <w:sz w:val="22"/>
                <w:szCs w:val="22"/>
              </w:rPr>
              <w:fldChar w:fldCharType="begin"/>
            </w:r>
            <w:r w:rsidR="003B64BB" w:rsidRPr="00623A2B">
              <w:rPr>
                <w:rFonts w:ascii="Times New Roman" w:hAnsi="Times New Roman" w:cs="Times New Roman"/>
                <w:b w:val="0"/>
                <w:bCs w:val="0"/>
                <w:noProof/>
                <w:webHidden/>
                <w:sz w:val="22"/>
                <w:szCs w:val="22"/>
              </w:rPr>
              <w:instrText xml:space="preserve"> PAGEREF _Toc89177467 \h </w:instrText>
            </w:r>
            <w:r w:rsidR="003B64BB" w:rsidRPr="00623A2B">
              <w:rPr>
                <w:rFonts w:ascii="Times New Roman" w:hAnsi="Times New Roman" w:cs="Times New Roman"/>
                <w:b w:val="0"/>
                <w:bCs w:val="0"/>
                <w:noProof/>
                <w:webHidden/>
                <w:sz w:val="22"/>
                <w:szCs w:val="22"/>
              </w:rPr>
            </w:r>
            <w:r w:rsidR="003B64BB" w:rsidRPr="00623A2B">
              <w:rPr>
                <w:rFonts w:ascii="Times New Roman" w:hAnsi="Times New Roman" w:cs="Times New Roman"/>
                <w:b w:val="0"/>
                <w:bCs w:val="0"/>
                <w:noProof/>
                <w:webHidden/>
                <w:sz w:val="22"/>
                <w:szCs w:val="22"/>
              </w:rPr>
              <w:fldChar w:fldCharType="separate"/>
            </w:r>
            <w:r w:rsidR="00CD49D4">
              <w:rPr>
                <w:rFonts w:ascii="Times New Roman" w:hAnsi="Times New Roman" w:cs="Times New Roman"/>
                <w:b w:val="0"/>
                <w:bCs w:val="0"/>
                <w:noProof/>
                <w:webHidden/>
                <w:sz w:val="22"/>
                <w:szCs w:val="22"/>
              </w:rPr>
              <w:t>193</w:t>
            </w:r>
            <w:r w:rsidR="003B64BB" w:rsidRPr="00623A2B">
              <w:rPr>
                <w:rFonts w:ascii="Times New Roman" w:hAnsi="Times New Roman" w:cs="Times New Roman"/>
                <w:b w:val="0"/>
                <w:bCs w:val="0"/>
                <w:noProof/>
                <w:webHidden/>
                <w:sz w:val="22"/>
                <w:szCs w:val="22"/>
              </w:rPr>
              <w:fldChar w:fldCharType="end"/>
            </w:r>
          </w:hyperlink>
        </w:p>
        <w:p w14:paraId="1B877775" w14:textId="77777777" w:rsidR="000F4430" w:rsidRPr="00623A2B" w:rsidRDefault="000F4430" w:rsidP="000F4430">
          <w:pPr>
            <w:rPr>
              <w:rFonts w:ascii="Times New Roman" w:eastAsiaTheme="minorEastAsia" w:hAnsi="Times New Roman"/>
              <w:noProof/>
            </w:rPr>
          </w:pPr>
        </w:p>
        <w:p w14:paraId="022C0DEA" w14:textId="6C4C89D1" w:rsidR="003B64BB" w:rsidRPr="00623A2B" w:rsidRDefault="004A47F0" w:rsidP="00E033E5">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9177468" w:history="1">
            <w:r w:rsidR="003B64BB" w:rsidRPr="00623A2B">
              <w:rPr>
                <w:rStyle w:val="Hyperlink"/>
                <w:rFonts w:ascii="Times New Roman" w:hAnsi="Times New Roman" w:cs="Times New Roman"/>
                <w:b w:val="0"/>
                <w:bCs w:val="0"/>
                <w:noProof/>
                <w:sz w:val="22"/>
                <w:szCs w:val="22"/>
                <w:lang w:val="fr-FR"/>
              </w:rPr>
              <w:t>AG/RES. 2978 (LI-O/21)</w:t>
            </w:r>
            <w:r w:rsidR="00420C46" w:rsidRPr="00623A2B">
              <w:rPr>
                <w:rStyle w:val="Hyperlink"/>
                <w:rFonts w:ascii="Times New Roman" w:hAnsi="Times New Roman" w:cs="Times New Roman"/>
                <w:b w:val="0"/>
                <w:bCs w:val="0"/>
                <w:noProof/>
                <w:sz w:val="22"/>
                <w:szCs w:val="22"/>
                <w:lang w:val="fr-FR"/>
              </w:rPr>
              <w:tab/>
            </w:r>
            <w:r w:rsidR="003B64BB" w:rsidRPr="00623A2B">
              <w:rPr>
                <w:rStyle w:val="Hyperlink"/>
                <w:rFonts w:ascii="Times New Roman" w:hAnsi="Times New Roman" w:cs="Times New Roman"/>
                <w:b w:val="0"/>
                <w:bCs w:val="0"/>
                <w:noProof/>
                <w:sz w:val="22"/>
                <w:szCs w:val="22"/>
                <w:lang w:val="fr-FR"/>
              </w:rPr>
              <w:t>LA SITUATION AU NICARAGUA</w:t>
            </w:r>
            <w:r w:rsidR="003B64BB" w:rsidRPr="00623A2B">
              <w:rPr>
                <w:rFonts w:ascii="Times New Roman" w:hAnsi="Times New Roman" w:cs="Times New Roman"/>
                <w:b w:val="0"/>
                <w:bCs w:val="0"/>
                <w:noProof/>
                <w:webHidden/>
                <w:sz w:val="22"/>
                <w:szCs w:val="22"/>
              </w:rPr>
              <w:tab/>
            </w:r>
            <w:r w:rsidR="003B64BB" w:rsidRPr="00623A2B">
              <w:rPr>
                <w:rFonts w:ascii="Times New Roman" w:hAnsi="Times New Roman" w:cs="Times New Roman"/>
                <w:b w:val="0"/>
                <w:bCs w:val="0"/>
                <w:noProof/>
                <w:webHidden/>
                <w:sz w:val="22"/>
                <w:szCs w:val="22"/>
              </w:rPr>
              <w:fldChar w:fldCharType="begin"/>
            </w:r>
            <w:r w:rsidR="003B64BB" w:rsidRPr="00623A2B">
              <w:rPr>
                <w:rFonts w:ascii="Times New Roman" w:hAnsi="Times New Roman" w:cs="Times New Roman"/>
                <w:b w:val="0"/>
                <w:bCs w:val="0"/>
                <w:noProof/>
                <w:webHidden/>
                <w:sz w:val="22"/>
                <w:szCs w:val="22"/>
              </w:rPr>
              <w:instrText xml:space="preserve"> PAGEREF _Toc89177468 \h </w:instrText>
            </w:r>
            <w:r w:rsidR="003B64BB" w:rsidRPr="00623A2B">
              <w:rPr>
                <w:rFonts w:ascii="Times New Roman" w:hAnsi="Times New Roman" w:cs="Times New Roman"/>
                <w:b w:val="0"/>
                <w:bCs w:val="0"/>
                <w:noProof/>
                <w:webHidden/>
                <w:sz w:val="22"/>
                <w:szCs w:val="22"/>
              </w:rPr>
            </w:r>
            <w:r w:rsidR="003B64BB" w:rsidRPr="00623A2B">
              <w:rPr>
                <w:rFonts w:ascii="Times New Roman" w:hAnsi="Times New Roman" w:cs="Times New Roman"/>
                <w:b w:val="0"/>
                <w:bCs w:val="0"/>
                <w:noProof/>
                <w:webHidden/>
                <w:sz w:val="22"/>
                <w:szCs w:val="22"/>
              </w:rPr>
              <w:fldChar w:fldCharType="separate"/>
            </w:r>
            <w:r w:rsidR="00CD49D4">
              <w:rPr>
                <w:rFonts w:ascii="Times New Roman" w:hAnsi="Times New Roman" w:cs="Times New Roman"/>
                <w:b w:val="0"/>
                <w:bCs w:val="0"/>
                <w:noProof/>
                <w:webHidden/>
                <w:sz w:val="22"/>
                <w:szCs w:val="22"/>
              </w:rPr>
              <w:t>199</w:t>
            </w:r>
            <w:r w:rsidR="003B64BB" w:rsidRPr="00623A2B">
              <w:rPr>
                <w:rFonts w:ascii="Times New Roman" w:hAnsi="Times New Roman" w:cs="Times New Roman"/>
                <w:b w:val="0"/>
                <w:bCs w:val="0"/>
                <w:noProof/>
                <w:webHidden/>
                <w:sz w:val="22"/>
                <w:szCs w:val="22"/>
              </w:rPr>
              <w:fldChar w:fldCharType="end"/>
            </w:r>
          </w:hyperlink>
        </w:p>
        <w:p w14:paraId="5C609EC2" w14:textId="77777777" w:rsidR="000F4430" w:rsidRPr="00623A2B" w:rsidRDefault="000F4430" w:rsidP="000F4430">
          <w:pPr>
            <w:rPr>
              <w:rFonts w:ascii="Times New Roman" w:eastAsiaTheme="minorEastAsia" w:hAnsi="Times New Roman"/>
              <w:noProof/>
            </w:rPr>
          </w:pPr>
        </w:p>
        <w:p w14:paraId="6F1E6B6C" w14:textId="4AEB2137" w:rsidR="003B64BB" w:rsidRPr="00623A2B" w:rsidRDefault="004A47F0" w:rsidP="00E033E5">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9177469" w:history="1">
            <w:r w:rsidR="003B64BB" w:rsidRPr="00623A2B">
              <w:rPr>
                <w:rStyle w:val="Hyperlink"/>
                <w:rFonts w:ascii="Times New Roman" w:hAnsi="Times New Roman" w:cs="Times New Roman"/>
                <w:b w:val="0"/>
                <w:bCs w:val="0"/>
                <w:noProof/>
                <w:sz w:val="22"/>
                <w:szCs w:val="22"/>
                <w:lang w:val="fr-FR"/>
              </w:rPr>
              <w:t>AG/RES. 2979 (LI-O/21)</w:t>
            </w:r>
            <w:r w:rsidR="00420C46" w:rsidRPr="00623A2B">
              <w:rPr>
                <w:rStyle w:val="Hyperlink"/>
                <w:rFonts w:ascii="Times New Roman" w:hAnsi="Times New Roman" w:cs="Times New Roman"/>
                <w:b w:val="0"/>
                <w:bCs w:val="0"/>
                <w:noProof/>
                <w:sz w:val="22"/>
                <w:szCs w:val="22"/>
                <w:lang w:val="fr-FR"/>
              </w:rPr>
              <w:tab/>
            </w:r>
            <w:r w:rsidR="003B64BB" w:rsidRPr="00623A2B">
              <w:rPr>
                <w:rStyle w:val="Hyperlink"/>
                <w:rFonts w:ascii="Times New Roman" w:hAnsi="Times New Roman" w:cs="Times New Roman"/>
                <w:b w:val="0"/>
                <w:bCs w:val="0"/>
                <w:noProof/>
                <w:sz w:val="22"/>
                <w:szCs w:val="22"/>
                <w:lang w:val="fr-FR"/>
              </w:rPr>
              <w:t>RENFORCEMENT DU RÔLE DE L’ORGANISATIONS DES ÉTATS AMÉRICAINS DANS LA PROMOTION DE LA RÉSILIENCE FACE AUX CATASTROPHES  DANS LE CONTINENT AMÉRICAIN</w:t>
            </w:r>
            <w:r w:rsidR="003B64BB" w:rsidRPr="00623A2B">
              <w:rPr>
                <w:rFonts w:ascii="Times New Roman" w:hAnsi="Times New Roman" w:cs="Times New Roman"/>
                <w:b w:val="0"/>
                <w:bCs w:val="0"/>
                <w:noProof/>
                <w:webHidden/>
                <w:sz w:val="22"/>
                <w:szCs w:val="22"/>
              </w:rPr>
              <w:tab/>
            </w:r>
            <w:r w:rsidR="003B64BB" w:rsidRPr="00623A2B">
              <w:rPr>
                <w:rFonts w:ascii="Times New Roman" w:hAnsi="Times New Roman" w:cs="Times New Roman"/>
                <w:b w:val="0"/>
                <w:bCs w:val="0"/>
                <w:noProof/>
                <w:webHidden/>
                <w:sz w:val="22"/>
                <w:szCs w:val="22"/>
              </w:rPr>
              <w:fldChar w:fldCharType="begin"/>
            </w:r>
            <w:r w:rsidR="003B64BB" w:rsidRPr="00623A2B">
              <w:rPr>
                <w:rFonts w:ascii="Times New Roman" w:hAnsi="Times New Roman" w:cs="Times New Roman"/>
                <w:b w:val="0"/>
                <w:bCs w:val="0"/>
                <w:noProof/>
                <w:webHidden/>
                <w:sz w:val="22"/>
                <w:szCs w:val="22"/>
              </w:rPr>
              <w:instrText xml:space="preserve"> PAGEREF _Toc89177469 \h </w:instrText>
            </w:r>
            <w:r w:rsidR="003B64BB" w:rsidRPr="00623A2B">
              <w:rPr>
                <w:rFonts w:ascii="Times New Roman" w:hAnsi="Times New Roman" w:cs="Times New Roman"/>
                <w:b w:val="0"/>
                <w:bCs w:val="0"/>
                <w:noProof/>
                <w:webHidden/>
                <w:sz w:val="22"/>
                <w:szCs w:val="22"/>
              </w:rPr>
            </w:r>
            <w:r w:rsidR="003B64BB" w:rsidRPr="00623A2B">
              <w:rPr>
                <w:rFonts w:ascii="Times New Roman" w:hAnsi="Times New Roman" w:cs="Times New Roman"/>
                <w:b w:val="0"/>
                <w:bCs w:val="0"/>
                <w:noProof/>
                <w:webHidden/>
                <w:sz w:val="22"/>
                <w:szCs w:val="22"/>
              </w:rPr>
              <w:fldChar w:fldCharType="separate"/>
            </w:r>
            <w:r w:rsidR="00CD49D4">
              <w:rPr>
                <w:rFonts w:ascii="Times New Roman" w:hAnsi="Times New Roman" w:cs="Times New Roman"/>
                <w:b w:val="0"/>
                <w:bCs w:val="0"/>
                <w:noProof/>
                <w:webHidden/>
                <w:sz w:val="22"/>
                <w:szCs w:val="22"/>
              </w:rPr>
              <w:t>207</w:t>
            </w:r>
            <w:r w:rsidR="003B64BB" w:rsidRPr="00623A2B">
              <w:rPr>
                <w:rFonts w:ascii="Times New Roman" w:hAnsi="Times New Roman" w:cs="Times New Roman"/>
                <w:b w:val="0"/>
                <w:bCs w:val="0"/>
                <w:noProof/>
                <w:webHidden/>
                <w:sz w:val="22"/>
                <w:szCs w:val="22"/>
              </w:rPr>
              <w:fldChar w:fldCharType="end"/>
            </w:r>
          </w:hyperlink>
        </w:p>
        <w:p w14:paraId="7278CC9A" w14:textId="77777777" w:rsidR="000F4430" w:rsidRPr="00623A2B" w:rsidRDefault="000F4430" w:rsidP="000F4430">
          <w:pPr>
            <w:rPr>
              <w:rFonts w:ascii="Times New Roman" w:eastAsiaTheme="minorEastAsia" w:hAnsi="Times New Roman"/>
              <w:noProof/>
            </w:rPr>
          </w:pPr>
        </w:p>
        <w:p w14:paraId="7D0C0EE3" w14:textId="4394C38A" w:rsidR="003B64BB" w:rsidRPr="00623A2B" w:rsidRDefault="004A47F0" w:rsidP="00E033E5">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9177470" w:history="1">
            <w:r w:rsidR="003B64BB" w:rsidRPr="00623A2B">
              <w:rPr>
                <w:rStyle w:val="Hyperlink"/>
                <w:rFonts w:ascii="Times New Roman" w:hAnsi="Times New Roman" w:cs="Times New Roman"/>
                <w:b w:val="0"/>
                <w:bCs w:val="0"/>
                <w:noProof/>
                <w:sz w:val="22"/>
                <w:szCs w:val="22"/>
                <w:lang w:val="fr-FR"/>
              </w:rPr>
              <w:t xml:space="preserve">AG/RES. </w:t>
            </w:r>
            <w:r w:rsidR="003B64BB" w:rsidRPr="00623A2B">
              <w:rPr>
                <w:rStyle w:val="Hyperlink"/>
                <w:rFonts w:ascii="Times New Roman" w:hAnsi="Times New Roman" w:cs="Times New Roman"/>
                <w:b w:val="0"/>
                <w:bCs w:val="0"/>
                <w:noProof/>
                <w:sz w:val="22"/>
                <w:szCs w:val="22"/>
              </w:rPr>
              <w:t>2980</w:t>
            </w:r>
            <w:r w:rsidR="003B64BB" w:rsidRPr="00623A2B">
              <w:rPr>
                <w:rStyle w:val="Hyperlink"/>
                <w:rFonts w:ascii="Times New Roman" w:hAnsi="Times New Roman" w:cs="Times New Roman"/>
                <w:b w:val="0"/>
                <w:bCs w:val="0"/>
                <w:noProof/>
                <w:sz w:val="22"/>
                <w:szCs w:val="22"/>
                <w:lang w:val="fr-FR"/>
              </w:rPr>
              <w:t xml:space="preserve"> (LI-O/21)</w:t>
            </w:r>
            <w:r w:rsidR="00420C46" w:rsidRPr="00623A2B">
              <w:rPr>
                <w:rStyle w:val="Hyperlink"/>
                <w:rFonts w:ascii="Times New Roman" w:hAnsi="Times New Roman" w:cs="Times New Roman"/>
                <w:b w:val="0"/>
                <w:bCs w:val="0"/>
                <w:noProof/>
                <w:sz w:val="22"/>
                <w:szCs w:val="22"/>
                <w:lang w:val="fr-FR"/>
              </w:rPr>
              <w:tab/>
            </w:r>
            <w:r w:rsidR="003B64BB" w:rsidRPr="00623A2B">
              <w:rPr>
                <w:rStyle w:val="Hyperlink"/>
                <w:rFonts w:ascii="Times New Roman" w:hAnsi="Times New Roman" w:cs="Times New Roman"/>
                <w:b w:val="0"/>
                <w:bCs w:val="0"/>
                <w:noProof/>
                <w:sz w:val="22"/>
                <w:szCs w:val="22"/>
                <w:lang w:val="fr-FR"/>
              </w:rPr>
              <w:t>LIEU ET DATE DE LA CINQUANTE-DEUXIÈME SESSION ORDINAIRE DE L’ASSEMBLÉE GÉNÉRALE</w:t>
            </w:r>
            <w:r w:rsidR="003B64BB" w:rsidRPr="00623A2B">
              <w:rPr>
                <w:rFonts w:ascii="Times New Roman" w:hAnsi="Times New Roman" w:cs="Times New Roman"/>
                <w:b w:val="0"/>
                <w:bCs w:val="0"/>
                <w:noProof/>
                <w:webHidden/>
                <w:sz w:val="22"/>
                <w:szCs w:val="22"/>
              </w:rPr>
              <w:tab/>
            </w:r>
            <w:r w:rsidR="003B64BB" w:rsidRPr="00623A2B">
              <w:rPr>
                <w:rFonts w:ascii="Times New Roman" w:hAnsi="Times New Roman" w:cs="Times New Roman"/>
                <w:b w:val="0"/>
                <w:bCs w:val="0"/>
                <w:noProof/>
                <w:webHidden/>
                <w:sz w:val="22"/>
                <w:szCs w:val="22"/>
              </w:rPr>
              <w:fldChar w:fldCharType="begin"/>
            </w:r>
            <w:r w:rsidR="003B64BB" w:rsidRPr="00623A2B">
              <w:rPr>
                <w:rFonts w:ascii="Times New Roman" w:hAnsi="Times New Roman" w:cs="Times New Roman"/>
                <w:b w:val="0"/>
                <w:bCs w:val="0"/>
                <w:noProof/>
                <w:webHidden/>
                <w:sz w:val="22"/>
                <w:szCs w:val="22"/>
              </w:rPr>
              <w:instrText xml:space="preserve"> PAGEREF _Toc89177470 \h </w:instrText>
            </w:r>
            <w:r w:rsidR="003B64BB" w:rsidRPr="00623A2B">
              <w:rPr>
                <w:rFonts w:ascii="Times New Roman" w:hAnsi="Times New Roman" w:cs="Times New Roman"/>
                <w:b w:val="0"/>
                <w:bCs w:val="0"/>
                <w:noProof/>
                <w:webHidden/>
                <w:sz w:val="22"/>
                <w:szCs w:val="22"/>
              </w:rPr>
            </w:r>
            <w:r w:rsidR="003B64BB" w:rsidRPr="00623A2B">
              <w:rPr>
                <w:rFonts w:ascii="Times New Roman" w:hAnsi="Times New Roman" w:cs="Times New Roman"/>
                <w:b w:val="0"/>
                <w:bCs w:val="0"/>
                <w:noProof/>
                <w:webHidden/>
                <w:sz w:val="22"/>
                <w:szCs w:val="22"/>
              </w:rPr>
              <w:fldChar w:fldCharType="separate"/>
            </w:r>
            <w:r w:rsidR="00CD49D4">
              <w:rPr>
                <w:rFonts w:ascii="Times New Roman" w:hAnsi="Times New Roman" w:cs="Times New Roman"/>
                <w:b w:val="0"/>
                <w:bCs w:val="0"/>
                <w:noProof/>
                <w:webHidden/>
                <w:sz w:val="22"/>
                <w:szCs w:val="22"/>
              </w:rPr>
              <w:t>213</w:t>
            </w:r>
            <w:r w:rsidR="003B64BB" w:rsidRPr="00623A2B">
              <w:rPr>
                <w:rFonts w:ascii="Times New Roman" w:hAnsi="Times New Roman" w:cs="Times New Roman"/>
                <w:b w:val="0"/>
                <w:bCs w:val="0"/>
                <w:noProof/>
                <w:webHidden/>
                <w:sz w:val="22"/>
                <w:szCs w:val="22"/>
              </w:rPr>
              <w:fldChar w:fldCharType="end"/>
            </w:r>
          </w:hyperlink>
        </w:p>
        <w:p w14:paraId="13750342" w14:textId="77777777" w:rsidR="000F4430" w:rsidRPr="00623A2B" w:rsidRDefault="000F4430" w:rsidP="000F4430">
          <w:pPr>
            <w:rPr>
              <w:rFonts w:ascii="Times New Roman" w:eastAsiaTheme="minorEastAsia" w:hAnsi="Times New Roman"/>
              <w:noProof/>
            </w:rPr>
          </w:pPr>
        </w:p>
        <w:p w14:paraId="52A40696" w14:textId="01AFF93C" w:rsidR="003B64BB" w:rsidRPr="00623A2B" w:rsidRDefault="004A47F0" w:rsidP="00E033E5">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sz w:val="22"/>
              <w:szCs w:val="22"/>
            </w:rPr>
          </w:pPr>
          <w:hyperlink w:anchor="_Toc89177471" w:history="1">
            <w:r w:rsidR="003B64BB" w:rsidRPr="00623A2B">
              <w:rPr>
                <w:rStyle w:val="Hyperlink"/>
                <w:rFonts w:ascii="Times New Roman" w:hAnsi="Times New Roman" w:cs="Times New Roman"/>
                <w:b w:val="0"/>
                <w:bCs w:val="0"/>
                <w:noProof/>
                <w:sz w:val="22"/>
                <w:szCs w:val="22"/>
                <w:lang w:val="fr-FR"/>
              </w:rPr>
              <w:t>AG/RES. 2981 (LI-O/21)</w:t>
            </w:r>
            <w:r w:rsidR="00420C46" w:rsidRPr="00623A2B">
              <w:rPr>
                <w:rStyle w:val="Hyperlink"/>
                <w:rFonts w:ascii="Times New Roman" w:hAnsi="Times New Roman" w:cs="Times New Roman"/>
                <w:b w:val="0"/>
                <w:bCs w:val="0"/>
                <w:noProof/>
                <w:sz w:val="22"/>
                <w:szCs w:val="22"/>
                <w:lang w:val="fr-FR"/>
              </w:rPr>
              <w:tab/>
            </w:r>
            <w:r w:rsidR="003B64BB" w:rsidRPr="00623A2B">
              <w:rPr>
                <w:rStyle w:val="Hyperlink"/>
                <w:rFonts w:ascii="Times New Roman" w:hAnsi="Times New Roman" w:cs="Times New Roman"/>
                <w:b w:val="0"/>
                <w:bCs w:val="0"/>
                <w:noProof/>
                <w:sz w:val="22"/>
                <w:szCs w:val="22"/>
                <w:lang w:val="fr-FR"/>
              </w:rPr>
              <w:t xml:space="preserve">REMERCIEMENTS AU PEUPLE ET AU GOUVERNEMENT DU </w:t>
            </w:r>
            <w:r w:rsidR="003B64BB" w:rsidRPr="00623A2B">
              <w:rPr>
                <w:rStyle w:val="Hyperlink"/>
                <w:rFonts w:ascii="Times New Roman" w:hAnsi="Times New Roman" w:cs="Times New Roman"/>
                <w:b w:val="0"/>
                <w:bCs w:val="0"/>
                <w:noProof/>
                <w:sz w:val="22"/>
                <w:szCs w:val="22"/>
              </w:rPr>
              <w:t>GUATEMALA</w:t>
            </w:r>
            <w:r w:rsidR="003B64BB" w:rsidRPr="00623A2B">
              <w:rPr>
                <w:rFonts w:ascii="Times New Roman" w:hAnsi="Times New Roman" w:cs="Times New Roman"/>
                <w:b w:val="0"/>
                <w:bCs w:val="0"/>
                <w:noProof/>
                <w:webHidden/>
                <w:sz w:val="22"/>
                <w:szCs w:val="22"/>
              </w:rPr>
              <w:tab/>
            </w:r>
            <w:r w:rsidR="003B64BB" w:rsidRPr="00623A2B">
              <w:rPr>
                <w:rFonts w:ascii="Times New Roman" w:hAnsi="Times New Roman" w:cs="Times New Roman"/>
                <w:b w:val="0"/>
                <w:bCs w:val="0"/>
                <w:noProof/>
                <w:webHidden/>
                <w:sz w:val="22"/>
                <w:szCs w:val="22"/>
              </w:rPr>
              <w:fldChar w:fldCharType="begin"/>
            </w:r>
            <w:r w:rsidR="003B64BB" w:rsidRPr="00623A2B">
              <w:rPr>
                <w:rFonts w:ascii="Times New Roman" w:hAnsi="Times New Roman" w:cs="Times New Roman"/>
                <w:b w:val="0"/>
                <w:bCs w:val="0"/>
                <w:noProof/>
                <w:webHidden/>
                <w:sz w:val="22"/>
                <w:szCs w:val="22"/>
              </w:rPr>
              <w:instrText xml:space="preserve"> PAGEREF _Toc89177471 \h </w:instrText>
            </w:r>
            <w:r w:rsidR="003B64BB" w:rsidRPr="00623A2B">
              <w:rPr>
                <w:rFonts w:ascii="Times New Roman" w:hAnsi="Times New Roman" w:cs="Times New Roman"/>
                <w:b w:val="0"/>
                <w:bCs w:val="0"/>
                <w:noProof/>
                <w:webHidden/>
                <w:sz w:val="22"/>
                <w:szCs w:val="22"/>
              </w:rPr>
            </w:r>
            <w:r w:rsidR="003B64BB" w:rsidRPr="00623A2B">
              <w:rPr>
                <w:rFonts w:ascii="Times New Roman" w:hAnsi="Times New Roman" w:cs="Times New Roman"/>
                <w:b w:val="0"/>
                <w:bCs w:val="0"/>
                <w:noProof/>
                <w:webHidden/>
                <w:sz w:val="22"/>
                <w:szCs w:val="22"/>
              </w:rPr>
              <w:fldChar w:fldCharType="separate"/>
            </w:r>
            <w:r w:rsidR="00CD49D4">
              <w:rPr>
                <w:rFonts w:ascii="Times New Roman" w:hAnsi="Times New Roman" w:cs="Times New Roman"/>
                <w:b w:val="0"/>
                <w:bCs w:val="0"/>
                <w:noProof/>
                <w:webHidden/>
                <w:sz w:val="22"/>
                <w:szCs w:val="22"/>
              </w:rPr>
              <w:t>217</w:t>
            </w:r>
            <w:r w:rsidR="003B64BB" w:rsidRPr="00623A2B">
              <w:rPr>
                <w:rFonts w:ascii="Times New Roman" w:hAnsi="Times New Roman" w:cs="Times New Roman"/>
                <w:b w:val="0"/>
                <w:bCs w:val="0"/>
                <w:noProof/>
                <w:webHidden/>
                <w:sz w:val="22"/>
                <w:szCs w:val="22"/>
              </w:rPr>
              <w:fldChar w:fldCharType="end"/>
            </w:r>
          </w:hyperlink>
        </w:p>
        <w:p w14:paraId="366B6BF0" w14:textId="77777777" w:rsidR="000F4430" w:rsidRPr="00623A2B" w:rsidRDefault="000F4430" w:rsidP="000F4430">
          <w:pPr>
            <w:rPr>
              <w:rFonts w:ascii="Times New Roman" w:eastAsiaTheme="minorEastAsia" w:hAnsi="Times New Roman"/>
              <w:noProof/>
            </w:rPr>
          </w:pPr>
        </w:p>
        <w:p w14:paraId="08E93BFF" w14:textId="799D8686" w:rsidR="00874C2A" w:rsidRPr="00623A2B" w:rsidRDefault="00164583">
          <w:pPr>
            <w:rPr>
              <w:rFonts w:ascii="Times New Roman" w:hAnsi="Times New Roman"/>
              <w:caps/>
              <w:szCs w:val="22"/>
            </w:rPr>
          </w:pPr>
          <w:r w:rsidRPr="00623A2B">
            <w:rPr>
              <w:rFonts w:ascii="Times New Roman" w:hAnsi="Times New Roman"/>
              <w:caps/>
              <w:szCs w:val="22"/>
            </w:rPr>
            <w:fldChar w:fldCharType="end"/>
          </w:r>
        </w:p>
      </w:sdtContent>
    </w:sdt>
    <w:p w14:paraId="645944E5" w14:textId="77777777" w:rsidR="0069284F" w:rsidRPr="00623A2B" w:rsidRDefault="0069284F" w:rsidP="00B53F69">
      <w:pPr>
        <w:jc w:val="center"/>
        <w:rPr>
          <w:rFonts w:ascii="Times New Roman" w:hAnsi="Times New Roman"/>
          <w:szCs w:val="22"/>
          <w:lang w:val="en-US"/>
        </w:rPr>
      </w:pPr>
    </w:p>
    <w:p w14:paraId="4C1F61C9" w14:textId="0CF66A50" w:rsidR="0069284F" w:rsidRPr="00623A2B" w:rsidRDefault="0069284F" w:rsidP="00B53F69">
      <w:pPr>
        <w:jc w:val="center"/>
        <w:rPr>
          <w:rFonts w:ascii="Times New Roman" w:hAnsi="Times New Roman"/>
          <w:szCs w:val="22"/>
          <w:lang w:val="en-US"/>
        </w:rPr>
        <w:sectPr w:rsidR="0069284F" w:rsidRPr="00623A2B" w:rsidSect="00623A2B">
          <w:footerReference w:type="default" r:id="rId10"/>
          <w:footerReference w:type="first" r:id="rId11"/>
          <w:footnotePr>
            <w:numRestart w:val="eachSect"/>
          </w:footnotePr>
          <w:type w:val="oddPage"/>
          <w:pgSz w:w="12240" w:h="15840" w:code="1"/>
          <w:pgMar w:top="2160" w:right="1570" w:bottom="1296" w:left="1699" w:header="720" w:footer="720" w:gutter="0"/>
          <w:pgNumType w:fmt="lowerRoman" w:start="3"/>
          <w:cols w:space="720"/>
          <w:noEndnote/>
          <w:docGrid w:linePitch="299"/>
        </w:sectPr>
      </w:pPr>
    </w:p>
    <w:p w14:paraId="31A2075A" w14:textId="52D795ED" w:rsidR="00EF7B36" w:rsidRPr="00623A2B" w:rsidRDefault="00D06B11" w:rsidP="00A16BE1">
      <w:pPr>
        <w:pStyle w:val="Heading1"/>
        <w:spacing w:before="0"/>
        <w:jc w:val="center"/>
        <w:rPr>
          <w:rFonts w:ascii="Times New Roman" w:hAnsi="Times New Roman" w:cs="Times New Roman"/>
          <w:color w:val="auto"/>
          <w:sz w:val="22"/>
          <w:szCs w:val="22"/>
          <w:lang w:val="fr-CA"/>
        </w:rPr>
      </w:pPr>
      <w:bookmarkStart w:id="0" w:name="_Toc89177452"/>
      <w:r w:rsidRPr="00623A2B">
        <w:rPr>
          <w:rFonts w:ascii="Times New Roman" w:hAnsi="Times New Roman" w:cs="Times New Roman"/>
          <w:color w:val="auto"/>
          <w:sz w:val="22"/>
          <w:szCs w:val="22"/>
          <w:lang w:val="fr-FR"/>
        </w:rPr>
        <w:lastRenderedPageBreak/>
        <w:t>AG/DEC. 103 (LI-O/21)</w:t>
      </w:r>
      <w:r w:rsidR="00A16BE1" w:rsidRPr="00623A2B">
        <w:rPr>
          <w:rFonts w:ascii="Times New Roman" w:hAnsi="Times New Roman" w:cs="Times New Roman"/>
          <w:color w:val="auto"/>
          <w:sz w:val="22"/>
          <w:szCs w:val="22"/>
          <w:lang w:val="fr-FR"/>
        </w:rPr>
        <w:br/>
      </w:r>
      <w:r w:rsidR="00A16BE1" w:rsidRPr="00623A2B">
        <w:rPr>
          <w:rFonts w:ascii="Times New Roman" w:hAnsi="Times New Roman" w:cs="Times New Roman"/>
          <w:color w:val="auto"/>
          <w:sz w:val="22"/>
          <w:szCs w:val="22"/>
          <w:lang w:val="fr-FR"/>
        </w:rPr>
        <w:br/>
      </w:r>
      <w:r w:rsidR="00EF7B36" w:rsidRPr="00623A2B">
        <w:rPr>
          <w:rFonts w:ascii="Times New Roman" w:hAnsi="Times New Roman" w:cs="Times New Roman"/>
          <w:color w:val="auto"/>
          <w:sz w:val="22"/>
          <w:szCs w:val="22"/>
          <w:lang w:val="fr-CA"/>
        </w:rPr>
        <w:t>DÉCLARATION SUR « LA QUESTION DES ÎLES MALOUINES »</w:t>
      </w:r>
      <w:r w:rsidRPr="00623A2B">
        <w:rPr>
          <w:rStyle w:val="FootnoteReference"/>
          <w:rFonts w:ascii="Times New Roman" w:hAnsi="Times New Roman" w:cs="Times New Roman"/>
          <w:sz w:val="22"/>
          <w:szCs w:val="22"/>
          <w:u w:val="single"/>
          <w:vertAlign w:val="superscript"/>
          <w:lang w:val="pt-BR"/>
        </w:rPr>
        <w:footnoteReference w:id="1"/>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2"/>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3"/>
      </w:r>
      <w:r w:rsidRPr="00623A2B">
        <w:rPr>
          <w:rFonts w:ascii="Times New Roman" w:hAnsi="Times New Roman" w:cs="Times New Roman"/>
          <w:color w:val="auto"/>
          <w:sz w:val="22"/>
          <w:szCs w:val="22"/>
          <w:vertAlign w:val="superscript"/>
          <w:lang w:val="fr-CA"/>
        </w:rPr>
        <w:t>/</w:t>
      </w:r>
      <w:r w:rsidR="00386C91" w:rsidRPr="00623A2B">
        <w:rPr>
          <w:rStyle w:val="FootnoteReference"/>
          <w:rFonts w:ascii="Times New Roman" w:hAnsi="Times New Roman" w:cs="Times New Roman"/>
          <w:sz w:val="22"/>
          <w:szCs w:val="22"/>
          <w:u w:val="single"/>
          <w:vertAlign w:val="superscript"/>
          <w:lang w:val="pt-BR"/>
        </w:rPr>
        <w:footnoteReference w:id="4"/>
      </w:r>
      <w:r w:rsidR="00386C91" w:rsidRPr="00623A2B">
        <w:rPr>
          <w:rFonts w:ascii="Times New Roman" w:hAnsi="Times New Roman" w:cs="Times New Roman"/>
          <w:color w:val="auto"/>
          <w:sz w:val="22"/>
          <w:szCs w:val="22"/>
          <w:vertAlign w:val="superscript"/>
          <w:lang w:val="fr-CA"/>
        </w:rPr>
        <w:t>/</w:t>
      </w:r>
      <w:bookmarkEnd w:id="0"/>
    </w:p>
    <w:p w14:paraId="3B0BC294" w14:textId="77777777" w:rsidR="00750C1E" w:rsidRPr="00623A2B" w:rsidRDefault="00750C1E" w:rsidP="00A16BE1">
      <w:pPr>
        <w:jc w:val="center"/>
        <w:rPr>
          <w:rFonts w:ascii="Times New Roman" w:hAnsi="Times New Roman"/>
          <w:szCs w:val="22"/>
          <w:lang w:val="fr-CA"/>
        </w:rPr>
      </w:pPr>
    </w:p>
    <w:p w14:paraId="2FC5899C" w14:textId="6D9970D2" w:rsidR="00750C1E" w:rsidRPr="00623A2B" w:rsidRDefault="00750C1E" w:rsidP="00B53F69">
      <w:pPr>
        <w:jc w:val="center"/>
        <w:rPr>
          <w:rFonts w:ascii="Times New Roman" w:hAnsi="Times New Roman"/>
          <w:szCs w:val="22"/>
          <w:lang w:val="fr-CA"/>
        </w:rPr>
      </w:pPr>
      <w:r w:rsidRPr="00623A2B">
        <w:rPr>
          <w:rFonts w:ascii="Times New Roman" w:hAnsi="Times New Roman"/>
          <w:szCs w:val="22"/>
          <w:lang w:val="fr-CA"/>
        </w:rPr>
        <w:t>(</w:t>
      </w:r>
      <w:r w:rsidR="00D06B11" w:rsidRPr="00623A2B">
        <w:rPr>
          <w:rFonts w:ascii="Times New Roman" w:hAnsi="Times New Roman"/>
          <w:szCs w:val="22"/>
          <w:lang w:val="fr-FR"/>
        </w:rPr>
        <w:t xml:space="preserve">Déclaration adoptée à la </w:t>
      </w:r>
      <w:r w:rsidR="00D06B11" w:rsidRPr="00623A2B">
        <w:rPr>
          <w:rFonts w:ascii="Times New Roman" w:hAnsi="Times New Roman"/>
          <w:bCs/>
          <w:szCs w:val="22"/>
          <w:lang w:val="fr-FR" w:eastAsia="es-ES"/>
        </w:rPr>
        <w:t xml:space="preserve">quatrième </w:t>
      </w:r>
      <w:r w:rsidR="00D06B11" w:rsidRPr="00623A2B">
        <w:rPr>
          <w:rFonts w:ascii="Times New Roman" w:hAnsi="Times New Roman"/>
          <w:szCs w:val="22"/>
          <w:lang w:val="fr-FR"/>
        </w:rPr>
        <w:t>séance plénière, le 12 novembre 2021</w:t>
      </w:r>
      <w:r w:rsidRPr="00623A2B">
        <w:rPr>
          <w:rFonts w:ascii="Times New Roman" w:hAnsi="Times New Roman"/>
          <w:szCs w:val="22"/>
          <w:lang w:val="fr-CA"/>
        </w:rPr>
        <w:t>)</w:t>
      </w:r>
    </w:p>
    <w:p w14:paraId="0EA374D3" w14:textId="77777777" w:rsidR="00750C1E" w:rsidRPr="00623A2B" w:rsidRDefault="00750C1E" w:rsidP="00B53F69">
      <w:pPr>
        <w:pStyle w:val="Body"/>
        <w:rPr>
          <w:rFonts w:cs="Times New Roman"/>
          <w:color w:val="auto"/>
          <w:lang w:val="fr-CA"/>
        </w:rPr>
      </w:pPr>
    </w:p>
    <w:p w14:paraId="515EA773" w14:textId="77777777" w:rsidR="00B20EC4" w:rsidRPr="00623A2B" w:rsidRDefault="00B20EC4" w:rsidP="00B53F69">
      <w:pPr>
        <w:pStyle w:val="Body"/>
        <w:rPr>
          <w:rFonts w:cs="Times New Roman"/>
          <w:color w:val="auto"/>
          <w:lang w:val="fr-CA"/>
        </w:rPr>
      </w:pPr>
    </w:p>
    <w:p w14:paraId="2C8E59CE" w14:textId="77777777" w:rsidR="00EF7B36" w:rsidRPr="00623A2B" w:rsidRDefault="00EF7B36" w:rsidP="00B53F69">
      <w:pPr>
        <w:pStyle w:val="Body"/>
        <w:suppressAutoHyphens/>
        <w:ind w:firstLine="720"/>
        <w:rPr>
          <w:rFonts w:cs="Times New Roman"/>
          <w:color w:val="auto"/>
          <w:lang w:val="fr-CA"/>
        </w:rPr>
      </w:pPr>
      <w:r w:rsidRPr="00623A2B">
        <w:rPr>
          <w:rFonts w:cs="Times New Roman"/>
          <w:color w:val="auto"/>
          <w:lang w:val="fr-CA"/>
        </w:rPr>
        <w:t>L’ASSEMBLÉE GÉNÉRALE,</w:t>
      </w:r>
    </w:p>
    <w:p w14:paraId="6C180548" w14:textId="77777777" w:rsidR="00EF7B36" w:rsidRPr="00623A2B" w:rsidRDefault="00EF7B36" w:rsidP="00B53F69">
      <w:pPr>
        <w:pStyle w:val="Body"/>
        <w:suppressAutoHyphens/>
        <w:rPr>
          <w:rFonts w:cs="Times New Roman"/>
          <w:color w:val="auto"/>
          <w:lang w:val="fr-CA"/>
        </w:rPr>
      </w:pPr>
    </w:p>
    <w:p w14:paraId="708F8600" w14:textId="77777777" w:rsidR="00EF7B36" w:rsidRPr="00623A2B" w:rsidRDefault="00EF7B36" w:rsidP="00B53F69">
      <w:pPr>
        <w:pStyle w:val="Body"/>
        <w:suppressAutoHyphens/>
        <w:ind w:firstLine="720"/>
        <w:rPr>
          <w:rFonts w:cs="Times New Roman"/>
          <w:color w:val="auto"/>
          <w:lang w:val="fr-CA"/>
        </w:rPr>
      </w:pPr>
      <w:r w:rsidRPr="00623A2B">
        <w:rPr>
          <w:rFonts w:cs="Times New Roman"/>
          <w:color w:val="auto"/>
          <w:lang w:val="fr-CA"/>
        </w:rPr>
        <w:t>CONSIDÉRANT qu’à plusieurs reprises, elle a déclaré que la question des Îles Malouines constitue un dossier d’intérêt permanent pour le continent américain,</w:t>
      </w:r>
    </w:p>
    <w:p w14:paraId="4D14AF1A" w14:textId="77777777" w:rsidR="00EF7B36" w:rsidRPr="00623A2B" w:rsidRDefault="00EF7B36" w:rsidP="00B53F69">
      <w:pPr>
        <w:pStyle w:val="Body"/>
        <w:suppressAutoHyphens/>
        <w:rPr>
          <w:rFonts w:cs="Times New Roman"/>
          <w:color w:val="auto"/>
          <w:lang w:val="fr-CA"/>
        </w:rPr>
      </w:pPr>
    </w:p>
    <w:p w14:paraId="2D8E5116" w14:textId="77777777" w:rsidR="00EF7B36" w:rsidRPr="00623A2B" w:rsidRDefault="00EF7B36" w:rsidP="00B53F69">
      <w:pPr>
        <w:pStyle w:val="Body"/>
        <w:suppressAutoHyphens/>
        <w:ind w:firstLine="720"/>
        <w:rPr>
          <w:rFonts w:cs="Times New Roman"/>
          <w:color w:val="auto"/>
          <w:lang w:val="fr-CA"/>
        </w:rPr>
      </w:pPr>
      <w:r w:rsidRPr="00623A2B">
        <w:rPr>
          <w:rFonts w:cs="Times New Roman"/>
          <w:color w:val="auto"/>
          <w:lang w:val="fr-CA"/>
        </w:rPr>
        <w:t>RAPPELANT sa résolution AG/RES. 928 (XVIII-O/88), adoptée par consensus le 19 novembre 1988, par laquelle elle demande aux Gouvernements de la République argentine et du Royaume-Uni de Grande-Bretagne et d’Irlande du Nord de reprendre les négociations afin d’arriver dans les plus brefs délais à un règlement pacifique du différend sur la question de la souveraineté,</w:t>
      </w:r>
    </w:p>
    <w:p w14:paraId="47C98E43" w14:textId="77777777" w:rsidR="00EF7B36" w:rsidRPr="00623A2B" w:rsidRDefault="00EF7B36" w:rsidP="00B53F69">
      <w:pPr>
        <w:pStyle w:val="Body"/>
        <w:suppressAutoHyphens/>
        <w:rPr>
          <w:rFonts w:cs="Times New Roman"/>
          <w:color w:val="auto"/>
          <w:lang w:val="fr-CA"/>
        </w:rPr>
      </w:pPr>
    </w:p>
    <w:p w14:paraId="1A636EF1" w14:textId="77777777" w:rsidR="00EF7B36" w:rsidRPr="00623A2B" w:rsidRDefault="00EF7B36" w:rsidP="00B53F69">
      <w:pPr>
        <w:pStyle w:val="Body"/>
        <w:suppressAutoHyphens/>
        <w:ind w:firstLine="720"/>
        <w:rPr>
          <w:rFonts w:cs="Times New Roman"/>
          <w:color w:val="auto"/>
          <w:lang w:val="fr-CA"/>
        </w:rPr>
      </w:pPr>
      <w:r w:rsidRPr="00623A2B">
        <w:rPr>
          <w:rFonts w:cs="Times New Roman"/>
          <w:color w:val="auto"/>
          <w:lang w:val="fr-CA"/>
        </w:rPr>
        <w:t>PRENANT EN COMPTE que dans sa résolution AG/RES. 1049 (XX-O/90), elle a exprimé sa satisfaction pour la reprise des relations diplomatiques entre les deux pays,</w:t>
      </w:r>
    </w:p>
    <w:p w14:paraId="73A3DBC7" w14:textId="77777777" w:rsidR="00EF7B36" w:rsidRPr="00623A2B" w:rsidRDefault="00EF7B36" w:rsidP="00B53F69">
      <w:pPr>
        <w:pStyle w:val="Body"/>
        <w:suppressAutoHyphens/>
        <w:rPr>
          <w:rFonts w:cs="Times New Roman"/>
          <w:color w:val="auto"/>
          <w:lang w:val="fr-CA"/>
        </w:rPr>
      </w:pPr>
    </w:p>
    <w:p w14:paraId="70336564" w14:textId="77777777" w:rsidR="00EF7B36" w:rsidRPr="00623A2B" w:rsidRDefault="00EF7B36" w:rsidP="00B53F69">
      <w:pPr>
        <w:pStyle w:val="Body"/>
        <w:suppressAutoHyphens/>
        <w:ind w:firstLine="720"/>
        <w:rPr>
          <w:rFonts w:cs="Times New Roman"/>
          <w:color w:val="auto"/>
          <w:lang w:val="fr-CA"/>
        </w:rPr>
      </w:pPr>
      <w:r w:rsidRPr="00623A2B">
        <w:rPr>
          <w:rFonts w:cs="Times New Roman"/>
          <w:color w:val="auto"/>
          <w:lang w:val="fr-CA"/>
        </w:rPr>
        <w:t>RECONNAISSANT que le statut d’Observateur permanent du Royaume-Uni de Grande-Bretagne et d’Irlande du Nord auprès de l’Organisation des États Américains (OEA) octroyé à cet État en vertu de la résolution CP/RES. 655 (1041/95) reflète les principes et valeurs partagés par ce pays et les États membres de l’Organisation, ce qui permet une meilleure compréhension mutuelle,</w:t>
      </w:r>
    </w:p>
    <w:p w14:paraId="7EC59028" w14:textId="77777777" w:rsidR="00EF7B36" w:rsidRPr="00623A2B" w:rsidRDefault="00EF7B36" w:rsidP="00B53F69">
      <w:pPr>
        <w:pStyle w:val="Body"/>
        <w:suppressAutoHyphens/>
        <w:rPr>
          <w:rFonts w:cs="Times New Roman"/>
          <w:color w:val="auto"/>
          <w:lang w:val="fr-CA"/>
        </w:rPr>
      </w:pPr>
    </w:p>
    <w:p w14:paraId="7C383ED8" w14:textId="77777777" w:rsidR="00EF7B36" w:rsidRPr="00623A2B" w:rsidRDefault="00EF7B36" w:rsidP="00B53F69">
      <w:pPr>
        <w:pStyle w:val="Body"/>
        <w:suppressAutoHyphens/>
        <w:ind w:firstLine="720"/>
        <w:rPr>
          <w:rFonts w:cs="Times New Roman"/>
          <w:color w:val="auto"/>
          <w:lang w:val="fr-CA"/>
        </w:rPr>
      </w:pPr>
      <w:r w:rsidRPr="00623A2B">
        <w:rPr>
          <w:rFonts w:cs="Times New Roman"/>
          <w:color w:val="auto"/>
          <w:lang w:val="fr-CA"/>
        </w:rPr>
        <w:t>CONSTATANT avec satisfaction que les Gouvernements de la République argentine et du Royaume-Uni de Grande-Bretagne et d’Irlande du Nord maintiennent d’importants liens commerciaux, culturels et politiques, partagent des valeurs communes et qu’ils développent en outre une coopération étroite sur le plan bilatéral ainsi que dans les forums internationaux,</w:t>
      </w:r>
    </w:p>
    <w:p w14:paraId="14CFEF77" w14:textId="77777777" w:rsidR="00EF7B36" w:rsidRPr="00623A2B" w:rsidRDefault="00EF7B36" w:rsidP="00B53F69">
      <w:pPr>
        <w:pStyle w:val="Body"/>
        <w:suppressAutoHyphens/>
        <w:rPr>
          <w:rFonts w:cs="Times New Roman"/>
          <w:color w:val="auto"/>
          <w:lang w:val="fr-CA"/>
        </w:rPr>
      </w:pPr>
    </w:p>
    <w:p w14:paraId="0822599D" w14:textId="71A61075" w:rsidR="00EF7B36" w:rsidRPr="00623A2B" w:rsidRDefault="00EF7B36" w:rsidP="00B53F69">
      <w:pPr>
        <w:pStyle w:val="Body"/>
        <w:suppressAutoHyphens/>
        <w:ind w:firstLine="720"/>
        <w:rPr>
          <w:rFonts w:cs="Times New Roman"/>
          <w:color w:val="auto"/>
          <w:lang w:val="fr-CA"/>
        </w:rPr>
      </w:pPr>
      <w:r w:rsidRPr="00623A2B">
        <w:rPr>
          <w:rFonts w:cs="Times New Roman"/>
          <w:color w:val="auto"/>
          <w:lang w:val="fr-CA"/>
        </w:rPr>
        <w:t xml:space="preserve">PRENANT EN COMPTE que, malgré les valeurs et les liens communs susmentionnés, il n’a pas encore été possible de reprendre les négociations afin de régler le différend sur la question de la souveraineté entre les deux pays sur les Îles Malouines, les Îles </w:t>
      </w:r>
      <w:proofErr w:type="spellStart"/>
      <w:r w:rsidRPr="00623A2B">
        <w:rPr>
          <w:rFonts w:cs="Times New Roman"/>
          <w:color w:val="auto"/>
          <w:lang w:val="fr-CA"/>
        </w:rPr>
        <w:t>Géorgies</w:t>
      </w:r>
      <w:proofErr w:type="spellEnd"/>
      <w:r w:rsidRPr="00623A2B">
        <w:rPr>
          <w:rFonts w:cs="Times New Roman"/>
          <w:color w:val="auto"/>
          <w:lang w:val="fr-CA"/>
        </w:rPr>
        <w:t xml:space="preserve"> du Sud, et les Îles Sandwich du Sud et les espaces maritimes environnants, dans le cadre des résolutions 2065 (XX), 3160 (XXVIII), 31/49, 37/9, 38/12, 39/6, 40/21, 41/40, 42/19 et 43/25 de l’Assemblée générale des Nations Unies, des décisions adoptées par cet organe sur le même sujet, émanées du Comité spécial de la décolonisation, ainsi que des résolutions et déclarations répétées qui ont été adoptées par cette Assemblée générale,</w:t>
      </w:r>
    </w:p>
    <w:p w14:paraId="0AD24B86" w14:textId="2A35C0B6" w:rsidR="00EF7B36" w:rsidRPr="00623A2B" w:rsidRDefault="00EF7B36" w:rsidP="00B53F6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szCs w:val="22"/>
          <w:u w:color="000000"/>
          <w:lang w:val="fr-CA"/>
          <w14:textOutline w14:w="0" w14:cap="flat" w14:cmpd="sng" w14:algn="ctr">
            <w14:noFill/>
            <w14:prstDash w14:val="solid"/>
            <w14:bevel/>
          </w14:textOutline>
        </w:rPr>
      </w:pPr>
    </w:p>
    <w:p w14:paraId="28D4840C" w14:textId="4D34813B" w:rsidR="00EF7B36" w:rsidRPr="00623A2B" w:rsidRDefault="00EF7B36" w:rsidP="00B53F69">
      <w:pPr>
        <w:pStyle w:val="Body"/>
        <w:suppressAutoHyphens/>
        <w:ind w:firstLine="720"/>
        <w:rPr>
          <w:rFonts w:cs="Times New Roman"/>
          <w:color w:val="auto"/>
          <w:lang w:val="fr-CA"/>
        </w:rPr>
      </w:pPr>
      <w:r w:rsidRPr="00623A2B">
        <w:rPr>
          <w:rFonts w:cs="Times New Roman"/>
          <w:color w:val="auto"/>
          <w:lang w:val="fr-CA"/>
        </w:rPr>
        <w:t>AYANT ÉCOUTÉ l’exposé fait par le chef de la Délégation de la République argentine,</w:t>
      </w:r>
    </w:p>
    <w:p w14:paraId="0C54A876" w14:textId="74325834" w:rsidR="00EF7B36" w:rsidRPr="00623A2B" w:rsidRDefault="00EF7B36" w:rsidP="00B53F69">
      <w:pPr>
        <w:pStyle w:val="Body"/>
        <w:suppressAutoHyphens/>
        <w:ind w:firstLine="720"/>
        <w:rPr>
          <w:rFonts w:cs="Times New Roman"/>
          <w:color w:val="auto"/>
          <w:lang w:val="fr-CA"/>
        </w:rPr>
      </w:pPr>
      <w:r w:rsidRPr="00623A2B">
        <w:rPr>
          <w:rFonts w:cs="Times New Roman"/>
          <w:color w:val="auto"/>
          <w:lang w:val="fr-CA"/>
        </w:rPr>
        <w:lastRenderedPageBreak/>
        <w:t>EXPRIME sa satisfaction relativement à la réaffirmation par le Gouvernement argentin de sa volonté de continuer à explorer toutes les voies possibles de règlement pacifique du différend, ainsi que pour son comportement constructif à l’égard des habitants des Îles Malouines.</w:t>
      </w:r>
    </w:p>
    <w:p w14:paraId="26CF7223" w14:textId="77777777" w:rsidR="00EF7B36" w:rsidRPr="00623A2B" w:rsidRDefault="00EF7B36" w:rsidP="00B53F69">
      <w:pPr>
        <w:pStyle w:val="Body"/>
        <w:suppressAutoHyphens/>
        <w:rPr>
          <w:rFonts w:cs="Times New Roman"/>
          <w:color w:val="auto"/>
          <w:lang w:val="fr-CA"/>
        </w:rPr>
      </w:pPr>
    </w:p>
    <w:p w14:paraId="7F5A7630" w14:textId="77777777" w:rsidR="00EF7B36" w:rsidRPr="00623A2B" w:rsidRDefault="00EF7B36" w:rsidP="00B53F69">
      <w:pPr>
        <w:pStyle w:val="Body"/>
        <w:suppressAutoHyphens/>
        <w:ind w:firstLine="720"/>
        <w:rPr>
          <w:rFonts w:cs="Times New Roman"/>
          <w:color w:val="auto"/>
          <w:lang w:val="fr-CA"/>
        </w:rPr>
      </w:pPr>
      <w:r w:rsidRPr="00623A2B">
        <w:rPr>
          <w:rFonts w:cs="Times New Roman"/>
          <w:color w:val="auto"/>
          <w:lang w:val="fr-CA"/>
        </w:rPr>
        <w:t>RÉAFFIRME la nécessité que les Gouvernements de la République argentine et du Royaume-Uni de Grande-Bretagne et d’Irlande du Nord reprennent, dans les plus brefs délais, les négociations sur le différend relatif à la question de la souveraineté, en vue de trouver un règlement pacifique à cette controverse prolongée.</w:t>
      </w:r>
    </w:p>
    <w:p w14:paraId="4C750899" w14:textId="77777777" w:rsidR="00EF7B36" w:rsidRPr="00623A2B" w:rsidRDefault="00EF7B36" w:rsidP="00B53F69">
      <w:pPr>
        <w:pStyle w:val="Body"/>
        <w:suppressAutoHyphens/>
        <w:rPr>
          <w:rFonts w:cs="Times New Roman"/>
          <w:color w:val="auto"/>
          <w:lang w:val="fr-CA"/>
        </w:rPr>
      </w:pPr>
    </w:p>
    <w:p w14:paraId="2B8660D8" w14:textId="3601869D" w:rsidR="00D06B11" w:rsidRPr="00623A2B" w:rsidRDefault="00EF7B36" w:rsidP="00B53F69">
      <w:pPr>
        <w:pStyle w:val="Body"/>
        <w:ind w:firstLine="720"/>
        <w:rPr>
          <w:rFonts w:cs="Times New Roman"/>
          <w:color w:val="auto"/>
          <w:lang w:val="fr-CA"/>
        </w:rPr>
      </w:pPr>
      <w:r w:rsidRPr="00623A2B">
        <w:rPr>
          <w:rFonts w:cs="Times New Roman"/>
          <w:color w:val="auto"/>
          <w:lang w:val="fr-CA"/>
        </w:rPr>
        <w:t>DÉCIDE de continuer à examiner la Question des Îles Malouines lors des prochaines sessions ordinaires de l’Assemblée générale jusqu’à son règlement définitif.</w:t>
      </w:r>
      <w:r w:rsidR="00D06B11" w:rsidRPr="00623A2B">
        <w:rPr>
          <w:rFonts w:cs="Times New Roman"/>
          <w:color w:val="auto"/>
          <w:lang w:val="fr-CA"/>
        </w:rPr>
        <w:br w:type="page"/>
      </w:r>
    </w:p>
    <w:p w14:paraId="3256FEF3" w14:textId="77777777" w:rsidR="00D06B11" w:rsidRPr="00623A2B" w:rsidRDefault="00D06B11" w:rsidP="00B53F69">
      <w:pPr>
        <w:suppressAutoHyphens/>
        <w:jc w:val="center"/>
        <w:rPr>
          <w:rFonts w:ascii="Times New Roman" w:hAnsi="Times New Roman"/>
          <w:szCs w:val="22"/>
          <w:lang w:val="fr-CA"/>
        </w:rPr>
      </w:pPr>
      <w:r w:rsidRPr="00623A2B">
        <w:rPr>
          <w:rFonts w:ascii="Times New Roman" w:hAnsi="Times New Roman"/>
          <w:szCs w:val="22"/>
          <w:lang w:val="fr-CA"/>
        </w:rPr>
        <w:lastRenderedPageBreak/>
        <w:t>NOTES DE BAS DE PAGE</w:t>
      </w:r>
    </w:p>
    <w:p w14:paraId="17D13A25" w14:textId="77777777" w:rsidR="00750C1E" w:rsidRPr="00623A2B" w:rsidRDefault="00750C1E" w:rsidP="00B53F69">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19F17875" w14:textId="77777777" w:rsidR="00750C1E" w:rsidRPr="00623A2B" w:rsidRDefault="00750C1E" w:rsidP="00B53F69">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7E640CA6" w14:textId="189E753D" w:rsidR="00D06B11" w:rsidRPr="00623A2B" w:rsidRDefault="00D06B11" w:rsidP="00B53F69">
      <w:pPr>
        <w:pStyle w:val="FootnoteText"/>
        <w:tabs>
          <w:tab w:val="clear" w:pos="360"/>
        </w:tabs>
        <w:ind w:left="0" w:firstLine="360"/>
        <w:rPr>
          <w:rFonts w:ascii="Times New Roman" w:hAnsi="Times New Roman"/>
          <w:sz w:val="22"/>
          <w:szCs w:val="22"/>
          <w:lang w:val="fr-CA"/>
        </w:rPr>
      </w:pPr>
      <w:r w:rsidRPr="00623A2B">
        <w:rPr>
          <w:rFonts w:ascii="Times New Roman" w:hAnsi="Times New Roman"/>
          <w:sz w:val="22"/>
          <w:szCs w:val="22"/>
          <w:lang w:val="fr-CA"/>
        </w:rPr>
        <w:tab/>
        <w:t>1.</w:t>
      </w:r>
      <w:r w:rsidRPr="00623A2B">
        <w:rPr>
          <w:rFonts w:ascii="Times New Roman" w:hAnsi="Times New Roman"/>
          <w:sz w:val="22"/>
          <w:szCs w:val="22"/>
          <w:lang w:val="fr-CA"/>
        </w:rPr>
        <w:tab/>
        <w:t>… Cinquante-et-unième Session ordinaire de l’Assemblée générale de l’Organisation des États Américains (OEA), lesquelles constituent des actes contraires au droit international.</w:t>
      </w:r>
    </w:p>
    <w:p w14:paraId="5F4626DA" w14:textId="77777777" w:rsidR="00D06B11" w:rsidRPr="00623A2B" w:rsidRDefault="00D06B11" w:rsidP="00B53F69">
      <w:pPr>
        <w:pStyle w:val="FootnoteText"/>
        <w:tabs>
          <w:tab w:val="clear" w:pos="360"/>
        </w:tabs>
        <w:ind w:left="0" w:firstLine="360"/>
        <w:rPr>
          <w:rFonts w:ascii="Times New Roman" w:hAnsi="Times New Roman"/>
          <w:sz w:val="22"/>
          <w:szCs w:val="22"/>
          <w:lang w:val="fr-CA"/>
        </w:rPr>
      </w:pPr>
    </w:p>
    <w:p w14:paraId="214D5E6D" w14:textId="77777777" w:rsidR="00D06B11" w:rsidRPr="00623A2B" w:rsidRDefault="00D06B11" w:rsidP="00B53F69">
      <w:pPr>
        <w:pStyle w:val="FootnoteText"/>
        <w:tabs>
          <w:tab w:val="clear" w:pos="360"/>
        </w:tabs>
        <w:ind w:left="0" w:firstLine="720"/>
        <w:rPr>
          <w:rFonts w:ascii="Times New Roman" w:hAnsi="Times New Roman"/>
          <w:sz w:val="22"/>
          <w:szCs w:val="22"/>
          <w:lang w:val="fr-CA"/>
        </w:rPr>
      </w:pPr>
      <w:r w:rsidRPr="00623A2B">
        <w:rPr>
          <w:rFonts w:ascii="Times New Roman" w:hAnsi="Times New Roman"/>
          <w:sz w:val="22"/>
          <w:szCs w:val="22"/>
          <w:lang w:val="fr-CA"/>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302C3E49" w14:textId="77777777" w:rsidR="00D06B11" w:rsidRPr="00623A2B" w:rsidRDefault="00D06B11" w:rsidP="00B53F69">
      <w:pPr>
        <w:pStyle w:val="FootnoteText"/>
        <w:tabs>
          <w:tab w:val="clear" w:pos="360"/>
        </w:tabs>
        <w:ind w:left="0" w:firstLine="360"/>
        <w:rPr>
          <w:rFonts w:ascii="Times New Roman" w:hAnsi="Times New Roman"/>
          <w:sz w:val="22"/>
          <w:szCs w:val="22"/>
          <w:lang w:val="fr-CA"/>
        </w:rPr>
      </w:pPr>
    </w:p>
    <w:p w14:paraId="2C5E4353" w14:textId="77777777" w:rsidR="00D06B11" w:rsidRPr="00623A2B" w:rsidRDefault="00D06B11" w:rsidP="00B53F69">
      <w:pPr>
        <w:pStyle w:val="FootnoteText"/>
        <w:tabs>
          <w:tab w:val="clear" w:pos="360"/>
        </w:tabs>
        <w:ind w:left="0" w:firstLine="720"/>
        <w:rPr>
          <w:rFonts w:ascii="Times New Roman" w:hAnsi="Times New Roman"/>
          <w:sz w:val="22"/>
          <w:szCs w:val="22"/>
          <w:lang w:val="fr-CA"/>
        </w:rPr>
      </w:pPr>
      <w:r w:rsidRPr="00623A2B">
        <w:rPr>
          <w:rFonts w:ascii="Times New Roman" w:hAnsi="Times New Roman"/>
          <w:sz w:val="22"/>
          <w:szCs w:val="22"/>
          <w:lang w:val="fr-CA"/>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37498199" w14:textId="77777777" w:rsidR="00D06B11" w:rsidRPr="00623A2B" w:rsidRDefault="00D06B11" w:rsidP="00B53F69">
      <w:pPr>
        <w:pStyle w:val="FootnoteText"/>
        <w:tabs>
          <w:tab w:val="clear" w:pos="360"/>
        </w:tabs>
        <w:ind w:left="0" w:firstLine="360"/>
        <w:rPr>
          <w:rFonts w:ascii="Times New Roman" w:hAnsi="Times New Roman"/>
          <w:sz w:val="22"/>
          <w:szCs w:val="22"/>
          <w:lang w:val="fr-CA"/>
        </w:rPr>
      </w:pPr>
    </w:p>
    <w:p w14:paraId="19FD9823" w14:textId="77777777" w:rsidR="00D06B11" w:rsidRPr="00623A2B" w:rsidRDefault="00D06B11" w:rsidP="00B53F69">
      <w:pPr>
        <w:pStyle w:val="FootnoteText"/>
        <w:tabs>
          <w:tab w:val="clear" w:pos="360"/>
        </w:tabs>
        <w:ind w:left="0" w:firstLine="720"/>
        <w:rPr>
          <w:rFonts w:ascii="Times New Roman" w:hAnsi="Times New Roman"/>
          <w:sz w:val="22"/>
          <w:szCs w:val="22"/>
          <w:lang w:val="fr-CA"/>
        </w:rPr>
      </w:pPr>
      <w:r w:rsidRPr="00623A2B">
        <w:rPr>
          <w:rFonts w:ascii="Times New Roman" w:hAnsi="Times New Roman"/>
          <w:sz w:val="22"/>
          <w:szCs w:val="22"/>
          <w:lang w:val="fr-CA"/>
        </w:rPr>
        <w:t>La reconnaissance d’un gouvernement est un acte souverain des États, et non des institutions internationales. L’OEA ne possède ni ne peut s’arroger des facultés de reconnaissance collective opposable à la qualité de membre; c’est pourquoi tout acte visant à atteindre cet objectif tombe en dehors de sa compétence et est matériellement nul.</w:t>
      </w:r>
    </w:p>
    <w:p w14:paraId="30C22A1E" w14:textId="77777777" w:rsidR="00D06B11" w:rsidRPr="00623A2B" w:rsidRDefault="00D06B11" w:rsidP="00B53F69">
      <w:pPr>
        <w:pStyle w:val="FootnoteText"/>
        <w:tabs>
          <w:tab w:val="clear" w:pos="360"/>
        </w:tabs>
        <w:ind w:left="0" w:firstLine="360"/>
        <w:rPr>
          <w:rFonts w:ascii="Times New Roman" w:hAnsi="Times New Roman"/>
          <w:sz w:val="22"/>
          <w:szCs w:val="22"/>
          <w:lang w:val="fr-CA"/>
        </w:rPr>
      </w:pPr>
    </w:p>
    <w:p w14:paraId="23D68B9B" w14:textId="77777777" w:rsidR="00D06B11" w:rsidRPr="00623A2B" w:rsidRDefault="00D06B11" w:rsidP="00B53F69">
      <w:pPr>
        <w:pStyle w:val="FootnoteText"/>
        <w:tabs>
          <w:tab w:val="clear" w:pos="360"/>
        </w:tabs>
        <w:ind w:left="0" w:firstLine="720"/>
        <w:rPr>
          <w:rFonts w:ascii="Times New Roman" w:hAnsi="Times New Roman"/>
          <w:sz w:val="22"/>
          <w:szCs w:val="22"/>
          <w:lang w:val="fr-CA"/>
        </w:rPr>
      </w:pPr>
      <w:r w:rsidRPr="00623A2B">
        <w:rPr>
          <w:rFonts w:ascii="Times New Roman" w:hAnsi="Times New Roman"/>
          <w:sz w:val="22"/>
          <w:szCs w:val="22"/>
          <w:lang w:val="fr-CA"/>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78B67074" w14:textId="77777777" w:rsidR="00D06B11" w:rsidRPr="00623A2B" w:rsidRDefault="00D06B11" w:rsidP="00B53F69">
      <w:pPr>
        <w:pStyle w:val="FootnoteText"/>
        <w:tabs>
          <w:tab w:val="clear" w:pos="360"/>
        </w:tabs>
        <w:ind w:left="0" w:firstLine="360"/>
        <w:rPr>
          <w:rFonts w:ascii="Times New Roman" w:hAnsi="Times New Roman"/>
          <w:sz w:val="22"/>
          <w:szCs w:val="22"/>
          <w:lang w:val="fr-CA"/>
        </w:rPr>
      </w:pPr>
    </w:p>
    <w:p w14:paraId="0A05065C" w14:textId="77777777" w:rsidR="00D06B11" w:rsidRPr="00623A2B" w:rsidRDefault="00D06B11" w:rsidP="00B53F69">
      <w:pPr>
        <w:pStyle w:val="FootnoteText"/>
        <w:tabs>
          <w:tab w:val="clear" w:pos="360"/>
        </w:tabs>
        <w:ind w:left="0" w:firstLine="720"/>
        <w:rPr>
          <w:rFonts w:ascii="Times New Roman" w:hAnsi="Times New Roman"/>
          <w:sz w:val="22"/>
          <w:szCs w:val="22"/>
          <w:lang w:val="fr-CA"/>
        </w:rPr>
      </w:pPr>
      <w:r w:rsidRPr="00623A2B">
        <w:rPr>
          <w:rFonts w:ascii="Times New Roman" w:hAnsi="Times New Roman"/>
          <w:sz w:val="22"/>
          <w:szCs w:val="22"/>
          <w:lang w:val="fr-CA"/>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7DD1A067" w14:textId="77777777" w:rsidR="00D06B11" w:rsidRPr="00623A2B" w:rsidRDefault="00D06B11" w:rsidP="00B53F69">
      <w:pPr>
        <w:pStyle w:val="FootnoteText"/>
        <w:tabs>
          <w:tab w:val="clear" w:pos="360"/>
        </w:tabs>
        <w:ind w:left="0" w:firstLine="360"/>
        <w:rPr>
          <w:rFonts w:ascii="Times New Roman" w:hAnsi="Times New Roman"/>
          <w:sz w:val="22"/>
          <w:szCs w:val="22"/>
          <w:lang w:val="fr-CA"/>
        </w:rPr>
      </w:pPr>
    </w:p>
    <w:p w14:paraId="45540C07" w14:textId="12046B85" w:rsidR="00EF7B36" w:rsidRPr="00623A2B" w:rsidRDefault="00D06B11" w:rsidP="00B53F69">
      <w:pPr>
        <w:pStyle w:val="FootnoteText"/>
        <w:tabs>
          <w:tab w:val="clear" w:pos="360"/>
        </w:tabs>
        <w:ind w:left="0" w:firstLine="720"/>
        <w:rPr>
          <w:rFonts w:ascii="Times New Roman" w:hAnsi="Times New Roman"/>
          <w:sz w:val="22"/>
          <w:szCs w:val="22"/>
          <w:lang w:val="fr-CA"/>
        </w:rPr>
      </w:pPr>
      <w:r w:rsidRPr="00623A2B">
        <w:rPr>
          <w:rFonts w:ascii="Times New Roman" w:hAnsi="Times New Roman"/>
          <w:sz w:val="22"/>
          <w:szCs w:val="22"/>
          <w:lang w:val="fr-CA"/>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4E9D964C" w14:textId="49BE41C2" w:rsidR="00D06B11" w:rsidRPr="00623A2B" w:rsidRDefault="00D06B11" w:rsidP="00B53F69">
      <w:pPr>
        <w:pStyle w:val="FootnoteText"/>
        <w:tabs>
          <w:tab w:val="clear" w:pos="360"/>
        </w:tabs>
        <w:ind w:left="0" w:firstLine="720"/>
        <w:rPr>
          <w:rFonts w:ascii="Times New Roman" w:hAnsi="Times New Roman"/>
          <w:sz w:val="22"/>
          <w:szCs w:val="22"/>
          <w:lang w:val="fr-CA"/>
        </w:rPr>
      </w:pPr>
    </w:p>
    <w:p w14:paraId="22ED9455" w14:textId="66DC25ED" w:rsidR="00D06B11" w:rsidRPr="00623A2B" w:rsidRDefault="00D06B11" w:rsidP="00B53F69">
      <w:pPr>
        <w:pStyle w:val="FootnoteText"/>
        <w:tabs>
          <w:tab w:val="clear" w:pos="360"/>
        </w:tabs>
        <w:ind w:left="0" w:firstLine="720"/>
        <w:rPr>
          <w:rFonts w:ascii="Times New Roman" w:hAnsi="Times New Roman"/>
          <w:sz w:val="22"/>
          <w:szCs w:val="22"/>
          <w:lang w:val="fr-CA"/>
        </w:rPr>
      </w:pPr>
      <w:r w:rsidRPr="00623A2B">
        <w:rPr>
          <w:rFonts w:ascii="Times New Roman" w:hAnsi="Times New Roman"/>
          <w:sz w:val="22"/>
          <w:szCs w:val="22"/>
          <w:lang w:val="fr-CA"/>
        </w:rPr>
        <w:t>2.</w:t>
      </w:r>
      <w:r w:rsidRPr="00623A2B">
        <w:rPr>
          <w:rFonts w:ascii="Times New Roman" w:hAnsi="Times New Roman"/>
          <w:sz w:val="22"/>
          <w:szCs w:val="22"/>
          <w:lang w:val="fr-CA"/>
        </w:rPr>
        <w:tab/>
        <w:t xml:space="preserve">… de personnes qui prétendent usurper la représentation légale de la République bolivarienne du Venezuela et du Gouvernement légitime du Président </w:t>
      </w:r>
      <w:proofErr w:type="spellStart"/>
      <w:r w:rsidRPr="00623A2B">
        <w:rPr>
          <w:rFonts w:ascii="Times New Roman" w:hAnsi="Times New Roman"/>
          <w:sz w:val="22"/>
          <w:szCs w:val="22"/>
          <w:lang w:val="fr-CA"/>
        </w:rPr>
        <w:t>Nicolás</w:t>
      </w:r>
      <w:proofErr w:type="spellEnd"/>
      <w:r w:rsidRPr="00623A2B">
        <w:rPr>
          <w:rFonts w:ascii="Times New Roman" w:hAnsi="Times New Roman"/>
          <w:sz w:val="22"/>
          <w:szCs w:val="22"/>
          <w:lang w:val="fr-CA"/>
        </w:rPr>
        <w:t xml:space="preserve"> </w:t>
      </w:r>
      <w:proofErr w:type="spellStart"/>
      <w:r w:rsidRPr="00623A2B">
        <w:rPr>
          <w:rFonts w:ascii="Times New Roman" w:hAnsi="Times New Roman"/>
          <w:sz w:val="22"/>
          <w:szCs w:val="22"/>
          <w:lang w:val="fr-CA"/>
        </w:rPr>
        <w:t>Maduro</w:t>
      </w:r>
      <w:proofErr w:type="spellEnd"/>
      <w:r w:rsidRPr="00623A2B">
        <w:rPr>
          <w:rFonts w:ascii="Times New Roman" w:hAnsi="Times New Roman"/>
          <w:sz w:val="22"/>
          <w:szCs w:val="22"/>
          <w:lang w:val="fr-CA"/>
        </w:rPr>
        <w:t xml:space="preserve"> Moros. Nous demandons que notre refus soit consigné dans tous les documents qui seront traités lors de la présente Cinquante-et-unième Session de l’Assemblée générale de l’OEA.</w:t>
      </w:r>
    </w:p>
    <w:p w14:paraId="26A7DBFA" w14:textId="10AEC85C" w:rsidR="00AA5FCE" w:rsidRPr="00623A2B" w:rsidRDefault="00AA5FCE" w:rsidP="00B53F69">
      <w:pPr>
        <w:pStyle w:val="FootnoteText"/>
        <w:tabs>
          <w:tab w:val="clear" w:pos="360"/>
        </w:tabs>
        <w:ind w:left="0" w:firstLine="720"/>
        <w:rPr>
          <w:rFonts w:ascii="Times New Roman" w:hAnsi="Times New Roman"/>
          <w:sz w:val="22"/>
          <w:szCs w:val="22"/>
          <w:lang w:val="fr-CA"/>
        </w:rPr>
      </w:pPr>
    </w:p>
    <w:p w14:paraId="7DB6981A" w14:textId="77777777" w:rsidR="00AA5FCE" w:rsidRPr="00623A2B" w:rsidRDefault="00AA5FCE" w:rsidP="00B53F69">
      <w:pPr>
        <w:pStyle w:val="FootnoteText"/>
        <w:tabs>
          <w:tab w:val="clear" w:pos="360"/>
        </w:tabs>
        <w:ind w:left="0" w:firstLine="720"/>
        <w:rPr>
          <w:rFonts w:ascii="Times New Roman" w:hAnsi="Times New Roman"/>
          <w:sz w:val="22"/>
          <w:szCs w:val="22"/>
          <w:lang w:val="fr-CA"/>
        </w:rPr>
      </w:pPr>
      <w:r w:rsidRPr="00623A2B">
        <w:rPr>
          <w:rFonts w:ascii="Times New Roman" w:hAnsi="Times New Roman"/>
          <w:sz w:val="22"/>
          <w:szCs w:val="22"/>
          <w:lang w:val="fr-CA"/>
        </w:rPr>
        <w:lastRenderedPageBreak/>
        <w:t>3.</w:t>
      </w:r>
      <w:r w:rsidRPr="00623A2B">
        <w:rPr>
          <w:rFonts w:ascii="Times New Roman" w:hAnsi="Times New Roman"/>
          <w:sz w:val="22"/>
          <w:szCs w:val="22"/>
          <w:lang w:val="fr-CA"/>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53BCAE79" w14:textId="77777777" w:rsidR="00BA4729" w:rsidRPr="00623A2B" w:rsidRDefault="00BA4729" w:rsidP="00B53F69">
      <w:pPr>
        <w:pStyle w:val="FootnoteText"/>
        <w:tabs>
          <w:tab w:val="clear" w:pos="360"/>
        </w:tabs>
        <w:ind w:left="0" w:firstLine="720"/>
        <w:rPr>
          <w:rFonts w:ascii="Times New Roman" w:hAnsi="Times New Roman"/>
          <w:sz w:val="22"/>
          <w:szCs w:val="22"/>
          <w:lang w:val="fr-CA"/>
        </w:rPr>
      </w:pPr>
    </w:p>
    <w:p w14:paraId="1960F4C9" w14:textId="77777777" w:rsidR="00B61297" w:rsidRPr="00623A2B" w:rsidRDefault="00AA5FCE" w:rsidP="00B53F69">
      <w:pPr>
        <w:pStyle w:val="FootnoteText"/>
        <w:tabs>
          <w:tab w:val="clear" w:pos="360"/>
        </w:tabs>
        <w:ind w:left="0" w:firstLine="720"/>
        <w:rPr>
          <w:rFonts w:ascii="Times New Roman" w:hAnsi="Times New Roman"/>
          <w:sz w:val="22"/>
          <w:szCs w:val="22"/>
          <w:lang w:val="fr-CA"/>
        </w:rPr>
      </w:pPr>
      <w:r w:rsidRPr="00623A2B">
        <w:rPr>
          <w:rFonts w:ascii="Times New Roman" w:hAnsi="Times New Roman"/>
          <w:sz w:val="22"/>
          <w:szCs w:val="22"/>
          <w:lang w:val="fr-CA"/>
        </w:rPr>
        <w:t xml:space="preserve">Antigua-et-Barbuda n'a pas soutenu la résolution CP/RES. 1124 (2217/19) du 9 avril 2019 qui visait à nommer M. Gustavo </w:t>
      </w:r>
      <w:proofErr w:type="spellStart"/>
      <w:r w:rsidRPr="00623A2B">
        <w:rPr>
          <w:rFonts w:ascii="Times New Roman" w:hAnsi="Times New Roman"/>
          <w:sz w:val="22"/>
          <w:szCs w:val="22"/>
          <w:lang w:val="fr-CA"/>
        </w:rPr>
        <w:t>Tarre</w:t>
      </w:r>
      <w:proofErr w:type="spellEnd"/>
      <w:r w:rsidRPr="00623A2B">
        <w:rPr>
          <w:rFonts w:ascii="Times New Roman" w:hAnsi="Times New Roman"/>
          <w:sz w:val="22"/>
          <w:szCs w:val="22"/>
          <w:lang w:val="fr-CA"/>
        </w:rPr>
        <w:t xml:space="preserve"> comme représentant de l'Assemblée nationale auprès de l'OEA et n'a pas accepté les pouvoirs des fonctionnaires ayant l'intention de représenter la République bolivarienne du Venezuela aux quarante-neuvième</w:t>
      </w:r>
      <w:r w:rsidR="001E62DB" w:rsidRPr="00623A2B">
        <w:rPr>
          <w:rFonts w:ascii="Times New Roman" w:hAnsi="Times New Roman"/>
          <w:sz w:val="22"/>
          <w:szCs w:val="22"/>
          <w:lang w:val="fr-CA"/>
        </w:rPr>
        <w:t xml:space="preserve">, </w:t>
      </w:r>
      <w:r w:rsidR="00087169" w:rsidRPr="00623A2B">
        <w:rPr>
          <w:rFonts w:ascii="Times New Roman" w:hAnsi="Times New Roman"/>
          <w:sz w:val="22"/>
          <w:szCs w:val="22"/>
          <w:lang w:val="fr-CA"/>
        </w:rPr>
        <w:t>cinquantième</w:t>
      </w:r>
      <w:r w:rsidR="008B6FC5" w:rsidRPr="00623A2B">
        <w:rPr>
          <w:rFonts w:ascii="Times New Roman" w:hAnsi="Times New Roman"/>
          <w:sz w:val="22"/>
          <w:szCs w:val="22"/>
          <w:lang w:val="fr-CA"/>
        </w:rPr>
        <w:t xml:space="preserve"> </w:t>
      </w:r>
      <w:r w:rsidR="001E62DB" w:rsidRPr="00623A2B">
        <w:rPr>
          <w:rFonts w:ascii="Times New Roman" w:hAnsi="Times New Roman"/>
          <w:sz w:val="22"/>
          <w:szCs w:val="22"/>
          <w:lang w:val="fr-CA"/>
        </w:rPr>
        <w:t>et cinquant</w:t>
      </w:r>
      <w:r w:rsidR="00087169" w:rsidRPr="00623A2B">
        <w:rPr>
          <w:rFonts w:ascii="Times New Roman" w:hAnsi="Times New Roman"/>
          <w:sz w:val="22"/>
          <w:szCs w:val="22"/>
          <w:lang w:val="fr-CA"/>
        </w:rPr>
        <w:t>e</w:t>
      </w:r>
      <w:r w:rsidR="001E62DB" w:rsidRPr="00623A2B">
        <w:rPr>
          <w:rFonts w:ascii="Times New Roman" w:hAnsi="Times New Roman"/>
          <w:sz w:val="22"/>
          <w:szCs w:val="22"/>
          <w:lang w:val="fr-CA"/>
        </w:rPr>
        <w:t>-</w:t>
      </w:r>
      <w:r w:rsidR="008B6FC5" w:rsidRPr="00623A2B">
        <w:rPr>
          <w:rFonts w:ascii="Times New Roman" w:hAnsi="Times New Roman"/>
          <w:sz w:val="22"/>
          <w:szCs w:val="22"/>
          <w:lang w:val="fr-CA"/>
        </w:rPr>
        <w:t>et-unième</w:t>
      </w:r>
      <w:r w:rsidR="001E62DB" w:rsidRPr="00623A2B">
        <w:rPr>
          <w:rFonts w:ascii="Times New Roman" w:hAnsi="Times New Roman"/>
          <w:sz w:val="22"/>
          <w:szCs w:val="22"/>
          <w:lang w:val="fr-CA"/>
        </w:rPr>
        <w:t xml:space="preserve"> </w:t>
      </w:r>
      <w:r w:rsidRPr="00623A2B">
        <w:rPr>
          <w:rFonts w:ascii="Times New Roman" w:hAnsi="Times New Roman"/>
          <w:sz w:val="22"/>
          <w:szCs w:val="22"/>
          <w:lang w:val="fr-CA"/>
        </w:rPr>
        <w:t xml:space="preserve">sessions ordinaires de l'Assemblée générale. </w:t>
      </w:r>
    </w:p>
    <w:p w14:paraId="6276D3CC" w14:textId="77777777" w:rsidR="00B61297" w:rsidRPr="00623A2B" w:rsidRDefault="00B61297" w:rsidP="00B53F69">
      <w:pPr>
        <w:pStyle w:val="FootnoteText"/>
        <w:tabs>
          <w:tab w:val="clear" w:pos="360"/>
        </w:tabs>
        <w:ind w:left="0" w:firstLine="720"/>
        <w:rPr>
          <w:rFonts w:ascii="Times New Roman" w:hAnsi="Times New Roman"/>
          <w:sz w:val="22"/>
          <w:szCs w:val="22"/>
          <w:lang w:val="fr-CA"/>
        </w:rPr>
      </w:pPr>
    </w:p>
    <w:p w14:paraId="0E636415" w14:textId="5594FC35" w:rsidR="00AA5FCE" w:rsidRPr="00623A2B" w:rsidRDefault="00B61297" w:rsidP="00B53F69">
      <w:pPr>
        <w:pStyle w:val="FootnoteText"/>
        <w:tabs>
          <w:tab w:val="clear" w:pos="360"/>
        </w:tabs>
        <w:ind w:left="0" w:firstLine="720"/>
        <w:rPr>
          <w:rFonts w:ascii="Times New Roman" w:hAnsi="Times New Roman"/>
          <w:sz w:val="22"/>
          <w:szCs w:val="22"/>
          <w:lang w:val="fr-CA"/>
        </w:rPr>
      </w:pPr>
      <w:r w:rsidRPr="00623A2B">
        <w:rPr>
          <w:rFonts w:ascii="Times New Roman" w:hAnsi="Times New Roman"/>
          <w:sz w:val="22"/>
          <w:szCs w:val="22"/>
          <w:lang w:val="fr-CA"/>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4F9C6ED8" w14:textId="3F553C65" w:rsidR="00C53C5C" w:rsidRPr="00623A2B" w:rsidRDefault="00C53C5C" w:rsidP="00B53F69">
      <w:pPr>
        <w:pStyle w:val="FootnoteText"/>
        <w:tabs>
          <w:tab w:val="clear" w:pos="360"/>
        </w:tabs>
        <w:ind w:left="0" w:firstLine="720"/>
        <w:rPr>
          <w:rFonts w:ascii="Times New Roman" w:hAnsi="Times New Roman"/>
          <w:sz w:val="22"/>
          <w:szCs w:val="22"/>
          <w:lang w:val="fr-CA"/>
        </w:rPr>
      </w:pPr>
    </w:p>
    <w:p w14:paraId="068CFF5A" w14:textId="05FA296B" w:rsidR="00C53C5C" w:rsidRPr="00623A2B" w:rsidRDefault="00C53C5C" w:rsidP="00B53F69">
      <w:pPr>
        <w:pStyle w:val="FootnoteText"/>
        <w:tabs>
          <w:tab w:val="clear" w:pos="360"/>
        </w:tabs>
        <w:ind w:left="0" w:firstLine="720"/>
        <w:rPr>
          <w:rFonts w:ascii="Times New Roman" w:hAnsi="Times New Roman"/>
          <w:sz w:val="22"/>
          <w:szCs w:val="22"/>
          <w:lang w:val="fr-CA"/>
        </w:rPr>
      </w:pPr>
      <w:r w:rsidRPr="00623A2B">
        <w:rPr>
          <w:rFonts w:ascii="Times New Roman" w:hAnsi="Times New Roman"/>
          <w:sz w:val="22"/>
          <w:szCs w:val="22"/>
          <w:lang w:val="fr-CA"/>
        </w:rPr>
        <w:t>4.</w:t>
      </w:r>
      <w:r w:rsidRPr="00623A2B">
        <w:rPr>
          <w:rFonts w:ascii="Times New Roman" w:hAnsi="Times New Roman"/>
          <w:sz w:val="22"/>
          <w:szCs w:val="22"/>
          <w:lang w:val="fr-CA"/>
        </w:rPr>
        <w:tab/>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65CC636F" w14:textId="77777777" w:rsidR="00C53C5C" w:rsidRPr="00623A2B" w:rsidRDefault="00C53C5C" w:rsidP="00B53F69">
      <w:pPr>
        <w:pStyle w:val="FootnoteText"/>
        <w:tabs>
          <w:tab w:val="clear" w:pos="360"/>
        </w:tabs>
        <w:ind w:left="0" w:firstLine="720"/>
        <w:rPr>
          <w:rFonts w:ascii="Times New Roman" w:hAnsi="Times New Roman"/>
          <w:sz w:val="22"/>
          <w:szCs w:val="22"/>
          <w:lang w:val="fr-CA"/>
        </w:rPr>
      </w:pPr>
    </w:p>
    <w:p w14:paraId="43FAC60F" w14:textId="7E631224" w:rsidR="00C53C5C" w:rsidRPr="00623A2B" w:rsidRDefault="00C53C5C" w:rsidP="00B53F69">
      <w:pPr>
        <w:pStyle w:val="FootnoteText"/>
        <w:tabs>
          <w:tab w:val="clear" w:pos="360"/>
        </w:tabs>
        <w:ind w:left="0" w:firstLine="720"/>
        <w:rPr>
          <w:rFonts w:ascii="Times New Roman" w:hAnsi="Times New Roman"/>
          <w:sz w:val="22"/>
          <w:szCs w:val="22"/>
          <w:lang w:val="fr-CA"/>
        </w:rPr>
      </w:pPr>
      <w:r w:rsidRPr="00623A2B">
        <w:rPr>
          <w:rFonts w:ascii="Times New Roman" w:hAnsi="Times New Roman"/>
          <w:sz w:val="22"/>
          <w:szCs w:val="22"/>
          <w:lang w:val="fr-CA"/>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p>
    <w:p w14:paraId="39BBEA1C" w14:textId="791117E6" w:rsidR="009D765B" w:rsidRPr="00623A2B" w:rsidRDefault="009D765B" w:rsidP="00B53F69">
      <w:pPr>
        <w:pStyle w:val="FootnoteText"/>
        <w:tabs>
          <w:tab w:val="clear" w:pos="360"/>
        </w:tabs>
        <w:ind w:left="0" w:firstLine="720"/>
        <w:rPr>
          <w:rFonts w:ascii="Times New Roman" w:hAnsi="Times New Roman"/>
          <w:sz w:val="22"/>
          <w:szCs w:val="22"/>
          <w:lang w:val="fr-CA"/>
        </w:rPr>
      </w:pPr>
    </w:p>
    <w:p w14:paraId="6A4CF42A" w14:textId="77777777" w:rsidR="009D765B" w:rsidRPr="00623A2B" w:rsidRDefault="009D765B" w:rsidP="00B53F69">
      <w:pPr>
        <w:pStyle w:val="FootnoteText"/>
        <w:tabs>
          <w:tab w:val="clear" w:pos="360"/>
        </w:tabs>
        <w:ind w:left="0" w:firstLine="720"/>
        <w:rPr>
          <w:rFonts w:ascii="Times New Roman" w:hAnsi="Times New Roman"/>
          <w:sz w:val="22"/>
          <w:szCs w:val="22"/>
          <w:lang w:val="fr-CA"/>
        </w:rPr>
        <w:sectPr w:rsidR="009D765B" w:rsidRPr="00623A2B" w:rsidSect="00623A2B">
          <w:headerReference w:type="default" r:id="rId12"/>
          <w:footerReference w:type="default" r:id="rId13"/>
          <w:headerReference w:type="first" r:id="rId14"/>
          <w:footerReference w:type="first" r:id="rId15"/>
          <w:footnotePr>
            <w:numRestart w:val="eachSect"/>
          </w:footnotePr>
          <w:type w:val="oddPage"/>
          <w:pgSz w:w="12240" w:h="15840" w:code="1"/>
          <w:pgMar w:top="2160" w:right="1570" w:bottom="1296" w:left="1699" w:header="720" w:footer="720" w:gutter="0"/>
          <w:pgNumType w:start="1"/>
          <w:cols w:space="720"/>
          <w:noEndnote/>
          <w:titlePg/>
        </w:sectPr>
      </w:pPr>
    </w:p>
    <w:p w14:paraId="6E0E76CE" w14:textId="4D6158EA" w:rsidR="00653C3B" w:rsidRPr="00623A2B" w:rsidRDefault="00653C3B" w:rsidP="00164583">
      <w:pPr>
        <w:pStyle w:val="Heading1"/>
        <w:spacing w:before="0"/>
        <w:jc w:val="center"/>
        <w:rPr>
          <w:rFonts w:ascii="Times New Roman" w:hAnsi="Times New Roman" w:cs="Times New Roman"/>
          <w:color w:val="auto"/>
          <w:sz w:val="22"/>
          <w:szCs w:val="22"/>
          <w:lang w:val="fr-FR"/>
        </w:rPr>
      </w:pPr>
      <w:bookmarkStart w:id="1" w:name="_Toc89177453"/>
      <w:r w:rsidRPr="00623A2B">
        <w:rPr>
          <w:rFonts w:ascii="Times New Roman" w:hAnsi="Times New Roman" w:cs="Times New Roman"/>
          <w:color w:val="auto"/>
          <w:sz w:val="22"/>
          <w:szCs w:val="22"/>
          <w:lang w:val="fr-FR"/>
        </w:rPr>
        <w:lastRenderedPageBreak/>
        <w:t>AG/DEC. 104 (LI-O/21)</w:t>
      </w:r>
      <w:r w:rsidR="00B67BBC" w:rsidRPr="00623A2B">
        <w:rPr>
          <w:rFonts w:ascii="Times New Roman" w:hAnsi="Times New Roman" w:cs="Times New Roman"/>
          <w:color w:val="auto"/>
          <w:sz w:val="22"/>
          <w:szCs w:val="22"/>
          <w:lang w:val="fr-FR"/>
        </w:rPr>
        <w:br/>
      </w:r>
      <w:r w:rsidR="00B67BBC" w:rsidRPr="00623A2B">
        <w:rPr>
          <w:rFonts w:ascii="Times New Roman" w:hAnsi="Times New Roman" w:cs="Times New Roman"/>
          <w:color w:val="auto"/>
          <w:sz w:val="22"/>
          <w:szCs w:val="22"/>
          <w:lang w:val="fr-FR"/>
        </w:rPr>
        <w:br/>
      </w:r>
      <w:r w:rsidRPr="00623A2B">
        <w:rPr>
          <w:rFonts w:ascii="Times New Roman" w:hAnsi="Times New Roman" w:cs="Times New Roman"/>
          <w:color w:val="auto"/>
          <w:sz w:val="22"/>
          <w:szCs w:val="22"/>
          <w:lang w:val="fr-FR"/>
        </w:rPr>
        <w:t xml:space="preserve">ENGAGEMENT RENOUVELÉ ENVERS LE DÉVELOPPEMENT DURABLE </w:t>
      </w:r>
      <w:r w:rsidRPr="00623A2B">
        <w:rPr>
          <w:rFonts w:ascii="Times New Roman" w:hAnsi="Times New Roman" w:cs="Times New Roman"/>
          <w:color w:val="auto"/>
          <w:sz w:val="22"/>
          <w:szCs w:val="22"/>
          <w:lang w:val="fr-FR"/>
        </w:rPr>
        <w:br/>
        <w:t>DANS LES AMÉRIQUES APRÈS LA COVID-19</w:t>
      </w:r>
      <w:r w:rsidRPr="00623A2B">
        <w:rPr>
          <w:rStyle w:val="FootnoteReference"/>
          <w:rFonts w:ascii="Times New Roman" w:hAnsi="Times New Roman" w:cs="Times New Roman"/>
          <w:sz w:val="22"/>
          <w:szCs w:val="22"/>
          <w:u w:val="single"/>
          <w:vertAlign w:val="superscript"/>
          <w:lang w:val="pt-BR"/>
        </w:rPr>
        <w:footnoteReference w:id="5"/>
      </w:r>
      <w:r w:rsidRPr="00623A2B">
        <w:rPr>
          <w:rFonts w:ascii="Times New Roman" w:hAnsi="Times New Roman" w:cs="Times New Roman"/>
          <w:color w:val="auto"/>
          <w:sz w:val="22"/>
          <w:szCs w:val="22"/>
          <w:vertAlign w:val="superscript"/>
          <w:lang w:val="fr-FR"/>
        </w:rPr>
        <w:t>/</w:t>
      </w:r>
      <w:r w:rsidRPr="00623A2B">
        <w:rPr>
          <w:rStyle w:val="FootnoteReference"/>
          <w:rFonts w:ascii="Times New Roman" w:hAnsi="Times New Roman" w:cs="Times New Roman"/>
          <w:sz w:val="22"/>
          <w:szCs w:val="22"/>
          <w:u w:val="single"/>
          <w:vertAlign w:val="superscript"/>
          <w:lang w:val="pt-BR"/>
        </w:rPr>
        <w:footnoteReference w:id="6"/>
      </w:r>
      <w:r w:rsidRPr="00623A2B">
        <w:rPr>
          <w:rFonts w:ascii="Times New Roman" w:hAnsi="Times New Roman" w:cs="Times New Roman"/>
          <w:color w:val="auto"/>
          <w:sz w:val="22"/>
          <w:szCs w:val="22"/>
          <w:vertAlign w:val="superscript"/>
          <w:lang w:val="fr-FR"/>
        </w:rPr>
        <w:t>/</w:t>
      </w:r>
      <w:r w:rsidRPr="00623A2B">
        <w:rPr>
          <w:rStyle w:val="FootnoteReference"/>
          <w:rFonts w:ascii="Times New Roman" w:hAnsi="Times New Roman" w:cs="Times New Roman"/>
          <w:sz w:val="22"/>
          <w:szCs w:val="22"/>
          <w:u w:val="single"/>
          <w:vertAlign w:val="superscript"/>
          <w:lang w:val="pt-BR"/>
        </w:rPr>
        <w:footnoteReference w:id="7"/>
      </w:r>
      <w:r w:rsidRPr="00623A2B">
        <w:rPr>
          <w:rFonts w:ascii="Times New Roman" w:hAnsi="Times New Roman" w:cs="Times New Roman"/>
          <w:color w:val="auto"/>
          <w:sz w:val="22"/>
          <w:szCs w:val="22"/>
          <w:vertAlign w:val="superscript"/>
          <w:lang w:val="fr-FR"/>
        </w:rPr>
        <w:t>/</w:t>
      </w:r>
      <w:r w:rsidRPr="00623A2B">
        <w:rPr>
          <w:rStyle w:val="FootnoteReference"/>
          <w:rFonts w:ascii="Times New Roman" w:hAnsi="Times New Roman" w:cs="Times New Roman"/>
          <w:sz w:val="22"/>
          <w:szCs w:val="22"/>
          <w:u w:val="single"/>
          <w:vertAlign w:val="superscript"/>
          <w:lang w:val="pt-BR"/>
        </w:rPr>
        <w:footnoteReference w:id="8"/>
      </w:r>
      <w:r w:rsidRPr="00623A2B">
        <w:rPr>
          <w:rFonts w:ascii="Times New Roman" w:hAnsi="Times New Roman" w:cs="Times New Roman"/>
          <w:color w:val="auto"/>
          <w:sz w:val="22"/>
          <w:szCs w:val="22"/>
          <w:vertAlign w:val="superscript"/>
          <w:lang w:val="fr-CA"/>
        </w:rPr>
        <w:t>/</w:t>
      </w:r>
      <w:bookmarkEnd w:id="1"/>
    </w:p>
    <w:p w14:paraId="3BF0B46C" w14:textId="77777777" w:rsidR="00653C3B" w:rsidRPr="00623A2B" w:rsidRDefault="00653C3B" w:rsidP="0016458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p>
    <w:p w14:paraId="1C46692E" w14:textId="77777777" w:rsidR="00653C3B" w:rsidRPr="00623A2B" w:rsidRDefault="00653C3B" w:rsidP="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623A2B">
        <w:rPr>
          <w:rFonts w:ascii="Times New Roman" w:hAnsi="Times New Roman"/>
          <w:szCs w:val="22"/>
          <w:lang w:val="fr-FR"/>
        </w:rPr>
        <w:t xml:space="preserve">(Déclaration adoptée à la </w:t>
      </w:r>
      <w:r w:rsidRPr="00623A2B">
        <w:rPr>
          <w:rFonts w:ascii="Times New Roman" w:hAnsi="Times New Roman"/>
          <w:bCs/>
          <w:szCs w:val="22"/>
          <w:lang w:val="fr-FR"/>
        </w:rPr>
        <w:t xml:space="preserve">quatrième </w:t>
      </w:r>
      <w:r w:rsidRPr="00623A2B">
        <w:rPr>
          <w:rFonts w:ascii="Times New Roman" w:hAnsi="Times New Roman"/>
          <w:szCs w:val="22"/>
          <w:lang w:val="fr-FR"/>
        </w:rPr>
        <w:t xml:space="preserve">séance plénière, le 12 novembre 2021) </w:t>
      </w:r>
    </w:p>
    <w:p w14:paraId="543DCA4C" w14:textId="77777777" w:rsidR="00653C3B" w:rsidRPr="00623A2B" w:rsidRDefault="00653C3B" w:rsidP="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186B57A" w14:textId="77777777" w:rsidR="00653C3B" w:rsidRPr="00623A2B" w:rsidRDefault="00653C3B" w:rsidP="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7ECEA6E" w14:textId="77777777" w:rsidR="00653C3B" w:rsidRPr="00623A2B" w:rsidRDefault="00653C3B" w:rsidP="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623A2B">
        <w:rPr>
          <w:rFonts w:ascii="Times New Roman" w:hAnsi="Times New Roman"/>
          <w:szCs w:val="22"/>
          <w:lang w:val="fr-FR"/>
        </w:rPr>
        <w:tab/>
        <w:t xml:space="preserve">L’ASSEMBLÉE GÉNÉRALE, </w:t>
      </w:r>
    </w:p>
    <w:p w14:paraId="26EA4106" w14:textId="77777777" w:rsidR="00653C3B" w:rsidRPr="00623A2B" w:rsidRDefault="00653C3B" w:rsidP="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3CD4C77" w14:textId="77777777" w:rsidR="00653C3B" w:rsidRPr="00623A2B" w:rsidRDefault="00653C3B" w:rsidP="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pacing w:val="-2"/>
          <w:szCs w:val="22"/>
          <w:lang w:val="fr-FR"/>
        </w:rPr>
      </w:pPr>
      <w:r w:rsidRPr="00623A2B">
        <w:rPr>
          <w:rFonts w:ascii="Times New Roman" w:hAnsi="Times New Roman"/>
          <w:szCs w:val="22"/>
          <w:lang w:val="fr-FR"/>
        </w:rPr>
        <w:t>RÉAFFIRMANT son engagement envers les principes exprimés dans l'article 3 de la Charte de l'Organisation des États Américains (OEA), le renforcement des actions de l'Organisation et de ses États membres pour atteindre les objectifs contenus dans le chapitre VII de la Charte de l'Organisation, en particulier selon l'article 30, et envers la Déclaration américaine des droits et devoirs de l'homme, la Convention américaine et son Protocole traitant des droits économiques, sociaux et culturels (Protocole de San Salvador),</w:t>
      </w:r>
    </w:p>
    <w:p w14:paraId="75FB1711" w14:textId="77777777" w:rsidR="00653C3B" w:rsidRPr="00623A2B" w:rsidRDefault="00653C3B" w:rsidP="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pacing w:val="-2"/>
          <w:szCs w:val="22"/>
          <w:lang w:val="fr-FR"/>
        </w:rPr>
      </w:pPr>
    </w:p>
    <w:p w14:paraId="3CB0DCF7" w14:textId="77777777" w:rsidR="00653C3B" w:rsidRPr="00623A2B" w:rsidRDefault="00653C3B" w:rsidP="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lang w:val="fr-FR"/>
        </w:rPr>
      </w:pPr>
      <w:r w:rsidRPr="00623A2B">
        <w:rPr>
          <w:rFonts w:ascii="Times New Roman" w:hAnsi="Times New Roman"/>
          <w:szCs w:val="22"/>
          <w:lang w:val="fr-FR"/>
        </w:rPr>
        <w:t>RAPPELANT l'article 15 de la Charte démocratique interaméricaine qui établit  que « [l]’exercice de la démocratie encourage la conservation et une gestion adéquate de l’environnement » et réitère qu’il est nécessaire de protéger « l’environnement, en vue de parvenir à un développement durable au profit des générations futures », les engagements des États membres en faveur de l'action climatique par le biais de l'Accord de Paris  la Convention-cadre des Nations Unies sur les changements climatiques (CCNUCC) et des accords connexes, le Programme interaméricain de développement durable (PIDS) et le droit au développement proclamé dans la Déclaration sur le droit au développement adoptée en 1986 par l'Assemblée générale des Nations Unies et réaffirmé par la Déclaration et le Programme d'action de Vienne de la Conférence mondiale sur les droits de l'homme,</w:t>
      </w:r>
      <w:r w:rsidRPr="00623A2B">
        <w:rPr>
          <w:rStyle w:val="FootnoteReference"/>
          <w:rFonts w:ascii="Times New Roman" w:eastAsiaTheme="minorHAnsi" w:hAnsi="Times New Roman"/>
          <w:szCs w:val="22"/>
          <w:u w:val="single"/>
        </w:rPr>
        <w:footnoteReference w:id="9"/>
      </w:r>
      <w:r w:rsidRPr="00623A2B">
        <w:rPr>
          <w:rFonts w:ascii="Times New Roman" w:hAnsi="Times New Roman"/>
          <w:szCs w:val="22"/>
          <w:vertAlign w:val="superscript"/>
          <w:lang w:val="fr-FR"/>
        </w:rPr>
        <w:t>/</w:t>
      </w:r>
    </w:p>
    <w:p w14:paraId="6819B7E2" w14:textId="77777777" w:rsidR="00653C3B" w:rsidRPr="00623A2B" w:rsidRDefault="00653C3B" w:rsidP="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DB0563B" w14:textId="77777777" w:rsidR="00653C3B" w:rsidRPr="00623A2B" w:rsidRDefault="00653C3B" w:rsidP="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623A2B">
        <w:rPr>
          <w:rFonts w:ascii="Times New Roman" w:hAnsi="Times New Roman"/>
          <w:szCs w:val="22"/>
          <w:lang w:val="fr-FR"/>
        </w:rPr>
        <w:tab/>
      </w:r>
      <w:r w:rsidRPr="00623A2B">
        <w:rPr>
          <w:rFonts w:ascii="Times New Roman" w:hAnsi="Times New Roman"/>
          <w:color w:val="000000" w:themeColor="text1"/>
          <w:szCs w:val="22"/>
          <w:lang w:val="fr-FR"/>
        </w:rPr>
        <w:t xml:space="preserve">RECONNAISSANT que pour parvenir à un développement durable et atteindre les objectifs du Programme 2030, les États membres doivent continuer à s'attaquer </w:t>
      </w:r>
      <w:r w:rsidRPr="00623A2B">
        <w:rPr>
          <w:rFonts w:ascii="Times New Roman" w:hAnsi="Times New Roman"/>
          <w:color w:val="000000" w:themeColor="text1"/>
          <w:szCs w:val="22"/>
          <w:bdr w:val="none" w:sz="0" w:space="0" w:color="auto" w:frame="1"/>
          <w:lang w:val="fr-FR"/>
        </w:rPr>
        <w:t xml:space="preserve">aux causes de la pauvreté, de la faim, du racisme systémique, de la discrimination, de l’intolérance et des inégalités, qui touchent particulièrement les personnes en situation de vulnérabilité, notamment les </w:t>
      </w:r>
      <w:r w:rsidRPr="00623A2B">
        <w:rPr>
          <w:rFonts w:ascii="Times New Roman" w:hAnsi="Times New Roman"/>
          <w:color w:val="000000" w:themeColor="text1"/>
          <w:szCs w:val="22"/>
          <w:lang w:val="fr-FR"/>
        </w:rPr>
        <w:t>femmes, qui ont subi les conséquences défavorables de la pandémie de COVID-19 en raison de l’augmentation exacerbée de la violence, surtout la violence domestique, le travail de soins non rémunéré et le manque d’accès au marché du travail formel, ce qui représente un revers majeur pour l’exercice intégral et égal des droits économiques de toutes les femmes et pour la réalisation des objectifs de développement durable,</w:t>
      </w:r>
    </w:p>
    <w:p w14:paraId="30E8FC50" w14:textId="77777777" w:rsidR="00653C3B" w:rsidRPr="00623A2B" w:rsidRDefault="00653C3B" w:rsidP="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5244B99" w14:textId="77777777" w:rsidR="00653C3B" w:rsidRPr="00623A2B" w:rsidRDefault="00653C3B" w:rsidP="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623A2B">
        <w:rPr>
          <w:rFonts w:ascii="Times New Roman" w:hAnsi="Times New Roman"/>
          <w:szCs w:val="22"/>
          <w:lang w:val="fr-FR"/>
        </w:rPr>
        <w:tab/>
        <w:t xml:space="preserve">RECONNAISSANT ÉGALEMENT l’importance fondamentale qui doit être attribuée à des méthodes robustes, inclusives et prévisibles de mise en œuvre, telles que le financement, le </w:t>
      </w:r>
      <w:r w:rsidRPr="00623A2B">
        <w:rPr>
          <w:rFonts w:ascii="Times New Roman" w:hAnsi="Times New Roman"/>
          <w:szCs w:val="22"/>
          <w:lang w:val="fr-FR"/>
        </w:rPr>
        <w:lastRenderedPageBreak/>
        <w:t xml:space="preserve">renforcement des capacités et le transfert volontaire de technologie convenu d’un commun accord pour parvenir à un développement durable, particulièrement par les pays en développement,  </w:t>
      </w:r>
    </w:p>
    <w:p w14:paraId="0C7511D0" w14:textId="77777777" w:rsidR="00653C3B" w:rsidRPr="00623A2B" w:rsidRDefault="00653C3B" w:rsidP="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2391B54" w14:textId="77777777" w:rsidR="00653C3B" w:rsidRPr="00623A2B" w:rsidRDefault="00653C3B" w:rsidP="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623A2B">
        <w:rPr>
          <w:rFonts w:ascii="Times New Roman" w:hAnsi="Times New Roman"/>
          <w:szCs w:val="22"/>
          <w:lang w:val="fr-FR"/>
        </w:rPr>
        <w:tab/>
        <w:t>RECONNAISSANT EN OUTRE le rôle fondamental que remplissent les femmes en ce qui concerne la réaction au COVID-19 ainsi que la nécessité pour les États membres d'assurer la participation pleine, égale et significative des femmes, tout en respectant et en valorisant la diversité de leurs situations et de leurs conditions, à la prise de décision et l'égalité d'accès au leadership et à la représentation dans toutes les sphères de la société, comme base d’une réponse efficace,</w:t>
      </w:r>
    </w:p>
    <w:p w14:paraId="63DA12EC" w14:textId="77777777" w:rsidR="00653C3B" w:rsidRPr="00623A2B" w:rsidRDefault="00653C3B" w:rsidP="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strike/>
          <w:szCs w:val="22"/>
          <w:lang w:val="fr-FR"/>
        </w:rPr>
      </w:pPr>
    </w:p>
    <w:p w14:paraId="4014C46C" w14:textId="77777777" w:rsidR="00653C3B" w:rsidRPr="00623A2B" w:rsidRDefault="00653C3B" w:rsidP="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623A2B">
        <w:rPr>
          <w:rFonts w:ascii="Times New Roman" w:hAnsi="Times New Roman"/>
          <w:szCs w:val="22"/>
          <w:lang w:val="fr-FR"/>
        </w:rPr>
        <w:tab/>
        <w:t>AVEC UN ENGAGEMENT RENOUVELÉ en cette première année de la Décennie d'action pour les ODD, en faveur de la réalisation du Programme de développement durable à l’horizon 2030 dans les Amériques,</w:t>
      </w:r>
    </w:p>
    <w:p w14:paraId="77C04829" w14:textId="77777777" w:rsidR="00653C3B" w:rsidRPr="00623A2B" w:rsidRDefault="00653C3B" w:rsidP="00653C3B">
      <w:pPr>
        <w:pStyle w:val="xmsonormal"/>
        <w:shd w:val="clear" w:color="auto" w:fill="FFFFFF"/>
        <w:spacing w:before="0" w:beforeAutospacing="0" w:after="0" w:afterAutospacing="0"/>
        <w:jc w:val="both"/>
        <w:rPr>
          <w:sz w:val="22"/>
          <w:szCs w:val="22"/>
        </w:rPr>
      </w:pPr>
    </w:p>
    <w:p w14:paraId="269D4070" w14:textId="4073DE51" w:rsidR="00653C3B" w:rsidRPr="00623A2B" w:rsidRDefault="00653C3B" w:rsidP="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szCs w:val="22"/>
          <w:u w:val="single"/>
        </w:rPr>
      </w:pPr>
      <w:r w:rsidRPr="00623A2B">
        <w:rPr>
          <w:rFonts w:ascii="Times New Roman" w:hAnsi="Times New Roman"/>
          <w:iCs/>
          <w:szCs w:val="22"/>
        </w:rPr>
        <w:t>DÉCLARE:</w:t>
      </w:r>
    </w:p>
    <w:p w14:paraId="79BDBFC2" w14:textId="77777777" w:rsidR="00653C3B" w:rsidRPr="00623A2B" w:rsidRDefault="00653C3B" w:rsidP="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rPr>
      </w:pPr>
    </w:p>
    <w:p w14:paraId="7F7262B8" w14:textId="77777777" w:rsidR="00653C3B" w:rsidRPr="00623A2B" w:rsidRDefault="00653C3B" w:rsidP="00653C3B">
      <w:pPr>
        <w:pStyle w:val="NormalWeb"/>
        <w:numPr>
          <w:ilvl w:val="0"/>
          <w:numId w:val="1"/>
        </w:numPr>
        <w:shd w:val="clear" w:color="auto" w:fill="FFFFFF"/>
        <w:spacing w:before="0" w:beforeAutospacing="0" w:after="0" w:afterAutospacing="0"/>
        <w:ind w:left="0" w:firstLine="720"/>
        <w:jc w:val="both"/>
        <w:rPr>
          <w:color w:val="000000" w:themeColor="text1"/>
          <w:sz w:val="22"/>
          <w:szCs w:val="22"/>
        </w:rPr>
      </w:pPr>
      <w:r w:rsidRPr="00623A2B">
        <w:rPr>
          <w:color w:val="000000" w:themeColor="text1"/>
          <w:sz w:val="22"/>
          <w:szCs w:val="22"/>
        </w:rPr>
        <w:t xml:space="preserve">La nécessité d’avancer vers une approche globale et multidisciplinaire impliquant tous les États membres et tous les organes, entités et institutions spécialisées et secrétariats de l'Organisation des États Américains en quête de la réalisation des objectifs du Programme de développement durable à l’horizon 2030. </w:t>
      </w:r>
    </w:p>
    <w:p w14:paraId="624226C0" w14:textId="77777777" w:rsidR="00653C3B" w:rsidRPr="00623A2B" w:rsidRDefault="00653C3B" w:rsidP="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1ED581F9" w14:textId="77777777" w:rsidR="00653C3B" w:rsidRPr="00623A2B" w:rsidRDefault="00653C3B" w:rsidP="00653C3B">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themeColor="text1"/>
          <w:szCs w:val="22"/>
          <w:lang w:val="fr-FR"/>
        </w:rPr>
      </w:pPr>
      <w:r w:rsidRPr="00623A2B">
        <w:rPr>
          <w:rFonts w:ascii="Times New Roman" w:hAnsi="Times New Roman"/>
          <w:color w:val="000000" w:themeColor="text1"/>
          <w:szCs w:val="22"/>
          <w:lang w:val="fr-FR"/>
        </w:rPr>
        <w:t>Son engagement à continuer de promouvoir des mesures nationales et régionales pour répondre aux multiples crises qui surgissent, en s’attaquant aux causes structurelles, notamment pour contrecarrer les incidences du changement climatique et la perte de biodiversité, ainsi que la discrimination, la faim et l’insécurité alimentaire et nutritionnelle, les déplacements, la pauvreté et la violence.</w:t>
      </w:r>
    </w:p>
    <w:p w14:paraId="7FE7E859" w14:textId="77777777" w:rsidR="00653C3B" w:rsidRPr="00623A2B" w:rsidRDefault="00653C3B" w:rsidP="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7EC995B0" w14:textId="77777777" w:rsidR="00653C3B" w:rsidRPr="00623A2B" w:rsidRDefault="00653C3B" w:rsidP="00653C3B">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themeColor="text1"/>
          <w:szCs w:val="22"/>
          <w:lang w:val="fr-FR"/>
        </w:rPr>
      </w:pPr>
      <w:r w:rsidRPr="00623A2B">
        <w:rPr>
          <w:rFonts w:ascii="Times New Roman" w:hAnsi="Times New Roman"/>
          <w:color w:val="000000" w:themeColor="text1"/>
          <w:szCs w:val="22"/>
          <w:bdr w:val="none" w:sz="0" w:space="0" w:color="auto" w:frame="1"/>
          <w:lang w:val="fr-FR"/>
        </w:rPr>
        <w:t>La pertinence de la prise en compte de politiques qui offrent les plus hauts niveaux de protection des droits humains des femmes, en respectant et en valorisant la pleine diversité de leurs situations et de leurs conditions, dans le contexte de la pandémie de COVID-19 et de ses conséquences spécifiques sur les femmes, en particulier celles en situation de vulnérabilité</w:t>
      </w:r>
      <w:r w:rsidRPr="00623A2B">
        <w:rPr>
          <w:rFonts w:ascii="Times New Roman" w:hAnsi="Times New Roman"/>
          <w:color w:val="000000" w:themeColor="text1"/>
          <w:szCs w:val="22"/>
          <w:lang w:val="fr-FR"/>
        </w:rPr>
        <w:t>.</w:t>
      </w:r>
    </w:p>
    <w:p w14:paraId="16808EC8" w14:textId="77777777" w:rsidR="00653C3B" w:rsidRPr="00623A2B" w:rsidRDefault="00653C3B" w:rsidP="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5CF23C49" w14:textId="77777777" w:rsidR="00653C3B" w:rsidRPr="00623A2B" w:rsidRDefault="00653C3B" w:rsidP="00653C3B">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themeColor="text1"/>
          <w:szCs w:val="22"/>
          <w:lang w:val="fr-FR"/>
        </w:rPr>
      </w:pPr>
      <w:r w:rsidRPr="00623A2B">
        <w:rPr>
          <w:rFonts w:ascii="Times New Roman" w:hAnsi="Times New Roman"/>
          <w:color w:val="000000" w:themeColor="text1"/>
          <w:szCs w:val="22"/>
          <w:lang w:val="fr-FR"/>
        </w:rPr>
        <w:t>L’importance de renforcer le rôle de l'OEA en fonction de ses quatre piliers, de collaborer avec les États membres et d'autres partenaires stratégiques pour identifier les tendances, les défis, les opportunités et les vulnérabilités, et de fournir une assistance technique aux États membres dans leurs efforts de renforcement des capacités nationales pour parvenir au développement durable.</w:t>
      </w:r>
    </w:p>
    <w:p w14:paraId="53FFAE1C" w14:textId="77777777" w:rsidR="00653C3B" w:rsidRPr="00623A2B" w:rsidRDefault="00653C3B" w:rsidP="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color w:val="000000" w:themeColor="text1"/>
          <w:szCs w:val="22"/>
          <w:lang w:val="fr-FR"/>
        </w:rPr>
      </w:pPr>
      <w:r w:rsidRPr="00623A2B">
        <w:rPr>
          <w:rFonts w:ascii="Times New Roman" w:hAnsi="Times New Roman"/>
          <w:color w:val="000000" w:themeColor="text1"/>
          <w:szCs w:val="22"/>
          <w:lang w:val="fr-FR"/>
        </w:rPr>
        <w:br w:type="page"/>
      </w:r>
    </w:p>
    <w:p w14:paraId="0358A674" w14:textId="77777777" w:rsidR="00653C3B" w:rsidRPr="00623A2B" w:rsidRDefault="00653C3B" w:rsidP="00653C3B">
      <w:pPr>
        <w:suppressAutoHyphens/>
        <w:jc w:val="center"/>
        <w:rPr>
          <w:rFonts w:ascii="Times New Roman" w:hAnsi="Times New Roman"/>
          <w:szCs w:val="22"/>
          <w:lang w:val="fr-FR"/>
        </w:rPr>
      </w:pPr>
      <w:r w:rsidRPr="00623A2B">
        <w:rPr>
          <w:rFonts w:ascii="Times New Roman" w:hAnsi="Times New Roman"/>
          <w:szCs w:val="22"/>
          <w:lang w:val="fr-FR"/>
        </w:rPr>
        <w:lastRenderedPageBreak/>
        <w:t>NOTES DE BAS DE PAGE</w:t>
      </w:r>
    </w:p>
    <w:p w14:paraId="7AF65BAC" w14:textId="77777777" w:rsidR="00653C3B" w:rsidRPr="00623A2B" w:rsidRDefault="00653C3B" w:rsidP="00653C3B">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827C3C7" w14:textId="77777777" w:rsidR="00653C3B" w:rsidRPr="00623A2B" w:rsidRDefault="00653C3B" w:rsidP="00653C3B">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88E9186" w14:textId="77777777" w:rsidR="00653C3B" w:rsidRPr="00623A2B" w:rsidRDefault="00653C3B" w:rsidP="00653C3B">
      <w:pPr>
        <w:pStyle w:val="FootnoteText"/>
        <w:tabs>
          <w:tab w:val="clear" w:pos="360"/>
        </w:tabs>
        <w:ind w:left="0" w:firstLine="360"/>
        <w:rPr>
          <w:rFonts w:ascii="Times New Roman" w:hAnsi="Times New Roman"/>
          <w:sz w:val="22"/>
          <w:szCs w:val="22"/>
          <w:lang w:val="fr-FR"/>
        </w:rPr>
      </w:pPr>
      <w:r w:rsidRPr="00623A2B">
        <w:rPr>
          <w:rFonts w:ascii="Times New Roman" w:hAnsi="Times New Roman"/>
          <w:sz w:val="22"/>
          <w:szCs w:val="22"/>
          <w:lang w:val="fr-FR"/>
        </w:rPr>
        <w:tab/>
        <w:t>1.</w:t>
      </w:r>
      <w:r w:rsidRPr="00623A2B">
        <w:rPr>
          <w:rFonts w:ascii="Times New Roman" w:hAnsi="Times New Roman"/>
          <w:sz w:val="22"/>
          <w:szCs w:val="22"/>
          <w:lang w:val="fr-FR"/>
        </w:rPr>
        <w:tab/>
        <w:t>… Cinquante-et-unième Session ordinaire de l’Assemblée générale de l’Organisation des États Américains (OEA), lesquelles constituent des actes contraires au droit international.</w:t>
      </w:r>
    </w:p>
    <w:p w14:paraId="60716831" w14:textId="77777777" w:rsidR="00653C3B" w:rsidRPr="00623A2B" w:rsidRDefault="00653C3B" w:rsidP="00653C3B">
      <w:pPr>
        <w:pStyle w:val="FootnoteText"/>
        <w:tabs>
          <w:tab w:val="clear" w:pos="360"/>
        </w:tabs>
        <w:ind w:left="0" w:firstLine="360"/>
        <w:rPr>
          <w:rFonts w:ascii="Times New Roman" w:hAnsi="Times New Roman"/>
          <w:sz w:val="22"/>
          <w:szCs w:val="22"/>
          <w:lang w:val="fr-FR"/>
        </w:rPr>
      </w:pPr>
    </w:p>
    <w:p w14:paraId="79B70793" w14:textId="77777777" w:rsidR="00653C3B" w:rsidRPr="00623A2B" w:rsidRDefault="00653C3B" w:rsidP="00653C3B">
      <w:pPr>
        <w:pStyle w:val="FootnoteText"/>
        <w:tabs>
          <w:tab w:val="clear" w:pos="360"/>
        </w:tabs>
        <w:ind w:left="0" w:firstLine="720"/>
        <w:rPr>
          <w:rFonts w:ascii="Times New Roman" w:hAnsi="Times New Roman"/>
          <w:sz w:val="22"/>
          <w:szCs w:val="22"/>
          <w:lang w:val="fr-FR"/>
        </w:rPr>
      </w:pPr>
      <w:r w:rsidRPr="00623A2B">
        <w:rPr>
          <w:rFonts w:ascii="Times New Roman" w:hAnsi="Times New Roman"/>
          <w:sz w:val="22"/>
          <w:szCs w:val="22"/>
          <w:lang w:val="fr-FR"/>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7DAA8231" w14:textId="77777777" w:rsidR="00653C3B" w:rsidRPr="00623A2B" w:rsidRDefault="00653C3B" w:rsidP="00653C3B">
      <w:pPr>
        <w:pStyle w:val="FootnoteText"/>
        <w:tabs>
          <w:tab w:val="clear" w:pos="360"/>
        </w:tabs>
        <w:ind w:left="0" w:firstLine="360"/>
        <w:rPr>
          <w:rFonts w:ascii="Times New Roman" w:hAnsi="Times New Roman"/>
          <w:sz w:val="22"/>
          <w:szCs w:val="22"/>
          <w:lang w:val="fr-FR"/>
        </w:rPr>
      </w:pPr>
    </w:p>
    <w:p w14:paraId="1151924E" w14:textId="77777777" w:rsidR="00653C3B" w:rsidRPr="00623A2B" w:rsidRDefault="00653C3B" w:rsidP="00653C3B">
      <w:pPr>
        <w:pStyle w:val="FootnoteText"/>
        <w:tabs>
          <w:tab w:val="clear" w:pos="360"/>
        </w:tabs>
        <w:ind w:left="0" w:firstLine="720"/>
        <w:rPr>
          <w:rFonts w:ascii="Times New Roman" w:hAnsi="Times New Roman"/>
          <w:sz w:val="22"/>
          <w:szCs w:val="22"/>
          <w:lang w:val="fr-FR"/>
        </w:rPr>
      </w:pPr>
      <w:r w:rsidRPr="00623A2B">
        <w:rPr>
          <w:rFonts w:ascii="Times New Roman" w:hAnsi="Times New Roman"/>
          <w:sz w:val="22"/>
          <w:szCs w:val="22"/>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01668199" w14:textId="77777777" w:rsidR="00653C3B" w:rsidRPr="00623A2B" w:rsidRDefault="00653C3B" w:rsidP="00653C3B">
      <w:pPr>
        <w:pStyle w:val="FootnoteText"/>
        <w:tabs>
          <w:tab w:val="clear" w:pos="360"/>
        </w:tabs>
        <w:ind w:left="0" w:firstLine="360"/>
        <w:rPr>
          <w:rFonts w:ascii="Times New Roman" w:hAnsi="Times New Roman"/>
          <w:sz w:val="22"/>
          <w:szCs w:val="22"/>
          <w:lang w:val="fr-FR"/>
        </w:rPr>
      </w:pPr>
    </w:p>
    <w:p w14:paraId="54867417" w14:textId="77777777" w:rsidR="00653C3B" w:rsidRPr="00623A2B" w:rsidRDefault="00653C3B" w:rsidP="00653C3B">
      <w:pPr>
        <w:pStyle w:val="FootnoteText"/>
        <w:tabs>
          <w:tab w:val="clear" w:pos="360"/>
        </w:tabs>
        <w:ind w:left="0" w:firstLine="720"/>
        <w:rPr>
          <w:rFonts w:ascii="Times New Roman" w:hAnsi="Times New Roman"/>
          <w:sz w:val="22"/>
          <w:szCs w:val="22"/>
          <w:lang w:val="fr-FR"/>
        </w:rPr>
      </w:pPr>
      <w:r w:rsidRPr="00623A2B">
        <w:rPr>
          <w:rFonts w:ascii="Times New Roman" w:hAnsi="Times New Roman"/>
          <w:sz w:val="22"/>
          <w:szCs w:val="22"/>
          <w:lang w:val="fr-FR"/>
        </w:rPr>
        <w:t xml:space="preserve">La reconnaissance d’un gouvernement est un acte souverain des États, et non des institutions internationales. L’OEA ne possède ni ne peut s’arroger des facultés de reconnaissance collective opposable à la qualité de </w:t>
      </w:r>
      <w:proofErr w:type="gramStart"/>
      <w:r w:rsidRPr="00623A2B">
        <w:rPr>
          <w:rFonts w:ascii="Times New Roman" w:hAnsi="Times New Roman"/>
          <w:sz w:val="22"/>
          <w:szCs w:val="22"/>
          <w:lang w:val="fr-FR"/>
        </w:rPr>
        <w:t>membre;</w:t>
      </w:r>
      <w:proofErr w:type="gramEnd"/>
      <w:r w:rsidRPr="00623A2B">
        <w:rPr>
          <w:rFonts w:ascii="Times New Roman" w:hAnsi="Times New Roman"/>
          <w:sz w:val="22"/>
          <w:szCs w:val="22"/>
          <w:lang w:val="fr-FR"/>
        </w:rPr>
        <w:t xml:space="preserve"> c’est pourquoi tout acte visant à atteindre cet objectif tombe en dehors de sa compétence et est matériellement nul.</w:t>
      </w:r>
    </w:p>
    <w:p w14:paraId="45208853" w14:textId="77777777" w:rsidR="00653C3B" w:rsidRPr="00623A2B" w:rsidRDefault="00653C3B" w:rsidP="00653C3B">
      <w:pPr>
        <w:pStyle w:val="FootnoteText"/>
        <w:tabs>
          <w:tab w:val="clear" w:pos="360"/>
        </w:tabs>
        <w:ind w:left="0" w:firstLine="360"/>
        <w:rPr>
          <w:rFonts w:ascii="Times New Roman" w:hAnsi="Times New Roman"/>
          <w:sz w:val="22"/>
          <w:szCs w:val="22"/>
          <w:lang w:val="fr-FR"/>
        </w:rPr>
      </w:pPr>
    </w:p>
    <w:p w14:paraId="0C1AA1A9" w14:textId="77777777" w:rsidR="00653C3B" w:rsidRPr="00623A2B" w:rsidRDefault="00653C3B" w:rsidP="00653C3B">
      <w:pPr>
        <w:pStyle w:val="FootnoteText"/>
        <w:tabs>
          <w:tab w:val="clear" w:pos="360"/>
        </w:tabs>
        <w:ind w:left="0" w:firstLine="720"/>
        <w:rPr>
          <w:rFonts w:ascii="Times New Roman" w:hAnsi="Times New Roman"/>
          <w:sz w:val="22"/>
          <w:szCs w:val="22"/>
          <w:lang w:val="fr-FR"/>
        </w:rPr>
      </w:pPr>
      <w:r w:rsidRPr="00623A2B">
        <w:rPr>
          <w:rFonts w:ascii="Times New Roman" w:hAnsi="Times New Roman"/>
          <w:sz w:val="22"/>
          <w:szCs w:val="22"/>
          <w:lang w:val="fr-FR"/>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74B88B23" w14:textId="77777777" w:rsidR="00653C3B" w:rsidRPr="00623A2B" w:rsidRDefault="00653C3B" w:rsidP="00653C3B">
      <w:pPr>
        <w:pStyle w:val="FootnoteText"/>
        <w:tabs>
          <w:tab w:val="clear" w:pos="360"/>
        </w:tabs>
        <w:ind w:left="0" w:firstLine="360"/>
        <w:rPr>
          <w:rFonts w:ascii="Times New Roman" w:hAnsi="Times New Roman"/>
          <w:sz w:val="22"/>
          <w:szCs w:val="22"/>
          <w:lang w:val="fr-FR"/>
        </w:rPr>
      </w:pPr>
    </w:p>
    <w:p w14:paraId="66BEA723" w14:textId="77777777" w:rsidR="00653C3B" w:rsidRPr="00623A2B" w:rsidRDefault="00653C3B" w:rsidP="00653C3B">
      <w:pPr>
        <w:pStyle w:val="FootnoteText"/>
        <w:tabs>
          <w:tab w:val="clear" w:pos="360"/>
        </w:tabs>
        <w:ind w:left="0" w:firstLine="720"/>
        <w:rPr>
          <w:rFonts w:ascii="Times New Roman" w:hAnsi="Times New Roman"/>
          <w:sz w:val="22"/>
          <w:szCs w:val="22"/>
          <w:lang w:val="fr-FR"/>
        </w:rPr>
      </w:pPr>
      <w:r w:rsidRPr="00623A2B">
        <w:rPr>
          <w:rFonts w:ascii="Times New Roman" w:hAnsi="Times New Roman"/>
          <w:sz w:val="22"/>
          <w:szCs w:val="22"/>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3B1ED96F" w14:textId="77777777" w:rsidR="00653C3B" w:rsidRPr="00623A2B" w:rsidRDefault="00653C3B" w:rsidP="00653C3B">
      <w:pPr>
        <w:pStyle w:val="FootnoteText"/>
        <w:tabs>
          <w:tab w:val="clear" w:pos="360"/>
        </w:tabs>
        <w:ind w:left="0" w:firstLine="360"/>
        <w:rPr>
          <w:rFonts w:ascii="Times New Roman" w:hAnsi="Times New Roman"/>
          <w:sz w:val="22"/>
          <w:szCs w:val="22"/>
          <w:lang w:val="fr-FR"/>
        </w:rPr>
      </w:pPr>
    </w:p>
    <w:p w14:paraId="29884A7F" w14:textId="77777777" w:rsidR="00653C3B" w:rsidRPr="00623A2B" w:rsidRDefault="00653C3B" w:rsidP="00653C3B">
      <w:pPr>
        <w:pStyle w:val="FootnoteText"/>
        <w:tabs>
          <w:tab w:val="clear" w:pos="360"/>
        </w:tabs>
        <w:ind w:left="0" w:firstLine="720"/>
        <w:rPr>
          <w:rFonts w:ascii="Times New Roman" w:hAnsi="Times New Roman"/>
          <w:sz w:val="22"/>
          <w:szCs w:val="22"/>
          <w:lang w:val="fr-FR"/>
        </w:rPr>
      </w:pPr>
      <w:r w:rsidRPr="00623A2B">
        <w:rPr>
          <w:rFonts w:ascii="Times New Roman" w:hAnsi="Times New Roman"/>
          <w:sz w:val="22"/>
          <w:szCs w:val="22"/>
          <w:lang w:val="fr-FR"/>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6C9EB570" w14:textId="77777777" w:rsidR="00653C3B" w:rsidRPr="00623A2B" w:rsidRDefault="00653C3B" w:rsidP="00653C3B">
      <w:pPr>
        <w:pStyle w:val="FootnoteText"/>
        <w:tabs>
          <w:tab w:val="clear" w:pos="360"/>
        </w:tabs>
        <w:ind w:left="0" w:firstLine="720"/>
        <w:rPr>
          <w:rFonts w:ascii="Times New Roman" w:hAnsi="Times New Roman"/>
          <w:sz w:val="22"/>
          <w:szCs w:val="22"/>
          <w:lang w:val="fr-FR"/>
        </w:rPr>
      </w:pPr>
    </w:p>
    <w:p w14:paraId="1FA37895" w14:textId="77777777" w:rsidR="00653C3B" w:rsidRPr="00623A2B" w:rsidRDefault="00653C3B" w:rsidP="00653C3B">
      <w:pPr>
        <w:pStyle w:val="FootnoteText"/>
        <w:tabs>
          <w:tab w:val="clear" w:pos="360"/>
        </w:tabs>
        <w:ind w:left="0" w:firstLine="720"/>
        <w:rPr>
          <w:rFonts w:ascii="Times New Roman" w:hAnsi="Times New Roman"/>
          <w:sz w:val="22"/>
          <w:szCs w:val="22"/>
          <w:lang w:val="fr-FR"/>
        </w:rPr>
      </w:pPr>
      <w:r w:rsidRPr="00623A2B">
        <w:rPr>
          <w:rFonts w:ascii="Times New Roman" w:hAnsi="Times New Roman"/>
          <w:sz w:val="22"/>
          <w:szCs w:val="22"/>
          <w:lang w:val="fr-FR"/>
        </w:rPr>
        <w:t>2.</w:t>
      </w:r>
      <w:r w:rsidRPr="00623A2B">
        <w:rPr>
          <w:rFonts w:ascii="Times New Roman" w:hAnsi="Times New Roman"/>
          <w:sz w:val="22"/>
          <w:szCs w:val="22"/>
          <w:lang w:val="fr-FR"/>
        </w:rPr>
        <w:tab/>
        <w:t xml:space="preserve">… de personnes qui prétendent usurper la représentation légale de la République bolivarienne du Venezuela et du Gouvernement légitime du Président </w:t>
      </w:r>
      <w:proofErr w:type="spellStart"/>
      <w:r w:rsidRPr="00623A2B">
        <w:rPr>
          <w:rFonts w:ascii="Times New Roman" w:hAnsi="Times New Roman"/>
          <w:sz w:val="22"/>
          <w:szCs w:val="22"/>
          <w:lang w:val="fr-FR"/>
        </w:rPr>
        <w:t>Nicolás</w:t>
      </w:r>
      <w:proofErr w:type="spellEnd"/>
      <w:r w:rsidRPr="00623A2B">
        <w:rPr>
          <w:rFonts w:ascii="Times New Roman" w:hAnsi="Times New Roman"/>
          <w:sz w:val="22"/>
          <w:szCs w:val="22"/>
          <w:lang w:val="fr-FR"/>
        </w:rPr>
        <w:t xml:space="preserve"> </w:t>
      </w:r>
      <w:proofErr w:type="spellStart"/>
      <w:r w:rsidRPr="00623A2B">
        <w:rPr>
          <w:rFonts w:ascii="Times New Roman" w:hAnsi="Times New Roman"/>
          <w:sz w:val="22"/>
          <w:szCs w:val="22"/>
          <w:lang w:val="fr-FR"/>
        </w:rPr>
        <w:t>Maduro</w:t>
      </w:r>
      <w:proofErr w:type="spellEnd"/>
      <w:r w:rsidRPr="00623A2B">
        <w:rPr>
          <w:rFonts w:ascii="Times New Roman" w:hAnsi="Times New Roman"/>
          <w:sz w:val="22"/>
          <w:szCs w:val="22"/>
          <w:lang w:val="fr-FR"/>
        </w:rPr>
        <w:t xml:space="preserve"> Moros. Nous demandons que notre refus soit consigné dans tous les documents qui seront traités lors de la présente Cinquante-et-unième Session de l’Assemblée générale de l’OEA.</w:t>
      </w:r>
    </w:p>
    <w:p w14:paraId="5D55BF5F" w14:textId="77777777" w:rsidR="00653C3B" w:rsidRPr="00623A2B" w:rsidRDefault="00653C3B" w:rsidP="00653C3B">
      <w:pPr>
        <w:pStyle w:val="FootnoteText"/>
        <w:tabs>
          <w:tab w:val="clear" w:pos="360"/>
        </w:tabs>
        <w:ind w:left="0" w:firstLine="720"/>
        <w:rPr>
          <w:rFonts w:ascii="Times New Roman" w:hAnsi="Times New Roman"/>
          <w:sz w:val="22"/>
          <w:szCs w:val="22"/>
          <w:lang w:val="fr-FR"/>
        </w:rPr>
      </w:pPr>
    </w:p>
    <w:p w14:paraId="3D9B9826" w14:textId="77777777" w:rsidR="00653C3B" w:rsidRPr="00623A2B" w:rsidRDefault="00653C3B" w:rsidP="00653C3B">
      <w:pPr>
        <w:pStyle w:val="FootnoteText"/>
        <w:tabs>
          <w:tab w:val="clear" w:pos="360"/>
        </w:tabs>
        <w:ind w:left="0" w:firstLine="720"/>
        <w:rPr>
          <w:rFonts w:ascii="Times New Roman" w:hAnsi="Times New Roman"/>
          <w:sz w:val="22"/>
          <w:szCs w:val="22"/>
          <w:lang w:val="fr-FR"/>
        </w:rPr>
      </w:pPr>
      <w:r w:rsidRPr="00623A2B">
        <w:rPr>
          <w:rFonts w:ascii="Times New Roman" w:hAnsi="Times New Roman"/>
          <w:sz w:val="22"/>
          <w:szCs w:val="22"/>
          <w:lang w:val="fr-FR"/>
        </w:rPr>
        <w:lastRenderedPageBreak/>
        <w:t>3.</w:t>
      </w:r>
      <w:r w:rsidRPr="00623A2B">
        <w:rPr>
          <w:rFonts w:ascii="Times New Roman" w:hAnsi="Times New Roman"/>
          <w:sz w:val="22"/>
          <w:szCs w:val="22"/>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1528AE38" w14:textId="77777777" w:rsidR="00653C3B" w:rsidRPr="00623A2B" w:rsidRDefault="00653C3B" w:rsidP="00653C3B">
      <w:pPr>
        <w:pStyle w:val="FootnoteText"/>
        <w:tabs>
          <w:tab w:val="clear" w:pos="360"/>
        </w:tabs>
        <w:ind w:left="0" w:firstLine="720"/>
        <w:rPr>
          <w:rFonts w:ascii="Times New Roman" w:hAnsi="Times New Roman"/>
          <w:sz w:val="22"/>
          <w:szCs w:val="22"/>
          <w:lang w:val="fr-FR"/>
        </w:rPr>
      </w:pPr>
    </w:p>
    <w:p w14:paraId="54B04799" w14:textId="38248D3D" w:rsidR="00653C3B" w:rsidRPr="00623A2B" w:rsidRDefault="00653C3B" w:rsidP="00653C3B">
      <w:pPr>
        <w:pStyle w:val="FootnoteText"/>
        <w:tabs>
          <w:tab w:val="clear" w:pos="360"/>
        </w:tabs>
        <w:ind w:left="0" w:firstLine="720"/>
        <w:rPr>
          <w:rFonts w:ascii="Times New Roman" w:hAnsi="Times New Roman"/>
          <w:sz w:val="22"/>
          <w:szCs w:val="22"/>
          <w:lang w:val="fr-FR"/>
        </w:rPr>
      </w:pPr>
      <w:r w:rsidRPr="00623A2B">
        <w:rPr>
          <w:rFonts w:ascii="Times New Roman" w:hAnsi="Times New Roman"/>
          <w:sz w:val="22"/>
          <w:szCs w:val="22"/>
          <w:lang w:val="fr-FR"/>
        </w:rPr>
        <w:t xml:space="preserve">Antigua-et-Barbuda n'a pas soutenu la résolution CP/RES. 1124 (2217/19) du 9 avril 2019 qui visait à nommer M. Gustavo </w:t>
      </w:r>
      <w:proofErr w:type="spellStart"/>
      <w:r w:rsidRPr="00623A2B">
        <w:rPr>
          <w:rFonts w:ascii="Times New Roman" w:hAnsi="Times New Roman"/>
          <w:sz w:val="22"/>
          <w:szCs w:val="22"/>
          <w:lang w:val="fr-FR"/>
        </w:rPr>
        <w:t>Tarre</w:t>
      </w:r>
      <w:proofErr w:type="spellEnd"/>
      <w:r w:rsidRPr="00623A2B">
        <w:rPr>
          <w:rFonts w:ascii="Times New Roman" w:hAnsi="Times New Roman"/>
          <w:sz w:val="22"/>
          <w:szCs w:val="22"/>
          <w:lang w:val="fr-FR"/>
        </w:rPr>
        <w:t xml:space="preserve"> comme représentant de l'Assemblée nationale auprès de l'OEA et n'a pas accepté les pouvoirs des fonctionnaires ayant l'intention de représenter la République bolivarienne du Venezuela aux quarante-neuvième, cinquantième et cinquante-et-unième sessions ordinaires de l'Assemblée générale. </w:t>
      </w:r>
    </w:p>
    <w:p w14:paraId="6D4B1F65" w14:textId="77777777" w:rsidR="00CD4E5E" w:rsidRPr="00623A2B" w:rsidRDefault="00CD4E5E" w:rsidP="00653C3B">
      <w:pPr>
        <w:pStyle w:val="FootnoteText"/>
        <w:tabs>
          <w:tab w:val="clear" w:pos="360"/>
        </w:tabs>
        <w:ind w:left="0" w:firstLine="720"/>
        <w:rPr>
          <w:rFonts w:ascii="Times New Roman" w:hAnsi="Times New Roman"/>
          <w:sz w:val="22"/>
          <w:szCs w:val="22"/>
          <w:lang w:val="fr-FR"/>
        </w:rPr>
      </w:pPr>
    </w:p>
    <w:p w14:paraId="668F5BD4" w14:textId="77777777" w:rsidR="00653C3B" w:rsidRPr="00623A2B" w:rsidRDefault="00653C3B" w:rsidP="00653C3B">
      <w:pPr>
        <w:pStyle w:val="FootnoteText"/>
        <w:tabs>
          <w:tab w:val="clear" w:pos="360"/>
        </w:tabs>
        <w:ind w:left="0" w:firstLine="720"/>
        <w:rPr>
          <w:rFonts w:ascii="Times New Roman" w:hAnsi="Times New Roman"/>
          <w:sz w:val="22"/>
          <w:szCs w:val="22"/>
          <w:lang w:val="fr-FR"/>
        </w:rPr>
      </w:pPr>
      <w:r w:rsidRPr="00623A2B">
        <w:rPr>
          <w:rFonts w:ascii="Times New Roman" w:hAnsi="Times New Roman"/>
          <w:sz w:val="22"/>
          <w:szCs w:val="22"/>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24C2CFE0" w14:textId="77777777" w:rsidR="00653C3B" w:rsidRPr="00623A2B" w:rsidRDefault="00653C3B" w:rsidP="00653C3B">
      <w:pPr>
        <w:pStyle w:val="FootnoteText"/>
        <w:tabs>
          <w:tab w:val="clear" w:pos="360"/>
        </w:tabs>
        <w:ind w:left="0" w:firstLine="720"/>
        <w:rPr>
          <w:rFonts w:ascii="Times New Roman" w:hAnsi="Times New Roman"/>
          <w:sz w:val="22"/>
          <w:szCs w:val="22"/>
          <w:lang w:val="fr-FR"/>
        </w:rPr>
      </w:pPr>
    </w:p>
    <w:p w14:paraId="60AD8184" w14:textId="77777777" w:rsidR="00653C3B" w:rsidRPr="00623A2B" w:rsidRDefault="00653C3B" w:rsidP="00653C3B">
      <w:pPr>
        <w:pStyle w:val="FootnoteText"/>
        <w:tabs>
          <w:tab w:val="clear" w:pos="360"/>
        </w:tabs>
        <w:ind w:left="0" w:firstLine="720"/>
        <w:rPr>
          <w:rFonts w:ascii="Times New Roman" w:hAnsi="Times New Roman"/>
          <w:sz w:val="22"/>
          <w:szCs w:val="22"/>
          <w:lang w:val="fr-CA"/>
        </w:rPr>
      </w:pPr>
      <w:r w:rsidRPr="00623A2B">
        <w:rPr>
          <w:rFonts w:ascii="Times New Roman" w:hAnsi="Times New Roman"/>
          <w:sz w:val="22"/>
          <w:szCs w:val="22"/>
          <w:lang w:val="fr-CA"/>
        </w:rPr>
        <w:t>4.</w:t>
      </w:r>
      <w:r w:rsidRPr="00623A2B">
        <w:rPr>
          <w:rFonts w:ascii="Times New Roman" w:hAnsi="Times New Roman"/>
          <w:sz w:val="22"/>
          <w:szCs w:val="22"/>
          <w:lang w:val="fr-CA"/>
        </w:rPr>
        <w:tab/>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7B4E872E" w14:textId="77777777" w:rsidR="00653C3B" w:rsidRPr="00623A2B" w:rsidRDefault="00653C3B" w:rsidP="00653C3B">
      <w:pPr>
        <w:pStyle w:val="FootnoteText"/>
        <w:tabs>
          <w:tab w:val="clear" w:pos="360"/>
        </w:tabs>
        <w:ind w:left="0" w:firstLine="720"/>
        <w:rPr>
          <w:rFonts w:ascii="Times New Roman" w:hAnsi="Times New Roman"/>
          <w:sz w:val="22"/>
          <w:szCs w:val="22"/>
          <w:lang w:val="fr-CA"/>
        </w:rPr>
      </w:pPr>
    </w:p>
    <w:p w14:paraId="0EA4F4F0" w14:textId="77777777" w:rsidR="00653C3B" w:rsidRPr="00623A2B" w:rsidRDefault="00653C3B" w:rsidP="00653C3B">
      <w:pPr>
        <w:pStyle w:val="FootnoteText"/>
        <w:tabs>
          <w:tab w:val="clear" w:pos="360"/>
        </w:tabs>
        <w:ind w:left="0" w:firstLine="720"/>
        <w:rPr>
          <w:rFonts w:ascii="Times New Roman" w:hAnsi="Times New Roman"/>
          <w:sz w:val="22"/>
          <w:szCs w:val="22"/>
          <w:lang w:val="fr-FR"/>
        </w:rPr>
      </w:pPr>
      <w:r w:rsidRPr="00623A2B">
        <w:rPr>
          <w:rFonts w:ascii="Times New Roman" w:hAnsi="Times New Roman"/>
          <w:sz w:val="22"/>
          <w:szCs w:val="22"/>
          <w:lang w:val="fr-CA"/>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p>
    <w:p w14:paraId="69554D2A" w14:textId="77777777" w:rsidR="00653C3B" w:rsidRPr="00623A2B" w:rsidRDefault="00653C3B" w:rsidP="00653C3B">
      <w:pPr>
        <w:pStyle w:val="FootnoteText"/>
        <w:tabs>
          <w:tab w:val="clear" w:pos="360"/>
        </w:tabs>
        <w:ind w:left="0" w:firstLine="720"/>
        <w:rPr>
          <w:rFonts w:ascii="Times New Roman" w:hAnsi="Times New Roman"/>
          <w:sz w:val="22"/>
          <w:szCs w:val="22"/>
          <w:lang w:val="fr-FR"/>
        </w:rPr>
      </w:pPr>
    </w:p>
    <w:p w14:paraId="087E2405" w14:textId="77777777" w:rsidR="00653C3B" w:rsidRPr="00623A2B" w:rsidRDefault="00653C3B" w:rsidP="00653C3B">
      <w:pPr>
        <w:pStyle w:val="FootnoteText"/>
        <w:tabs>
          <w:tab w:val="clear" w:pos="360"/>
        </w:tabs>
        <w:ind w:left="0" w:firstLine="720"/>
        <w:rPr>
          <w:rFonts w:ascii="Times New Roman" w:hAnsi="Times New Roman"/>
          <w:sz w:val="22"/>
          <w:szCs w:val="22"/>
          <w:lang w:val="fr-FR"/>
        </w:rPr>
      </w:pPr>
      <w:r w:rsidRPr="00623A2B">
        <w:rPr>
          <w:rFonts w:ascii="Times New Roman" w:hAnsi="Times New Roman"/>
          <w:sz w:val="22"/>
          <w:szCs w:val="22"/>
          <w:lang w:val="fr-FR"/>
        </w:rPr>
        <w:t>5.</w:t>
      </w:r>
      <w:r w:rsidRPr="00623A2B">
        <w:rPr>
          <w:rFonts w:ascii="Times New Roman" w:hAnsi="Times New Roman"/>
          <w:sz w:val="22"/>
          <w:szCs w:val="22"/>
          <w:lang w:val="fr-FR"/>
        </w:rPr>
        <w:tab/>
        <w:t xml:space="preserve">… garantir le bien-être des </w:t>
      </w:r>
      <w:proofErr w:type="gramStart"/>
      <w:r w:rsidRPr="00623A2B">
        <w:rPr>
          <w:rFonts w:ascii="Times New Roman" w:hAnsi="Times New Roman"/>
          <w:sz w:val="22"/>
          <w:szCs w:val="22"/>
          <w:lang w:val="fr-FR"/>
        </w:rPr>
        <w:t>citoyens;</w:t>
      </w:r>
      <w:proofErr w:type="gramEnd"/>
      <w:r w:rsidRPr="00623A2B">
        <w:rPr>
          <w:rFonts w:ascii="Times New Roman" w:hAnsi="Times New Roman"/>
          <w:sz w:val="22"/>
          <w:szCs w:val="22"/>
          <w:lang w:val="fr-FR"/>
        </w:rPr>
        <w:t xml:space="preserve"> elle ne reconnait pas ce principe comme un droit humain incluant la possibilité d’introduction d’une plainte individuelle ou collective.</w:t>
      </w:r>
    </w:p>
    <w:p w14:paraId="51B2A89C" w14:textId="77777777" w:rsidR="00FA0220" w:rsidRPr="00623A2B" w:rsidRDefault="00FA0220" w:rsidP="00B53F69">
      <w:pPr>
        <w:pStyle w:val="FootnoteText"/>
        <w:tabs>
          <w:tab w:val="clear" w:pos="360"/>
        </w:tabs>
        <w:ind w:left="0" w:firstLine="720"/>
        <w:rPr>
          <w:rFonts w:ascii="Times New Roman" w:hAnsi="Times New Roman"/>
          <w:sz w:val="22"/>
          <w:szCs w:val="22"/>
          <w:lang w:val="fr-FR"/>
        </w:rPr>
        <w:sectPr w:rsidR="00FA0220" w:rsidRPr="00623A2B" w:rsidSect="00623A2B">
          <w:headerReference w:type="first" r:id="rId16"/>
          <w:footnotePr>
            <w:numRestart w:val="eachSect"/>
          </w:footnotePr>
          <w:type w:val="oddPage"/>
          <w:pgSz w:w="12240" w:h="15840" w:code="1"/>
          <w:pgMar w:top="2160" w:right="1570" w:bottom="1296" w:left="1699" w:header="720" w:footer="720" w:gutter="0"/>
          <w:cols w:space="720"/>
          <w:titlePg/>
          <w:docGrid w:linePitch="360"/>
        </w:sectPr>
      </w:pPr>
    </w:p>
    <w:p w14:paraId="64E9D6FF" w14:textId="541388CD" w:rsidR="005B51B9" w:rsidRPr="00623A2B" w:rsidRDefault="005B51B9" w:rsidP="00616EE8">
      <w:pPr>
        <w:pStyle w:val="Heading1"/>
        <w:spacing w:before="0"/>
        <w:jc w:val="center"/>
        <w:rPr>
          <w:rFonts w:ascii="Times New Roman" w:hAnsi="Times New Roman" w:cs="Times New Roman"/>
          <w:color w:val="auto"/>
          <w:sz w:val="22"/>
          <w:szCs w:val="22"/>
          <w:lang w:val="fr-CA"/>
        </w:rPr>
      </w:pPr>
      <w:bookmarkStart w:id="2" w:name="_Toc89177454"/>
      <w:r w:rsidRPr="00623A2B">
        <w:rPr>
          <w:rFonts w:ascii="Times New Roman" w:hAnsi="Times New Roman" w:cs="Times New Roman"/>
          <w:color w:val="auto"/>
          <w:sz w:val="22"/>
          <w:szCs w:val="22"/>
          <w:lang w:val="fr-CA"/>
        </w:rPr>
        <w:lastRenderedPageBreak/>
        <w:t xml:space="preserve">AG/DEC. </w:t>
      </w:r>
      <w:r w:rsidR="00457E8B" w:rsidRPr="00623A2B">
        <w:rPr>
          <w:rFonts w:ascii="Times New Roman" w:hAnsi="Times New Roman" w:cs="Times New Roman"/>
          <w:color w:val="auto"/>
          <w:sz w:val="22"/>
          <w:szCs w:val="22"/>
          <w:lang w:val="fr-CA"/>
        </w:rPr>
        <w:t>105</w:t>
      </w:r>
      <w:r w:rsidRPr="00623A2B">
        <w:rPr>
          <w:rFonts w:ascii="Times New Roman" w:hAnsi="Times New Roman" w:cs="Times New Roman"/>
          <w:color w:val="auto"/>
          <w:sz w:val="22"/>
          <w:szCs w:val="22"/>
          <w:lang w:val="fr-CA"/>
        </w:rPr>
        <w:t xml:space="preserve"> (LI-O/21)</w:t>
      </w:r>
      <w:r w:rsidR="00457E8B" w:rsidRPr="00623A2B">
        <w:rPr>
          <w:rFonts w:ascii="Times New Roman" w:hAnsi="Times New Roman" w:cs="Times New Roman"/>
          <w:color w:val="auto"/>
          <w:sz w:val="22"/>
          <w:szCs w:val="22"/>
          <w:lang w:val="fr-CA"/>
        </w:rPr>
        <w:br/>
      </w:r>
      <w:r w:rsidR="00457E8B" w:rsidRPr="00623A2B">
        <w:rPr>
          <w:rFonts w:ascii="Times New Roman" w:hAnsi="Times New Roman" w:cs="Times New Roman"/>
          <w:color w:val="auto"/>
          <w:sz w:val="22"/>
          <w:szCs w:val="22"/>
          <w:lang w:val="fr-CA"/>
        </w:rPr>
        <w:br/>
      </w:r>
      <w:r w:rsidRPr="00623A2B">
        <w:rPr>
          <w:rFonts w:ascii="Times New Roman" w:hAnsi="Times New Roman" w:cs="Times New Roman"/>
          <w:color w:val="auto"/>
          <w:sz w:val="22"/>
          <w:szCs w:val="22"/>
          <w:lang w:val="fr-CA"/>
        </w:rPr>
        <w:t>LA SITUATION EN HAÏTI</w:t>
      </w:r>
      <w:r w:rsidRPr="00623A2B">
        <w:rPr>
          <w:rStyle w:val="FootnoteReference"/>
          <w:rFonts w:ascii="Times New Roman" w:hAnsi="Times New Roman" w:cs="Times New Roman"/>
          <w:sz w:val="22"/>
          <w:szCs w:val="22"/>
          <w:u w:val="single"/>
          <w:vertAlign w:val="superscript"/>
          <w:lang w:val="pt-BR"/>
        </w:rPr>
        <w:footnoteReference w:id="10"/>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11"/>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12"/>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13"/>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14"/>
      </w:r>
      <w:r w:rsidRPr="00623A2B">
        <w:rPr>
          <w:rFonts w:ascii="Times New Roman" w:hAnsi="Times New Roman" w:cs="Times New Roman"/>
          <w:color w:val="auto"/>
          <w:sz w:val="22"/>
          <w:szCs w:val="22"/>
          <w:vertAlign w:val="superscript"/>
          <w:lang w:val="fr-CA"/>
        </w:rPr>
        <w:t>/</w:t>
      </w:r>
      <w:bookmarkEnd w:id="2"/>
    </w:p>
    <w:p w14:paraId="79E9D644"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1ACDE28B"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CA"/>
        </w:rPr>
      </w:pPr>
      <w:r w:rsidRPr="00623A2B">
        <w:rPr>
          <w:rFonts w:ascii="Times New Roman" w:hAnsi="Times New Roman"/>
          <w:szCs w:val="22"/>
          <w:lang w:val="fr-CA"/>
        </w:rPr>
        <w:t>(</w:t>
      </w:r>
      <w:r w:rsidRPr="00623A2B">
        <w:rPr>
          <w:rFonts w:ascii="Times New Roman" w:hAnsi="Times New Roman"/>
          <w:szCs w:val="22"/>
          <w:lang w:val="fr-FR"/>
        </w:rPr>
        <w:t xml:space="preserve">Déclaration adoptée à la </w:t>
      </w:r>
      <w:r w:rsidRPr="00623A2B">
        <w:rPr>
          <w:rFonts w:ascii="Times New Roman" w:hAnsi="Times New Roman"/>
          <w:bCs/>
          <w:szCs w:val="22"/>
          <w:lang w:val="fr-FR"/>
        </w:rPr>
        <w:t xml:space="preserve">quatrième </w:t>
      </w:r>
      <w:r w:rsidRPr="00623A2B">
        <w:rPr>
          <w:rFonts w:ascii="Times New Roman" w:hAnsi="Times New Roman"/>
          <w:szCs w:val="22"/>
          <w:lang w:val="fr-FR"/>
        </w:rPr>
        <w:t>séance plénière, le 12 novembre 2021</w:t>
      </w:r>
      <w:r w:rsidRPr="00623A2B">
        <w:rPr>
          <w:rFonts w:ascii="Times New Roman" w:hAnsi="Times New Roman"/>
          <w:szCs w:val="22"/>
          <w:lang w:val="fr-CA"/>
        </w:rPr>
        <w:t>)</w:t>
      </w:r>
    </w:p>
    <w:p w14:paraId="6778C171"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1EA1E8D0"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446D4875"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LES MINISTRES DES AFFAIRES ÉTRANGÈRES ET LES CHEFS DE DÉLÉGATION DE L’OEA; </w:t>
      </w:r>
    </w:p>
    <w:p w14:paraId="2F8182A0"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rPr>
      </w:pPr>
    </w:p>
    <w:p w14:paraId="167D10F7"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RAPPELLENT la résolution CP/RES, 1168 (2315/21) du 17 mars 2021 établissant la Mission de bons offices ayant pour mandat de faciliter le dialogue politique en vue de conduire à des élections libres et équitables, et ayant présenté son rapport au Conseil permanent le 30 juin 2021;</w:t>
      </w:r>
    </w:p>
    <w:p w14:paraId="5700893A"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rPr>
      </w:pPr>
    </w:p>
    <w:p w14:paraId="4A9D6A6F"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RAPPELLENT AUSSI QUE la Charte de l'Organisation des États américains reconnait que la démocratie représentative est une condition indispensable pour la stabilité, la paix et le développement de la région; </w:t>
      </w:r>
    </w:p>
    <w:p w14:paraId="1409018A"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rPr>
      </w:pPr>
    </w:p>
    <w:p w14:paraId="388CBD1C"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RÉITÉRENT les recommandations identifiées dans le rapport de la Mission de bons offices, tout particulièrement la nécessité de prendre des mesures urgentes pour rétablir un climat sécuritaire; </w:t>
      </w:r>
    </w:p>
    <w:p w14:paraId="0A3FBAEF"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rPr>
      </w:pPr>
    </w:p>
    <w:p w14:paraId="49F31B8B"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DÉCLARENT être vivement préoccupés par l'aggravation de la crise politique, économique, sociale, sécuritaire et humanitaire en Haïti et le grave impact de celle-ci sur la stabilité de la région. </w:t>
      </w:r>
    </w:p>
    <w:p w14:paraId="0E749098"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rPr>
      </w:pPr>
    </w:p>
    <w:p w14:paraId="28DBDCAE"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ENCOURAGENT le gouvernement d’Haïti à assurer le bien-être de la population haïtienne, et exhortent toutes les parties prenantes à s’engager dans un dialogue sérieux et inclusif afin de trouver des solutions durables qui répondent aux aspirations du peuple haïtien. </w:t>
      </w:r>
    </w:p>
    <w:p w14:paraId="15ADC14D"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rPr>
      </w:pPr>
    </w:p>
    <w:p w14:paraId="45DD6264"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RÉAFFIRMENT que toute solution à la crise multidimensionnelle actuelle en Haïti nécessite les efforts de toutes les parties prenantes de la nation haïtienne, y compris le gouvernement, l'opposition, la société civile, et les secteurs privé et religieux. </w:t>
      </w:r>
    </w:p>
    <w:p w14:paraId="591471BD"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rPr>
      </w:pPr>
    </w:p>
    <w:p w14:paraId="005C5095"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EXHORTENT l'Organisation des États américains et la communauté internationale à continuer d'accompagner les autorités haïtiennes dans leurs efforts visant à rétablir la sécurité, à lutter contre l’impunité, et à défendre les droits de la personne en Haïti, en plus d’apporter leur concours à la préparation d’élections libres, équitables et transparentes sous observation internationale. </w:t>
      </w:r>
    </w:p>
    <w:p w14:paraId="708C0D56"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CA"/>
        </w:rPr>
      </w:pPr>
    </w:p>
    <w:p w14:paraId="47E898B3"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fr-FR"/>
        </w:rPr>
      </w:pPr>
      <w:r w:rsidRPr="00623A2B">
        <w:rPr>
          <w:rFonts w:ascii="Times New Roman" w:hAnsi="Times New Roman"/>
          <w:color w:val="000000" w:themeColor="text1"/>
          <w:szCs w:val="22"/>
          <w:lang w:val="fr-CA"/>
        </w:rPr>
        <w:lastRenderedPageBreak/>
        <w:t>RÉAFFIRMENT leur engagement envers le peuple haïtien dans leur détermination à résoudre la grave crise humanitaire qui sévit dans le pays, aggravée par la pandémie de Covid-19 et les désastres naturels, et à travailler au développement d'un avenir stable, prospère et sécuritaire en Haïti.</w:t>
      </w:r>
      <w:r w:rsidRPr="00623A2B">
        <w:rPr>
          <w:rFonts w:ascii="Times New Roman" w:hAnsi="Times New Roman"/>
          <w:color w:val="000000" w:themeColor="text1"/>
          <w:szCs w:val="22"/>
          <w:lang w:val="fr-FR"/>
        </w:rPr>
        <w:t xml:space="preserve"> </w:t>
      </w:r>
    </w:p>
    <w:p w14:paraId="4136E803"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726FA4E3"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CA"/>
        </w:rPr>
      </w:pPr>
      <w:r w:rsidRPr="00623A2B">
        <w:rPr>
          <w:rFonts w:ascii="Times New Roman" w:hAnsi="Times New Roman"/>
          <w:color w:val="000000" w:themeColor="text1"/>
          <w:szCs w:val="22"/>
          <w:lang w:val="fr-FR"/>
        </w:rPr>
        <w:t>E</w:t>
      </w:r>
      <w:r w:rsidRPr="00623A2B">
        <w:rPr>
          <w:rFonts w:ascii="Times New Roman" w:hAnsi="Times New Roman"/>
          <w:szCs w:val="22"/>
          <w:lang w:val="fr-CA"/>
        </w:rPr>
        <w:t xml:space="preserve">NCOURAGENT les États membres à coopérer avec la République d’Haïti dans le cadre de l’enquête sur l’assassinat du Président </w:t>
      </w:r>
      <w:proofErr w:type="spellStart"/>
      <w:r w:rsidRPr="00623A2B">
        <w:rPr>
          <w:rFonts w:ascii="Times New Roman" w:hAnsi="Times New Roman"/>
          <w:szCs w:val="22"/>
          <w:lang w:val="fr-CA"/>
        </w:rPr>
        <w:t>Jovenel</w:t>
      </w:r>
      <w:proofErr w:type="spellEnd"/>
      <w:r w:rsidRPr="00623A2B">
        <w:rPr>
          <w:rFonts w:ascii="Times New Roman" w:hAnsi="Times New Roman"/>
          <w:szCs w:val="22"/>
          <w:lang w:val="fr-CA"/>
        </w:rPr>
        <w:t xml:space="preserve"> Moïse.</w:t>
      </w:r>
    </w:p>
    <w:p w14:paraId="40158496"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148C4C88"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fr-FR"/>
        </w:rPr>
      </w:pPr>
      <w:r w:rsidRPr="00623A2B">
        <w:rPr>
          <w:rFonts w:ascii="Times New Roman" w:hAnsi="Times New Roman"/>
          <w:color w:val="000000" w:themeColor="text1"/>
          <w:szCs w:val="22"/>
          <w:lang w:val="fr-FR"/>
        </w:rPr>
        <w:t xml:space="preserve">INVITENT les États membres de l’Organisation à se pencher de manière urgente sur la situation actuelle en Haïti. </w:t>
      </w:r>
    </w:p>
    <w:p w14:paraId="6560AF4E"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color w:val="000000" w:themeColor="text1"/>
          <w:szCs w:val="22"/>
          <w:lang w:val="fr-FR"/>
        </w:rPr>
      </w:pPr>
      <w:r w:rsidRPr="00623A2B">
        <w:rPr>
          <w:rFonts w:ascii="Times New Roman" w:hAnsi="Times New Roman"/>
          <w:color w:val="000000" w:themeColor="text1"/>
          <w:szCs w:val="22"/>
          <w:lang w:val="fr-FR"/>
        </w:rPr>
        <w:br w:type="page"/>
      </w:r>
    </w:p>
    <w:p w14:paraId="4932427D" w14:textId="77777777" w:rsidR="005B51B9" w:rsidRPr="00623A2B" w:rsidRDefault="005B51B9" w:rsidP="005B51B9">
      <w:pPr>
        <w:suppressAutoHyphens/>
        <w:jc w:val="center"/>
        <w:rPr>
          <w:rFonts w:ascii="Times New Roman" w:hAnsi="Times New Roman"/>
          <w:sz w:val="20"/>
          <w:lang w:val="fr-CA"/>
        </w:rPr>
      </w:pPr>
      <w:r w:rsidRPr="00623A2B">
        <w:rPr>
          <w:rFonts w:ascii="Times New Roman" w:hAnsi="Times New Roman"/>
          <w:sz w:val="20"/>
          <w:lang w:val="fr-CA"/>
        </w:rPr>
        <w:lastRenderedPageBreak/>
        <w:t>NOTES DE BAS DE PAGE</w:t>
      </w:r>
    </w:p>
    <w:p w14:paraId="282D989E" w14:textId="77777777" w:rsidR="005B51B9" w:rsidRPr="00623A2B" w:rsidRDefault="005B51B9" w:rsidP="005B51B9">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CA"/>
        </w:rPr>
      </w:pPr>
    </w:p>
    <w:p w14:paraId="7844ABC1" w14:textId="77777777" w:rsidR="005B51B9" w:rsidRPr="00623A2B" w:rsidRDefault="005B51B9" w:rsidP="005B51B9">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CA"/>
        </w:rPr>
      </w:pPr>
    </w:p>
    <w:p w14:paraId="7D7DFA74" w14:textId="77777777" w:rsidR="005B51B9" w:rsidRPr="00623A2B" w:rsidRDefault="005B51B9" w:rsidP="005B51B9">
      <w:pPr>
        <w:pStyle w:val="FootnoteText"/>
        <w:tabs>
          <w:tab w:val="clear" w:pos="360"/>
        </w:tabs>
        <w:ind w:left="0" w:firstLine="360"/>
        <w:rPr>
          <w:rFonts w:ascii="Times New Roman" w:hAnsi="Times New Roman"/>
          <w:sz w:val="20"/>
          <w:lang w:val="fr-CA"/>
        </w:rPr>
      </w:pPr>
      <w:r w:rsidRPr="00623A2B">
        <w:rPr>
          <w:rFonts w:ascii="Times New Roman" w:hAnsi="Times New Roman"/>
          <w:sz w:val="20"/>
          <w:lang w:val="fr-CA"/>
        </w:rPr>
        <w:tab/>
        <w:t>1.</w:t>
      </w:r>
      <w:r w:rsidRPr="00623A2B">
        <w:rPr>
          <w:rFonts w:ascii="Times New Roman" w:hAnsi="Times New Roman"/>
          <w:sz w:val="20"/>
          <w:lang w:val="fr-CA"/>
        </w:rPr>
        <w:tab/>
        <w:t>… Cinquante-et-unième Session ordinaire de l’Assemblée générale de l’Organisation des États Américains (OEA), lesquelles constituent des actes contraires au droit international.</w:t>
      </w:r>
    </w:p>
    <w:p w14:paraId="64FE3158" w14:textId="77777777" w:rsidR="005B51B9" w:rsidRPr="00623A2B" w:rsidRDefault="005B51B9" w:rsidP="005B51B9">
      <w:pPr>
        <w:pStyle w:val="FootnoteText"/>
        <w:tabs>
          <w:tab w:val="clear" w:pos="360"/>
        </w:tabs>
        <w:ind w:left="0" w:firstLine="360"/>
        <w:rPr>
          <w:rFonts w:ascii="Times New Roman" w:hAnsi="Times New Roman"/>
          <w:sz w:val="20"/>
          <w:lang w:val="fr-CA"/>
        </w:rPr>
      </w:pPr>
    </w:p>
    <w:p w14:paraId="06B7EAE4" w14:textId="77777777" w:rsidR="005B51B9" w:rsidRPr="00623A2B" w:rsidRDefault="005B51B9" w:rsidP="005B51B9">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58BAF236" w14:textId="77777777" w:rsidR="005B51B9" w:rsidRPr="00623A2B" w:rsidRDefault="005B51B9" w:rsidP="005B51B9">
      <w:pPr>
        <w:pStyle w:val="FootnoteText"/>
        <w:tabs>
          <w:tab w:val="clear" w:pos="360"/>
        </w:tabs>
        <w:ind w:left="0" w:firstLine="360"/>
        <w:rPr>
          <w:rFonts w:ascii="Times New Roman" w:hAnsi="Times New Roman"/>
          <w:sz w:val="20"/>
          <w:lang w:val="fr-CA"/>
        </w:rPr>
      </w:pPr>
    </w:p>
    <w:p w14:paraId="16EAE31A" w14:textId="77777777" w:rsidR="005B51B9" w:rsidRPr="00623A2B" w:rsidRDefault="005B51B9" w:rsidP="005B51B9">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4C171BFC" w14:textId="77777777" w:rsidR="005B51B9" w:rsidRPr="00623A2B" w:rsidRDefault="005B51B9" w:rsidP="005B51B9">
      <w:pPr>
        <w:pStyle w:val="FootnoteText"/>
        <w:tabs>
          <w:tab w:val="clear" w:pos="360"/>
        </w:tabs>
        <w:ind w:left="0" w:firstLine="360"/>
        <w:rPr>
          <w:rFonts w:ascii="Times New Roman" w:hAnsi="Times New Roman"/>
          <w:sz w:val="20"/>
          <w:lang w:val="fr-CA"/>
        </w:rPr>
      </w:pPr>
    </w:p>
    <w:p w14:paraId="2D996D96" w14:textId="77777777" w:rsidR="005B51B9" w:rsidRPr="00623A2B" w:rsidRDefault="005B51B9" w:rsidP="005B51B9">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La reconnaissance d’un gouvernement est un acte souverain des États, et non des institutions internationales. L’OEA ne possède ni ne peut s’arroger des facultés de reconnaissance collective opposable à la qualité de membre; c’est pourquoi tout acte visant à atteindre cet objectif tombe en dehors de sa compétence et est matériellement nul.</w:t>
      </w:r>
    </w:p>
    <w:p w14:paraId="720DE191" w14:textId="77777777" w:rsidR="005B51B9" w:rsidRPr="00623A2B" w:rsidRDefault="005B51B9" w:rsidP="005B51B9">
      <w:pPr>
        <w:pStyle w:val="FootnoteText"/>
        <w:tabs>
          <w:tab w:val="clear" w:pos="360"/>
        </w:tabs>
        <w:ind w:left="0" w:firstLine="360"/>
        <w:rPr>
          <w:rFonts w:ascii="Times New Roman" w:hAnsi="Times New Roman"/>
          <w:sz w:val="20"/>
          <w:lang w:val="fr-CA"/>
        </w:rPr>
      </w:pPr>
    </w:p>
    <w:p w14:paraId="19935BDC" w14:textId="77777777" w:rsidR="005B51B9" w:rsidRPr="00623A2B" w:rsidRDefault="005B51B9" w:rsidP="005B51B9">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4537B4DA" w14:textId="77777777" w:rsidR="005B51B9" w:rsidRPr="00623A2B" w:rsidRDefault="005B51B9" w:rsidP="005B51B9">
      <w:pPr>
        <w:pStyle w:val="FootnoteText"/>
        <w:tabs>
          <w:tab w:val="clear" w:pos="360"/>
        </w:tabs>
        <w:ind w:left="0" w:firstLine="360"/>
        <w:rPr>
          <w:rFonts w:ascii="Times New Roman" w:hAnsi="Times New Roman"/>
          <w:sz w:val="20"/>
          <w:lang w:val="fr-CA"/>
        </w:rPr>
      </w:pPr>
    </w:p>
    <w:p w14:paraId="0521F64D" w14:textId="77777777" w:rsidR="005B51B9" w:rsidRPr="00623A2B" w:rsidRDefault="005B51B9" w:rsidP="005B51B9">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02F2990E" w14:textId="77777777" w:rsidR="005B51B9" w:rsidRPr="00623A2B" w:rsidRDefault="005B51B9" w:rsidP="005B51B9">
      <w:pPr>
        <w:pStyle w:val="FootnoteText"/>
        <w:tabs>
          <w:tab w:val="clear" w:pos="360"/>
        </w:tabs>
        <w:ind w:left="0" w:firstLine="360"/>
        <w:rPr>
          <w:rFonts w:ascii="Times New Roman" w:hAnsi="Times New Roman"/>
          <w:sz w:val="20"/>
          <w:lang w:val="fr-CA"/>
        </w:rPr>
      </w:pPr>
    </w:p>
    <w:p w14:paraId="2FE66097" w14:textId="77777777" w:rsidR="005B51B9" w:rsidRPr="00623A2B" w:rsidRDefault="005B51B9" w:rsidP="005B51B9">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341444AB" w14:textId="77777777" w:rsidR="005B51B9" w:rsidRPr="00623A2B" w:rsidRDefault="005B51B9" w:rsidP="005B51B9">
      <w:pPr>
        <w:pStyle w:val="FootnoteText"/>
        <w:tabs>
          <w:tab w:val="clear" w:pos="360"/>
        </w:tabs>
        <w:ind w:left="0" w:firstLine="720"/>
        <w:rPr>
          <w:rFonts w:ascii="Times New Roman" w:hAnsi="Times New Roman"/>
          <w:sz w:val="20"/>
          <w:lang w:val="fr-CA"/>
        </w:rPr>
      </w:pPr>
    </w:p>
    <w:p w14:paraId="089B2D5D" w14:textId="77777777" w:rsidR="005B51B9" w:rsidRPr="00623A2B" w:rsidRDefault="005B51B9" w:rsidP="005B51B9">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2.</w:t>
      </w:r>
      <w:r w:rsidRPr="00623A2B">
        <w:rPr>
          <w:rFonts w:ascii="Times New Roman" w:hAnsi="Times New Roman"/>
          <w:sz w:val="20"/>
          <w:lang w:val="fr-CA"/>
        </w:rPr>
        <w:tab/>
        <w:t xml:space="preserve">… de personnes qui prétendent usurper la représentation légale de la République bolivarienne du Venezuela et du Gouvernement légitime du Président </w:t>
      </w:r>
      <w:proofErr w:type="spellStart"/>
      <w:r w:rsidRPr="00623A2B">
        <w:rPr>
          <w:rFonts w:ascii="Times New Roman" w:hAnsi="Times New Roman"/>
          <w:sz w:val="20"/>
          <w:lang w:val="fr-CA"/>
        </w:rPr>
        <w:t>Nicolás</w:t>
      </w:r>
      <w:proofErr w:type="spellEnd"/>
      <w:r w:rsidRPr="00623A2B">
        <w:rPr>
          <w:rFonts w:ascii="Times New Roman" w:hAnsi="Times New Roman"/>
          <w:sz w:val="20"/>
          <w:lang w:val="fr-CA"/>
        </w:rPr>
        <w:t xml:space="preserve"> </w:t>
      </w:r>
      <w:proofErr w:type="spellStart"/>
      <w:r w:rsidRPr="00623A2B">
        <w:rPr>
          <w:rFonts w:ascii="Times New Roman" w:hAnsi="Times New Roman"/>
          <w:sz w:val="20"/>
          <w:lang w:val="fr-CA"/>
        </w:rPr>
        <w:t>Maduro</w:t>
      </w:r>
      <w:proofErr w:type="spellEnd"/>
      <w:r w:rsidRPr="00623A2B">
        <w:rPr>
          <w:rFonts w:ascii="Times New Roman" w:hAnsi="Times New Roman"/>
          <w:sz w:val="20"/>
          <w:lang w:val="fr-CA"/>
        </w:rPr>
        <w:t xml:space="preserve"> Moros. Nous demandons que notre refus soit consigné dans tous les documents qui seront traités lors de la présente Cinquante-et-unième Session de l’Assemblée générale de l’OEA.</w:t>
      </w:r>
    </w:p>
    <w:p w14:paraId="44280913" w14:textId="77777777" w:rsidR="005B51B9" w:rsidRPr="00623A2B" w:rsidRDefault="005B51B9" w:rsidP="005B51B9">
      <w:pPr>
        <w:pStyle w:val="FootnoteText"/>
        <w:tabs>
          <w:tab w:val="clear" w:pos="360"/>
        </w:tabs>
        <w:ind w:left="0" w:firstLine="720"/>
        <w:rPr>
          <w:rFonts w:ascii="Times New Roman" w:hAnsi="Times New Roman"/>
          <w:sz w:val="20"/>
          <w:lang w:val="fr-CA"/>
        </w:rPr>
      </w:pPr>
    </w:p>
    <w:p w14:paraId="4EF0F1E5" w14:textId="77777777" w:rsidR="005B51B9" w:rsidRPr="00623A2B" w:rsidRDefault="005B51B9" w:rsidP="005B51B9">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3.</w:t>
      </w:r>
      <w:r w:rsidRPr="00623A2B">
        <w:rPr>
          <w:rFonts w:ascii="Times New Roman" w:hAnsi="Times New Roman"/>
          <w:sz w:val="20"/>
          <w:lang w:val="fr-CA"/>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0C7CCFC9" w14:textId="77777777" w:rsidR="005B51B9" w:rsidRPr="00623A2B" w:rsidRDefault="005B51B9" w:rsidP="005B51B9">
      <w:pPr>
        <w:pStyle w:val="FootnoteText"/>
        <w:tabs>
          <w:tab w:val="clear" w:pos="360"/>
        </w:tabs>
        <w:ind w:left="0" w:firstLine="720"/>
        <w:rPr>
          <w:rFonts w:ascii="Times New Roman" w:hAnsi="Times New Roman"/>
          <w:sz w:val="20"/>
          <w:lang w:val="fr-CA"/>
        </w:rPr>
      </w:pPr>
    </w:p>
    <w:p w14:paraId="2B3C1395" w14:textId="77777777" w:rsidR="005B51B9" w:rsidRPr="00623A2B" w:rsidRDefault="005B51B9" w:rsidP="005B51B9">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 xml:space="preserve">Antigua-et-Barbuda n'a pas soutenu la résolution CP/RES. 1124 (2217/19) du 9 avril 2019 qui visait à nommer M. Gustavo </w:t>
      </w:r>
      <w:proofErr w:type="spellStart"/>
      <w:r w:rsidRPr="00623A2B">
        <w:rPr>
          <w:rFonts w:ascii="Times New Roman" w:hAnsi="Times New Roman"/>
          <w:sz w:val="20"/>
          <w:lang w:val="fr-CA"/>
        </w:rPr>
        <w:t>Tarre</w:t>
      </w:r>
      <w:proofErr w:type="spellEnd"/>
      <w:r w:rsidRPr="00623A2B">
        <w:rPr>
          <w:rFonts w:ascii="Times New Roman" w:hAnsi="Times New Roman"/>
          <w:sz w:val="20"/>
          <w:lang w:val="fr-CA"/>
        </w:rPr>
        <w:t xml:space="preserve"> comme représentant de l'Assemblée nationale auprès de l'OEA et n'a pas accepté les </w:t>
      </w:r>
      <w:r w:rsidRPr="00623A2B">
        <w:rPr>
          <w:rFonts w:ascii="Times New Roman" w:hAnsi="Times New Roman"/>
          <w:sz w:val="20"/>
          <w:lang w:val="fr-CA"/>
        </w:rPr>
        <w:lastRenderedPageBreak/>
        <w:t xml:space="preserve">pouvoirs des fonctionnaires ayant l'intention de représenter la République bolivarienne du Venezuela aux quarante-neuvième, cinquantième et cinquante-et-unième sessions ordinaires de l'Assemblée générale. </w:t>
      </w:r>
    </w:p>
    <w:p w14:paraId="3AC8127F" w14:textId="77777777" w:rsidR="005B51B9" w:rsidRPr="00623A2B" w:rsidRDefault="005B51B9" w:rsidP="005B51B9">
      <w:pPr>
        <w:pStyle w:val="FootnoteText"/>
        <w:tabs>
          <w:tab w:val="clear" w:pos="360"/>
        </w:tabs>
        <w:ind w:left="0" w:firstLine="720"/>
        <w:rPr>
          <w:rFonts w:ascii="Times New Roman" w:hAnsi="Times New Roman"/>
          <w:sz w:val="20"/>
          <w:lang w:val="fr-CA"/>
        </w:rPr>
      </w:pPr>
    </w:p>
    <w:p w14:paraId="287A6409" w14:textId="77777777" w:rsidR="005B51B9" w:rsidRPr="00623A2B" w:rsidRDefault="005B51B9" w:rsidP="005B51B9">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7A5C7533" w14:textId="77777777" w:rsidR="005B51B9" w:rsidRPr="00623A2B" w:rsidRDefault="005B51B9" w:rsidP="005B51B9">
      <w:pPr>
        <w:pStyle w:val="FootnoteText"/>
        <w:tabs>
          <w:tab w:val="clear" w:pos="360"/>
        </w:tabs>
        <w:ind w:left="0" w:firstLine="720"/>
        <w:rPr>
          <w:rFonts w:ascii="Times New Roman" w:hAnsi="Times New Roman"/>
          <w:sz w:val="20"/>
          <w:lang w:val="fr-CA"/>
        </w:rPr>
      </w:pPr>
    </w:p>
    <w:p w14:paraId="48090DC1" w14:textId="77777777" w:rsidR="005B51B9" w:rsidRPr="00623A2B" w:rsidRDefault="005B51B9" w:rsidP="005B51B9">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4.</w:t>
      </w:r>
      <w:r w:rsidRPr="00623A2B">
        <w:rPr>
          <w:rFonts w:ascii="Times New Roman" w:hAnsi="Times New Roman"/>
          <w:sz w:val="20"/>
          <w:lang w:val="fr-CA"/>
        </w:rPr>
        <w:tab/>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1E617211" w14:textId="77777777" w:rsidR="005B51B9" w:rsidRPr="00623A2B" w:rsidRDefault="005B51B9" w:rsidP="005B51B9">
      <w:pPr>
        <w:pStyle w:val="FootnoteText"/>
        <w:tabs>
          <w:tab w:val="clear" w:pos="360"/>
        </w:tabs>
        <w:ind w:left="0" w:firstLine="720"/>
        <w:rPr>
          <w:rFonts w:ascii="Times New Roman" w:hAnsi="Times New Roman"/>
          <w:sz w:val="20"/>
          <w:lang w:val="fr-CA"/>
        </w:rPr>
      </w:pPr>
    </w:p>
    <w:p w14:paraId="1B61BE8F" w14:textId="77777777" w:rsidR="005B51B9" w:rsidRPr="00623A2B" w:rsidRDefault="005B51B9" w:rsidP="005B51B9">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p>
    <w:p w14:paraId="0FD83943" w14:textId="77777777" w:rsidR="005B51B9" w:rsidRPr="00623A2B" w:rsidRDefault="005B51B9" w:rsidP="005B51B9">
      <w:pPr>
        <w:pStyle w:val="FootnoteText"/>
        <w:tabs>
          <w:tab w:val="clear" w:pos="360"/>
        </w:tabs>
        <w:ind w:left="0" w:firstLine="720"/>
        <w:rPr>
          <w:rFonts w:ascii="Times New Roman" w:hAnsi="Times New Roman"/>
          <w:sz w:val="20"/>
          <w:lang w:val="fr-CA"/>
        </w:rPr>
      </w:pPr>
    </w:p>
    <w:p w14:paraId="7519737D" w14:textId="77777777" w:rsidR="005B51B9" w:rsidRPr="00623A2B" w:rsidRDefault="005B51B9" w:rsidP="005B51B9">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5.</w:t>
      </w:r>
      <w:r w:rsidRPr="00623A2B">
        <w:rPr>
          <w:rFonts w:ascii="Times New Roman" w:hAnsi="Times New Roman"/>
          <w:sz w:val="20"/>
          <w:lang w:val="fr-CA"/>
        </w:rPr>
        <w:tab/>
        <w:t>… qu'il doit être clairement entendu que le rôle de l'Organisation des États Américains doit être circonscrit à l'article 1 de la Charte de l'Organisation des États Américains, qui stipule que « l'Organisation des États Américains n'a d'autres facultés que celles que lui confère expressément la présente Charte dont aucune disposition ne l'autorise à intervenir dans des questions relevant de la juridiction interne des États membres ». Saint-Vincent-et-les-Grenadines met donc en garde contre le fait que toute facilitation du dialogue et toute fourniture d'assistance ne doivent se faire qu'à la demande des autorités et du peuple haïtiens et dans le respect des dispositions du droit international.</w:t>
      </w:r>
    </w:p>
    <w:p w14:paraId="6C706C6E" w14:textId="77777777" w:rsidR="005B51B9" w:rsidRPr="00623A2B" w:rsidRDefault="005B51B9" w:rsidP="005B51B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112E00B4" w14:textId="77777777" w:rsidR="005B51B9" w:rsidRPr="00623A2B" w:rsidRDefault="005B51B9" w:rsidP="005B51B9">
      <w:pPr>
        <w:pStyle w:val="FootnoteText"/>
        <w:tabs>
          <w:tab w:val="clear" w:pos="360"/>
        </w:tabs>
        <w:rPr>
          <w:rFonts w:ascii="Times New Roman" w:hAnsi="Times New Roman"/>
          <w:sz w:val="22"/>
          <w:szCs w:val="22"/>
          <w:lang w:val="fr-CA"/>
        </w:rPr>
      </w:pPr>
    </w:p>
    <w:p w14:paraId="4EE19675" w14:textId="77777777" w:rsidR="008F3B5D" w:rsidRPr="00623A2B" w:rsidRDefault="008F3B5D" w:rsidP="005B51B9">
      <w:pPr>
        <w:pStyle w:val="FootnoteText"/>
        <w:tabs>
          <w:tab w:val="clear" w:pos="360"/>
        </w:tabs>
        <w:rPr>
          <w:rFonts w:ascii="Times New Roman" w:hAnsi="Times New Roman"/>
          <w:sz w:val="22"/>
          <w:szCs w:val="22"/>
          <w:lang w:val="fr-CA"/>
        </w:rPr>
        <w:sectPr w:rsidR="008F3B5D" w:rsidRPr="00623A2B" w:rsidSect="00623A2B">
          <w:footnotePr>
            <w:numRestart w:val="eachSect"/>
          </w:footnotePr>
          <w:type w:val="oddPage"/>
          <w:pgSz w:w="12240" w:h="15840" w:code="1"/>
          <w:pgMar w:top="2160" w:right="1570" w:bottom="1296" w:left="1699" w:header="720" w:footer="720" w:gutter="0"/>
          <w:cols w:space="720"/>
          <w:titlePg/>
          <w:docGrid w:linePitch="360"/>
        </w:sectPr>
      </w:pPr>
    </w:p>
    <w:p w14:paraId="6C85BC59" w14:textId="77777777" w:rsidR="002C5FB4" w:rsidRPr="00623A2B" w:rsidRDefault="002C5FB4" w:rsidP="002C5FB4">
      <w:pPr>
        <w:pStyle w:val="Header"/>
        <w:ind w:right="-29"/>
        <w:jc w:val="center"/>
        <w:outlineLvl w:val="0"/>
        <w:rPr>
          <w:rFonts w:ascii="Times New Roman" w:hAnsi="Times New Roman"/>
          <w:bCs/>
          <w:kern w:val="32"/>
          <w:szCs w:val="22"/>
          <w:lang w:val="fr-FR" w:eastAsia="ar-SA"/>
        </w:rPr>
      </w:pPr>
      <w:bookmarkStart w:id="3" w:name="_Toc89177455"/>
      <w:bookmarkStart w:id="4" w:name="_Toc12117116"/>
      <w:bookmarkStart w:id="5" w:name="_Toc12118537"/>
      <w:bookmarkStart w:id="6" w:name="_Toc14803660"/>
      <w:r w:rsidRPr="00623A2B">
        <w:rPr>
          <w:rFonts w:ascii="Times New Roman" w:hAnsi="Times New Roman"/>
          <w:szCs w:val="22"/>
          <w:lang w:val="fr-CA"/>
        </w:rPr>
        <w:lastRenderedPageBreak/>
        <w:t>AG/RES. 2965 (LI-O/21)</w:t>
      </w:r>
      <w:r w:rsidRPr="00623A2B">
        <w:rPr>
          <w:rFonts w:ascii="Times New Roman" w:hAnsi="Times New Roman"/>
          <w:szCs w:val="22"/>
          <w:lang w:val="fr-CA"/>
        </w:rPr>
        <w:br/>
      </w:r>
      <w:r w:rsidRPr="00623A2B">
        <w:rPr>
          <w:rFonts w:ascii="Times New Roman" w:hAnsi="Times New Roman"/>
          <w:szCs w:val="22"/>
          <w:lang w:val="fr-CA"/>
        </w:rPr>
        <w:br/>
      </w:r>
      <w:r w:rsidRPr="00623A2B">
        <w:rPr>
          <w:rFonts w:ascii="Times New Roman" w:hAnsi="Times New Roman"/>
          <w:bCs/>
          <w:kern w:val="32"/>
          <w:szCs w:val="22"/>
          <w:lang w:val="fr-FR" w:eastAsia="ar-SA"/>
        </w:rPr>
        <w:t xml:space="preserve">RÔLE PRIORITAIRE DE L'ORGANISATION DES ÉTATS AMÉRICAINS DANS </w:t>
      </w:r>
      <w:r w:rsidRPr="00623A2B">
        <w:rPr>
          <w:rFonts w:ascii="Times New Roman" w:hAnsi="Times New Roman"/>
          <w:bCs/>
          <w:kern w:val="32"/>
          <w:szCs w:val="22"/>
          <w:lang w:val="fr-FR" w:eastAsia="ar-SA"/>
        </w:rPr>
        <w:br/>
        <w:t>LE DÉVELOPPEMENT DES TÉLÉCOMMUNICATIONS/TECHNOLOGIES</w:t>
      </w:r>
      <w:r w:rsidRPr="00623A2B">
        <w:rPr>
          <w:rFonts w:ascii="Times New Roman" w:hAnsi="Times New Roman"/>
          <w:bCs/>
          <w:kern w:val="32"/>
          <w:szCs w:val="22"/>
          <w:lang w:val="fr-FR" w:eastAsia="ar-SA"/>
        </w:rPr>
        <w:br/>
        <w:t xml:space="preserve">DE l'INFORMATION ET DES COMMUNICATIONS PAR L'INTERMÉDIAIRE DE </w:t>
      </w:r>
      <w:r w:rsidRPr="00623A2B">
        <w:rPr>
          <w:rFonts w:ascii="Times New Roman" w:hAnsi="Times New Roman"/>
          <w:bCs/>
          <w:kern w:val="32"/>
          <w:szCs w:val="22"/>
          <w:lang w:val="fr-FR" w:eastAsia="ar-SA"/>
        </w:rPr>
        <w:br/>
        <w:t>LA COMMISSION INTERAMÉRICAINE DES TÉLÉCOMMUNICATIONS (CITEL)</w:t>
      </w:r>
      <w:r w:rsidRPr="00623A2B">
        <w:rPr>
          <w:rStyle w:val="FootnoteReference"/>
          <w:rFonts w:ascii="Times New Roman" w:hAnsi="Times New Roman"/>
          <w:szCs w:val="22"/>
          <w:u w:val="single"/>
          <w:vertAlign w:val="superscript"/>
          <w:lang w:val="pt-BR"/>
        </w:rPr>
        <w:footnoteReference w:id="15"/>
      </w:r>
      <w:r w:rsidRPr="00623A2B">
        <w:rPr>
          <w:rFonts w:ascii="Times New Roman" w:hAnsi="Times New Roman"/>
          <w:szCs w:val="22"/>
          <w:vertAlign w:val="superscript"/>
          <w:lang w:val="fr-CA"/>
        </w:rPr>
        <w:t>/</w:t>
      </w:r>
      <w:r w:rsidRPr="00623A2B">
        <w:rPr>
          <w:rStyle w:val="FootnoteReference"/>
          <w:rFonts w:ascii="Times New Roman" w:hAnsi="Times New Roman"/>
          <w:szCs w:val="22"/>
          <w:u w:val="single"/>
          <w:vertAlign w:val="superscript"/>
          <w:lang w:val="pt-BR"/>
        </w:rPr>
        <w:footnoteReference w:id="16"/>
      </w:r>
      <w:r w:rsidRPr="00623A2B">
        <w:rPr>
          <w:rFonts w:ascii="Times New Roman" w:hAnsi="Times New Roman"/>
          <w:szCs w:val="22"/>
          <w:vertAlign w:val="superscript"/>
          <w:lang w:val="fr-CA"/>
        </w:rPr>
        <w:t>/</w:t>
      </w:r>
      <w:r w:rsidRPr="00623A2B">
        <w:rPr>
          <w:rStyle w:val="FootnoteReference"/>
          <w:rFonts w:ascii="Times New Roman" w:hAnsi="Times New Roman"/>
          <w:szCs w:val="22"/>
          <w:u w:val="single"/>
          <w:vertAlign w:val="superscript"/>
          <w:lang w:val="pt-BR"/>
        </w:rPr>
        <w:footnoteReference w:id="17"/>
      </w:r>
      <w:r w:rsidRPr="00623A2B">
        <w:rPr>
          <w:rFonts w:ascii="Times New Roman" w:hAnsi="Times New Roman"/>
          <w:szCs w:val="22"/>
          <w:vertAlign w:val="superscript"/>
          <w:lang w:val="fr-CA"/>
        </w:rPr>
        <w:t>/</w:t>
      </w:r>
      <w:r w:rsidRPr="00623A2B">
        <w:rPr>
          <w:rStyle w:val="FootnoteReference"/>
          <w:rFonts w:ascii="Times New Roman" w:hAnsi="Times New Roman"/>
          <w:szCs w:val="22"/>
          <w:u w:val="single"/>
          <w:vertAlign w:val="superscript"/>
          <w:lang w:val="pt-BR"/>
        </w:rPr>
        <w:footnoteReference w:id="18"/>
      </w:r>
      <w:r w:rsidRPr="00623A2B">
        <w:rPr>
          <w:rFonts w:ascii="Times New Roman" w:hAnsi="Times New Roman"/>
          <w:szCs w:val="22"/>
          <w:vertAlign w:val="superscript"/>
          <w:lang w:val="fr-CA"/>
        </w:rPr>
        <w:t>/</w:t>
      </w:r>
      <w:bookmarkEnd w:id="3"/>
    </w:p>
    <w:p w14:paraId="61978323" w14:textId="77777777" w:rsidR="002C5FB4" w:rsidRPr="00623A2B" w:rsidRDefault="002C5FB4" w:rsidP="002C5FB4">
      <w:pPr>
        <w:rPr>
          <w:rFonts w:ascii="Times New Roman" w:hAnsi="Times New Roman"/>
          <w:szCs w:val="22"/>
          <w:lang w:val="fr-FR"/>
        </w:rPr>
      </w:pPr>
    </w:p>
    <w:p w14:paraId="0C8EC9A2" w14:textId="427E25CD" w:rsidR="002C5FB4" w:rsidRPr="00623A2B" w:rsidRDefault="002C5FB4" w:rsidP="002C5FB4">
      <w:pPr>
        <w:jc w:val="center"/>
        <w:rPr>
          <w:rFonts w:ascii="Times New Roman" w:hAnsi="Times New Roman"/>
          <w:szCs w:val="22"/>
          <w:lang w:val="fr-FR"/>
        </w:rPr>
      </w:pPr>
      <w:r w:rsidRPr="00623A2B">
        <w:rPr>
          <w:rFonts w:ascii="Times New Roman" w:hAnsi="Times New Roman"/>
          <w:szCs w:val="22"/>
          <w:lang w:val="fr-FR"/>
        </w:rPr>
        <w:t xml:space="preserve">(Résolution adoptée à la </w:t>
      </w:r>
      <w:r w:rsidR="001B5A48" w:rsidRPr="00623A2B">
        <w:rPr>
          <w:rFonts w:ascii="Times New Roman" w:hAnsi="Times New Roman"/>
          <w:szCs w:val="22"/>
          <w:lang w:val="fr-FR"/>
        </w:rPr>
        <w:t xml:space="preserve">deuxième </w:t>
      </w:r>
      <w:r w:rsidRPr="00623A2B">
        <w:rPr>
          <w:rFonts w:ascii="Times New Roman" w:hAnsi="Times New Roman"/>
          <w:szCs w:val="22"/>
          <w:lang w:val="fr-FR"/>
        </w:rPr>
        <w:t xml:space="preserve">séance plénière, </w:t>
      </w:r>
      <w:r w:rsidRPr="00623A2B">
        <w:rPr>
          <w:rFonts w:ascii="Times New Roman" w:hAnsi="Times New Roman"/>
          <w:szCs w:val="22"/>
          <w:lang w:val="fr-CA"/>
        </w:rPr>
        <w:t>le 11 novembre 2021</w:t>
      </w:r>
      <w:r w:rsidRPr="00623A2B">
        <w:rPr>
          <w:rFonts w:ascii="Times New Roman" w:hAnsi="Times New Roman"/>
          <w:szCs w:val="22"/>
          <w:lang w:val="fr-FR"/>
        </w:rPr>
        <w:t>)</w:t>
      </w:r>
    </w:p>
    <w:bookmarkEnd w:id="4"/>
    <w:bookmarkEnd w:id="5"/>
    <w:bookmarkEnd w:id="6"/>
    <w:p w14:paraId="5CD9FF40" w14:textId="77777777" w:rsidR="002C5FB4" w:rsidRPr="00623A2B" w:rsidRDefault="002C5FB4" w:rsidP="002C5FB4">
      <w:pPr>
        <w:rPr>
          <w:rFonts w:ascii="Times New Roman" w:hAnsi="Times New Roman"/>
          <w:bCs/>
          <w:szCs w:val="22"/>
          <w:lang w:val="fr-FR"/>
        </w:rPr>
      </w:pPr>
    </w:p>
    <w:p w14:paraId="32222B51" w14:textId="77777777" w:rsidR="002C5FB4" w:rsidRPr="00623A2B" w:rsidRDefault="002C5FB4" w:rsidP="002C5FB4">
      <w:pPr>
        <w:rPr>
          <w:rFonts w:ascii="Times New Roman" w:hAnsi="Times New Roman"/>
          <w:szCs w:val="22"/>
          <w:lang w:val="fr-FR"/>
        </w:rPr>
      </w:pPr>
    </w:p>
    <w:p w14:paraId="63E49FEF" w14:textId="77777777" w:rsidR="002C5FB4" w:rsidRPr="00623A2B" w:rsidRDefault="002C5FB4" w:rsidP="002C5FB4">
      <w:pPr>
        <w:pStyle w:val="ListParagraph"/>
        <w:ind w:left="0"/>
        <w:rPr>
          <w:rFonts w:ascii="Times New Roman" w:hAnsi="Times New Roman"/>
          <w:lang w:val="fr-FR"/>
        </w:rPr>
      </w:pPr>
      <w:r w:rsidRPr="00623A2B">
        <w:rPr>
          <w:rFonts w:ascii="Times New Roman" w:hAnsi="Times New Roman"/>
          <w:lang w:val="fr-FR"/>
        </w:rPr>
        <w:tab/>
        <w:t>L’ASSEMBLÉE GÉNÉRALE,</w:t>
      </w:r>
    </w:p>
    <w:p w14:paraId="54D88809" w14:textId="77777777" w:rsidR="002C5FB4" w:rsidRPr="00623A2B" w:rsidRDefault="002C5FB4" w:rsidP="002C5FB4">
      <w:pPr>
        <w:rPr>
          <w:rFonts w:ascii="Times New Roman" w:hAnsi="Times New Roman"/>
          <w:szCs w:val="22"/>
          <w:lang w:val="fr-FR"/>
        </w:rPr>
      </w:pPr>
    </w:p>
    <w:p w14:paraId="11E7B6E9" w14:textId="77777777" w:rsidR="002C5FB4" w:rsidRPr="00623A2B" w:rsidRDefault="002C5FB4" w:rsidP="002C5FB4">
      <w:pPr>
        <w:rPr>
          <w:rFonts w:ascii="Times New Roman" w:hAnsi="Times New Roman"/>
          <w:szCs w:val="22"/>
          <w:lang w:val="fr-FR"/>
        </w:rPr>
      </w:pPr>
      <w:r w:rsidRPr="00623A2B">
        <w:rPr>
          <w:rFonts w:ascii="Times New Roman" w:hAnsi="Times New Roman"/>
          <w:szCs w:val="22"/>
          <w:lang w:val="fr-FR"/>
        </w:rPr>
        <w:t>RAPPELANT :</w:t>
      </w:r>
    </w:p>
    <w:p w14:paraId="0160C2DE" w14:textId="77777777" w:rsidR="002C5FB4" w:rsidRPr="00623A2B" w:rsidRDefault="002C5FB4" w:rsidP="002C5FB4">
      <w:pPr>
        <w:rPr>
          <w:rFonts w:ascii="Times New Roman" w:hAnsi="Times New Roman"/>
          <w:szCs w:val="22"/>
          <w:lang w:val="fr-FR"/>
        </w:rPr>
      </w:pPr>
    </w:p>
    <w:p w14:paraId="7820774B" w14:textId="77777777" w:rsidR="002C5FB4" w:rsidRPr="00623A2B" w:rsidRDefault="002C5FB4" w:rsidP="002C5FB4">
      <w:pPr>
        <w:ind w:firstLine="706"/>
        <w:rPr>
          <w:rFonts w:ascii="Times New Roman" w:hAnsi="Times New Roman"/>
          <w:szCs w:val="22"/>
          <w:lang w:val="fr-FR"/>
        </w:rPr>
      </w:pPr>
      <w:r w:rsidRPr="00623A2B">
        <w:rPr>
          <w:rFonts w:ascii="Times New Roman" w:hAnsi="Times New Roman"/>
          <w:szCs w:val="22"/>
          <w:lang w:val="fr-FR"/>
        </w:rPr>
        <w:t>La résolution AG/RES. 2953 (L-O/20),</w:t>
      </w:r>
      <w:r w:rsidRPr="00623A2B">
        <w:rPr>
          <w:rFonts w:ascii="Times New Roman" w:hAnsi="Times New Roman"/>
          <w:bCs/>
          <w:kern w:val="32"/>
          <w:szCs w:val="22"/>
          <w:lang w:val="fr-FR"/>
        </w:rPr>
        <w:t xml:space="preserve"> </w:t>
      </w:r>
      <w:r w:rsidRPr="00623A2B">
        <w:rPr>
          <w:rFonts w:ascii="Times New Roman" w:hAnsi="Times New Roman"/>
          <w:szCs w:val="22"/>
          <w:lang w:val="fr-FR"/>
        </w:rPr>
        <w:t>« Rôle prioritaire de l’Organisation des États américains dans le développement des télécommunications/technologies de l’information et de la communication par l’intermédiaire de la Commission interaméricaine des télécommunications (CITEL) »</w:t>
      </w:r>
      <w:r w:rsidRPr="00623A2B">
        <w:rPr>
          <w:rFonts w:ascii="Times New Roman" w:hAnsi="Times New Roman"/>
          <w:bCs/>
          <w:kern w:val="32"/>
          <w:szCs w:val="22"/>
          <w:lang w:val="fr-FR"/>
        </w:rPr>
        <w:t>, adoptée le 20 octobre 2020 ;</w:t>
      </w:r>
      <w:r w:rsidRPr="00623A2B">
        <w:rPr>
          <w:rFonts w:ascii="Times New Roman" w:hAnsi="Times New Roman"/>
          <w:szCs w:val="22"/>
          <w:lang w:val="fr-FR"/>
        </w:rPr>
        <w:t xml:space="preserve"> et,</w:t>
      </w:r>
    </w:p>
    <w:p w14:paraId="108D5E61" w14:textId="77777777" w:rsidR="002C5FB4" w:rsidRPr="00623A2B" w:rsidRDefault="002C5FB4" w:rsidP="002C5FB4">
      <w:pPr>
        <w:rPr>
          <w:rFonts w:ascii="Times New Roman" w:hAnsi="Times New Roman"/>
          <w:szCs w:val="22"/>
          <w:lang w:val="fr-FR"/>
        </w:rPr>
      </w:pPr>
    </w:p>
    <w:p w14:paraId="1A6A5E12" w14:textId="77777777" w:rsidR="002C5FB4" w:rsidRPr="00623A2B" w:rsidRDefault="002C5FB4" w:rsidP="002C5FB4">
      <w:pPr>
        <w:ind w:firstLine="706"/>
        <w:rPr>
          <w:rFonts w:ascii="Times New Roman" w:hAnsi="Times New Roman"/>
          <w:szCs w:val="22"/>
          <w:lang w:val="fr-FR"/>
        </w:rPr>
      </w:pPr>
      <w:r w:rsidRPr="00623A2B">
        <w:rPr>
          <w:rFonts w:ascii="Times New Roman" w:hAnsi="Times New Roman"/>
          <w:szCs w:val="22"/>
          <w:lang w:val="fr-FR"/>
        </w:rPr>
        <w:t>La résolution</w:t>
      </w:r>
      <w:r w:rsidRPr="00623A2B">
        <w:rPr>
          <w:rStyle w:val="Heading3Char"/>
          <w:rFonts w:ascii="Times New Roman" w:hAnsi="Times New Roman"/>
          <w:szCs w:val="22"/>
          <w:lang w:val="fr-FR"/>
        </w:rPr>
        <w:t xml:space="preserve"> </w:t>
      </w:r>
      <w:r w:rsidRPr="00623A2B">
        <w:rPr>
          <w:rFonts w:ascii="Times New Roman" w:hAnsi="Times New Roman"/>
          <w:szCs w:val="22"/>
          <w:lang w:val="fr-FR"/>
        </w:rPr>
        <w:t>AG/RES. 2957 (L-O/20), « Programme-Budget de l’Organisation pour 2021 » adopté le</w:t>
      </w:r>
      <w:r w:rsidRPr="00623A2B">
        <w:rPr>
          <w:rFonts w:ascii="Times New Roman" w:hAnsi="Times New Roman"/>
          <w:bCs/>
          <w:kern w:val="32"/>
          <w:szCs w:val="22"/>
          <w:lang w:val="fr-FR"/>
        </w:rPr>
        <w:t xml:space="preserve"> 20 octobre 2020 en ce qui concerne les mandats liés à la CITEL ;</w:t>
      </w:r>
    </w:p>
    <w:p w14:paraId="7DA7A02B" w14:textId="77777777" w:rsidR="002C5FB4" w:rsidRPr="00623A2B" w:rsidRDefault="002C5FB4" w:rsidP="002C5FB4">
      <w:pPr>
        <w:rPr>
          <w:rFonts w:ascii="Times New Roman" w:hAnsi="Times New Roman"/>
          <w:szCs w:val="22"/>
          <w:lang w:val="fr-FR"/>
        </w:rPr>
      </w:pPr>
    </w:p>
    <w:p w14:paraId="22B88457" w14:textId="77777777" w:rsidR="002C5FB4" w:rsidRPr="00623A2B" w:rsidRDefault="002C5FB4" w:rsidP="002C5FB4">
      <w:pPr>
        <w:ind w:firstLine="706"/>
        <w:rPr>
          <w:rFonts w:ascii="Times New Roman" w:hAnsi="Times New Roman"/>
          <w:szCs w:val="22"/>
          <w:lang w:val="fr-FR"/>
        </w:rPr>
      </w:pPr>
      <w:r w:rsidRPr="00623A2B">
        <w:rPr>
          <w:rFonts w:ascii="Times New Roman" w:hAnsi="Times New Roman"/>
          <w:szCs w:val="22"/>
          <w:lang w:val="fr-FR"/>
        </w:rPr>
        <w:t>NOTANT la résolution CITEL/RES. 80 (VII-18) sur le « Renforcement de la CITEL au sein de l’OEA » approuvé par la septième session ordinaire de l’Assemblée de la CITEL dans laquelle la CITEL invite l’Assemblée générale de l’OEA à réaffirmer son engagement en faveur de la viabilité financière de la CITEL ; et</w:t>
      </w:r>
    </w:p>
    <w:p w14:paraId="1BB9B4AE" w14:textId="77777777" w:rsidR="002C5FB4" w:rsidRPr="00623A2B" w:rsidRDefault="002C5FB4" w:rsidP="002C5FB4">
      <w:pPr>
        <w:rPr>
          <w:rFonts w:ascii="Times New Roman" w:hAnsi="Times New Roman"/>
          <w:szCs w:val="22"/>
          <w:lang w:val="fr-FR"/>
        </w:rPr>
      </w:pPr>
    </w:p>
    <w:p w14:paraId="3E553E18" w14:textId="77777777" w:rsidR="002C5FB4" w:rsidRPr="00623A2B" w:rsidRDefault="002C5FB4" w:rsidP="002C5FB4">
      <w:pPr>
        <w:rPr>
          <w:rFonts w:ascii="Times New Roman" w:hAnsi="Times New Roman"/>
          <w:szCs w:val="22"/>
          <w:lang w:val="fr-FR"/>
        </w:rPr>
      </w:pPr>
      <w:r w:rsidRPr="00623A2B">
        <w:rPr>
          <w:rFonts w:ascii="Times New Roman" w:hAnsi="Times New Roman"/>
          <w:szCs w:val="22"/>
          <w:lang w:val="fr-FR"/>
        </w:rPr>
        <w:t>CONSIDÉRANT :</w:t>
      </w:r>
    </w:p>
    <w:p w14:paraId="673BF21D" w14:textId="77777777" w:rsidR="002C5FB4" w:rsidRPr="00623A2B" w:rsidRDefault="002C5FB4" w:rsidP="002C5FB4">
      <w:pPr>
        <w:rPr>
          <w:rFonts w:ascii="Times New Roman" w:hAnsi="Times New Roman"/>
          <w:szCs w:val="22"/>
          <w:lang w:val="fr-FR"/>
        </w:rPr>
      </w:pPr>
    </w:p>
    <w:p w14:paraId="01C422BF" w14:textId="77777777" w:rsidR="002C5FB4" w:rsidRPr="00623A2B" w:rsidRDefault="002C5FB4" w:rsidP="002C5FB4">
      <w:pPr>
        <w:ind w:firstLine="706"/>
        <w:rPr>
          <w:rFonts w:ascii="Times New Roman" w:hAnsi="Times New Roman"/>
          <w:szCs w:val="22"/>
          <w:lang w:val="fr-FR"/>
        </w:rPr>
      </w:pPr>
      <w:r w:rsidRPr="00623A2B">
        <w:rPr>
          <w:rFonts w:ascii="Times New Roman" w:hAnsi="Times New Roman"/>
          <w:szCs w:val="22"/>
          <w:lang w:val="fr-FR"/>
        </w:rPr>
        <w:t>Que les télécommunications et les technologies de l’information et de la communication (TIC) sont des outils clés pour le développement social, économique, culturel et environnemental et, par conséquent, pour la mise en œuvre du Programme 2030 pour le développement durable ;</w:t>
      </w:r>
    </w:p>
    <w:p w14:paraId="5C75B58D" w14:textId="77777777" w:rsidR="002C5FB4" w:rsidRPr="00623A2B" w:rsidRDefault="002C5FB4" w:rsidP="002C5FB4">
      <w:pPr>
        <w:rPr>
          <w:rFonts w:ascii="Times New Roman" w:hAnsi="Times New Roman"/>
          <w:szCs w:val="22"/>
          <w:lang w:val="fr-FR"/>
        </w:rPr>
      </w:pPr>
    </w:p>
    <w:p w14:paraId="2AC2DCF6" w14:textId="77777777" w:rsidR="002C5FB4" w:rsidRPr="00623A2B" w:rsidRDefault="002C5FB4" w:rsidP="002C5FB4">
      <w:pPr>
        <w:rPr>
          <w:rFonts w:ascii="Times New Roman" w:hAnsi="Times New Roman"/>
          <w:szCs w:val="22"/>
          <w:lang w:val="fr-FR"/>
        </w:rPr>
      </w:pPr>
      <w:r w:rsidRPr="00623A2B">
        <w:rPr>
          <w:rFonts w:ascii="Times New Roman" w:hAnsi="Times New Roman"/>
          <w:szCs w:val="22"/>
          <w:lang w:val="fr-FR"/>
        </w:rPr>
        <w:tab/>
        <w:t>Que la CITEL est l’entité spécialisée de l’OEA en matière de télécommunications et de TIC et qu’elle contribue ainsi efficacement à la mise en œuvre des quatre piliers de l’OEA et des mandats et initiatives des Sommets des Amériques ; et qu’à cette fin, elle a encouragé, avec les dirigeants politiques de la région, des actions telles que le lancement des initiatives publiques-privées Alliance TIC 2030 Amériques, l’appel à davantage d’investissements dans l’infrastructure à large bande, et la promotion de l’accès au haut débit pour l’inclusion sociale, ainsi que l’Alliance des femmes rurales - Autonomiser les femmes rurales grâce aux TIC;</w:t>
      </w:r>
    </w:p>
    <w:p w14:paraId="10A381B7" w14:textId="426A0792" w:rsidR="002C5FB4" w:rsidRPr="00623A2B" w:rsidRDefault="002C5FB4" w:rsidP="002C5FB4">
      <w:pPr>
        <w:ind w:firstLine="706"/>
        <w:rPr>
          <w:rFonts w:ascii="Times New Roman" w:hAnsi="Times New Roman"/>
          <w:szCs w:val="22"/>
          <w:lang w:val="fr-FR"/>
        </w:rPr>
      </w:pPr>
      <w:r w:rsidRPr="00623A2B">
        <w:rPr>
          <w:rFonts w:ascii="Times New Roman" w:hAnsi="Times New Roman"/>
          <w:szCs w:val="22"/>
          <w:lang w:val="fr-FR"/>
        </w:rPr>
        <w:lastRenderedPageBreak/>
        <w:t>Que, reflétant leur rôle unique basé sur leur appartenance et leur capacité à unir l’académie, le secteur privé, la communauté technique et le gouvernement, la CITEL défend les intérêts de tout l’hémisphère dans les Assemblées et Conférence mondiales des télécommunications et des radiocommunications de l’Union internationale des télécommunications (UIT) en adoptant des propositions interaméricaines ;</w:t>
      </w:r>
    </w:p>
    <w:p w14:paraId="6BB413BB" w14:textId="77777777" w:rsidR="002C5FB4" w:rsidRPr="00623A2B" w:rsidRDefault="002C5FB4" w:rsidP="002C5FB4">
      <w:pPr>
        <w:rPr>
          <w:rFonts w:ascii="Times New Roman" w:hAnsi="Times New Roman"/>
          <w:szCs w:val="22"/>
          <w:lang w:val="fr-FR"/>
        </w:rPr>
      </w:pPr>
    </w:p>
    <w:p w14:paraId="7665ED5C" w14:textId="77777777" w:rsidR="002C5FB4" w:rsidRPr="00623A2B" w:rsidRDefault="002C5FB4" w:rsidP="002C5FB4">
      <w:pPr>
        <w:ind w:firstLine="706"/>
        <w:rPr>
          <w:rFonts w:ascii="Times New Roman" w:hAnsi="Times New Roman"/>
          <w:szCs w:val="22"/>
          <w:lang w:val="fr-FR"/>
        </w:rPr>
      </w:pPr>
      <w:r w:rsidRPr="00623A2B">
        <w:rPr>
          <w:rFonts w:ascii="Times New Roman" w:hAnsi="Times New Roman"/>
          <w:szCs w:val="22"/>
          <w:lang w:val="fr-FR"/>
        </w:rPr>
        <w:t>Qu’à ce jour, selon l’UIT, un tiers de la population de la région n’a pas accès à la connectivité à large bande, il importe de continuer à renforcer la CITEL en tant que domaine fondamental de la coopération en matière de communications et de TIC dans les Amériques, notamment son rôle dans la discussion et la conclusion d’accords sur l’inclusion numérique, le développement des infrastructures de télécommunications, l’utilisation du spectre radioélectrique et la création d’un environnement propice aux investissements dans les TIC;</w:t>
      </w:r>
    </w:p>
    <w:p w14:paraId="3F4FC926" w14:textId="77777777" w:rsidR="002C5FB4" w:rsidRPr="00623A2B" w:rsidRDefault="002C5FB4" w:rsidP="002C5FB4">
      <w:pPr>
        <w:rPr>
          <w:rFonts w:ascii="Times New Roman" w:hAnsi="Times New Roman"/>
          <w:bCs/>
          <w:szCs w:val="22"/>
          <w:lang w:val="fr-FR"/>
        </w:rPr>
      </w:pPr>
    </w:p>
    <w:p w14:paraId="72E491D7" w14:textId="77777777" w:rsidR="002C5FB4" w:rsidRPr="00623A2B" w:rsidRDefault="002C5FB4" w:rsidP="002C5FB4">
      <w:pPr>
        <w:ind w:firstLine="706"/>
        <w:rPr>
          <w:rFonts w:ascii="Times New Roman" w:hAnsi="Times New Roman"/>
          <w:bCs/>
          <w:szCs w:val="22"/>
          <w:lang w:val="fr-FR"/>
        </w:rPr>
      </w:pPr>
      <w:r w:rsidRPr="00623A2B">
        <w:rPr>
          <w:rFonts w:ascii="Times New Roman" w:hAnsi="Times New Roman"/>
          <w:bCs/>
          <w:szCs w:val="22"/>
          <w:lang w:val="fr-FR"/>
        </w:rPr>
        <w:t>Que l’échange de données d’expérience issues du cycle des tables rondes et des forums coordonnés par le Secrétariat de la CITEL a contribué positivement aux réponses des États membres de l’OEA pour mieux s’attaquer aux inégalités générées par la COVID19 du point de vue des télécommunications/TIC, et a contribué à la formulation de recommandations sur les aspects pertinents à prendre en compte lors de l’élaboration de politiques réglementaires en matière de télécommunications pendant et après la pandémie COVID-19;</w:t>
      </w:r>
    </w:p>
    <w:p w14:paraId="45BBD98B" w14:textId="77777777" w:rsidR="002C5FB4" w:rsidRPr="00623A2B" w:rsidRDefault="002C5FB4" w:rsidP="002C5FB4">
      <w:pPr>
        <w:rPr>
          <w:rFonts w:ascii="Times New Roman" w:hAnsi="Times New Roman"/>
          <w:bCs/>
          <w:szCs w:val="22"/>
          <w:lang w:val="fr-FR"/>
        </w:rPr>
      </w:pPr>
    </w:p>
    <w:p w14:paraId="52958DD3" w14:textId="77777777" w:rsidR="002C5FB4" w:rsidRPr="00623A2B" w:rsidRDefault="002C5FB4" w:rsidP="002C5FB4">
      <w:pPr>
        <w:ind w:firstLine="706"/>
        <w:rPr>
          <w:rFonts w:ascii="Times New Roman" w:hAnsi="Times New Roman"/>
          <w:bCs/>
          <w:szCs w:val="22"/>
          <w:lang w:val="fr-FR"/>
        </w:rPr>
      </w:pPr>
      <w:r w:rsidRPr="00623A2B">
        <w:rPr>
          <w:rFonts w:ascii="Times New Roman" w:hAnsi="Times New Roman"/>
          <w:bCs/>
          <w:szCs w:val="22"/>
          <w:lang w:val="fr-FR"/>
        </w:rPr>
        <w:t>Qu’il s’avère nécessaire d’améliorer la couverture et d’identifier le développement de modèles pour réduire la fracture numérique, la CITEL a établi des recommandations pour l’expansion des Télécommunications / TIC dans les zones rurales et dans les zones non desservies ou insuffisamment desservies.</w:t>
      </w:r>
    </w:p>
    <w:p w14:paraId="4E6EB9CF" w14:textId="77777777" w:rsidR="002C5FB4" w:rsidRPr="00623A2B" w:rsidRDefault="002C5FB4" w:rsidP="002C5FB4">
      <w:pPr>
        <w:rPr>
          <w:rFonts w:ascii="Times New Roman" w:hAnsi="Times New Roman"/>
          <w:szCs w:val="22"/>
          <w:lang w:val="fr-FR"/>
        </w:rPr>
      </w:pPr>
    </w:p>
    <w:p w14:paraId="08DB1218" w14:textId="77777777" w:rsidR="002C5FB4" w:rsidRPr="00623A2B" w:rsidRDefault="002C5FB4" w:rsidP="002C5FB4">
      <w:pPr>
        <w:ind w:firstLine="706"/>
        <w:rPr>
          <w:rFonts w:ascii="Times New Roman" w:hAnsi="Times New Roman"/>
          <w:szCs w:val="22"/>
          <w:lang w:val="fr-FR"/>
        </w:rPr>
      </w:pPr>
      <w:r w:rsidRPr="00623A2B">
        <w:rPr>
          <w:rFonts w:ascii="Times New Roman" w:hAnsi="Times New Roman"/>
          <w:szCs w:val="22"/>
          <w:lang w:val="fr-FR"/>
        </w:rPr>
        <w:t>Que des actions ont été entreprises par la CITEL en coordination avec l’UIT, la CTU et la COMTELCA pour améliorer les capacités de communication et d’intervention afin d’accroître la résilience aux catastrophes et aux situations d’urgence dans la région ; et,</w:t>
      </w:r>
    </w:p>
    <w:p w14:paraId="5751D8AB" w14:textId="77777777" w:rsidR="002C5FB4" w:rsidRPr="00623A2B" w:rsidRDefault="002C5FB4" w:rsidP="002C5FB4">
      <w:pPr>
        <w:rPr>
          <w:rFonts w:ascii="Times New Roman" w:hAnsi="Times New Roman"/>
          <w:szCs w:val="22"/>
          <w:lang w:val="fr-FR"/>
        </w:rPr>
      </w:pPr>
    </w:p>
    <w:p w14:paraId="79F1E991" w14:textId="77777777" w:rsidR="002C5FB4" w:rsidRPr="00623A2B" w:rsidRDefault="002C5FB4" w:rsidP="002C5FB4">
      <w:pPr>
        <w:ind w:firstLine="706"/>
        <w:rPr>
          <w:rFonts w:ascii="Times New Roman" w:hAnsi="Times New Roman"/>
          <w:szCs w:val="22"/>
          <w:lang w:val="fr-FR"/>
        </w:rPr>
      </w:pPr>
      <w:r w:rsidRPr="00623A2B">
        <w:rPr>
          <w:rFonts w:ascii="Times New Roman" w:hAnsi="Times New Roman"/>
          <w:szCs w:val="22"/>
          <w:lang w:val="fr-FR"/>
        </w:rPr>
        <w:t xml:space="preserve">Qu’après avoir évalué les résultats positifs des travaux qu’elle a réalisés, il est nécessaire d’assurer la viabilité financière de la CITEL pour s’assurer qu’elle dispose des outils nécessaires pour poursuivre son travail et mettre en œuvre son Plan stratégique 2018-2022 conformément </w:t>
      </w:r>
      <w:proofErr w:type="gramStart"/>
      <w:r w:rsidRPr="00623A2B">
        <w:rPr>
          <w:rFonts w:ascii="Times New Roman" w:hAnsi="Times New Roman"/>
          <w:szCs w:val="22"/>
          <w:lang w:val="fr-FR"/>
        </w:rPr>
        <w:t>au</w:t>
      </w:r>
      <w:proofErr w:type="gramEnd"/>
      <w:r w:rsidRPr="00623A2B">
        <w:rPr>
          <w:rFonts w:ascii="Times New Roman" w:hAnsi="Times New Roman"/>
          <w:szCs w:val="22"/>
          <w:lang w:val="fr-FR"/>
        </w:rPr>
        <w:t xml:space="preserve"> Plan stratégique intégré de l’Organisation,</w:t>
      </w:r>
    </w:p>
    <w:p w14:paraId="509A4A86" w14:textId="77777777" w:rsidR="002C5FB4" w:rsidRPr="00623A2B" w:rsidRDefault="002C5FB4" w:rsidP="002C5FB4">
      <w:pPr>
        <w:rPr>
          <w:rFonts w:ascii="Times New Roman" w:hAnsi="Times New Roman"/>
          <w:szCs w:val="22"/>
          <w:lang w:val="fr-FR"/>
        </w:rPr>
      </w:pPr>
    </w:p>
    <w:p w14:paraId="4A29D16B" w14:textId="77777777" w:rsidR="002C5FB4" w:rsidRPr="00623A2B" w:rsidRDefault="002C5FB4" w:rsidP="002C5FB4">
      <w:pPr>
        <w:rPr>
          <w:rFonts w:ascii="Times New Roman" w:hAnsi="Times New Roman"/>
          <w:szCs w:val="22"/>
          <w:lang w:val="fr-FR"/>
        </w:rPr>
      </w:pPr>
      <w:r w:rsidRPr="00623A2B">
        <w:rPr>
          <w:rFonts w:ascii="Times New Roman" w:hAnsi="Times New Roman"/>
          <w:szCs w:val="22"/>
          <w:lang w:val="fr-FR"/>
        </w:rPr>
        <w:t>DÉCIDE :</w:t>
      </w:r>
    </w:p>
    <w:p w14:paraId="4153CE70" w14:textId="77777777" w:rsidR="002C5FB4" w:rsidRPr="00623A2B" w:rsidRDefault="002C5FB4" w:rsidP="002C5FB4">
      <w:pPr>
        <w:rPr>
          <w:rFonts w:ascii="Times New Roman" w:hAnsi="Times New Roman"/>
          <w:szCs w:val="22"/>
          <w:lang w:val="fr-FR"/>
        </w:rPr>
      </w:pPr>
    </w:p>
    <w:p w14:paraId="47236CFD" w14:textId="77777777" w:rsidR="002C5FB4" w:rsidRPr="00623A2B" w:rsidRDefault="002C5FB4" w:rsidP="002C5FB4">
      <w:pPr>
        <w:rPr>
          <w:rFonts w:ascii="Times New Roman" w:hAnsi="Times New Roman"/>
          <w:szCs w:val="22"/>
          <w:lang w:val="fr-FR"/>
        </w:rPr>
      </w:pPr>
      <w:r w:rsidRPr="00623A2B">
        <w:rPr>
          <w:rFonts w:ascii="Times New Roman" w:hAnsi="Times New Roman"/>
          <w:szCs w:val="22"/>
          <w:lang w:val="fr-FR"/>
        </w:rPr>
        <w:tab/>
        <w:t>1.</w:t>
      </w:r>
      <w:r w:rsidRPr="00623A2B">
        <w:rPr>
          <w:rFonts w:ascii="Times New Roman" w:hAnsi="Times New Roman"/>
          <w:szCs w:val="22"/>
          <w:lang w:val="fr-FR"/>
        </w:rPr>
        <w:tab/>
        <w:t>Encourager les États membres de l’OEA à intensifier la coopération horizontale et l’échange d’informations, de données d’expérience et de bonnes pratiques entre eux dans le domaine des télécommunications et des technologies de l’information et de la communication (TIC) avec l’appui du secrétariat exécutif de la CITEL.</w:t>
      </w:r>
    </w:p>
    <w:p w14:paraId="3518F8A2" w14:textId="77777777" w:rsidR="002C5FB4" w:rsidRPr="00623A2B" w:rsidRDefault="002C5FB4" w:rsidP="002C5FB4">
      <w:pPr>
        <w:rPr>
          <w:rFonts w:ascii="Times New Roman" w:hAnsi="Times New Roman"/>
          <w:szCs w:val="22"/>
          <w:lang w:val="fr-FR"/>
        </w:rPr>
      </w:pPr>
    </w:p>
    <w:p w14:paraId="1A0726B6" w14:textId="77777777" w:rsidR="002C5FB4" w:rsidRPr="00623A2B" w:rsidRDefault="002C5FB4" w:rsidP="002C5FB4">
      <w:pPr>
        <w:ind w:firstLine="720"/>
        <w:rPr>
          <w:rFonts w:ascii="Times New Roman" w:hAnsi="Times New Roman"/>
          <w:szCs w:val="22"/>
          <w:lang w:val="fr-FR"/>
        </w:rPr>
      </w:pPr>
      <w:r w:rsidRPr="00623A2B">
        <w:rPr>
          <w:rFonts w:ascii="Times New Roman" w:hAnsi="Times New Roman"/>
          <w:szCs w:val="22"/>
          <w:lang w:val="fr-FR"/>
        </w:rPr>
        <w:t>2.</w:t>
      </w:r>
      <w:r w:rsidRPr="00623A2B">
        <w:rPr>
          <w:rFonts w:ascii="Times New Roman" w:hAnsi="Times New Roman"/>
          <w:szCs w:val="22"/>
          <w:lang w:val="fr-FR"/>
        </w:rPr>
        <w:tab/>
        <w:t xml:space="preserve">Encourager les États membres de l’OEA à mettre en œuvre des activités dans leurs pays et dans la région pour faire progresser la connectivité et l’accès au haut débit, en tant que moteur fondamental du développement durable, et les inviter à participer aux différentes activités organisées par la CITEL. </w:t>
      </w:r>
    </w:p>
    <w:p w14:paraId="1F64CF03" w14:textId="77777777" w:rsidR="002C5FB4" w:rsidRPr="00623A2B" w:rsidRDefault="002C5FB4" w:rsidP="002C5FB4">
      <w:pPr>
        <w:ind w:firstLine="720"/>
        <w:rPr>
          <w:rFonts w:ascii="Times New Roman" w:hAnsi="Times New Roman"/>
          <w:szCs w:val="22"/>
          <w:lang w:val="fr-FR"/>
        </w:rPr>
      </w:pPr>
    </w:p>
    <w:p w14:paraId="79667716" w14:textId="77777777" w:rsidR="002C5FB4" w:rsidRPr="00623A2B" w:rsidRDefault="002C5FB4" w:rsidP="002C5FB4">
      <w:pPr>
        <w:rPr>
          <w:rFonts w:ascii="Times New Roman" w:hAnsi="Times New Roman"/>
          <w:szCs w:val="22"/>
          <w:lang w:val="fr-FR"/>
        </w:rPr>
      </w:pPr>
      <w:r w:rsidRPr="00623A2B">
        <w:rPr>
          <w:rFonts w:ascii="Times New Roman" w:hAnsi="Times New Roman"/>
          <w:szCs w:val="22"/>
          <w:lang w:val="fr-FR"/>
        </w:rPr>
        <w:br w:type="page"/>
      </w:r>
    </w:p>
    <w:p w14:paraId="6AF36E64" w14:textId="77777777" w:rsidR="002C5FB4" w:rsidRPr="00623A2B" w:rsidRDefault="002C5FB4" w:rsidP="002C5FB4">
      <w:pPr>
        <w:ind w:firstLine="720"/>
        <w:rPr>
          <w:rFonts w:ascii="Times New Roman" w:hAnsi="Times New Roman"/>
          <w:szCs w:val="22"/>
          <w:lang w:val="fr-FR"/>
        </w:rPr>
      </w:pPr>
      <w:r w:rsidRPr="00623A2B">
        <w:rPr>
          <w:rFonts w:ascii="Times New Roman" w:hAnsi="Times New Roman"/>
          <w:szCs w:val="22"/>
          <w:lang w:val="fr-FR"/>
        </w:rPr>
        <w:lastRenderedPageBreak/>
        <w:t>3.</w:t>
      </w:r>
      <w:r w:rsidRPr="00623A2B">
        <w:rPr>
          <w:rFonts w:ascii="Times New Roman" w:hAnsi="Times New Roman"/>
          <w:szCs w:val="22"/>
          <w:lang w:val="fr-FR"/>
        </w:rPr>
        <w:tab/>
        <w:t>De demander au Secrétariat général de l’OEA de continuer à tenir compte des besoins financiers de la CITEL dans le projet de programme-budget 2022 pour examen par la Commission des questions administratives et budgétaires et l’approbation par l’Assemblée générale, conformément à la résolution CITEL/RES. 80 (VII-18), adoptée à la septième session ordinaire de l’Assemblée de la CITEL et par le biais de la résolution AG/RES. 2957 (L-O/20), « Programme-Budget de l’Organisation pour 2021 », approuvée à la</w:t>
      </w:r>
      <w:r w:rsidRPr="00623A2B">
        <w:rPr>
          <w:rFonts w:ascii="Times New Roman" w:hAnsi="Times New Roman"/>
          <w:color w:val="000000"/>
          <w:szCs w:val="22"/>
          <w:lang w:val="fr-FR"/>
        </w:rPr>
        <w:t xml:space="preserve"> cinquantième session ordinaire de l’Assemblée générale de l’OEA, afin que celle-ci puisse continuer à remplir ses objectifs, sa mission et à optimiser son fonctionnement.</w:t>
      </w:r>
    </w:p>
    <w:p w14:paraId="17DEE5A5" w14:textId="77777777" w:rsidR="002C5FB4" w:rsidRPr="00623A2B" w:rsidRDefault="002C5FB4" w:rsidP="002C5FB4">
      <w:pPr>
        <w:rPr>
          <w:rFonts w:ascii="Times New Roman" w:hAnsi="Times New Roman"/>
          <w:szCs w:val="22"/>
          <w:lang w:val="fr-FR"/>
        </w:rPr>
      </w:pPr>
    </w:p>
    <w:p w14:paraId="5D1CB365" w14:textId="77777777" w:rsidR="002C5FB4" w:rsidRPr="00623A2B" w:rsidRDefault="002C5FB4" w:rsidP="002C5FB4">
      <w:pPr>
        <w:ind w:firstLine="720"/>
        <w:rPr>
          <w:rFonts w:ascii="Times New Roman" w:hAnsi="Times New Roman"/>
          <w:szCs w:val="22"/>
          <w:lang w:val="fr-FR"/>
        </w:rPr>
      </w:pPr>
      <w:r w:rsidRPr="00623A2B">
        <w:rPr>
          <w:rFonts w:ascii="Times New Roman" w:hAnsi="Times New Roman"/>
          <w:szCs w:val="22"/>
          <w:lang w:val="fr-FR"/>
        </w:rPr>
        <w:t>4.</w:t>
      </w:r>
      <w:r w:rsidRPr="00623A2B">
        <w:rPr>
          <w:rFonts w:ascii="Times New Roman" w:hAnsi="Times New Roman"/>
          <w:szCs w:val="22"/>
          <w:lang w:val="fr-FR"/>
        </w:rPr>
        <w:tab/>
        <w:t>De demander au Secrétariat de la CITEL de faire rapport à la cinquante-deuxième session ordinaire de l’Assemblée générale de l’OEA sur l’application de la présente résolution, sous réserve de la disponibilité de ressources financières au titre du programme-budget de l’Organisation et d</w:t>
      </w:r>
      <w:r w:rsidRPr="00623A2B">
        <w:rPr>
          <w:rFonts w:ascii="Times New Roman" w:hAnsi="Times New Roman"/>
          <w:szCs w:val="22"/>
          <w:lang w:val="fr-CA"/>
        </w:rPr>
        <w:t>’</w:t>
      </w:r>
      <w:r w:rsidRPr="00623A2B">
        <w:rPr>
          <w:rFonts w:ascii="Times New Roman" w:hAnsi="Times New Roman"/>
          <w:szCs w:val="22"/>
          <w:lang w:val="fr-FR"/>
        </w:rPr>
        <w:t>autres ressources.</w:t>
      </w:r>
      <w:bookmarkStart w:id="7" w:name="_F._PROYECTO_DE"/>
      <w:bookmarkStart w:id="8" w:name="_F._PROJET_DE"/>
      <w:bookmarkEnd w:id="7"/>
      <w:bookmarkEnd w:id="8"/>
    </w:p>
    <w:p w14:paraId="311B1C55" w14:textId="77777777" w:rsidR="002C5FB4" w:rsidRPr="00623A2B" w:rsidRDefault="002C5FB4" w:rsidP="002C5FB4">
      <w:pPr>
        <w:rPr>
          <w:rFonts w:ascii="Times New Roman" w:hAnsi="Times New Roman"/>
          <w:szCs w:val="22"/>
          <w:lang w:val="fr-FR"/>
        </w:rPr>
      </w:pPr>
      <w:r w:rsidRPr="00623A2B">
        <w:rPr>
          <w:rFonts w:ascii="Times New Roman" w:hAnsi="Times New Roman"/>
          <w:szCs w:val="22"/>
          <w:lang w:val="fr-FR"/>
        </w:rPr>
        <w:br w:type="page"/>
      </w:r>
    </w:p>
    <w:p w14:paraId="781ABF45" w14:textId="77777777" w:rsidR="002C5FB4" w:rsidRPr="00623A2B" w:rsidRDefault="002C5FB4" w:rsidP="002C5FB4">
      <w:pPr>
        <w:jc w:val="center"/>
        <w:rPr>
          <w:rFonts w:ascii="Times New Roman" w:hAnsi="Times New Roman"/>
          <w:sz w:val="20"/>
          <w:lang w:val="fr-FR"/>
        </w:rPr>
      </w:pPr>
      <w:r w:rsidRPr="00623A2B">
        <w:rPr>
          <w:rFonts w:ascii="Times New Roman" w:hAnsi="Times New Roman"/>
          <w:sz w:val="20"/>
          <w:lang w:val="fr-FR"/>
        </w:rPr>
        <w:lastRenderedPageBreak/>
        <w:t>NOTES DE BAS DE PAGE</w:t>
      </w:r>
    </w:p>
    <w:p w14:paraId="3528A477" w14:textId="77777777" w:rsidR="002C5FB4" w:rsidRPr="00623A2B" w:rsidRDefault="002C5FB4" w:rsidP="002C5FB4">
      <w:pPr>
        <w:rPr>
          <w:rFonts w:ascii="Times New Roman" w:hAnsi="Times New Roman"/>
          <w:sz w:val="20"/>
          <w:lang w:val="fr-FR"/>
        </w:rPr>
      </w:pPr>
    </w:p>
    <w:p w14:paraId="733A405F" w14:textId="77777777" w:rsidR="002C5FB4" w:rsidRPr="00623A2B" w:rsidRDefault="002C5FB4" w:rsidP="002C5FB4">
      <w:pPr>
        <w:ind w:firstLine="720"/>
        <w:rPr>
          <w:rFonts w:ascii="Times New Roman" w:hAnsi="Times New Roman"/>
          <w:sz w:val="20"/>
          <w:lang w:val="fr-CA"/>
        </w:rPr>
      </w:pPr>
    </w:p>
    <w:p w14:paraId="1CC45FDE" w14:textId="77777777" w:rsidR="002C5FB4" w:rsidRPr="00623A2B" w:rsidRDefault="002C5FB4" w:rsidP="002C5FB4">
      <w:pPr>
        <w:pStyle w:val="FootnoteText"/>
        <w:ind w:left="0" w:firstLine="720"/>
        <w:rPr>
          <w:rFonts w:ascii="Times New Roman" w:hAnsi="Times New Roman"/>
          <w:sz w:val="20"/>
          <w:lang w:val="fr-CA"/>
        </w:rPr>
      </w:pPr>
      <w:r w:rsidRPr="00623A2B">
        <w:rPr>
          <w:rFonts w:ascii="Times New Roman" w:hAnsi="Times New Roman"/>
          <w:sz w:val="20"/>
          <w:lang w:val="fr-CA"/>
        </w:rPr>
        <w:tab/>
        <w:t>1.</w:t>
      </w:r>
      <w:r w:rsidRPr="00623A2B">
        <w:rPr>
          <w:rFonts w:ascii="Times New Roman" w:hAnsi="Times New Roman"/>
          <w:sz w:val="20"/>
          <w:lang w:val="fr-CA"/>
        </w:rPr>
        <w:tab/>
        <w:t>… Cinquante-et-unième Session ordinaire de l’Assemblée générale de l’Organisation des États Américains (OEA), lesquelles constituent des actes contraires au droit international.</w:t>
      </w:r>
    </w:p>
    <w:p w14:paraId="349E9C18" w14:textId="77777777" w:rsidR="002C5FB4" w:rsidRPr="00623A2B" w:rsidRDefault="002C5FB4" w:rsidP="002C5FB4">
      <w:pPr>
        <w:pStyle w:val="FootnoteText"/>
        <w:ind w:left="0" w:firstLine="720"/>
        <w:rPr>
          <w:rFonts w:ascii="Times New Roman" w:hAnsi="Times New Roman"/>
          <w:sz w:val="20"/>
          <w:lang w:val="fr-CA"/>
        </w:rPr>
      </w:pPr>
    </w:p>
    <w:p w14:paraId="43D71365" w14:textId="77777777" w:rsidR="002C5FB4" w:rsidRPr="00623A2B" w:rsidRDefault="002C5FB4" w:rsidP="002C5FB4">
      <w:pPr>
        <w:pStyle w:val="FootnoteText"/>
        <w:ind w:left="0" w:firstLine="720"/>
        <w:rPr>
          <w:rFonts w:ascii="Times New Roman" w:hAnsi="Times New Roman"/>
          <w:sz w:val="20"/>
          <w:lang w:val="fr-CA"/>
        </w:rPr>
      </w:pPr>
      <w:r w:rsidRPr="00623A2B">
        <w:rPr>
          <w:rFonts w:ascii="Times New Roman" w:hAnsi="Times New Roman"/>
          <w:sz w:val="20"/>
          <w:lang w:val="fr-CA"/>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2D0FD8E4" w14:textId="77777777" w:rsidR="002C5FB4" w:rsidRPr="00623A2B" w:rsidRDefault="002C5FB4" w:rsidP="002C5FB4">
      <w:pPr>
        <w:pStyle w:val="FootnoteText"/>
        <w:ind w:left="0" w:firstLine="720"/>
        <w:rPr>
          <w:rFonts w:ascii="Times New Roman" w:hAnsi="Times New Roman"/>
          <w:sz w:val="20"/>
          <w:lang w:val="fr-CA"/>
        </w:rPr>
      </w:pPr>
    </w:p>
    <w:p w14:paraId="54007C71" w14:textId="77777777" w:rsidR="002C5FB4" w:rsidRPr="00623A2B" w:rsidRDefault="002C5FB4" w:rsidP="002C5FB4">
      <w:pPr>
        <w:pStyle w:val="FootnoteText"/>
        <w:ind w:left="0" w:firstLine="720"/>
        <w:rPr>
          <w:rFonts w:ascii="Times New Roman" w:hAnsi="Times New Roman"/>
          <w:sz w:val="20"/>
          <w:lang w:val="fr-CA"/>
        </w:rPr>
      </w:pPr>
      <w:r w:rsidRPr="00623A2B">
        <w:rPr>
          <w:rFonts w:ascii="Times New Roman" w:hAnsi="Times New Roman"/>
          <w:sz w:val="20"/>
          <w:lang w:val="fr-CA"/>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31B2DE2F" w14:textId="77777777" w:rsidR="002C5FB4" w:rsidRPr="00623A2B" w:rsidRDefault="002C5FB4" w:rsidP="002C5FB4">
      <w:pPr>
        <w:pStyle w:val="FootnoteText"/>
        <w:ind w:left="0" w:firstLine="720"/>
        <w:rPr>
          <w:rFonts w:ascii="Times New Roman" w:hAnsi="Times New Roman"/>
          <w:sz w:val="20"/>
          <w:lang w:val="fr-CA"/>
        </w:rPr>
      </w:pPr>
    </w:p>
    <w:p w14:paraId="36027077" w14:textId="77777777" w:rsidR="002C5FB4" w:rsidRPr="00623A2B" w:rsidRDefault="002C5FB4" w:rsidP="002C5FB4">
      <w:pPr>
        <w:pStyle w:val="FootnoteText"/>
        <w:ind w:left="0" w:firstLine="720"/>
        <w:rPr>
          <w:rFonts w:ascii="Times New Roman" w:hAnsi="Times New Roman"/>
          <w:sz w:val="20"/>
          <w:lang w:val="fr-CA"/>
        </w:rPr>
      </w:pPr>
      <w:r w:rsidRPr="00623A2B">
        <w:rPr>
          <w:rFonts w:ascii="Times New Roman" w:hAnsi="Times New Roman"/>
          <w:sz w:val="20"/>
          <w:lang w:val="fr-CA"/>
        </w:rPr>
        <w:t>La reconnaissance d’un gouvernement est un acte souverain des États, et non des institutions internationales. L’OEA ne possède ni ne peut s’arroger des facultés de reconnaissance collective opposable à la qualité de membre; c’est pourquoi tout acte visant à atteindre cet objectif tombe en dehors de sa compétence et est matériellement nul.</w:t>
      </w:r>
    </w:p>
    <w:p w14:paraId="16A15256" w14:textId="77777777" w:rsidR="002C5FB4" w:rsidRPr="00623A2B" w:rsidRDefault="002C5FB4" w:rsidP="002C5FB4">
      <w:pPr>
        <w:pStyle w:val="FootnoteText"/>
        <w:ind w:left="0" w:firstLine="720"/>
        <w:rPr>
          <w:rFonts w:ascii="Times New Roman" w:hAnsi="Times New Roman"/>
          <w:sz w:val="20"/>
          <w:lang w:val="fr-CA"/>
        </w:rPr>
      </w:pPr>
    </w:p>
    <w:p w14:paraId="45E05D32" w14:textId="77777777" w:rsidR="002C5FB4" w:rsidRPr="00623A2B" w:rsidRDefault="002C5FB4" w:rsidP="002C5FB4">
      <w:pPr>
        <w:pStyle w:val="FootnoteText"/>
        <w:ind w:left="0" w:firstLine="720"/>
        <w:rPr>
          <w:rFonts w:ascii="Times New Roman" w:hAnsi="Times New Roman"/>
          <w:sz w:val="20"/>
          <w:lang w:val="fr-CA"/>
        </w:rPr>
      </w:pPr>
      <w:r w:rsidRPr="00623A2B">
        <w:rPr>
          <w:rFonts w:ascii="Times New Roman" w:hAnsi="Times New Roman"/>
          <w:sz w:val="20"/>
          <w:lang w:val="fr-CA"/>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4B642A98" w14:textId="77777777" w:rsidR="002C5FB4" w:rsidRPr="00623A2B" w:rsidRDefault="002C5FB4" w:rsidP="002C5FB4">
      <w:pPr>
        <w:pStyle w:val="FootnoteText"/>
        <w:ind w:left="0" w:firstLine="720"/>
        <w:rPr>
          <w:rFonts w:ascii="Times New Roman" w:hAnsi="Times New Roman"/>
          <w:sz w:val="20"/>
          <w:lang w:val="fr-CA"/>
        </w:rPr>
      </w:pPr>
    </w:p>
    <w:p w14:paraId="5CC2E47B" w14:textId="77777777" w:rsidR="002C5FB4" w:rsidRPr="00623A2B" w:rsidRDefault="002C5FB4" w:rsidP="002C5FB4">
      <w:pPr>
        <w:pStyle w:val="FootnoteText"/>
        <w:ind w:left="0" w:firstLine="720"/>
        <w:rPr>
          <w:rFonts w:ascii="Times New Roman" w:hAnsi="Times New Roman"/>
          <w:sz w:val="20"/>
          <w:lang w:val="fr-CA"/>
        </w:rPr>
      </w:pPr>
      <w:r w:rsidRPr="00623A2B">
        <w:rPr>
          <w:rFonts w:ascii="Times New Roman" w:hAnsi="Times New Roman"/>
          <w:sz w:val="20"/>
          <w:lang w:val="fr-CA"/>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3BC425AA" w14:textId="77777777" w:rsidR="002C5FB4" w:rsidRPr="00623A2B" w:rsidRDefault="002C5FB4" w:rsidP="002C5FB4">
      <w:pPr>
        <w:pStyle w:val="FootnoteText"/>
        <w:ind w:left="0" w:firstLine="720"/>
        <w:rPr>
          <w:rFonts w:ascii="Times New Roman" w:hAnsi="Times New Roman"/>
          <w:sz w:val="20"/>
          <w:lang w:val="fr-CA"/>
        </w:rPr>
      </w:pPr>
    </w:p>
    <w:p w14:paraId="6EE5C292" w14:textId="77777777" w:rsidR="002C5FB4" w:rsidRPr="00623A2B" w:rsidRDefault="002C5FB4" w:rsidP="002C5FB4">
      <w:pPr>
        <w:pStyle w:val="FootnoteText"/>
        <w:ind w:left="0" w:firstLine="720"/>
        <w:rPr>
          <w:rFonts w:ascii="Times New Roman" w:hAnsi="Times New Roman"/>
          <w:sz w:val="20"/>
          <w:lang w:val="fr-CA"/>
        </w:rPr>
      </w:pPr>
      <w:r w:rsidRPr="00623A2B">
        <w:rPr>
          <w:rFonts w:ascii="Times New Roman" w:hAnsi="Times New Roman"/>
          <w:sz w:val="20"/>
          <w:lang w:val="fr-CA"/>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7F6656BE" w14:textId="77777777" w:rsidR="002C5FB4" w:rsidRPr="00623A2B" w:rsidRDefault="002C5FB4" w:rsidP="002C5FB4">
      <w:pPr>
        <w:pStyle w:val="FootnoteText"/>
        <w:ind w:left="0" w:firstLine="720"/>
        <w:rPr>
          <w:rFonts w:ascii="Times New Roman" w:hAnsi="Times New Roman"/>
          <w:sz w:val="20"/>
          <w:lang w:val="fr-CA"/>
        </w:rPr>
      </w:pPr>
    </w:p>
    <w:p w14:paraId="141AB308" w14:textId="77777777" w:rsidR="002C5FB4" w:rsidRPr="00623A2B" w:rsidRDefault="002C5FB4" w:rsidP="002C5FB4">
      <w:pPr>
        <w:pStyle w:val="FootnoteText"/>
        <w:ind w:left="0" w:firstLine="720"/>
        <w:rPr>
          <w:rFonts w:ascii="Times New Roman" w:hAnsi="Times New Roman"/>
          <w:sz w:val="20"/>
          <w:lang w:val="fr-CA"/>
        </w:rPr>
      </w:pPr>
      <w:r w:rsidRPr="00623A2B">
        <w:rPr>
          <w:rFonts w:ascii="Times New Roman" w:hAnsi="Times New Roman"/>
          <w:sz w:val="20"/>
          <w:lang w:val="fr-CA"/>
        </w:rPr>
        <w:t>2.</w:t>
      </w:r>
      <w:r w:rsidRPr="00623A2B">
        <w:rPr>
          <w:rFonts w:ascii="Times New Roman" w:hAnsi="Times New Roman"/>
          <w:sz w:val="20"/>
          <w:lang w:val="fr-CA"/>
        </w:rPr>
        <w:tab/>
        <w:t xml:space="preserve">… de personnes qui prétendent usurper la représentation légale de la République bolivarienne du Venezuela et du Gouvernement légitime du Président </w:t>
      </w:r>
      <w:proofErr w:type="spellStart"/>
      <w:r w:rsidRPr="00623A2B">
        <w:rPr>
          <w:rFonts w:ascii="Times New Roman" w:hAnsi="Times New Roman"/>
          <w:sz w:val="20"/>
          <w:lang w:val="fr-CA"/>
        </w:rPr>
        <w:t>Nicolás</w:t>
      </w:r>
      <w:proofErr w:type="spellEnd"/>
      <w:r w:rsidRPr="00623A2B">
        <w:rPr>
          <w:rFonts w:ascii="Times New Roman" w:hAnsi="Times New Roman"/>
          <w:sz w:val="20"/>
          <w:lang w:val="fr-CA"/>
        </w:rPr>
        <w:t xml:space="preserve"> </w:t>
      </w:r>
      <w:proofErr w:type="spellStart"/>
      <w:r w:rsidRPr="00623A2B">
        <w:rPr>
          <w:rFonts w:ascii="Times New Roman" w:hAnsi="Times New Roman"/>
          <w:sz w:val="20"/>
          <w:lang w:val="fr-CA"/>
        </w:rPr>
        <w:t>Maduro</w:t>
      </w:r>
      <w:proofErr w:type="spellEnd"/>
      <w:r w:rsidRPr="00623A2B">
        <w:rPr>
          <w:rFonts w:ascii="Times New Roman" w:hAnsi="Times New Roman"/>
          <w:sz w:val="20"/>
          <w:lang w:val="fr-CA"/>
        </w:rPr>
        <w:t xml:space="preserve"> Moros. Nous demandons que notre refus soit consigné dans tous les documents qui seront traités lors de la présente Cinquante-et-unième Session de l’Assemblée générale de l’OEA.</w:t>
      </w:r>
    </w:p>
    <w:p w14:paraId="5F53050F" w14:textId="77777777" w:rsidR="002C5FB4" w:rsidRPr="00623A2B" w:rsidRDefault="002C5FB4" w:rsidP="002C5FB4">
      <w:pPr>
        <w:pStyle w:val="FootnoteText"/>
        <w:ind w:left="0" w:firstLine="720"/>
        <w:rPr>
          <w:rFonts w:ascii="Times New Roman" w:hAnsi="Times New Roman"/>
          <w:sz w:val="20"/>
          <w:lang w:val="fr-CA"/>
        </w:rPr>
      </w:pPr>
    </w:p>
    <w:p w14:paraId="0EF5F169" w14:textId="77777777" w:rsidR="002C5FB4" w:rsidRPr="00623A2B" w:rsidRDefault="002C5FB4" w:rsidP="002C5FB4">
      <w:pPr>
        <w:pStyle w:val="FootnoteText"/>
        <w:ind w:left="0" w:firstLine="720"/>
        <w:rPr>
          <w:rFonts w:ascii="Times New Roman" w:hAnsi="Times New Roman"/>
          <w:sz w:val="20"/>
          <w:lang w:val="fr-CA"/>
        </w:rPr>
      </w:pPr>
      <w:r w:rsidRPr="00623A2B">
        <w:rPr>
          <w:rFonts w:ascii="Times New Roman" w:hAnsi="Times New Roman"/>
          <w:sz w:val="20"/>
          <w:lang w:val="fr-CA"/>
        </w:rPr>
        <w:t>3.</w:t>
      </w:r>
      <w:r w:rsidRPr="00623A2B">
        <w:rPr>
          <w:rFonts w:ascii="Times New Roman" w:hAnsi="Times New Roman"/>
          <w:sz w:val="20"/>
          <w:lang w:val="fr-CA"/>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0C3AFE46" w14:textId="77777777" w:rsidR="002C5FB4" w:rsidRPr="00623A2B" w:rsidRDefault="002C5FB4" w:rsidP="002C5FB4">
      <w:pPr>
        <w:pStyle w:val="FootnoteText"/>
        <w:ind w:left="0" w:firstLine="720"/>
        <w:rPr>
          <w:rFonts w:ascii="Times New Roman" w:hAnsi="Times New Roman"/>
          <w:sz w:val="20"/>
          <w:lang w:val="fr-CA"/>
        </w:rPr>
      </w:pPr>
    </w:p>
    <w:p w14:paraId="4E396E96" w14:textId="77777777" w:rsidR="002C5FB4" w:rsidRPr="00623A2B" w:rsidRDefault="002C5FB4" w:rsidP="002C5FB4">
      <w:pPr>
        <w:pStyle w:val="FootnoteText"/>
        <w:ind w:left="0" w:firstLine="720"/>
        <w:rPr>
          <w:rFonts w:ascii="Times New Roman" w:hAnsi="Times New Roman"/>
          <w:sz w:val="20"/>
          <w:lang w:val="fr-CA"/>
        </w:rPr>
      </w:pPr>
      <w:r w:rsidRPr="00623A2B">
        <w:rPr>
          <w:rFonts w:ascii="Times New Roman" w:hAnsi="Times New Roman"/>
          <w:sz w:val="20"/>
          <w:lang w:val="fr-CA"/>
        </w:rPr>
        <w:t xml:space="preserve">Antigua-et-Barbuda n'a pas soutenu la résolution CP/RES. 1124 (2217/19) du 9 avril 2019 qui visait à nommer M. Gustavo </w:t>
      </w:r>
      <w:proofErr w:type="spellStart"/>
      <w:r w:rsidRPr="00623A2B">
        <w:rPr>
          <w:rFonts w:ascii="Times New Roman" w:hAnsi="Times New Roman"/>
          <w:sz w:val="20"/>
          <w:lang w:val="fr-CA"/>
        </w:rPr>
        <w:t>Tarre</w:t>
      </w:r>
      <w:proofErr w:type="spellEnd"/>
      <w:r w:rsidRPr="00623A2B">
        <w:rPr>
          <w:rFonts w:ascii="Times New Roman" w:hAnsi="Times New Roman"/>
          <w:sz w:val="20"/>
          <w:lang w:val="fr-CA"/>
        </w:rPr>
        <w:t xml:space="preserve"> comme représentant de l'Assemblée nationale auprès de l'OEA et n'a pas accepté les </w:t>
      </w:r>
      <w:r w:rsidRPr="00623A2B">
        <w:rPr>
          <w:rFonts w:ascii="Times New Roman" w:hAnsi="Times New Roman"/>
          <w:sz w:val="20"/>
          <w:lang w:val="fr-CA"/>
        </w:rPr>
        <w:lastRenderedPageBreak/>
        <w:t xml:space="preserve">pouvoirs des fonctionnaires ayant l'intention de représenter la République bolivarienne du Venezuela aux quarante-neuvième, cinquantième et cinquante-et-unième sessions ordinaires de l'Assemblée générale. </w:t>
      </w:r>
    </w:p>
    <w:p w14:paraId="0C546250" w14:textId="77777777" w:rsidR="002C5FB4" w:rsidRPr="00623A2B" w:rsidRDefault="002C5FB4" w:rsidP="002C5FB4">
      <w:pPr>
        <w:pStyle w:val="FootnoteText"/>
        <w:ind w:left="0" w:firstLine="720"/>
        <w:rPr>
          <w:rFonts w:ascii="Times New Roman" w:hAnsi="Times New Roman"/>
          <w:sz w:val="20"/>
          <w:lang w:val="fr-CA"/>
        </w:rPr>
      </w:pPr>
    </w:p>
    <w:p w14:paraId="1C4C472B" w14:textId="77777777" w:rsidR="002C5FB4" w:rsidRPr="00623A2B" w:rsidRDefault="002C5FB4" w:rsidP="002C5FB4">
      <w:pPr>
        <w:pStyle w:val="FootnoteText"/>
        <w:ind w:left="0" w:firstLine="720"/>
        <w:rPr>
          <w:rFonts w:ascii="Times New Roman" w:hAnsi="Times New Roman"/>
          <w:sz w:val="20"/>
          <w:lang w:val="fr-CA"/>
        </w:rPr>
      </w:pPr>
      <w:r w:rsidRPr="00623A2B">
        <w:rPr>
          <w:rFonts w:ascii="Times New Roman" w:hAnsi="Times New Roman"/>
          <w:sz w:val="20"/>
          <w:lang w:val="fr-CA"/>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355307A0" w14:textId="77777777" w:rsidR="002C5FB4" w:rsidRPr="00623A2B" w:rsidRDefault="002C5FB4" w:rsidP="002C5FB4">
      <w:pPr>
        <w:ind w:firstLine="720"/>
        <w:rPr>
          <w:rFonts w:ascii="Times New Roman" w:hAnsi="Times New Roman"/>
          <w:spacing w:val="-2"/>
          <w:sz w:val="20"/>
          <w:u w:val="single"/>
          <w:lang w:val="fr-FR"/>
        </w:rPr>
      </w:pPr>
    </w:p>
    <w:p w14:paraId="4D585825" w14:textId="77777777" w:rsidR="002C5FB4" w:rsidRPr="00623A2B" w:rsidRDefault="002C5FB4" w:rsidP="002C5FB4">
      <w:pPr>
        <w:pStyle w:val="FootnoteText"/>
        <w:ind w:left="0" w:firstLine="720"/>
        <w:rPr>
          <w:rFonts w:ascii="Times New Roman" w:hAnsi="Times New Roman"/>
          <w:sz w:val="20"/>
          <w:lang w:val="fr-CA"/>
        </w:rPr>
      </w:pPr>
      <w:r w:rsidRPr="00623A2B">
        <w:rPr>
          <w:rFonts w:ascii="Times New Roman" w:hAnsi="Times New Roman"/>
          <w:sz w:val="20"/>
          <w:lang w:val="fr-CA"/>
        </w:rPr>
        <w:t>4.</w:t>
      </w:r>
      <w:r w:rsidRPr="00623A2B">
        <w:rPr>
          <w:rFonts w:ascii="Times New Roman" w:hAnsi="Times New Roman"/>
          <w:sz w:val="20"/>
          <w:lang w:val="fr-CA"/>
        </w:rPr>
        <w:tab/>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513A672C" w14:textId="77777777" w:rsidR="002C5FB4" w:rsidRPr="00623A2B" w:rsidRDefault="002C5FB4" w:rsidP="002C5FB4">
      <w:pPr>
        <w:pStyle w:val="FootnoteText"/>
        <w:ind w:left="0" w:firstLine="720"/>
        <w:rPr>
          <w:rFonts w:ascii="Times New Roman" w:hAnsi="Times New Roman"/>
          <w:sz w:val="20"/>
          <w:lang w:val="fr-CA"/>
        </w:rPr>
      </w:pPr>
    </w:p>
    <w:p w14:paraId="4894D3C2" w14:textId="77777777" w:rsidR="002C5FB4" w:rsidRPr="00623A2B" w:rsidRDefault="002C5FB4" w:rsidP="002C5FB4">
      <w:pPr>
        <w:pStyle w:val="FootnoteText"/>
        <w:ind w:left="0" w:firstLine="720"/>
        <w:rPr>
          <w:rFonts w:ascii="Times New Roman" w:hAnsi="Times New Roman"/>
          <w:sz w:val="20"/>
          <w:lang w:val="fr-CA"/>
        </w:rPr>
      </w:pPr>
      <w:r w:rsidRPr="00623A2B">
        <w:rPr>
          <w:rFonts w:ascii="Times New Roman" w:hAnsi="Times New Roman"/>
          <w:sz w:val="20"/>
          <w:lang w:val="fr-CA"/>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p>
    <w:p w14:paraId="108C8BFA" w14:textId="77777777" w:rsidR="002C5FB4" w:rsidRPr="00623A2B" w:rsidRDefault="002C5FB4" w:rsidP="002C5FB4">
      <w:pPr>
        <w:ind w:firstLine="720"/>
        <w:rPr>
          <w:rFonts w:ascii="Times New Roman" w:hAnsi="Times New Roman"/>
          <w:spacing w:val="-2"/>
          <w:sz w:val="20"/>
          <w:u w:val="single"/>
          <w:lang w:val="fr-CA"/>
        </w:rPr>
      </w:pPr>
    </w:p>
    <w:p w14:paraId="0CA508B3" w14:textId="77777777" w:rsidR="008F3B5D" w:rsidRPr="00623A2B" w:rsidRDefault="008F3B5D" w:rsidP="002C5FB4">
      <w:pPr>
        <w:pStyle w:val="FootnoteText"/>
        <w:tabs>
          <w:tab w:val="clear" w:pos="360"/>
        </w:tabs>
        <w:ind w:left="0" w:firstLine="720"/>
        <w:rPr>
          <w:rFonts w:ascii="Times New Roman" w:hAnsi="Times New Roman"/>
          <w:sz w:val="20"/>
          <w:lang w:val="fr-CA"/>
        </w:rPr>
      </w:pPr>
    </w:p>
    <w:p w14:paraId="10CFF413" w14:textId="77777777" w:rsidR="002C5FB4" w:rsidRPr="00623A2B" w:rsidRDefault="002C5FB4" w:rsidP="002C5FB4">
      <w:pPr>
        <w:rPr>
          <w:rFonts w:ascii="Times New Roman" w:hAnsi="Times New Roman"/>
          <w:sz w:val="20"/>
          <w:lang w:val="fr-CA"/>
        </w:rPr>
      </w:pPr>
    </w:p>
    <w:p w14:paraId="080D2738" w14:textId="77777777" w:rsidR="002C5FB4" w:rsidRPr="00623A2B" w:rsidRDefault="002C5FB4" w:rsidP="002C5FB4">
      <w:pPr>
        <w:rPr>
          <w:rFonts w:ascii="Times New Roman" w:hAnsi="Times New Roman"/>
          <w:sz w:val="20"/>
          <w:lang w:val="fr-CA"/>
        </w:rPr>
      </w:pPr>
    </w:p>
    <w:p w14:paraId="36526D76" w14:textId="4D951CFC" w:rsidR="002C5FB4" w:rsidRPr="00623A2B" w:rsidRDefault="002C5FB4" w:rsidP="002C5FB4">
      <w:pPr>
        <w:tabs>
          <w:tab w:val="clear" w:pos="720"/>
          <w:tab w:val="clear" w:pos="1440"/>
          <w:tab w:val="clear" w:pos="2160"/>
          <w:tab w:val="clear" w:pos="3600"/>
          <w:tab w:val="clear" w:pos="4320"/>
          <w:tab w:val="clear" w:pos="5760"/>
          <w:tab w:val="clear" w:pos="6480"/>
          <w:tab w:val="clear" w:pos="7200"/>
          <w:tab w:val="clear" w:pos="7920"/>
        </w:tabs>
        <w:rPr>
          <w:rFonts w:ascii="Times New Roman" w:hAnsi="Times New Roman"/>
          <w:szCs w:val="22"/>
          <w:lang w:val="fr-CA"/>
        </w:rPr>
      </w:pPr>
      <w:r w:rsidRPr="00623A2B">
        <w:rPr>
          <w:rFonts w:ascii="Times New Roman" w:hAnsi="Times New Roman"/>
          <w:szCs w:val="22"/>
          <w:lang w:val="fr-CA"/>
        </w:rPr>
        <w:tab/>
      </w:r>
    </w:p>
    <w:p w14:paraId="5F55249B" w14:textId="133E06BC" w:rsidR="002C5FB4" w:rsidRPr="00623A2B" w:rsidRDefault="002C5FB4" w:rsidP="002C5FB4">
      <w:pPr>
        <w:tabs>
          <w:tab w:val="clear" w:pos="720"/>
          <w:tab w:val="clear" w:pos="1440"/>
          <w:tab w:val="clear" w:pos="2160"/>
          <w:tab w:val="clear" w:pos="3600"/>
          <w:tab w:val="clear" w:pos="4320"/>
          <w:tab w:val="clear" w:pos="5760"/>
          <w:tab w:val="clear" w:pos="6480"/>
          <w:tab w:val="clear" w:pos="7200"/>
          <w:tab w:val="clear" w:pos="7920"/>
        </w:tabs>
        <w:rPr>
          <w:rFonts w:ascii="Times New Roman" w:hAnsi="Times New Roman"/>
          <w:lang w:val="fr-CA"/>
        </w:rPr>
        <w:sectPr w:rsidR="002C5FB4" w:rsidRPr="00623A2B" w:rsidSect="00623A2B">
          <w:footnotePr>
            <w:numRestart w:val="eachSect"/>
          </w:footnotePr>
          <w:type w:val="oddPage"/>
          <w:pgSz w:w="12240" w:h="15840" w:code="1"/>
          <w:pgMar w:top="2160" w:right="1570" w:bottom="1296" w:left="1699" w:header="720" w:footer="720" w:gutter="0"/>
          <w:cols w:space="720"/>
          <w:titlePg/>
          <w:docGrid w:linePitch="360"/>
        </w:sectPr>
      </w:pPr>
      <w:r w:rsidRPr="00623A2B">
        <w:rPr>
          <w:rFonts w:ascii="Times New Roman" w:hAnsi="Times New Roman"/>
          <w:lang w:val="fr-CA"/>
        </w:rPr>
        <w:tab/>
      </w:r>
    </w:p>
    <w:p w14:paraId="11D6FD97" w14:textId="77777777" w:rsidR="00672B0B" w:rsidRPr="00623A2B" w:rsidRDefault="00672B0B" w:rsidP="003D25EA">
      <w:pPr>
        <w:pStyle w:val="Header"/>
        <w:ind w:right="-29"/>
        <w:jc w:val="center"/>
        <w:outlineLvl w:val="0"/>
        <w:rPr>
          <w:rFonts w:ascii="Times New Roman" w:hAnsi="Times New Roman"/>
          <w:szCs w:val="22"/>
          <w:lang w:val="fr-FR"/>
        </w:rPr>
      </w:pPr>
      <w:bookmarkStart w:id="9" w:name="_Toc89177456"/>
      <w:r w:rsidRPr="00623A2B">
        <w:rPr>
          <w:rFonts w:ascii="Times New Roman" w:hAnsi="Times New Roman"/>
          <w:szCs w:val="22"/>
          <w:lang w:val="fr-CA"/>
        </w:rPr>
        <w:lastRenderedPageBreak/>
        <w:t>AG/RES. 2966 (LI-O/21)</w:t>
      </w:r>
      <w:r w:rsidRPr="00623A2B">
        <w:rPr>
          <w:rFonts w:ascii="Times New Roman" w:hAnsi="Times New Roman"/>
          <w:szCs w:val="22"/>
          <w:lang w:val="fr-CA"/>
        </w:rPr>
        <w:br/>
      </w:r>
      <w:r w:rsidRPr="00623A2B">
        <w:rPr>
          <w:rFonts w:ascii="Times New Roman" w:hAnsi="Times New Roman"/>
          <w:szCs w:val="22"/>
          <w:lang w:val="fr-CA"/>
        </w:rPr>
        <w:br/>
      </w:r>
      <w:r w:rsidRPr="00623A2B">
        <w:rPr>
          <w:rFonts w:ascii="Times New Roman" w:hAnsi="Times New Roman"/>
          <w:szCs w:val="22"/>
          <w:lang w:val="fr-FR"/>
        </w:rPr>
        <w:t xml:space="preserve">INITIATIVES POUR L’EXPANSION DES TÉLÉCOMMUNICATIONS/TIC DANS </w:t>
      </w:r>
      <w:r w:rsidRPr="00623A2B">
        <w:rPr>
          <w:rFonts w:ascii="Times New Roman" w:hAnsi="Times New Roman"/>
          <w:szCs w:val="22"/>
          <w:lang w:val="fr-FR"/>
        </w:rPr>
        <w:br/>
        <w:t xml:space="preserve">LES ZONES RURALES ET DANS LES ZONES NON DESSERVIES </w:t>
      </w:r>
      <w:r w:rsidRPr="00623A2B">
        <w:rPr>
          <w:rFonts w:ascii="Times New Roman" w:hAnsi="Times New Roman"/>
          <w:szCs w:val="22"/>
          <w:lang w:val="fr-FR"/>
        </w:rPr>
        <w:br/>
        <w:t>OU INSUFFISAMMENT DESSERVIES</w:t>
      </w:r>
      <w:r w:rsidRPr="00623A2B">
        <w:rPr>
          <w:rStyle w:val="FootnoteReference"/>
          <w:rFonts w:ascii="Times New Roman" w:hAnsi="Times New Roman"/>
          <w:szCs w:val="22"/>
          <w:u w:val="single"/>
          <w:vertAlign w:val="superscript"/>
          <w:lang w:val="pt-BR"/>
        </w:rPr>
        <w:footnoteReference w:id="19"/>
      </w:r>
      <w:r w:rsidRPr="00623A2B">
        <w:rPr>
          <w:rFonts w:ascii="Times New Roman" w:hAnsi="Times New Roman"/>
          <w:szCs w:val="22"/>
          <w:vertAlign w:val="superscript"/>
          <w:lang w:val="fr-CA"/>
        </w:rPr>
        <w:t>/</w:t>
      </w:r>
      <w:r w:rsidRPr="00623A2B">
        <w:rPr>
          <w:rStyle w:val="FootnoteReference"/>
          <w:rFonts w:ascii="Times New Roman" w:hAnsi="Times New Roman"/>
          <w:szCs w:val="22"/>
          <w:u w:val="single"/>
          <w:vertAlign w:val="superscript"/>
          <w:lang w:val="pt-BR"/>
        </w:rPr>
        <w:footnoteReference w:id="20"/>
      </w:r>
      <w:r w:rsidRPr="00623A2B">
        <w:rPr>
          <w:rFonts w:ascii="Times New Roman" w:hAnsi="Times New Roman"/>
          <w:szCs w:val="22"/>
          <w:vertAlign w:val="superscript"/>
          <w:lang w:val="fr-CA"/>
        </w:rPr>
        <w:t>/</w:t>
      </w:r>
      <w:r w:rsidRPr="00623A2B">
        <w:rPr>
          <w:rStyle w:val="FootnoteReference"/>
          <w:rFonts w:ascii="Times New Roman" w:hAnsi="Times New Roman"/>
          <w:szCs w:val="22"/>
          <w:u w:val="single"/>
          <w:vertAlign w:val="superscript"/>
          <w:lang w:val="pt-BR"/>
        </w:rPr>
        <w:footnoteReference w:id="21"/>
      </w:r>
      <w:r w:rsidRPr="00623A2B">
        <w:rPr>
          <w:rFonts w:ascii="Times New Roman" w:hAnsi="Times New Roman"/>
          <w:szCs w:val="22"/>
          <w:vertAlign w:val="superscript"/>
          <w:lang w:val="fr-CA"/>
        </w:rPr>
        <w:t>/</w:t>
      </w:r>
      <w:r w:rsidRPr="00623A2B">
        <w:rPr>
          <w:rStyle w:val="FootnoteReference"/>
          <w:rFonts w:ascii="Times New Roman" w:hAnsi="Times New Roman"/>
          <w:szCs w:val="22"/>
          <w:u w:val="single"/>
          <w:vertAlign w:val="superscript"/>
          <w:lang w:val="pt-BR"/>
        </w:rPr>
        <w:footnoteReference w:id="22"/>
      </w:r>
      <w:r w:rsidRPr="00623A2B">
        <w:rPr>
          <w:rFonts w:ascii="Times New Roman" w:hAnsi="Times New Roman"/>
          <w:szCs w:val="22"/>
          <w:vertAlign w:val="superscript"/>
          <w:lang w:val="fr-CA"/>
        </w:rPr>
        <w:t>/</w:t>
      </w:r>
      <w:bookmarkEnd w:id="9"/>
    </w:p>
    <w:p w14:paraId="7FCB4665" w14:textId="77777777" w:rsidR="00672B0B" w:rsidRPr="00623A2B" w:rsidRDefault="00672B0B" w:rsidP="00672B0B">
      <w:pPr>
        <w:rPr>
          <w:rFonts w:ascii="Times New Roman" w:hAnsi="Times New Roman"/>
          <w:szCs w:val="22"/>
          <w:lang w:val="fr-FR"/>
        </w:rPr>
      </w:pPr>
    </w:p>
    <w:p w14:paraId="345887E7" w14:textId="63D7FB84" w:rsidR="00672B0B" w:rsidRPr="00623A2B" w:rsidRDefault="00672B0B" w:rsidP="00672B0B">
      <w:pPr>
        <w:jc w:val="center"/>
        <w:rPr>
          <w:rFonts w:ascii="Times New Roman" w:hAnsi="Times New Roman"/>
          <w:szCs w:val="22"/>
          <w:lang w:val="fr-FR"/>
        </w:rPr>
      </w:pPr>
      <w:r w:rsidRPr="00623A2B">
        <w:rPr>
          <w:rFonts w:ascii="Times New Roman" w:hAnsi="Times New Roman"/>
          <w:szCs w:val="22"/>
          <w:lang w:val="fr-FR"/>
        </w:rPr>
        <w:t xml:space="preserve">(Résolution adoptée à la </w:t>
      </w:r>
      <w:r w:rsidR="001B5A48" w:rsidRPr="00623A2B">
        <w:rPr>
          <w:rFonts w:ascii="Times New Roman" w:hAnsi="Times New Roman"/>
          <w:szCs w:val="22"/>
          <w:lang w:val="fr-FR"/>
        </w:rPr>
        <w:t>deuxième</w:t>
      </w:r>
      <w:r w:rsidRPr="00623A2B">
        <w:rPr>
          <w:rFonts w:ascii="Times New Roman" w:hAnsi="Times New Roman"/>
          <w:szCs w:val="22"/>
          <w:lang w:val="fr-FR"/>
        </w:rPr>
        <w:t xml:space="preserve"> séance plénière, </w:t>
      </w:r>
      <w:r w:rsidRPr="00623A2B">
        <w:rPr>
          <w:rFonts w:ascii="Times New Roman" w:hAnsi="Times New Roman"/>
          <w:szCs w:val="22"/>
          <w:lang w:val="fr-CA"/>
        </w:rPr>
        <w:t>le 11 novembre 2021</w:t>
      </w:r>
      <w:r w:rsidRPr="00623A2B">
        <w:rPr>
          <w:rFonts w:ascii="Times New Roman" w:hAnsi="Times New Roman"/>
          <w:szCs w:val="22"/>
          <w:lang w:val="fr-FR"/>
        </w:rPr>
        <w:t>)</w:t>
      </w:r>
    </w:p>
    <w:p w14:paraId="43628275" w14:textId="77777777" w:rsidR="00672B0B" w:rsidRPr="00623A2B" w:rsidRDefault="00672B0B" w:rsidP="00672B0B">
      <w:pPr>
        <w:rPr>
          <w:rFonts w:ascii="Times New Roman" w:hAnsi="Times New Roman"/>
          <w:szCs w:val="22"/>
          <w:lang w:val="fr-FR"/>
        </w:rPr>
      </w:pPr>
    </w:p>
    <w:p w14:paraId="35339EAB" w14:textId="77777777" w:rsidR="00672B0B" w:rsidRPr="00623A2B" w:rsidRDefault="00672B0B" w:rsidP="00672B0B">
      <w:pPr>
        <w:rPr>
          <w:rFonts w:ascii="Times New Roman" w:hAnsi="Times New Roman"/>
          <w:szCs w:val="22"/>
          <w:lang w:val="fr-FR"/>
        </w:rPr>
      </w:pPr>
    </w:p>
    <w:p w14:paraId="185AC9A2" w14:textId="77777777" w:rsidR="00672B0B" w:rsidRPr="00623A2B" w:rsidRDefault="00672B0B" w:rsidP="00672B0B">
      <w:pPr>
        <w:ind w:firstLine="720"/>
        <w:rPr>
          <w:rFonts w:ascii="Times New Roman" w:hAnsi="Times New Roman"/>
          <w:szCs w:val="22"/>
          <w:lang w:val="fr-FR"/>
        </w:rPr>
      </w:pPr>
      <w:r w:rsidRPr="00623A2B">
        <w:rPr>
          <w:rFonts w:ascii="Times New Roman" w:hAnsi="Times New Roman"/>
          <w:szCs w:val="22"/>
          <w:lang w:val="fr-FR"/>
        </w:rPr>
        <w:t>L’ASSEMBLÉE GÉNÉRALE,</w:t>
      </w:r>
    </w:p>
    <w:p w14:paraId="6DF61893" w14:textId="77777777" w:rsidR="00672B0B" w:rsidRPr="00623A2B" w:rsidRDefault="00672B0B" w:rsidP="00672B0B">
      <w:pPr>
        <w:rPr>
          <w:rFonts w:ascii="Times New Roman" w:hAnsi="Times New Roman"/>
          <w:szCs w:val="22"/>
          <w:lang w:val="fr-FR"/>
        </w:rPr>
      </w:pPr>
    </w:p>
    <w:p w14:paraId="1519BF9C"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CONSIDÉRANT :</w:t>
      </w:r>
    </w:p>
    <w:p w14:paraId="17D86F0F" w14:textId="77777777" w:rsidR="00672B0B" w:rsidRPr="00623A2B" w:rsidRDefault="00672B0B" w:rsidP="00672B0B">
      <w:pPr>
        <w:rPr>
          <w:rFonts w:ascii="Times New Roman" w:hAnsi="Times New Roman"/>
          <w:szCs w:val="22"/>
          <w:lang w:val="fr-FR"/>
        </w:rPr>
      </w:pPr>
    </w:p>
    <w:p w14:paraId="65294C71"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 xml:space="preserve">Que les télécommunications/TIC sont un outil essentiel pour le développement des activités quotidiennes des personnes et qu’elles ont un impact direct sur l’environnement économique, social et culturel des pays,  </w:t>
      </w:r>
    </w:p>
    <w:p w14:paraId="7C667B84" w14:textId="77777777" w:rsidR="00672B0B" w:rsidRPr="00623A2B" w:rsidRDefault="00672B0B" w:rsidP="00672B0B">
      <w:pPr>
        <w:rPr>
          <w:rFonts w:ascii="Times New Roman" w:hAnsi="Times New Roman"/>
          <w:szCs w:val="22"/>
          <w:lang w:val="fr-FR"/>
        </w:rPr>
      </w:pPr>
    </w:p>
    <w:p w14:paraId="029D6973"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Que l’infrastructure mondiale des télécommunications/TIC représente un apport fondamental et indispensable pour les économies mondiales et nationales et pour le bien-être de toutes les sociétés,</w:t>
      </w:r>
    </w:p>
    <w:p w14:paraId="6BE302DE" w14:textId="77777777" w:rsidR="00672B0B" w:rsidRPr="00623A2B" w:rsidRDefault="00672B0B" w:rsidP="00672B0B">
      <w:pPr>
        <w:rPr>
          <w:rFonts w:ascii="Times New Roman" w:hAnsi="Times New Roman"/>
          <w:szCs w:val="22"/>
          <w:lang w:val="fr-FR"/>
        </w:rPr>
      </w:pPr>
    </w:p>
    <w:p w14:paraId="7EF1F14A"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Que la participation des communautés, des ONG et des autorités locales est essentielle au succès d’une initiative de connectivité rurale,</w:t>
      </w:r>
    </w:p>
    <w:p w14:paraId="22C2915B" w14:textId="77777777" w:rsidR="00672B0B" w:rsidRPr="00623A2B" w:rsidRDefault="00672B0B" w:rsidP="00672B0B">
      <w:pPr>
        <w:rPr>
          <w:rFonts w:ascii="Times New Roman" w:hAnsi="Times New Roman"/>
          <w:szCs w:val="22"/>
          <w:lang w:val="fr-FR"/>
        </w:rPr>
      </w:pPr>
    </w:p>
    <w:p w14:paraId="1D4F1213"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Que la résolution 200 (</w:t>
      </w:r>
      <w:proofErr w:type="spellStart"/>
      <w:r w:rsidRPr="00623A2B">
        <w:rPr>
          <w:rFonts w:ascii="Times New Roman" w:hAnsi="Times New Roman"/>
          <w:szCs w:val="22"/>
          <w:lang w:val="fr-FR"/>
        </w:rPr>
        <w:t>Rev</w:t>
      </w:r>
      <w:proofErr w:type="spellEnd"/>
      <w:r w:rsidRPr="00623A2B">
        <w:rPr>
          <w:rFonts w:ascii="Times New Roman" w:hAnsi="Times New Roman"/>
          <w:szCs w:val="22"/>
          <w:lang w:val="fr-FR"/>
        </w:rPr>
        <w:t>. Dubaï 2018) de la Conférence de plénipotentiaires sur le « Programme Connexion 2020 pour le développement mondial des télécommunications/technologies de l’information et de la communication (TIC) » ; en particulier la cible 2, qui vise à « réduire la fracture numérique et à assurer l’accès universel au haut débit »,</w:t>
      </w:r>
    </w:p>
    <w:p w14:paraId="7D751759" w14:textId="77777777" w:rsidR="00672B0B" w:rsidRPr="00623A2B" w:rsidRDefault="00672B0B" w:rsidP="00672B0B">
      <w:pPr>
        <w:rPr>
          <w:rFonts w:ascii="Times New Roman" w:hAnsi="Times New Roman"/>
          <w:szCs w:val="22"/>
          <w:lang w:val="fr-FR"/>
        </w:rPr>
      </w:pPr>
    </w:p>
    <w:p w14:paraId="100DB73B"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Que la recommandation ITU-D 19 (</w:t>
      </w:r>
      <w:proofErr w:type="spellStart"/>
      <w:r w:rsidRPr="00623A2B">
        <w:rPr>
          <w:rFonts w:ascii="Times New Roman" w:hAnsi="Times New Roman"/>
          <w:szCs w:val="22"/>
          <w:lang w:val="fr-FR"/>
        </w:rPr>
        <w:t>Rev</w:t>
      </w:r>
      <w:proofErr w:type="spellEnd"/>
      <w:r w:rsidRPr="00623A2B">
        <w:rPr>
          <w:rFonts w:ascii="Times New Roman" w:hAnsi="Times New Roman"/>
          <w:szCs w:val="22"/>
          <w:lang w:val="fr-FR"/>
        </w:rPr>
        <w:t>. Buenos Aires 2017) de la Conférence mondiale sur le développement des télécommunications (CMDT) « Télécommunications pour les zones rurales et éloignées », établit que l’existence de services de télécommunications et d’applications TIC, contribue de manière significative à améliorer la qualité de vie de la population, maximise le bien-être social, augmente la productivité, économise des ressources et contribue à la sauvegarde des droits de l’homme,</w:t>
      </w:r>
    </w:p>
    <w:p w14:paraId="793B1CAF" w14:textId="77777777" w:rsidR="00672B0B" w:rsidRPr="00623A2B" w:rsidRDefault="00672B0B" w:rsidP="00672B0B">
      <w:pPr>
        <w:rPr>
          <w:rFonts w:ascii="Times New Roman" w:hAnsi="Times New Roman"/>
          <w:szCs w:val="22"/>
          <w:lang w:val="fr-FR"/>
        </w:rPr>
      </w:pPr>
    </w:p>
    <w:p w14:paraId="6BC86600"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La résolution CCP. I/RES. 268 (XXVIII-16) de la CITEL, qui mentionne qu’il faut assurer la mise en place équitable de services de télécommunications/TIC, qui favorisent le développement socio-économique durable, minimisent la pauvreté et les inégalités sociales au sein des communautés rurales et autochtones isolées,</w:t>
      </w:r>
    </w:p>
    <w:p w14:paraId="5901FCDD" w14:textId="77777777" w:rsidR="00A70A20" w:rsidRPr="00623A2B" w:rsidRDefault="00672B0B" w:rsidP="00672B0B">
      <w:pPr>
        <w:rPr>
          <w:rFonts w:ascii="Times New Roman" w:hAnsi="Times New Roman"/>
          <w:szCs w:val="22"/>
          <w:lang w:val="fr-FR"/>
        </w:rPr>
      </w:pPr>
      <w:r w:rsidRPr="00623A2B">
        <w:rPr>
          <w:rFonts w:ascii="Times New Roman" w:hAnsi="Times New Roman"/>
          <w:szCs w:val="22"/>
          <w:lang w:val="fr-FR"/>
        </w:rPr>
        <w:tab/>
      </w:r>
    </w:p>
    <w:p w14:paraId="2E2C2EE6" w14:textId="77777777" w:rsidR="00A70A20" w:rsidRPr="00623A2B" w:rsidRDefault="00A70A2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623A2B">
        <w:rPr>
          <w:rFonts w:ascii="Times New Roman" w:hAnsi="Times New Roman"/>
          <w:szCs w:val="22"/>
          <w:lang w:val="fr-FR"/>
        </w:rPr>
        <w:br w:type="page"/>
      </w:r>
    </w:p>
    <w:p w14:paraId="01FDF4BB" w14:textId="700FF0EA" w:rsidR="00672B0B" w:rsidRPr="00623A2B" w:rsidRDefault="00A70A20" w:rsidP="00672B0B">
      <w:pPr>
        <w:rPr>
          <w:rFonts w:ascii="Times New Roman" w:hAnsi="Times New Roman"/>
          <w:szCs w:val="22"/>
          <w:lang w:val="fr-FR"/>
        </w:rPr>
      </w:pPr>
      <w:r w:rsidRPr="00623A2B">
        <w:rPr>
          <w:rFonts w:ascii="Times New Roman" w:hAnsi="Times New Roman"/>
          <w:szCs w:val="22"/>
          <w:lang w:val="fr-FR"/>
        </w:rPr>
        <w:lastRenderedPageBreak/>
        <w:tab/>
      </w:r>
      <w:r w:rsidR="00672B0B" w:rsidRPr="00623A2B">
        <w:rPr>
          <w:rFonts w:ascii="Times New Roman" w:hAnsi="Times New Roman"/>
          <w:szCs w:val="22"/>
          <w:lang w:val="fr-FR"/>
        </w:rPr>
        <w:t>Que la recommandation CCP. I/REC. 28 (XXXIII-18) de la CITEL a recommandé aux États Membres de faciliter la mise au point de modèles réglementaires encourageant le déploiement d’infrastructures dans les zones rurales éloignées ou insuffisamment desservies en identifiant les changements nécessaires dans a) les politiques réglementaires et b) les modèles pour parvenir à l’accès universel,</w:t>
      </w:r>
    </w:p>
    <w:p w14:paraId="06A25E9D" w14:textId="77777777" w:rsidR="00672B0B" w:rsidRPr="00623A2B" w:rsidRDefault="00672B0B" w:rsidP="00672B0B">
      <w:pPr>
        <w:rPr>
          <w:rFonts w:ascii="Times New Roman" w:hAnsi="Times New Roman"/>
          <w:szCs w:val="22"/>
          <w:lang w:val="fr-FR"/>
        </w:rPr>
      </w:pPr>
    </w:p>
    <w:p w14:paraId="1E1454C0"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Qu’il faut trouver de nouvelles solutions pour remédier à court terme au manque de connectivité et de services de télécommunication/TIC dans les zones qui n’en disposent pas ou qui ne leur sont pas abordables,</w:t>
      </w:r>
    </w:p>
    <w:p w14:paraId="0D041E90" w14:textId="77777777" w:rsidR="00672B0B" w:rsidRPr="00623A2B" w:rsidRDefault="00672B0B" w:rsidP="00672B0B">
      <w:pPr>
        <w:rPr>
          <w:rFonts w:ascii="Times New Roman" w:hAnsi="Times New Roman"/>
          <w:szCs w:val="22"/>
          <w:lang w:val="fr-FR"/>
        </w:rPr>
      </w:pPr>
    </w:p>
    <w:p w14:paraId="72153637"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Que les États Membres doivent prendre des mesures urgentes pour faciliter le développement technologique et la connectivité aux réseaux à large bande, qui doivent être abordables pour tous les secteurs de la population ;</w:t>
      </w:r>
    </w:p>
    <w:p w14:paraId="32CDD182" w14:textId="77777777" w:rsidR="00672B0B" w:rsidRPr="00623A2B" w:rsidRDefault="00672B0B" w:rsidP="00672B0B">
      <w:pPr>
        <w:rPr>
          <w:rFonts w:ascii="Times New Roman" w:hAnsi="Times New Roman"/>
          <w:szCs w:val="22"/>
          <w:lang w:val="fr-FR"/>
        </w:rPr>
      </w:pPr>
    </w:p>
    <w:p w14:paraId="1CEB2B4A"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RECONNAISSANT :</w:t>
      </w:r>
    </w:p>
    <w:p w14:paraId="04E87F2B" w14:textId="77777777" w:rsidR="00672B0B" w:rsidRPr="00623A2B" w:rsidRDefault="00672B0B" w:rsidP="00672B0B">
      <w:pPr>
        <w:rPr>
          <w:rFonts w:ascii="Times New Roman" w:hAnsi="Times New Roman"/>
          <w:szCs w:val="22"/>
          <w:lang w:val="fr-FR"/>
        </w:rPr>
      </w:pPr>
    </w:p>
    <w:p w14:paraId="66633A75"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Que l’échange de données d’expérience contenu dans le document « </w:t>
      </w:r>
      <w:r w:rsidRPr="00623A2B">
        <w:rPr>
          <w:rFonts w:ascii="Times New Roman" w:hAnsi="Times New Roman"/>
          <w:i/>
          <w:iCs/>
          <w:szCs w:val="22"/>
          <w:lang w:val="fr-FR"/>
        </w:rPr>
        <w:t>Meilleures pratiques pour réduire la fracture numérique en reliant les non connectés dans les zones rurales non desservies ou insuffisamment desservies</w:t>
      </w:r>
      <w:r w:rsidRPr="00623A2B">
        <w:rPr>
          <w:rFonts w:ascii="Times New Roman" w:hAnsi="Times New Roman"/>
          <w:szCs w:val="22"/>
          <w:lang w:val="fr-FR"/>
        </w:rPr>
        <w:t xml:space="preserve"> » de la CITEL, est une contribution importante qui a permis de recueillir et d’analyser le statu quo en ce qui concerne la connectivité dans les zones rurales de la région,</w:t>
      </w:r>
    </w:p>
    <w:p w14:paraId="07C6904C" w14:textId="77777777" w:rsidR="00672B0B" w:rsidRPr="00623A2B" w:rsidRDefault="00672B0B" w:rsidP="00672B0B">
      <w:pPr>
        <w:rPr>
          <w:rFonts w:ascii="Times New Roman" w:hAnsi="Times New Roman"/>
          <w:szCs w:val="22"/>
          <w:lang w:val="fr-FR"/>
        </w:rPr>
      </w:pPr>
    </w:p>
    <w:p w14:paraId="679A5566"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Qu’un déploiement accru des infrastructures peut assurer l’accès aux services, à l’éducation et à l’emploi,</w:t>
      </w:r>
    </w:p>
    <w:p w14:paraId="26CB2730" w14:textId="77777777" w:rsidR="00672B0B" w:rsidRPr="00623A2B" w:rsidRDefault="00672B0B" w:rsidP="00672B0B">
      <w:pPr>
        <w:rPr>
          <w:rFonts w:ascii="Times New Roman" w:hAnsi="Times New Roman"/>
          <w:szCs w:val="22"/>
          <w:lang w:val="fr-FR"/>
        </w:rPr>
      </w:pPr>
    </w:p>
    <w:p w14:paraId="5AAB1CF3"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Qu’un meilleur accès aux services de télécommunications et de TIC peut assurer l’inclusion économique et sociale et l’égalité des genres,</w:t>
      </w:r>
    </w:p>
    <w:p w14:paraId="71827F2D" w14:textId="77777777" w:rsidR="00672B0B" w:rsidRPr="00623A2B" w:rsidRDefault="00672B0B" w:rsidP="00672B0B">
      <w:pPr>
        <w:rPr>
          <w:rFonts w:ascii="Times New Roman" w:hAnsi="Times New Roman"/>
          <w:szCs w:val="22"/>
          <w:lang w:val="fr-FR"/>
        </w:rPr>
      </w:pPr>
    </w:p>
    <w:p w14:paraId="3655C694"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Que les innovations en cours dans le domaine réglementaire et technologique peuvent accélérer la réduction de la fracture numérique ;</w:t>
      </w:r>
    </w:p>
    <w:p w14:paraId="13AFDE88" w14:textId="77777777" w:rsidR="00672B0B" w:rsidRPr="00623A2B" w:rsidRDefault="00672B0B" w:rsidP="00672B0B">
      <w:pPr>
        <w:rPr>
          <w:rFonts w:ascii="Times New Roman" w:hAnsi="Times New Roman"/>
          <w:szCs w:val="22"/>
          <w:lang w:val="fr-FR"/>
        </w:rPr>
      </w:pPr>
    </w:p>
    <w:p w14:paraId="5CF8B4D0"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RECONNAISSANT EN OUTRE :</w:t>
      </w:r>
    </w:p>
    <w:p w14:paraId="4C3D6C40" w14:textId="77777777" w:rsidR="00672B0B" w:rsidRPr="00623A2B" w:rsidRDefault="00672B0B" w:rsidP="00672B0B">
      <w:pPr>
        <w:rPr>
          <w:rFonts w:ascii="Times New Roman" w:hAnsi="Times New Roman"/>
          <w:szCs w:val="22"/>
          <w:lang w:val="fr-FR"/>
        </w:rPr>
      </w:pPr>
    </w:p>
    <w:p w14:paraId="6B6EA12C"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Que la conjoncture provoquée par la pandémie de COVID-19 réclame l’accélération de la mise en place de solutions de connectivité permettant de répondre aux besoins des citoyens,</w:t>
      </w:r>
    </w:p>
    <w:p w14:paraId="0E2A1198" w14:textId="77777777" w:rsidR="00672B0B" w:rsidRPr="00623A2B" w:rsidRDefault="00672B0B" w:rsidP="00672B0B">
      <w:pPr>
        <w:rPr>
          <w:rFonts w:ascii="Times New Roman" w:hAnsi="Times New Roman"/>
          <w:szCs w:val="22"/>
          <w:lang w:val="fr-FR"/>
        </w:rPr>
      </w:pPr>
    </w:p>
    <w:p w14:paraId="7EF1AA63"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L’importance du principe de neutralité technologique,</w:t>
      </w:r>
    </w:p>
    <w:p w14:paraId="1822A4AF" w14:textId="77777777" w:rsidR="00672B0B" w:rsidRPr="00623A2B" w:rsidRDefault="00672B0B" w:rsidP="00672B0B">
      <w:pPr>
        <w:rPr>
          <w:rFonts w:ascii="Times New Roman" w:hAnsi="Times New Roman"/>
          <w:szCs w:val="22"/>
          <w:lang w:val="fr-FR"/>
        </w:rPr>
      </w:pPr>
    </w:p>
    <w:p w14:paraId="041485D9"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Que la ressource orbitale/le spectre est un apport d’une extrême importance pour réduire l’écart de connectivité et qu’elle doit être utilisée comme le recommandent l’UIT-R et d’autres organisations connexes.</w:t>
      </w:r>
    </w:p>
    <w:p w14:paraId="225F991F" w14:textId="77777777" w:rsidR="00672B0B" w:rsidRPr="00623A2B" w:rsidRDefault="00672B0B" w:rsidP="00672B0B">
      <w:pPr>
        <w:rPr>
          <w:rFonts w:ascii="Times New Roman" w:hAnsi="Times New Roman"/>
          <w:szCs w:val="22"/>
          <w:lang w:val="fr-FR"/>
        </w:rPr>
      </w:pPr>
    </w:p>
    <w:p w14:paraId="4881F215"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Que les administrations peuvent avoir différentes priorités, exigences légales et réglementaires, conditions socio-économiques et financières et autre disponibilité du spectre radioélectrique,</w:t>
      </w:r>
    </w:p>
    <w:p w14:paraId="3C30F5D5" w14:textId="77777777" w:rsidR="00672B0B" w:rsidRPr="00623A2B" w:rsidRDefault="00672B0B" w:rsidP="00672B0B">
      <w:pPr>
        <w:rPr>
          <w:rFonts w:ascii="Times New Roman" w:hAnsi="Times New Roman"/>
          <w:szCs w:val="22"/>
          <w:lang w:val="fr-FR"/>
        </w:rPr>
      </w:pPr>
    </w:p>
    <w:p w14:paraId="3D53BCED"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Qu’il faut envisager de nouvelles solutions, technologies, moyens d’accès et services susceptibles de remédier à court terme au manque de connectivité et de services de Télécommunications/TIC dans les zones qui n’en disposent pas ou qui ne leur sont pas abordables ;</w:t>
      </w:r>
    </w:p>
    <w:p w14:paraId="5083B40D" w14:textId="77777777" w:rsidR="00672B0B" w:rsidRPr="00623A2B" w:rsidRDefault="00672B0B" w:rsidP="00672B0B">
      <w:pPr>
        <w:rPr>
          <w:rFonts w:ascii="Times New Roman" w:hAnsi="Times New Roman"/>
          <w:szCs w:val="22"/>
          <w:lang w:val="fr-FR"/>
        </w:rPr>
      </w:pPr>
    </w:p>
    <w:p w14:paraId="62DD018D"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lastRenderedPageBreak/>
        <w:t>INVITE LES ÉTATS MEMBRES :</w:t>
      </w:r>
    </w:p>
    <w:p w14:paraId="539158A9" w14:textId="77777777" w:rsidR="00672B0B" w:rsidRPr="00623A2B" w:rsidRDefault="00672B0B" w:rsidP="00672B0B">
      <w:pPr>
        <w:rPr>
          <w:rFonts w:ascii="Times New Roman" w:hAnsi="Times New Roman"/>
          <w:szCs w:val="22"/>
          <w:lang w:val="fr-FR"/>
        </w:rPr>
      </w:pPr>
    </w:p>
    <w:p w14:paraId="0A032E74"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Que les administrations de la CITEL qui souhaitent développer des projets ou des initiatives d’expansion des Télécommunications/TIC dans des zones rurales et dans des zones non desservies ou insuffisamment desservies, en observant les dispositions réglementaires applicables dans chaque pays, prévoient les initiatives suivantes :</w:t>
      </w:r>
    </w:p>
    <w:p w14:paraId="3719D090" w14:textId="77777777" w:rsidR="00672B0B" w:rsidRPr="00623A2B" w:rsidRDefault="00672B0B" w:rsidP="00672B0B">
      <w:pPr>
        <w:rPr>
          <w:rFonts w:ascii="Times New Roman" w:hAnsi="Times New Roman"/>
          <w:szCs w:val="22"/>
          <w:lang w:val="fr-FR"/>
        </w:rPr>
      </w:pPr>
    </w:p>
    <w:p w14:paraId="7462F588"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1.</w:t>
      </w:r>
      <w:r w:rsidRPr="00623A2B">
        <w:rPr>
          <w:rFonts w:ascii="Times New Roman" w:hAnsi="Times New Roman"/>
          <w:szCs w:val="22"/>
          <w:lang w:val="fr-FR"/>
        </w:rPr>
        <w:tab/>
        <w:t xml:space="preserve"> Promouvoir l’utilisation de fonds de service universel ou de fonds d’aide pour des projets de connectivité destinés à des zones rurales, éloignées ou insuffisamment desservies et disposer des facilités permettant d’accéder à tous les types d’opérateurs.</w:t>
      </w:r>
    </w:p>
    <w:p w14:paraId="13725EB7" w14:textId="77777777" w:rsidR="00672B0B" w:rsidRPr="00623A2B" w:rsidRDefault="00672B0B" w:rsidP="00672B0B">
      <w:pPr>
        <w:rPr>
          <w:rFonts w:ascii="Times New Roman" w:hAnsi="Times New Roman"/>
          <w:szCs w:val="22"/>
          <w:lang w:val="fr-FR"/>
        </w:rPr>
      </w:pPr>
    </w:p>
    <w:p w14:paraId="25A85325"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2.</w:t>
      </w:r>
      <w:r w:rsidRPr="00623A2B">
        <w:rPr>
          <w:rFonts w:ascii="Times New Roman" w:hAnsi="Times New Roman"/>
          <w:szCs w:val="22"/>
          <w:lang w:val="fr-FR"/>
        </w:rPr>
        <w:tab/>
        <w:t xml:space="preserve"> Encourager et soutenir la mise en œuvre de modèles économiques qui promeuvent l’entrée de nouveaux acteurs économiques et favorisent leur viabilité financière.</w:t>
      </w:r>
    </w:p>
    <w:p w14:paraId="458A82EA" w14:textId="77777777" w:rsidR="00672B0B" w:rsidRPr="00623A2B" w:rsidRDefault="00672B0B" w:rsidP="00672B0B">
      <w:pPr>
        <w:rPr>
          <w:rFonts w:ascii="Times New Roman" w:hAnsi="Times New Roman"/>
          <w:szCs w:val="22"/>
          <w:lang w:val="fr-FR"/>
        </w:rPr>
      </w:pPr>
    </w:p>
    <w:p w14:paraId="6DCD27FE"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3.</w:t>
      </w:r>
      <w:r w:rsidRPr="00623A2B">
        <w:rPr>
          <w:rFonts w:ascii="Times New Roman" w:hAnsi="Times New Roman"/>
          <w:szCs w:val="22"/>
          <w:lang w:val="fr-FR"/>
        </w:rPr>
        <w:tab/>
        <w:t>Encourager la discussion dans les pays de la région en ce qui concerne l’analyse des mesures fiscales favorisant la connectivité.</w:t>
      </w:r>
    </w:p>
    <w:p w14:paraId="72842512" w14:textId="77777777" w:rsidR="00672B0B" w:rsidRPr="00623A2B" w:rsidRDefault="00672B0B" w:rsidP="00672B0B">
      <w:pPr>
        <w:rPr>
          <w:rFonts w:ascii="Times New Roman" w:hAnsi="Times New Roman"/>
          <w:szCs w:val="22"/>
          <w:lang w:val="fr-FR"/>
        </w:rPr>
      </w:pPr>
    </w:p>
    <w:p w14:paraId="528F0FA9"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4.</w:t>
      </w:r>
      <w:r w:rsidRPr="00623A2B">
        <w:rPr>
          <w:rFonts w:ascii="Times New Roman" w:hAnsi="Times New Roman"/>
          <w:szCs w:val="22"/>
          <w:lang w:val="fr-FR"/>
        </w:rPr>
        <w:tab/>
        <w:t>Encourager des politiques de connectivité rurale qui privilégient les technologies et les projets qui démontrent une durabilité, une efficacité et une rapidité de mise en œuvre dans les zones rurales.</w:t>
      </w:r>
    </w:p>
    <w:p w14:paraId="5558A46E" w14:textId="77777777" w:rsidR="00672B0B" w:rsidRPr="00623A2B" w:rsidRDefault="00672B0B" w:rsidP="00672B0B">
      <w:pPr>
        <w:rPr>
          <w:rFonts w:ascii="Times New Roman" w:hAnsi="Times New Roman"/>
          <w:szCs w:val="22"/>
          <w:lang w:val="fr-FR"/>
        </w:rPr>
      </w:pPr>
    </w:p>
    <w:p w14:paraId="44A8E83A"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5.</w:t>
      </w:r>
      <w:r w:rsidRPr="00623A2B">
        <w:rPr>
          <w:rFonts w:ascii="Times New Roman" w:hAnsi="Times New Roman"/>
          <w:szCs w:val="22"/>
          <w:lang w:val="fr-FR"/>
        </w:rPr>
        <w:tab/>
        <w:t xml:space="preserve">Stimuler l’investissement, tant public que privé et les partenariats public-privé, ainsi que le partenariat et le partage des infrastructures dans les zones rurales. </w:t>
      </w:r>
    </w:p>
    <w:p w14:paraId="1EE1D1DD" w14:textId="77777777" w:rsidR="00672B0B" w:rsidRPr="00623A2B" w:rsidRDefault="00672B0B" w:rsidP="00672B0B">
      <w:pPr>
        <w:rPr>
          <w:rFonts w:ascii="Times New Roman" w:hAnsi="Times New Roman"/>
          <w:szCs w:val="22"/>
          <w:lang w:val="fr-FR"/>
        </w:rPr>
      </w:pPr>
    </w:p>
    <w:p w14:paraId="583CC820"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6.</w:t>
      </w:r>
      <w:r w:rsidRPr="00623A2B">
        <w:rPr>
          <w:rFonts w:ascii="Times New Roman" w:hAnsi="Times New Roman"/>
          <w:szCs w:val="22"/>
          <w:lang w:val="fr-FR"/>
        </w:rPr>
        <w:tab/>
        <w:t>Promouvoir des écosystèmes locaux innovants ainsi que des stratégies d’appropriation technologique dans les zones rurales.</w:t>
      </w:r>
    </w:p>
    <w:p w14:paraId="2ED66059" w14:textId="77777777" w:rsidR="00672B0B" w:rsidRPr="00623A2B" w:rsidRDefault="00672B0B" w:rsidP="00672B0B">
      <w:pPr>
        <w:rPr>
          <w:rFonts w:ascii="Times New Roman" w:hAnsi="Times New Roman"/>
          <w:szCs w:val="22"/>
          <w:lang w:val="fr-FR"/>
        </w:rPr>
      </w:pPr>
    </w:p>
    <w:p w14:paraId="713AFF4F"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7.</w:t>
      </w:r>
      <w:r w:rsidRPr="00623A2B">
        <w:rPr>
          <w:rFonts w:ascii="Times New Roman" w:hAnsi="Times New Roman"/>
          <w:szCs w:val="22"/>
          <w:lang w:val="fr-FR"/>
        </w:rPr>
        <w:tab/>
        <w:t>Encourager la participation des petits opérateurs et opérateurs communautaires à la prise en charge des zones non couvertes par des mesures d’octroi de licences spécifiques, l’accès aux infrastructures essentielles et aux programmes de promotion de la couverture sociale.</w:t>
      </w:r>
    </w:p>
    <w:p w14:paraId="7F6176C0" w14:textId="77777777" w:rsidR="00672B0B" w:rsidRPr="00623A2B" w:rsidRDefault="00672B0B" w:rsidP="00672B0B">
      <w:pPr>
        <w:rPr>
          <w:rFonts w:ascii="Times New Roman" w:hAnsi="Times New Roman"/>
          <w:szCs w:val="22"/>
          <w:lang w:val="fr-FR"/>
        </w:rPr>
      </w:pPr>
    </w:p>
    <w:p w14:paraId="5915AA18"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8.</w:t>
      </w:r>
      <w:r w:rsidRPr="00623A2B">
        <w:rPr>
          <w:rFonts w:ascii="Times New Roman" w:hAnsi="Times New Roman"/>
          <w:szCs w:val="22"/>
          <w:lang w:val="fr-FR"/>
        </w:rPr>
        <w:tab/>
        <w:t>Promouvoir la coopération et l’élimination des obstacles au déploiement d’infrastructures entre les administrations centrales et locales pour résoudre les problèmes de permis et de droits de passage.</w:t>
      </w:r>
    </w:p>
    <w:p w14:paraId="2F2B4EC9" w14:textId="77777777" w:rsidR="00672B0B" w:rsidRPr="00623A2B" w:rsidRDefault="00672B0B" w:rsidP="00672B0B">
      <w:pPr>
        <w:rPr>
          <w:rFonts w:ascii="Times New Roman" w:hAnsi="Times New Roman"/>
          <w:szCs w:val="22"/>
          <w:lang w:val="fr-FR"/>
        </w:rPr>
      </w:pPr>
    </w:p>
    <w:p w14:paraId="2B7A365C"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9.</w:t>
      </w:r>
      <w:r w:rsidRPr="00623A2B">
        <w:rPr>
          <w:rFonts w:ascii="Times New Roman" w:hAnsi="Times New Roman"/>
          <w:szCs w:val="22"/>
          <w:lang w:val="fr-FR"/>
        </w:rPr>
        <w:tab/>
        <w:t xml:space="preserve">Promouvoir l’élaboration de manuels de bonnes pratiques concernant le déploiement des infrastructures, ainsi que l’homogénéité des exigences et réglementations locales. </w:t>
      </w:r>
    </w:p>
    <w:p w14:paraId="0A8429E3" w14:textId="77777777" w:rsidR="00672B0B" w:rsidRPr="00623A2B" w:rsidRDefault="00672B0B" w:rsidP="00672B0B">
      <w:pPr>
        <w:rPr>
          <w:rFonts w:ascii="Times New Roman" w:hAnsi="Times New Roman"/>
          <w:szCs w:val="22"/>
          <w:lang w:val="fr-FR"/>
        </w:rPr>
      </w:pPr>
    </w:p>
    <w:p w14:paraId="0B47A15D"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10.</w:t>
      </w:r>
      <w:r w:rsidRPr="00623A2B">
        <w:rPr>
          <w:rFonts w:ascii="Times New Roman" w:hAnsi="Times New Roman"/>
          <w:szCs w:val="22"/>
          <w:lang w:val="fr-FR"/>
        </w:rPr>
        <w:tab/>
        <w:t>Revoir périodiquement la réglementation applicable à la connectivité rurale pour répondre rapidement aux demandes et besoins spécifiques de la connectivité dans les zones rurales.</w:t>
      </w:r>
    </w:p>
    <w:p w14:paraId="56063397" w14:textId="77777777" w:rsidR="00672B0B" w:rsidRPr="00623A2B" w:rsidRDefault="00672B0B" w:rsidP="00672B0B">
      <w:pPr>
        <w:rPr>
          <w:rFonts w:ascii="Times New Roman" w:hAnsi="Times New Roman"/>
          <w:szCs w:val="22"/>
          <w:lang w:val="fr-FR"/>
        </w:rPr>
      </w:pPr>
    </w:p>
    <w:p w14:paraId="46F61AA5"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11.</w:t>
      </w:r>
      <w:r w:rsidRPr="00623A2B">
        <w:rPr>
          <w:rFonts w:ascii="Times New Roman" w:hAnsi="Times New Roman"/>
          <w:szCs w:val="22"/>
          <w:lang w:val="fr-FR"/>
        </w:rPr>
        <w:tab/>
        <w:t xml:space="preserve">Adapter les normes minimales de qualité, de rapidité et de continuité du service dans les communautés rurales. </w:t>
      </w:r>
    </w:p>
    <w:p w14:paraId="6A691045" w14:textId="77777777" w:rsidR="00672B0B" w:rsidRPr="00623A2B" w:rsidRDefault="00672B0B" w:rsidP="00672B0B">
      <w:pPr>
        <w:rPr>
          <w:rFonts w:ascii="Times New Roman" w:hAnsi="Times New Roman"/>
          <w:szCs w:val="22"/>
          <w:lang w:val="fr-FR"/>
        </w:rPr>
      </w:pPr>
    </w:p>
    <w:p w14:paraId="5BA20939"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12.</w:t>
      </w:r>
      <w:r w:rsidRPr="00623A2B">
        <w:rPr>
          <w:rFonts w:ascii="Times New Roman" w:hAnsi="Times New Roman"/>
          <w:szCs w:val="22"/>
          <w:lang w:val="fr-FR"/>
        </w:rPr>
        <w:tab/>
        <w:t>Promouvoir des incitations spécifiques pour les zones rurales (investissements, redevances, contributions, etc.).</w:t>
      </w:r>
    </w:p>
    <w:p w14:paraId="7248A798" w14:textId="77777777" w:rsidR="00672B0B" w:rsidRPr="00623A2B" w:rsidRDefault="00672B0B" w:rsidP="00672B0B">
      <w:pPr>
        <w:rPr>
          <w:rFonts w:ascii="Times New Roman" w:hAnsi="Times New Roman"/>
          <w:szCs w:val="22"/>
          <w:lang w:val="fr-FR"/>
        </w:rPr>
      </w:pPr>
    </w:p>
    <w:p w14:paraId="685274E4" w14:textId="77777777" w:rsidR="00672B0B" w:rsidRPr="00623A2B" w:rsidRDefault="00672B0B" w:rsidP="00A70A20">
      <w:pPr>
        <w:widowControl/>
        <w:rPr>
          <w:rFonts w:ascii="Times New Roman" w:hAnsi="Times New Roman"/>
          <w:szCs w:val="22"/>
          <w:lang w:val="fr-FR"/>
        </w:rPr>
      </w:pPr>
      <w:r w:rsidRPr="00623A2B">
        <w:rPr>
          <w:rFonts w:ascii="Times New Roman" w:hAnsi="Times New Roman"/>
          <w:szCs w:val="22"/>
          <w:lang w:val="fr-FR"/>
        </w:rPr>
        <w:lastRenderedPageBreak/>
        <w:tab/>
        <w:t>13.</w:t>
      </w:r>
      <w:r w:rsidRPr="00623A2B">
        <w:rPr>
          <w:rFonts w:ascii="Times New Roman" w:hAnsi="Times New Roman"/>
          <w:szCs w:val="22"/>
          <w:lang w:val="fr-FR"/>
        </w:rPr>
        <w:tab/>
        <w:t>Mesurer en permanence l’état d’avancement des projets afin de promouvoir la connectivité, les publier de manière systémique et continue, mesurer l’impact et prendre les mesures correctives nécessaires, le cas échéant.</w:t>
      </w:r>
    </w:p>
    <w:p w14:paraId="3E5B46A4" w14:textId="77777777" w:rsidR="00672B0B" w:rsidRPr="00623A2B" w:rsidRDefault="00672B0B" w:rsidP="00672B0B">
      <w:pPr>
        <w:rPr>
          <w:rFonts w:ascii="Times New Roman" w:hAnsi="Times New Roman"/>
          <w:szCs w:val="22"/>
          <w:lang w:val="fr-FR"/>
        </w:rPr>
      </w:pPr>
    </w:p>
    <w:p w14:paraId="4EB1C610"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 xml:space="preserve">14. </w:t>
      </w:r>
      <w:r w:rsidRPr="00623A2B">
        <w:rPr>
          <w:rFonts w:ascii="Times New Roman" w:hAnsi="Times New Roman"/>
          <w:szCs w:val="22"/>
          <w:lang w:val="fr-FR"/>
        </w:rPr>
        <w:tab/>
        <w:t xml:space="preserve">Encourager le développement d’un système de cartographie de la connectivité qui identifie les endroits où l’infrastructure et la connectivité sont installées. </w:t>
      </w:r>
    </w:p>
    <w:p w14:paraId="15082E67" w14:textId="77777777" w:rsidR="00672B0B" w:rsidRPr="00623A2B" w:rsidRDefault="00672B0B" w:rsidP="00672B0B">
      <w:pPr>
        <w:rPr>
          <w:rFonts w:ascii="Times New Roman" w:hAnsi="Times New Roman"/>
          <w:szCs w:val="22"/>
          <w:lang w:val="fr-FR"/>
        </w:rPr>
      </w:pPr>
    </w:p>
    <w:p w14:paraId="75E8F00B"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15.</w:t>
      </w:r>
      <w:r w:rsidRPr="00623A2B">
        <w:rPr>
          <w:rFonts w:ascii="Times New Roman" w:hAnsi="Times New Roman"/>
          <w:szCs w:val="22"/>
          <w:lang w:val="fr-FR"/>
        </w:rPr>
        <w:tab/>
        <w:t>Créer un environnement réglementaire qui encourage l’innovation et l’investissement pour le développement technologique, en analysant toute l’offre technologique de connectivité en fonction des besoins de chaque pays.</w:t>
      </w:r>
    </w:p>
    <w:p w14:paraId="044DD2E8" w14:textId="77777777" w:rsidR="00672B0B" w:rsidRPr="00623A2B" w:rsidRDefault="00672B0B" w:rsidP="00672B0B">
      <w:pPr>
        <w:rPr>
          <w:rFonts w:ascii="Times New Roman" w:hAnsi="Times New Roman"/>
          <w:szCs w:val="22"/>
          <w:lang w:val="fr-FR"/>
        </w:rPr>
      </w:pPr>
    </w:p>
    <w:p w14:paraId="38A0B9F7"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16.</w:t>
      </w:r>
      <w:r w:rsidRPr="00623A2B">
        <w:rPr>
          <w:rFonts w:ascii="Times New Roman" w:hAnsi="Times New Roman"/>
          <w:szCs w:val="22"/>
          <w:lang w:val="fr-FR"/>
        </w:rPr>
        <w:tab/>
        <w:t>Analyser la pertinence pour les opérateurs de l’affectation partielle ou totale du montant de la contribution due aux fonds d’accès et de service universel pour des projets de connectivité rurale définis par les politiques de connectivité en fonction des besoins de chaque pays.</w:t>
      </w:r>
    </w:p>
    <w:p w14:paraId="090B0E9A" w14:textId="77777777" w:rsidR="00672B0B" w:rsidRPr="00623A2B" w:rsidRDefault="00672B0B" w:rsidP="00672B0B">
      <w:pPr>
        <w:rPr>
          <w:rFonts w:ascii="Times New Roman" w:hAnsi="Times New Roman"/>
          <w:szCs w:val="22"/>
          <w:lang w:val="fr-FR"/>
        </w:rPr>
      </w:pPr>
    </w:p>
    <w:p w14:paraId="083BE392"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tab/>
        <w:t>17.</w:t>
      </w:r>
      <w:r w:rsidRPr="00623A2B">
        <w:rPr>
          <w:rFonts w:ascii="Times New Roman" w:hAnsi="Times New Roman"/>
          <w:szCs w:val="22"/>
          <w:lang w:val="fr-FR"/>
        </w:rPr>
        <w:tab/>
        <w:t>Envisager, en accord avec les politiques et si la législation nationale le permet, que les entreprises qui ont déployé la connectivité dans les zones rurales puissent être exemptées de l’obligation de contribution au fonds d’accès et de service universel.</w:t>
      </w:r>
    </w:p>
    <w:p w14:paraId="7C95FF4C" w14:textId="77777777" w:rsidR="00672B0B" w:rsidRPr="00623A2B" w:rsidRDefault="00672B0B" w:rsidP="00672B0B">
      <w:pPr>
        <w:rPr>
          <w:rFonts w:ascii="Times New Roman" w:hAnsi="Times New Roman"/>
          <w:szCs w:val="22"/>
          <w:lang w:val="fr-FR"/>
        </w:rPr>
      </w:pPr>
    </w:p>
    <w:p w14:paraId="21700DB5" w14:textId="77777777" w:rsidR="00672B0B" w:rsidRPr="00623A2B" w:rsidRDefault="00672B0B" w:rsidP="00672B0B">
      <w:pPr>
        <w:ind w:firstLine="708"/>
        <w:rPr>
          <w:rFonts w:ascii="Times New Roman" w:hAnsi="Times New Roman"/>
          <w:szCs w:val="22"/>
          <w:lang w:val="fr-FR"/>
        </w:rPr>
      </w:pPr>
      <w:r w:rsidRPr="00623A2B">
        <w:rPr>
          <w:rFonts w:ascii="Times New Roman" w:hAnsi="Times New Roman"/>
          <w:szCs w:val="22"/>
          <w:lang w:val="fr-FR"/>
        </w:rPr>
        <w:t xml:space="preserve">18. </w:t>
      </w:r>
      <w:r w:rsidRPr="00623A2B">
        <w:rPr>
          <w:rFonts w:ascii="Times New Roman" w:hAnsi="Times New Roman"/>
          <w:szCs w:val="22"/>
          <w:lang w:val="fr-FR"/>
        </w:rPr>
        <w:tab/>
        <w:t xml:space="preserve">Envisager des mesures d’incitation pour étendre la couverture des services de télécommunication/TIC à des conditions abordables et de qualité grâce à une utilisation appropriée du spectre radioélectrique ; en mettant en œuvre des cadres réglementaires flexibles facilitant l’accès aux services et l’utilisation du spectre radioélectrique, dans le but d’encourager les investissements dans ces zones et de promouvoir le respect des obligations de la couverture de service. </w:t>
      </w:r>
    </w:p>
    <w:p w14:paraId="62CA9F69" w14:textId="77777777" w:rsidR="00672B0B" w:rsidRPr="00623A2B" w:rsidRDefault="00672B0B" w:rsidP="00672B0B">
      <w:pPr>
        <w:rPr>
          <w:rFonts w:ascii="Times New Roman" w:hAnsi="Times New Roman"/>
          <w:szCs w:val="22"/>
          <w:lang w:val="fr-FR"/>
        </w:rPr>
      </w:pPr>
    </w:p>
    <w:p w14:paraId="12526400" w14:textId="77777777" w:rsidR="00672B0B" w:rsidRPr="00623A2B" w:rsidRDefault="00672B0B" w:rsidP="00672B0B">
      <w:pPr>
        <w:ind w:firstLine="708"/>
        <w:rPr>
          <w:rFonts w:ascii="Times New Roman" w:hAnsi="Times New Roman"/>
          <w:szCs w:val="22"/>
          <w:lang w:val="fr-FR"/>
        </w:rPr>
      </w:pPr>
      <w:r w:rsidRPr="00623A2B">
        <w:rPr>
          <w:rFonts w:ascii="Times New Roman" w:hAnsi="Times New Roman"/>
          <w:szCs w:val="22"/>
          <w:lang w:val="fr-FR"/>
        </w:rPr>
        <w:t xml:space="preserve">19. </w:t>
      </w:r>
      <w:r w:rsidRPr="00623A2B">
        <w:rPr>
          <w:rFonts w:ascii="Times New Roman" w:hAnsi="Times New Roman"/>
          <w:szCs w:val="22"/>
          <w:lang w:val="fr-FR"/>
        </w:rPr>
        <w:tab/>
        <w:t>Envisager des modèles alternatifs et innovants d’attribution, de licence et de paiement pour l’utilisation du spectre radioélectrique, visant à faciliter l’extension de la couverture.</w:t>
      </w:r>
    </w:p>
    <w:p w14:paraId="7DD31A34" w14:textId="77777777" w:rsidR="00672B0B" w:rsidRPr="00623A2B" w:rsidRDefault="00672B0B" w:rsidP="00672B0B">
      <w:pPr>
        <w:rPr>
          <w:rFonts w:ascii="Times New Roman" w:hAnsi="Times New Roman"/>
          <w:szCs w:val="22"/>
          <w:lang w:val="fr-FR"/>
        </w:rPr>
      </w:pPr>
    </w:p>
    <w:p w14:paraId="26A144AA" w14:textId="77777777" w:rsidR="00672B0B" w:rsidRPr="00623A2B" w:rsidRDefault="00672B0B" w:rsidP="00672B0B">
      <w:pPr>
        <w:ind w:firstLine="708"/>
        <w:rPr>
          <w:rFonts w:ascii="Times New Roman" w:hAnsi="Times New Roman"/>
          <w:szCs w:val="22"/>
          <w:lang w:val="fr-FR"/>
        </w:rPr>
      </w:pPr>
      <w:r w:rsidRPr="00623A2B">
        <w:rPr>
          <w:rFonts w:ascii="Times New Roman" w:hAnsi="Times New Roman"/>
          <w:szCs w:val="22"/>
          <w:lang w:val="fr-FR"/>
        </w:rPr>
        <w:t xml:space="preserve">20. </w:t>
      </w:r>
      <w:r w:rsidRPr="00623A2B">
        <w:rPr>
          <w:rFonts w:ascii="Times New Roman" w:hAnsi="Times New Roman"/>
          <w:szCs w:val="22"/>
          <w:lang w:val="fr-FR"/>
        </w:rPr>
        <w:tab/>
        <w:t xml:space="preserve"> Envisager des politiques pour encourager les investissements dans les technologies satellitaires, aéronautiques et terrestres, y compris les plates-formes stratosphériques, entre autres, qui pourraient fournir des services de Télécommunications/TIC à court terme.</w:t>
      </w:r>
    </w:p>
    <w:p w14:paraId="13D3E655" w14:textId="77777777" w:rsidR="00672B0B" w:rsidRPr="00623A2B" w:rsidRDefault="00672B0B" w:rsidP="00672B0B">
      <w:pPr>
        <w:rPr>
          <w:rFonts w:ascii="Times New Roman" w:hAnsi="Times New Roman"/>
          <w:szCs w:val="22"/>
          <w:lang w:val="fr-FR"/>
        </w:rPr>
      </w:pPr>
    </w:p>
    <w:p w14:paraId="433803AD" w14:textId="77777777" w:rsidR="00672B0B" w:rsidRPr="00623A2B" w:rsidRDefault="00672B0B" w:rsidP="00672B0B">
      <w:pPr>
        <w:ind w:firstLine="708"/>
        <w:rPr>
          <w:rFonts w:ascii="Times New Roman" w:hAnsi="Times New Roman"/>
          <w:szCs w:val="22"/>
          <w:lang w:val="fr-FR"/>
        </w:rPr>
      </w:pPr>
      <w:r w:rsidRPr="00623A2B">
        <w:rPr>
          <w:rFonts w:ascii="Times New Roman" w:hAnsi="Times New Roman"/>
          <w:szCs w:val="22"/>
          <w:lang w:val="fr-FR"/>
        </w:rPr>
        <w:t xml:space="preserve">21. </w:t>
      </w:r>
      <w:r w:rsidRPr="00623A2B">
        <w:rPr>
          <w:rFonts w:ascii="Times New Roman" w:hAnsi="Times New Roman"/>
          <w:szCs w:val="22"/>
          <w:lang w:val="fr-FR"/>
        </w:rPr>
        <w:tab/>
        <w:t>Envisager la mise en œuvre de nouvelles technologies et techniques de gestion dynamique du spectre radioélectrique permettant son utilisation flexible ou partagée, y compris le spectre sous licence et le spectre non sous licence.</w:t>
      </w:r>
    </w:p>
    <w:p w14:paraId="56F1D18C" w14:textId="77777777" w:rsidR="00672B0B" w:rsidRPr="00623A2B" w:rsidRDefault="00672B0B" w:rsidP="00672B0B">
      <w:pPr>
        <w:rPr>
          <w:rFonts w:ascii="Times New Roman" w:hAnsi="Times New Roman"/>
          <w:szCs w:val="22"/>
          <w:lang w:val="fr-FR"/>
        </w:rPr>
      </w:pPr>
      <w:r w:rsidRPr="00623A2B">
        <w:rPr>
          <w:rFonts w:ascii="Times New Roman" w:hAnsi="Times New Roman"/>
          <w:szCs w:val="22"/>
          <w:lang w:val="fr-FR"/>
        </w:rPr>
        <w:br w:type="page"/>
      </w:r>
    </w:p>
    <w:p w14:paraId="1600CF90" w14:textId="77777777" w:rsidR="00672B0B" w:rsidRPr="00623A2B" w:rsidRDefault="00672B0B" w:rsidP="00672B0B">
      <w:pPr>
        <w:jc w:val="center"/>
        <w:rPr>
          <w:rFonts w:ascii="Times New Roman" w:hAnsi="Times New Roman"/>
          <w:sz w:val="20"/>
          <w:lang w:val="fr-FR"/>
        </w:rPr>
      </w:pPr>
      <w:r w:rsidRPr="00623A2B">
        <w:rPr>
          <w:rFonts w:ascii="Times New Roman" w:hAnsi="Times New Roman"/>
          <w:sz w:val="20"/>
          <w:lang w:val="fr-FR"/>
        </w:rPr>
        <w:lastRenderedPageBreak/>
        <w:t>NOTES DE BAS DE PAGE</w:t>
      </w:r>
    </w:p>
    <w:p w14:paraId="382789C6" w14:textId="77777777" w:rsidR="00672B0B" w:rsidRPr="00623A2B" w:rsidRDefault="00672B0B" w:rsidP="00672B0B">
      <w:pPr>
        <w:rPr>
          <w:rFonts w:ascii="Times New Roman" w:hAnsi="Times New Roman"/>
          <w:sz w:val="20"/>
          <w:lang w:val="fr-FR"/>
        </w:rPr>
      </w:pPr>
    </w:p>
    <w:p w14:paraId="5FDD4F30" w14:textId="77777777" w:rsidR="00672B0B" w:rsidRPr="00623A2B" w:rsidRDefault="00672B0B" w:rsidP="00672B0B">
      <w:pPr>
        <w:rPr>
          <w:rFonts w:ascii="Times New Roman" w:hAnsi="Times New Roman"/>
          <w:sz w:val="20"/>
          <w:lang w:val="fr-CA"/>
        </w:rPr>
      </w:pPr>
    </w:p>
    <w:p w14:paraId="4833D19C" w14:textId="6DF18AD1" w:rsidR="00672B0B" w:rsidRPr="00623A2B" w:rsidRDefault="00672B0B" w:rsidP="00672B0B">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1.</w:t>
      </w:r>
      <w:r w:rsidRPr="00623A2B">
        <w:rPr>
          <w:rFonts w:ascii="Times New Roman" w:hAnsi="Times New Roman"/>
          <w:sz w:val="20"/>
          <w:lang w:val="fr-CA"/>
        </w:rPr>
        <w:tab/>
        <w:t>… Cinquante-et-unième Session ordinaire de l’Assemblée générale de l’Organisation des États Américains (OEA), lesquelles constituent des actes contraires au droit international.</w:t>
      </w:r>
    </w:p>
    <w:p w14:paraId="06FD1A1A" w14:textId="77777777" w:rsidR="00672B0B" w:rsidRPr="00623A2B" w:rsidRDefault="00672B0B" w:rsidP="00672B0B">
      <w:pPr>
        <w:pStyle w:val="FootnoteText"/>
        <w:tabs>
          <w:tab w:val="clear" w:pos="360"/>
        </w:tabs>
        <w:ind w:left="0" w:firstLine="720"/>
        <w:rPr>
          <w:rFonts w:ascii="Times New Roman" w:hAnsi="Times New Roman"/>
          <w:sz w:val="20"/>
          <w:lang w:val="fr-CA"/>
        </w:rPr>
      </w:pPr>
    </w:p>
    <w:p w14:paraId="36DF1569" w14:textId="77777777" w:rsidR="00672B0B" w:rsidRPr="00623A2B" w:rsidRDefault="00672B0B" w:rsidP="00672B0B">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27453F4D" w14:textId="77777777" w:rsidR="00672B0B" w:rsidRPr="00623A2B" w:rsidRDefault="00672B0B" w:rsidP="00672B0B">
      <w:pPr>
        <w:pStyle w:val="FootnoteText"/>
        <w:tabs>
          <w:tab w:val="clear" w:pos="360"/>
        </w:tabs>
        <w:ind w:left="0" w:firstLine="720"/>
        <w:rPr>
          <w:rFonts w:ascii="Times New Roman" w:hAnsi="Times New Roman"/>
          <w:sz w:val="20"/>
          <w:lang w:val="fr-CA"/>
        </w:rPr>
      </w:pPr>
    </w:p>
    <w:p w14:paraId="269A44DE" w14:textId="77777777" w:rsidR="00672B0B" w:rsidRPr="00623A2B" w:rsidRDefault="00672B0B" w:rsidP="00672B0B">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0750AE9A" w14:textId="77777777" w:rsidR="00672B0B" w:rsidRPr="00623A2B" w:rsidRDefault="00672B0B" w:rsidP="00672B0B">
      <w:pPr>
        <w:pStyle w:val="FootnoteText"/>
        <w:tabs>
          <w:tab w:val="clear" w:pos="360"/>
        </w:tabs>
        <w:ind w:left="0" w:firstLine="720"/>
        <w:rPr>
          <w:rFonts w:ascii="Times New Roman" w:hAnsi="Times New Roman"/>
          <w:sz w:val="20"/>
          <w:lang w:val="fr-CA"/>
        </w:rPr>
      </w:pPr>
    </w:p>
    <w:p w14:paraId="3D46F508" w14:textId="77777777" w:rsidR="00672B0B" w:rsidRPr="00623A2B" w:rsidRDefault="00672B0B" w:rsidP="00672B0B">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La reconnaissance d’un gouvernement est un acte souverain des États, et non des institutions internationales. L’OEA ne possède ni ne peut s’arroger des facultés de reconnaissance collective opposable à la qualité de membre; c’est pourquoi tout acte visant à atteindre cet objectif tombe en dehors de sa compétence et est matériellement nul.</w:t>
      </w:r>
    </w:p>
    <w:p w14:paraId="6632F864" w14:textId="77777777" w:rsidR="00672B0B" w:rsidRPr="00623A2B" w:rsidRDefault="00672B0B" w:rsidP="00672B0B">
      <w:pPr>
        <w:pStyle w:val="FootnoteText"/>
        <w:tabs>
          <w:tab w:val="clear" w:pos="360"/>
        </w:tabs>
        <w:ind w:left="0" w:firstLine="720"/>
        <w:rPr>
          <w:rFonts w:ascii="Times New Roman" w:hAnsi="Times New Roman"/>
          <w:sz w:val="20"/>
          <w:lang w:val="fr-CA"/>
        </w:rPr>
      </w:pPr>
    </w:p>
    <w:p w14:paraId="4C6FEEEA" w14:textId="77777777" w:rsidR="00672B0B" w:rsidRPr="00623A2B" w:rsidRDefault="00672B0B" w:rsidP="00672B0B">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7D2D77FF" w14:textId="77777777" w:rsidR="00672B0B" w:rsidRPr="00623A2B" w:rsidRDefault="00672B0B" w:rsidP="00672B0B">
      <w:pPr>
        <w:pStyle w:val="FootnoteText"/>
        <w:tabs>
          <w:tab w:val="clear" w:pos="360"/>
        </w:tabs>
        <w:ind w:left="0" w:firstLine="720"/>
        <w:rPr>
          <w:rFonts w:ascii="Times New Roman" w:hAnsi="Times New Roman"/>
          <w:sz w:val="20"/>
          <w:lang w:val="fr-CA"/>
        </w:rPr>
      </w:pPr>
    </w:p>
    <w:p w14:paraId="54616E8B" w14:textId="77777777" w:rsidR="00672B0B" w:rsidRPr="00623A2B" w:rsidRDefault="00672B0B" w:rsidP="00672B0B">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38DA9C8B" w14:textId="77777777" w:rsidR="00672B0B" w:rsidRPr="00623A2B" w:rsidRDefault="00672B0B" w:rsidP="00672B0B">
      <w:pPr>
        <w:pStyle w:val="FootnoteText"/>
        <w:tabs>
          <w:tab w:val="clear" w:pos="360"/>
        </w:tabs>
        <w:ind w:left="0" w:firstLine="720"/>
        <w:rPr>
          <w:rFonts w:ascii="Times New Roman" w:hAnsi="Times New Roman"/>
          <w:sz w:val="20"/>
          <w:lang w:val="fr-CA"/>
        </w:rPr>
      </w:pPr>
    </w:p>
    <w:p w14:paraId="35B4565D" w14:textId="77777777" w:rsidR="00672B0B" w:rsidRPr="00623A2B" w:rsidRDefault="00672B0B" w:rsidP="00672B0B">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62620DC4" w14:textId="77777777" w:rsidR="00672B0B" w:rsidRPr="00623A2B" w:rsidRDefault="00672B0B" w:rsidP="00672B0B">
      <w:pPr>
        <w:pStyle w:val="FootnoteText"/>
        <w:tabs>
          <w:tab w:val="clear" w:pos="360"/>
        </w:tabs>
        <w:ind w:left="0" w:firstLine="720"/>
        <w:rPr>
          <w:rFonts w:ascii="Times New Roman" w:hAnsi="Times New Roman"/>
          <w:sz w:val="20"/>
          <w:lang w:val="fr-CA"/>
        </w:rPr>
      </w:pPr>
    </w:p>
    <w:p w14:paraId="66B70C31" w14:textId="77777777" w:rsidR="00672B0B" w:rsidRPr="00623A2B" w:rsidRDefault="00672B0B" w:rsidP="00672B0B">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2.</w:t>
      </w:r>
      <w:r w:rsidRPr="00623A2B">
        <w:rPr>
          <w:rFonts w:ascii="Times New Roman" w:hAnsi="Times New Roman"/>
          <w:sz w:val="20"/>
          <w:lang w:val="fr-CA"/>
        </w:rPr>
        <w:tab/>
        <w:t xml:space="preserve">… de personnes qui prétendent usurper la représentation légale de la République bolivarienne du Venezuela et du Gouvernement légitime du Président </w:t>
      </w:r>
      <w:proofErr w:type="spellStart"/>
      <w:r w:rsidRPr="00623A2B">
        <w:rPr>
          <w:rFonts w:ascii="Times New Roman" w:hAnsi="Times New Roman"/>
          <w:sz w:val="20"/>
          <w:lang w:val="fr-CA"/>
        </w:rPr>
        <w:t>Nicolás</w:t>
      </w:r>
      <w:proofErr w:type="spellEnd"/>
      <w:r w:rsidRPr="00623A2B">
        <w:rPr>
          <w:rFonts w:ascii="Times New Roman" w:hAnsi="Times New Roman"/>
          <w:sz w:val="20"/>
          <w:lang w:val="fr-CA"/>
        </w:rPr>
        <w:t xml:space="preserve"> </w:t>
      </w:r>
      <w:proofErr w:type="spellStart"/>
      <w:r w:rsidRPr="00623A2B">
        <w:rPr>
          <w:rFonts w:ascii="Times New Roman" w:hAnsi="Times New Roman"/>
          <w:sz w:val="20"/>
          <w:lang w:val="fr-CA"/>
        </w:rPr>
        <w:t>Maduro</w:t>
      </w:r>
      <w:proofErr w:type="spellEnd"/>
      <w:r w:rsidRPr="00623A2B">
        <w:rPr>
          <w:rFonts w:ascii="Times New Roman" w:hAnsi="Times New Roman"/>
          <w:sz w:val="20"/>
          <w:lang w:val="fr-CA"/>
        </w:rPr>
        <w:t xml:space="preserve"> Moros. Nous demandons que notre refus soit consigné dans tous les documents qui seront traités lors de la présente Cinquante-et-unième Session de l’Assemblée générale de l’OEA.</w:t>
      </w:r>
    </w:p>
    <w:p w14:paraId="175B9489" w14:textId="77777777" w:rsidR="00672B0B" w:rsidRPr="00623A2B" w:rsidRDefault="00672B0B" w:rsidP="00672B0B">
      <w:pPr>
        <w:pStyle w:val="FootnoteText"/>
        <w:tabs>
          <w:tab w:val="clear" w:pos="360"/>
        </w:tabs>
        <w:ind w:left="0" w:firstLine="720"/>
        <w:rPr>
          <w:rFonts w:ascii="Times New Roman" w:hAnsi="Times New Roman"/>
          <w:sz w:val="20"/>
          <w:lang w:val="fr-CA"/>
        </w:rPr>
      </w:pPr>
    </w:p>
    <w:p w14:paraId="2F5E125A" w14:textId="77777777" w:rsidR="00672B0B" w:rsidRPr="00623A2B" w:rsidRDefault="00672B0B" w:rsidP="00672B0B">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3.</w:t>
      </w:r>
      <w:r w:rsidRPr="00623A2B">
        <w:rPr>
          <w:rFonts w:ascii="Times New Roman" w:hAnsi="Times New Roman"/>
          <w:sz w:val="20"/>
          <w:lang w:val="fr-CA"/>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46F2E495" w14:textId="77777777" w:rsidR="00672B0B" w:rsidRPr="00623A2B" w:rsidRDefault="00672B0B" w:rsidP="00672B0B">
      <w:pPr>
        <w:pStyle w:val="FootnoteText"/>
        <w:tabs>
          <w:tab w:val="clear" w:pos="360"/>
        </w:tabs>
        <w:ind w:left="0" w:firstLine="720"/>
        <w:rPr>
          <w:rFonts w:ascii="Times New Roman" w:hAnsi="Times New Roman"/>
          <w:sz w:val="20"/>
          <w:lang w:val="fr-CA"/>
        </w:rPr>
      </w:pPr>
    </w:p>
    <w:p w14:paraId="6F37F275" w14:textId="77777777" w:rsidR="00672B0B" w:rsidRPr="00623A2B" w:rsidRDefault="00672B0B" w:rsidP="00672B0B">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 xml:space="preserve">Antigua-et-Barbuda n'a pas soutenu la résolution CP/RES. 1124 (2217/19) du 9 avril 2019 qui visait à nommer M. Gustavo </w:t>
      </w:r>
      <w:proofErr w:type="spellStart"/>
      <w:r w:rsidRPr="00623A2B">
        <w:rPr>
          <w:rFonts w:ascii="Times New Roman" w:hAnsi="Times New Roman"/>
          <w:sz w:val="20"/>
          <w:lang w:val="fr-CA"/>
        </w:rPr>
        <w:t>Tarre</w:t>
      </w:r>
      <w:proofErr w:type="spellEnd"/>
      <w:r w:rsidRPr="00623A2B">
        <w:rPr>
          <w:rFonts w:ascii="Times New Roman" w:hAnsi="Times New Roman"/>
          <w:sz w:val="20"/>
          <w:lang w:val="fr-CA"/>
        </w:rPr>
        <w:t xml:space="preserve"> comme représentant de l'Assemblée nationale auprès de l'OEA et n'a pas accepté les </w:t>
      </w:r>
      <w:r w:rsidRPr="00623A2B">
        <w:rPr>
          <w:rFonts w:ascii="Times New Roman" w:hAnsi="Times New Roman"/>
          <w:sz w:val="20"/>
          <w:lang w:val="fr-CA"/>
        </w:rPr>
        <w:lastRenderedPageBreak/>
        <w:t xml:space="preserve">pouvoirs des fonctionnaires ayant l'intention de représenter la République bolivarienne du Venezuela aux quarante-neuvième, cinquantième et cinquante-et-unième sessions ordinaires de l'Assemblée générale. </w:t>
      </w:r>
    </w:p>
    <w:p w14:paraId="505D5389" w14:textId="77777777" w:rsidR="00672B0B" w:rsidRPr="00623A2B" w:rsidRDefault="00672B0B" w:rsidP="00672B0B">
      <w:pPr>
        <w:pStyle w:val="FootnoteText"/>
        <w:tabs>
          <w:tab w:val="clear" w:pos="360"/>
        </w:tabs>
        <w:ind w:left="0" w:firstLine="720"/>
        <w:rPr>
          <w:rFonts w:ascii="Times New Roman" w:hAnsi="Times New Roman"/>
          <w:sz w:val="20"/>
          <w:lang w:val="fr-CA"/>
        </w:rPr>
      </w:pPr>
    </w:p>
    <w:p w14:paraId="275A914D" w14:textId="77777777" w:rsidR="00672B0B" w:rsidRPr="00623A2B" w:rsidRDefault="00672B0B" w:rsidP="00672B0B">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58850B57" w14:textId="77777777" w:rsidR="00672B0B" w:rsidRPr="00623A2B" w:rsidRDefault="00672B0B" w:rsidP="00672B0B">
      <w:pPr>
        <w:ind w:firstLine="720"/>
        <w:rPr>
          <w:rFonts w:ascii="Times New Roman" w:hAnsi="Times New Roman"/>
          <w:spacing w:val="-2"/>
          <w:szCs w:val="22"/>
          <w:u w:val="single"/>
          <w:lang w:val="fr-CA"/>
        </w:rPr>
      </w:pPr>
    </w:p>
    <w:p w14:paraId="3F946C3D" w14:textId="77777777" w:rsidR="00A70A20" w:rsidRPr="00623A2B" w:rsidRDefault="00A70A20" w:rsidP="00A70A20">
      <w:pPr>
        <w:pStyle w:val="FootnoteText"/>
        <w:ind w:left="0" w:firstLine="720"/>
        <w:rPr>
          <w:rFonts w:ascii="Times New Roman" w:hAnsi="Times New Roman"/>
          <w:sz w:val="20"/>
          <w:lang w:val="fr-CA"/>
        </w:rPr>
      </w:pPr>
      <w:r w:rsidRPr="00623A2B">
        <w:rPr>
          <w:rFonts w:ascii="Times New Roman" w:hAnsi="Times New Roman"/>
          <w:sz w:val="20"/>
          <w:lang w:val="fr-CA"/>
        </w:rPr>
        <w:t>4.</w:t>
      </w:r>
      <w:r w:rsidRPr="00623A2B">
        <w:rPr>
          <w:rFonts w:ascii="Times New Roman" w:hAnsi="Times New Roman"/>
          <w:sz w:val="20"/>
          <w:lang w:val="fr-CA"/>
        </w:rPr>
        <w:tab/>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3C0931FC" w14:textId="77777777" w:rsidR="00A70A20" w:rsidRPr="00623A2B" w:rsidRDefault="00A70A20" w:rsidP="00A70A20">
      <w:pPr>
        <w:pStyle w:val="FootnoteText"/>
        <w:ind w:left="0" w:firstLine="720"/>
        <w:rPr>
          <w:rFonts w:ascii="Times New Roman" w:hAnsi="Times New Roman"/>
          <w:sz w:val="20"/>
          <w:lang w:val="fr-CA"/>
        </w:rPr>
      </w:pPr>
    </w:p>
    <w:p w14:paraId="1FCEC9B1" w14:textId="23079075" w:rsidR="009D765B" w:rsidRPr="00623A2B" w:rsidRDefault="00A70A20" w:rsidP="00A70A20">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p>
    <w:p w14:paraId="7913E94A" w14:textId="2653BE74" w:rsidR="009A129C" w:rsidRPr="00623A2B" w:rsidRDefault="009A129C" w:rsidP="009A129C">
      <w:pPr>
        <w:pStyle w:val="FootnoteText"/>
        <w:tabs>
          <w:tab w:val="clear" w:pos="360"/>
        </w:tabs>
        <w:rPr>
          <w:rFonts w:ascii="Times New Roman" w:hAnsi="Times New Roman"/>
          <w:sz w:val="20"/>
          <w:lang w:val="fr-CA"/>
        </w:rPr>
      </w:pPr>
    </w:p>
    <w:p w14:paraId="29B99518" w14:textId="77777777" w:rsidR="009A129C" w:rsidRPr="00623A2B" w:rsidRDefault="009A129C" w:rsidP="009A129C">
      <w:pPr>
        <w:pStyle w:val="FootnoteText"/>
        <w:tabs>
          <w:tab w:val="clear" w:pos="360"/>
        </w:tabs>
        <w:rPr>
          <w:rFonts w:ascii="Times New Roman" w:hAnsi="Times New Roman"/>
          <w:sz w:val="22"/>
          <w:szCs w:val="22"/>
          <w:lang w:val="fr-CA"/>
        </w:rPr>
        <w:sectPr w:rsidR="009A129C" w:rsidRPr="00623A2B" w:rsidSect="00623A2B">
          <w:footnotePr>
            <w:numRestart w:val="eachSect"/>
          </w:footnotePr>
          <w:type w:val="oddPage"/>
          <w:pgSz w:w="12240" w:h="15840" w:code="1"/>
          <w:pgMar w:top="2160" w:right="1570" w:bottom="1296" w:left="1699" w:header="720" w:footer="720" w:gutter="0"/>
          <w:pgNumType w:chapSep="emDash"/>
          <w:cols w:space="720"/>
          <w:titlePg/>
        </w:sectPr>
      </w:pPr>
    </w:p>
    <w:p w14:paraId="2B3BA549" w14:textId="77777777" w:rsidR="00A84B93" w:rsidRPr="00623A2B" w:rsidRDefault="00A84B93" w:rsidP="00A84B93">
      <w:pPr>
        <w:pStyle w:val="Header"/>
        <w:ind w:right="-29"/>
        <w:jc w:val="center"/>
        <w:outlineLvl w:val="0"/>
        <w:rPr>
          <w:rFonts w:ascii="Times New Roman" w:hAnsi="Times New Roman"/>
          <w:bCs/>
          <w:szCs w:val="22"/>
          <w:lang w:val="fr-FR"/>
        </w:rPr>
      </w:pPr>
      <w:bookmarkStart w:id="10" w:name="_Toc89177457"/>
      <w:r w:rsidRPr="00623A2B">
        <w:rPr>
          <w:rFonts w:ascii="Times New Roman" w:hAnsi="Times New Roman"/>
          <w:szCs w:val="22"/>
          <w:lang w:val="fr-CA"/>
        </w:rPr>
        <w:lastRenderedPageBreak/>
        <w:t>AG/RES. 2967 (LI-O/21)</w:t>
      </w:r>
      <w:r w:rsidRPr="00623A2B">
        <w:rPr>
          <w:rFonts w:ascii="Times New Roman" w:hAnsi="Times New Roman"/>
          <w:szCs w:val="22"/>
          <w:lang w:val="fr-CA"/>
        </w:rPr>
        <w:br/>
      </w:r>
      <w:r w:rsidRPr="00623A2B">
        <w:rPr>
          <w:rFonts w:ascii="Times New Roman" w:hAnsi="Times New Roman"/>
          <w:szCs w:val="22"/>
          <w:lang w:val="fr-CA"/>
        </w:rPr>
        <w:br/>
      </w:r>
      <w:r w:rsidRPr="00623A2B">
        <w:rPr>
          <w:rFonts w:ascii="Times New Roman" w:hAnsi="Times New Roman"/>
          <w:bCs/>
          <w:szCs w:val="22"/>
          <w:lang w:val="fr-FR"/>
        </w:rPr>
        <w:t xml:space="preserve">ENCOURAGER LES INITIATIVES CONTINENTALES EN MATIÈRE </w:t>
      </w:r>
      <w:r w:rsidRPr="00623A2B">
        <w:rPr>
          <w:rFonts w:ascii="Times New Roman" w:hAnsi="Times New Roman"/>
          <w:bCs/>
          <w:szCs w:val="22"/>
          <w:lang w:val="fr-FR"/>
        </w:rPr>
        <w:br/>
        <w:t>DE DÉVELOPPEMENT INTÉGRÉ : PROMOTION DE LA RÉSILIENCE</w:t>
      </w:r>
      <w:r w:rsidRPr="00623A2B">
        <w:rPr>
          <w:rStyle w:val="FootnoteReference"/>
          <w:rFonts w:ascii="Times New Roman" w:hAnsi="Times New Roman"/>
          <w:szCs w:val="22"/>
          <w:u w:val="single"/>
          <w:vertAlign w:val="superscript"/>
          <w:lang w:val="pt-BR"/>
        </w:rPr>
        <w:footnoteReference w:id="23"/>
      </w:r>
      <w:r w:rsidRPr="00623A2B">
        <w:rPr>
          <w:rFonts w:ascii="Times New Roman" w:hAnsi="Times New Roman"/>
          <w:szCs w:val="22"/>
          <w:vertAlign w:val="superscript"/>
          <w:lang w:val="fr-CA"/>
        </w:rPr>
        <w:t>/</w:t>
      </w:r>
      <w:r w:rsidRPr="00623A2B">
        <w:rPr>
          <w:rStyle w:val="FootnoteReference"/>
          <w:rFonts w:ascii="Times New Roman" w:hAnsi="Times New Roman"/>
          <w:szCs w:val="22"/>
          <w:u w:val="single"/>
          <w:vertAlign w:val="superscript"/>
          <w:lang w:val="pt-BR"/>
        </w:rPr>
        <w:footnoteReference w:id="24"/>
      </w:r>
      <w:r w:rsidRPr="00623A2B">
        <w:rPr>
          <w:rFonts w:ascii="Times New Roman" w:hAnsi="Times New Roman"/>
          <w:szCs w:val="22"/>
          <w:vertAlign w:val="superscript"/>
          <w:lang w:val="fr-CA"/>
        </w:rPr>
        <w:t>/</w:t>
      </w:r>
      <w:r w:rsidRPr="00623A2B">
        <w:rPr>
          <w:rStyle w:val="FootnoteReference"/>
          <w:rFonts w:ascii="Times New Roman" w:hAnsi="Times New Roman"/>
          <w:szCs w:val="22"/>
          <w:u w:val="single"/>
          <w:vertAlign w:val="superscript"/>
          <w:lang w:val="pt-BR"/>
        </w:rPr>
        <w:footnoteReference w:id="25"/>
      </w:r>
      <w:r w:rsidRPr="00623A2B">
        <w:rPr>
          <w:rFonts w:ascii="Times New Roman" w:hAnsi="Times New Roman"/>
          <w:szCs w:val="22"/>
          <w:vertAlign w:val="superscript"/>
          <w:lang w:val="fr-CA"/>
        </w:rPr>
        <w:t>/</w:t>
      </w:r>
      <w:r w:rsidRPr="00623A2B">
        <w:rPr>
          <w:rStyle w:val="FootnoteReference"/>
          <w:rFonts w:ascii="Times New Roman" w:hAnsi="Times New Roman"/>
          <w:szCs w:val="22"/>
          <w:u w:val="single"/>
          <w:vertAlign w:val="superscript"/>
          <w:lang w:val="pt-BR"/>
        </w:rPr>
        <w:footnoteReference w:id="26"/>
      </w:r>
      <w:r w:rsidRPr="00623A2B">
        <w:rPr>
          <w:rFonts w:ascii="Times New Roman" w:hAnsi="Times New Roman"/>
          <w:szCs w:val="22"/>
          <w:vertAlign w:val="superscript"/>
          <w:lang w:val="fr-CA"/>
        </w:rPr>
        <w:t>/</w:t>
      </w:r>
      <w:bookmarkEnd w:id="10"/>
    </w:p>
    <w:p w14:paraId="2A409A64" w14:textId="77777777" w:rsidR="00A84B93" w:rsidRPr="00623A2B" w:rsidRDefault="00A84B93" w:rsidP="00A84B93">
      <w:pPr>
        <w:pStyle w:val="NormalWeb"/>
        <w:suppressAutoHyphens/>
        <w:spacing w:before="0" w:beforeAutospacing="0" w:after="0" w:afterAutospacing="0"/>
        <w:ind w:right="-29"/>
        <w:jc w:val="both"/>
        <w:rPr>
          <w:bCs/>
          <w:sz w:val="22"/>
          <w:szCs w:val="22"/>
          <w:lang w:val="fr-FR"/>
        </w:rPr>
      </w:pPr>
    </w:p>
    <w:p w14:paraId="0B6FC300" w14:textId="6EB46C0D" w:rsidR="00A84B93" w:rsidRPr="00623A2B" w:rsidRDefault="00A84B93" w:rsidP="00A84B93">
      <w:pPr>
        <w:jc w:val="center"/>
        <w:rPr>
          <w:rFonts w:ascii="Times New Roman" w:eastAsia="Calibri" w:hAnsi="Times New Roman"/>
          <w:szCs w:val="22"/>
          <w:lang w:val="fr-CA"/>
        </w:rPr>
      </w:pPr>
      <w:r w:rsidRPr="00623A2B">
        <w:rPr>
          <w:rFonts w:ascii="Times New Roman" w:hAnsi="Times New Roman"/>
          <w:color w:val="222222"/>
          <w:szCs w:val="22"/>
          <w:lang w:val="fr-FR"/>
        </w:rPr>
        <w:t>(</w:t>
      </w:r>
      <w:r w:rsidRPr="00623A2B">
        <w:rPr>
          <w:rFonts w:ascii="Times New Roman" w:hAnsi="Times New Roman"/>
          <w:szCs w:val="22"/>
          <w:lang w:val="fr-FR"/>
        </w:rPr>
        <w:t xml:space="preserve">Résolution adoptée à la </w:t>
      </w:r>
      <w:r w:rsidR="001B5A48" w:rsidRPr="00623A2B">
        <w:rPr>
          <w:rFonts w:ascii="Times New Roman" w:hAnsi="Times New Roman"/>
          <w:szCs w:val="22"/>
          <w:lang w:val="fr-FR"/>
        </w:rPr>
        <w:t>deuxième</w:t>
      </w:r>
      <w:r w:rsidRPr="00623A2B">
        <w:rPr>
          <w:rFonts w:ascii="Times New Roman" w:hAnsi="Times New Roman"/>
          <w:szCs w:val="22"/>
          <w:lang w:val="fr-FR"/>
        </w:rPr>
        <w:t xml:space="preserve"> séance plénière, </w:t>
      </w:r>
      <w:r w:rsidRPr="00623A2B">
        <w:rPr>
          <w:rFonts w:ascii="Times New Roman" w:hAnsi="Times New Roman"/>
          <w:szCs w:val="22"/>
          <w:lang w:val="fr-CA"/>
        </w:rPr>
        <w:t>le 11 novembre 2021</w:t>
      </w:r>
      <w:r w:rsidRPr="00623A2B">
        <w:rPr>
          <w:rFonts w:ascii="Times New Roman" w:hAnsi="Times New Roman"/>
          <w:color w:val="222222"/>
          <w:szCs w:val="22"/>
          <w:lang w:val="fr-FR"/>
        </w:rPr>
        <w:t>)</w:t>
      </w:r>
    </w:p>
    <w:p w14:paraId="59989437" w14:textId="77777777" w:rsidR="00A84B93" w:rsidRPr="00623A2B" w:rsidRDefault="00A84B93" w:rsidP="00A84B93">
      <w:pPr>
        <w:jc w:val="center"/>
        <w:rPr>
          <w:rFonts w:ascii="Times New Roman" w:eastAsia="Calibri" w:hAnsi="Times New Roman"/>
          <w:szCs w:val="22"/>
          <w:lang w:val="fr-CA"/>
        </w:rPr>
      </w:pPr>
    </w:p>
    <w:p w14:paraId="4D7AEB2E" w14:textId="77777777" w:rsidR="00A84B93" w:rsidRPr="00623A2B" w:rsidRDefault="00A84B93" w:rsidP="00A84B93">
      <w:pPr>
        <w:suppressAutoHyphens/>
        <w:snapToGrid w:val="0"/>
        <w:jc w:val="center"/>
        <w:rPr>
          <w:rFonts w:ascii="Times New Roman" w:eastAsia="Calibri" w:hAnsi="Times New Roman"/>
          <w:szCs w:val="22"/>
          <w:lang w:val="fr-CA"/>
        </w:rPr>
      </w:pPr>
    </w:p>
    <w:p w14:paraId="7F9D1E72" w14:textId="77777777" w:rsidR="00A84B93" w:rsidRPr="00623A2B" w:rsidRDefault="00A84B93" w:rsidP="00A84B93">
      <w:pPr>
        <w:pStyle w:val="Header"/>
        <w:tabs>
          <w:tab w:val="clear" w:pos="4320"/>
          <w:tab w:val="clear" w:pos="8640"/>
        </w:tabs>
        <w:ind w:right="-389"/>
        <w:rPr>
          <w:rFonts w:ascii="Times New Roman" w:hAnsi="Times New Roman"/>
          <w:color w:val="000000" w:themeColor="text1"/>
          <w:szCs w:val="22"/>
          <w:lang w:val="fr-CA"/>
        </w:rPr>
      </w:pPr>
      <w:r w:rsidRPr="00623A2B">
        <w:rPr>
          <w:rFonts w:ascii="Times New Roman" w:hAnsi="Times New Roman"/>
          <w:color w:val="000000" w:themeColor="text1"/>
          <w:szCs w:val="22"/>
          <w:lang w:val="fr-CA"/>
        </w:rPr>
        <w:tab/>
        <w:t>L'ASSEMBLÉE GÉNÉRALE,</w:t>
      </w:r>
    </w:p>
    <w:p w14:paraId="49A5FA58" w14:textId="77777777" w:rsidR="00A84B93" w:rsidRPr="00623A2B" w:rsidRDefault="00A84B93" w:rsidP="00A84B93">
      <w:pPr>
        <w:ind w:right="-389"/>
        <w:rPr>
          <w:rFonts w:ascii="Times New Roman" w:hAnsi="Times New Roman"/>
          <w:color w:val="000000" w:themeColor="text1"/>
          <w:szCs w:val="22"/>
          <w:lang w:val="fr-CA"/>
        </w:rPr>
      </w:pPr>
    </w:p>
    <w:p w14:paraId="7F81D06A" w14:textId="77777777" w:rsidR="00A84B93" w:rsidRPr="00623A2B" w:rsidRDefault="00A84B93" w:rsidP="00A84B93">
      <w:pPr>
        <w:pBdr>
          <w:top w:val="nil"/>
          <w:left w:val="nil"/>
          <w:bottom w:val="nil"/>
          <w:right w:val="nil"/>
          <w:between w:val="nil"/>
        </w:pBdr>
        <w:ind w:left="-113"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RÉITÉRANT l’importance d’encourager le développement intégré, y compris le renforcement de la résilience, en tant qu’un des objectifs essentiels de l’Organisation contenus dans les instruments du système interaméricain tels que la Charte de l’Organisation des États Américains (OEA), la Charte démocratique interaméricaine et la Charte sociale des Amériques, de même que les mandats de l’OEA et initiatives issus des Sommets des Amériques,</w:t>
      </w:r>
    </w:p>
    <w:p w14:paraId="32257988" w14:textId="77777777" w:rsidR="00A84B93" w:rsidRPr="00623A2B" w:rsidRDefault="00A84B93" w:rsidP="00A84B93">
      <w:pPr>
        <w:ind w:right="-29"/>
        <w:rPr>
          <w:rFonts w:ascii="Times New Roman" w:hAnsi="Times New Roman"/>
          <w:color w:val="000000" w:themeColor="text1"/>
          <w:szCs w:val="22"/>
          <w:lang w:val="fr-CA"/>
        </w:rPr>
      </w:pPr>
    </w:p>
    <w:p w14:paraId="62B4162B" w14:textId="77777777" w:rsidR="00A84B93" w:rsidRPr="00623A2B" w:rsidRDefault="00A84B93" w:rsidP="00A84B93">
      <w:pPr>
        <w:ind w:right="-29" w:firstLine="720"/>
        <w:rPr>
          <w:rFonts w:ascii="Times New Roman" w:hAnsi="Times New Roman"/>
          <w:b/>
          <w:color w:val="000000" w:themeColor="text1"/>
          <w:szCs w:val="22"/>
          <w:lang w:val="fr-CA"/>
        </w:rPr>
      </w:pPr>
      <w:r w:rsidRPr="00623A2B">
        <w:rPr>
          <w:rFonts w:ascii="Times New Roman" w:hAnsi="Times New Roman"/>
          <w:color w:val="000000" w:themeColor="text1"/>
          <w:szCs w:val="22"/>
          <w:lang w:val="fr-CA"/>
        </w:rPr>
        <w:t>CONSCIENTE que les États membres de l’OEA, en particulier ceux qui sont les plus vulnérables aux chocs extérieurs, comme les petits États insulaires en développement et les pays côtiers de faible altitude, ont été gravement touchés par les répercussions sociales, économiques et environnementales de la pandémie de COVID-19 et par les efforts déployés pour juguler la propagation du virus. La pandémie de COVID-19 continue de porter atteinte aux progrès mondiaux vers l’élimination de la pauvreté, y compris la pauvreté absolue, sous toutes ses formes et dans toutes ses dimensions, ainsi que vers la réduction des inégalités, lesquels constituent une condition indispensable à la réalisation du Programme de développement durable à l’horizon 2030.  Des approches globales, intégrées et intersectorielles sont nécessaires pour le relèvement et le renforcement de la résilience en raison de la COVID-19,</w:t>
      </w:r>
    </w:p>
    <w:p w14:paraId="31C35F91" w14:textId="77777777" w:rsidR="00A84B93" w:rsidRPr="00623A2B" w:rsidRDefault="00A84B93" w:rsidP="00A84B93">
      <w:pPr>
        <w:ind w:right="-29"/>
        <w:rPr>
          <w:rFonts w:ascii="Times New Roman" w:hAnsi="Times New Roman"/>
          <w:color w:val="000000" w:themeColor="text1"/>
          <w:szCs w:val="22"/>
          <w:lang w:val="fr-CA"/>
        </w:rPr>
      </w:pPr>
    </w:p>
    <w:p w14:paraId="2F35FF64" w14:textId="77777777" w:rsidR="00A84B93" w:rsidRPr="00623A2B" w:rsidRDefault="00A84B93" w:rsidP="00A84B93">
      <w:pPr>
        <w:ind w:right="-29"/>
        <w:rPr>
          <w:rFonts w:ascii="Times New Roman" w:hAnsi="Times New Roman"/>
          <w:color w:val="000000" w:themeColor="text1"/>
          <w:szCs w:val="22"/>
          <w:lang w:val="fr-CA"/>
        </w:rPr>
      </w:pPr>
      <w:r w:rsidRPr="00623A2B">
        <w:rPr>
          <w:rFonts w:ascii="Times New Roman" w:hAnsi="Times New Roman"/>
          <w:color w:val="000000" w:themeColor="text1"/>
          <w:szCs w:val="22"/>
          <w:lang w:val="fr-CA"/>
        </w:rPr>
        <w:tab/>
      </w:r>
      <w:r w:rsidRPr="00623A2B">
        <w:rPr>
          <w:rFonts w:ascii="Times New Roman" w:hAnsi="Times New Roman"/>
          <w:caps/>
          <w:color w:val="000000" w:themeColor="text1"/>
          <w:szCs w:val="22"/>
          <w:lang w:val="fr-CA"/>
        </w:rPr>
        <w:t>RECONNAISSANT</w:t>
      </w:r>
      <w:r w:rsidRPr="00623A2B">
        <w:rPr>
          <w:rFonts w:ascii="Times New Roman" w:hAnsi="Times New Roman"/>
          <w:color w:val="000000" w:themeColor="text1"/>
          <w:szCs w:val="22"/>
          <w:lang w:val="fr-CA"/>
        </w:rPr>
        <w:t xml:space="preserve"> que le multilatéralisme joue un rôle clé sur le plan international pour atteindre des objectifs communs et faciliter des solutions concertées, notamment face à la pandémie de COVID-19 à laquelle nous sommes toujours confrontés,</w:t>
      </w:r>
    </w:p>
    <w:p w14:paraId="45935E45" w14:textId="77777777" w:rsidR="00A84B93" w:rsidRPr="00623A2B" w:rsidRDefault="00A84B93" w:rsidP="00A84B93">
      <w:pPr>
        <w:ind w:right="-29"/>
        <w:rPr>
          <w:rFonts w:ascii="Times New Roman" w:hAnsi="Times New Roman"/>
          <w:bCs/>
          <w:color w:val="000000" w:themeColor="text1"/>
          <w:szCs w:val="22"/>
          <w:lang w:val="fr-CA"/>
        </w:rPr>
      </w:pPr>
    </w:p>
    <w:p w14:paraId="419446B9" w14:textId="77777777" w:rsidR="00A84B93" w:rsidRPr="00623A2B" w:rsidRDefault="00A84B93" w:rsidP="00A84B93">
      <w:pPr>
        <w:ind w:right="-29"/>
        <w:contextualSpacing/>
        <w:rPr>
          <w:rFonts w:ascii="Times New Roman" w:hAnsi="Times New Roman"/>
          <w:bCs/>
          <w:color w:val="000000" w:themeColor="text1"/>
          <w:szCs w:val="22"/>
          <w:lang w:val="fr-CA"/>
        </w:rPr>
      </w:pPr>
      <w:r w:rsidRPr="00623A2B">
        <w:rPr>
          <w:rFonts w:ascii="Times New Roman" w:hAnsi="Times New Roman"/>
          <w:color w:val="000000" w:themeColor="text1"/>
          <w:szCs w:val="22"/>
          <w:lang w:val="fr-CA"/>
        </w:rPr>
        <w:tab/>
        <w:t>CONSCIENTE que la pandémie renforce la nécessité pour les États membres de l’OEA de formuler et de mettre en œuvre d’urgence des politiques, stratégies et programmes intégrés et inclusifs prenant en compte une perspective de parité hommes-femmes, et de réaffirmer leur engagement à mettre en œuvre le Programme de développement durable à l’horizon 2030, à réduire les inégalités et les vulnérabilités, et à renforcer leur résilience aux crises sanitaires, environnementales et économiques, y compris les effets défavorables du changement climatique, et à la perte alarmante de biodiversité, conformément à leurs obligations nationales et internationales,</w:t>
      </w:r>
    </w:p>
    <w:p w14:paraId="7069EFE3" w14:textId="77777777" w:rsidR="00A84B93" w:rsidRPr="00623A2B" w:rsidRDefault="00A84B93" w:rsidP="00A84B93">
      <w:pPr>
        <w:ind w:right="-29"/>
        <w:rPr>
          <w:rFonts w:ascii="Times New Roman" w:hAnsi="Times New Roman"/>
          <w:bCs/>
          <w:color w:val="000000" w:themeColor="text1"/>
          <w:szCs w:val="22"/>
          <w:lang w:val="fr-CA"/>
        </w:rPr>
      </w:pPr>
    </w:p>
    <w:p w14:paraId="2B24B8A6" w14:textId="77777777" w:rsidR="00A84B93" w:rsidRPr="00623A2B" w:rsidRDefault="00A84B93" w:rsidP="00365004">
      <w:pPr>
        <w:widowControl/>
        <w:pBdr>
          <w:top w:val="nil"/>
          <w:left w:val="nil"/>
          <w:bottom w:val="nil"/>
          <w:right w:val="nil"/>
          <w:between w:val="nil"/>
        </w:pBdr>
        <w:ind w:right="-29" w:firstLine="720"/>
        <w:rPr>
          <w:rFonts w:ascii="Times New Roman" w:hAnsi="Times New Roman"/>
          <w:b/>
          <w:color w:val="000000" w:themeColor="text1"/>
          <w:szCs w:val="22"/>
          <w:lang w:val="fr-CA"/>
        </w:rPr>
      </w:pPr>
      <w:r w:rsidRPr="00623A2B">
        <w:rPr>
          <w:rFonts w:ascii="Times New Roman" w:hAnsi="Times New Roman"/>
          <w:color w:val="000000" w:themeColor="text1"/>
          <w:szCs w:val="22"/>
          <w:lang w:val="fr-CA"/>
        </w:rPr>
        <w:lastRenderedPageBreak/>
        <w:t xml:space="preserve">RECONNAISSANT que la formulation du Programme interaméricain de développement durable (PIDS) 2016-2021 </w:t>
      </w:r>
      <w:hyperlink r:id="rId17" w:history="1">
        <w:r w:rsidRPr="00623A2B">
          <w:rPr>
            <w:rStyle w:val="Hyperlink"/>
            <w:rFonts w:ascii="Times New Roman" w:hAnsi="Times New Roman"/>
            <w:szCs w:val="22"/>
            <w:lang w:val="fr-CA"/>
          </w:rPr>
          <w:t>[AG/RES.</w:t>
        </w:r>
      </w:hyperlink>
      <w:hyperlink r:id="rId18" w:history="1">
        <w:r w:rsidRPr="00623A2B">
          <w:rPr>
            <w:rStyle w:val="Hyperlink"/>
            <w:rFonts w:ascii="Times New Roman" w:hAnsi="Times New Roman"/>
            <w:szCs w:val="22"/>
            <w:lang w:val="fr-CA"/>
          </w:rPr>
          <w:t xml:space="preserve"> 2882 (XLVI-O/16)]</w:t>
        </w:r>
      </w:hyperlink>
      <w:r w:rsidRPr="00623A2B">
        <w:rPr>
          <w:rFonts w:ascii="Times New Roman" w:hAnsi="Times New Roman"/>
          <w:color w:val="000000" w:themeColor="text1"/>
          <w:szCs w:val="22"/>
          <w:lang w:val="fr-CA"/>
        </w:rPr>
        <w:t xml:space="preserve"> repose sur le Programme de développement durable à l’horizon 2030 de l’Organisation des Nations Unies (ONU) et sur toutes les conventions et tous les accords pertinents de l’ONU, que le PIDS établit les priorités et les orientations politiques de l'OEA en la matière, que ses six domaines stratégiques restent pertinents et alignés sur les Objectifs de développement durable (ODD) du Programme de développement durable à l’horizon 2030, et que les États membres ont convenu de réviser et de mettre à jour le PIDS en fonction des résultats obtenus,</w:t>
      </w:r>
    </w:p>
    <w:p w14:paraId="3ACC8269" w14:textId="77777777" w:rsidR="00A84B93" w:rsidRPr="00623A2B" w:rsidRDefault="00A84B93" w:rsidP="00A84B93">
      <w:pPr>
        <w:ind w:right="-29"/>
        <w:rPr>
          <w:rFonts w:ascii="Times New Roman" w:hAnsi="Times New Roman"/>
          <w:bCs/>
          <w:color w:val="000000" w:themeColor="text1"/>
          <w:szCs w:val="22"/>
          <w:lang w:val="fr-CA"/>
        </w:rPr>
      </w:pPr>
    </w:p>
    <w:p w14:paraId="52B3C245" w14:textId="77777777" w:rsidR="00A84B93" w:rsidRPr="00623A2B" w:rsidRDefault="00A84B93" w:rsidP="00A84B93">
      <w:pPr>
        <w:pBdr>
          <w:top w:val="nil"/>
          <w:left w:val="nil"/>
          <w:bottom w:val="nil"/>
          <w:right w:val="nil"/>
          <w:between w:val="nil"/>
        </w:pBdr>
        <w:ind w:right="-29" w:firstLine="720"/>
        <w:rPr>
          <w:rFonts w:ascii="Times New Roman" w:hAnsi="Times New Roman"/>
          <w:b/>
          <w:color w:val="000000" w:themeColor="text1"/>
          <w:szCs w:val="22"/>
          <w:lang w:val="fr-CA"/>
        </w:rPr>
      </w:pPr>
      <w:r w:rsidRPr="00623A2B">
        <w:rPr>
          <w:rFonts w:ascii="Times New Roman" w:hAnsi="Times New Roman"/>
          <w:color w:val="000000" w:themeColor="text1"/>
          <w:szCs w:val="22"/>
          <w:lang w:val="fr-CA"/>
        </w:rPr>
        <w:t>ACCUEILLANT AVEC SATISFACTION les résultats des réunions des ministres et hauts fonctionnaires dans le cadre du Conseil interaméricain pour le développement intégré (CIDI) dans les domaines de l'éducation, de la culture, de l'énergie, du développement social et des ports, ainsi que des processus sectoriels sur le travail, la coopération, la science et la technologie, le tourisme, la compétitivité, et les microentreprises et petites et moyennes entreprises (MPME),</w:t>
      </w:r>
    </w:p>
    <w:p w14:paraId="5530BFE2" w14:textId="77777777" w:rsidR="00A84B93" w:rsidRPr="00623A2B" w:rsidRDefault="00A84B93" w:rsidP="00A84B93">
      <w:pPr>
        <w:ind w:right="-29"/>
        <w:rPr>
          <w:rFonts w:ascii="Times New Roman" w:hAnsi="Times New Roman"/>
          <w:bCs/>
          <w:color w:val="000000" w:themeColor="text1"/>
          <w:szCs w:val="22"/>
          <w:lang w:val="fr-CA"/>
        </w:rPr>
      </w:pPr>
    </w:p>
    <w:p w14:paraId="4A3E33BE" w14:textId="77777777" w:rsidR="00A84B93" w:rsidRPr="00623A2B" w:rsidRDefault="00A84B93" w:rsidP="00A84B93">
      <w:pPr>
        <w:pBdr>
          <w:top w:val="nil"/>
          <w:left w:val="nil"/>
          <w:bottom w:val="nil"/>
          <w:right w:val="nil"/>
          <w:between w:val="nil"/>
        </w:pBdr>
        <w:ind w:right="-29" w:firstLine="720"/>
        <w:rPr>
          <w:rFonts w:ascii="Times New Roman" w:hAnsi="Times New Roman"/>
          <w:b/>
          <w:color w:val="000000" w:themeColor="text1"/>
          <w:szCs w:val="22"/>
          <w:lang w:val="fr-CA"/>
        </w:rPr>
      </w:pPr>
      <w:r w:rsidRPr="00623A2B">
        <w:rPr>
          <w:rFonts w:ascii="Times New Roman" w:hAnsi="Times New Roman"/>
          <w:color w:val="000000" w:themeColor="text1"/>
          <w:szCs w:val="22"/>
          <w:lang w:val="fr-CA"/>
        </w:rPr>
        <w:t>RECONNAISSANT ÉGALEMENT que les défis causés par la pandémie de COVID-19</w:t>
      </w:r>
      <w:r w:rsidRPr="00623A2B">
        <w:rPr>
          <w:rFonts w:ascii="Times New Roman" w:hAnsi="Times New Roman"/>
          <w:b/>
          <w:color w:val="000000" w:themeColor="text1"/>
          <w:szCs w:val="22"/>
          <w:lang w:val="fr-CA"/>
        </w:rPr>
        <w:t xml:space="preserve"> </w:t>
      </w:r>
      <w:r w:rsidRPr="00623A2B">
        <w:rPr>
          <w:rFonts w:ascii="Times New Roman" w:hAnsi="Times New Roman"/>
          <w:color w:val="000000" w:themeColor="text1"/>
          <w:szCs w:val="22"/>
          <w:lang w:val="fr-CA"/>
        </w:rPr>
        <w:t>ont des incidences négatives sur la mise en œuvre des politiques nationales visant le développement durable et que certains États membres peuvent</w:t>
      </w:r>
      <w:r w:rsidRPr="00623A2B">
        <w:rPr>
          <w:rFonts w:ascii="Times New Roman" w:hAnsi="Times New Roman"/>
          <w:b/>
          <w:color w:val="000000" w:themeColor="text1"/>
          <w:szCs w:val="22"/>
          <w:lang w:val="fr-CA"/>
        </w:rPr>
        <w:t xml:space="preserve"> </w:t>
      </w:r>
      <w:r w:rsidRPr="00623A2B">
        <w:rPr>
          <w:rFonts w:ascii="Times New Roman" w:hAnsi="Times New Roman"/>
          <w:color w:val="000000" w:themeColor="text1"/>
          <w:szCs w:val="22"/>
          <w:lang w:val="fr-CA"/>
        </w:rPr>
        <w:t>avoir besoin d'un soutien technique et financier offert, entre autres, par les institutions internationales de financement et de développement afin de faire face à cette crise et aux crises à venir et parvenir à un développement socio-économique durable qui soit plus solide et plus résistant au climat,</w:t>
      </w:r>
    </w:p>
    <w:p w14:paraId="4F53D66A"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lang w:val="fr-CA"/>
        </w:rPr>
      </w:pPr>
    </w:p>
    <w:p w14:paraId="5E558AE8" w14:textId="77777777" w:rsidR="00A84B93" w:rsidRPr="00623A2B" w:rsidRDefault="00A84B93" w:rsidP="00A84B93">
      <w:pPr>
        <w:pBdr>
          <w:top w:val="nil"/>
          <w:left w:val="nil"/>
          <w:bottom w:val="nil"/>
          <w:right w:val="nil"/>
          <w:between w:val="nil"/>
        </w:pBdr>
        <w:ind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DONNANT </w:t>
      </w:r>
      <w:proofErr w:type="gramStart"/>
      <w:r w:rsidRPr="00623A2B">
        <w:rPr>
          <w:rFonts w:ascii="Times New Roman" w:hAnsi="Times New Roman"/>
          <w:color w:val="000000" w:themeColor="text1"/>
          <w:szCs w:val="22"/>
          <w:lang w:val="fr-CA"/>
        </w:rPr>
        <w:t>SUITE aux</w:t>
      </w:r>
      <w:proofErr w:type="gramEnd"/>
      <w:r w:rsidRPr="00623A2B">
        <w:rPr>
          <w:rFonts w:ascii="Times New Roman" w:hAnsi="Times New Roman"/>
          <w:color w:val="000000" w:themeColor="text1"/>
          <w:szCs w:val="22"/>
          <w:lang w:val="fr-CA"/>
        </w:rPr>
        <w:t xml:space="preserve"> dispositions de la résolution AG/RES.</w:t>
      </w:r>
      <w:r w:rsidRPr="00623A2B">
        <w:rPr>
          <w:rFonts w:ascii="Times New Roman" w:hAnsi="Times New Roman"/>
          <w:b/>
          <w:color w:val="000000" w:themeColor="text1"/>
          <w:szCs w:val="22"/>
          <w:lang w:val="fr-CA"/>
        </w:rPr>
        <w:t xml:space="preserve"> </w:t>
      </w:r>
      <w:r w:rsidRPr="00623A2B">
        <w:rPr>
          <w:rFonts w:ascii="Times New Roman" w:hAnsi="Times New Roman"/>
          <w:color w:val="000000" w:themeColor="text1"/>
          <w:szCs w:val="22"/>
          <w:lang w:val="fr-CA"/>
        </w:rPr>
        <w:t xml:space="preserve">2955 (L-O/20) « Encourager les initiatives continentales en matière de développement intégré : Promotion de la résilience », adoptée par l'Assemblée générale à sa cinquantième session ordinaire, </w:t>
      </w:r>
    </w:p>
    <w:p w14:paraId="12BEBD6D"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lang w:val="fr-CA"/>
        </w:rPr>
      </w:pPr>
    </w:p>
    <w:p w14:paraId="3A75BB97" w14:textId="77777777" w:rsidR="00A84B93" w:rsidRPr="00623A2B" w:rsidRDefault="00A84B93" w:rsidP="00A84B93">
      <w:pPr>
        <w:pBdr>
          <w:top w:val="nil"/>
          <w:left w:val="nil"/>
          <w:bottom w:val="nil"/>
          <w:right w:val="nil"/>
          <w:between w:val="nil"/>
        </w:pBdr>
        <w:ind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PRENANT NOTE des progrès accomplis par le Secrétariat dans le cadre du Plan stratégique intégral de l'Organisation 2016-2020 </w:t>
      </w:r>
      <w:r w:rsidRPr="00623A2B">
        <w:rPr>
          <w:rFonts w:ascii="Times New Roman" w:hAnsi="Times New Roman"/>
          <w:szCs w:val="22"/>
          <w:lang w:val="fr-CA"/>
        </w:rPr>
        <w:t xml:space="preserve"> </w:t>
      </w:r>
      <w:hyperlink r:id="rId19" w:history="1">
        <w:r w:rsidRPr="00623A2B">
          <w:rPr>
            <w:rStyle w:val="Hyperlink"/>
            <w:rFonts w:ascii="Times New Roman" w:hAnsi="Times New Roman"/>
            <w:szCs w:val="22"/>
            <w:lang w:val="fr-CA"/>
          </w:rPr>
          <w:t xml:space="preserve">[AG/RES. 1 (LI-E/16) </w:t>
        </w:r>
        <w:proofErr w:type="spellStart"/>
        <w:r w:rsidRPr="00623A2B">
          <w:rPr>
            <w:rStyle w:val="Hyperlink"/>
            <w:rFonts w:ascii="Times New Roman" w:hAnsi="Times New Roman"/>
            <w:szCs w:val="22"/>
            <w:lang w:val="fr-CA"/>
          </w:rPr>
          <w:t>rev</w:t>
        </w:r>
        <w:proofErr w:type="spellEnd"/>
        <w:r w:rsidRPr="00623A2B">
          <w:rPr>
            <w:rStyle w:val="Hyperlink"/>
            <w:rFonts w:ascii="Times New Roman" w:hAnsi="Times New Roman"/>
            <w:szCs w:val="22"/>
            <w:lang w:val="fr-CA"/>
          </w:rPr>
          <w:t>. 1</w:t>
        </w:r>
      </w:hyperlink>
      <w:r w:rsidRPr="00623A2B">
        <w:rPr>
          <w:rStyle w:val="Hyperlink"/>
          <w:rFonts w:ascii="Times New Roman" w:hAnsi="Times New Roman"/>
          <w:szCs w:val="22"/>
          <w:lang w:val="fr-CA"/>
        </w:rPr>
        <w:t>]</w:t>
      </w:r>
      <w:r w:rsidRPr="00623A2B">
        <w:rPr>
          <w:rFonts w:ascii="Times New Roman" w:hAnsi="Times New Roman"/>
          <w:color w:val="000000" w:themeColor="text1"/>
          <w:szCs w:val="22"/>
          <w:lang w:val="fr-CA"/>
        </w:rPr>
        <w:t xml:space="preserve"> </w:t>
      </w:r>
      <w:r w:rsidRPr="00623A2B">
        <w:rPr>
          <w:rFonts w:ascii="Times New Roman" w:hAnsi="Times New Roman"/>
          <w:szCs w:val="22"/>
          <w:lang w:val="fr-CA"/>
        </w:rPr>
        <w:t xml:space="preserve">selon ses sept lignes stratégiques et ses objectifs pour le pilier Développement intégré et comme énoncé dans le rapport annuel du Secrétariat exécutif au développement intégré adressé au Conseil interaméricain pour le développement intégré (CIDI), </w:t>
      </w:r>
      <w:hyperlink r:id="rId20" w:history="1">
        <w:r w:rsidRPr="00623A2B">
          <w:rPr>
            <w:rStyle w:val="Hyperlink"/>
            <w:rFonts w:ascii="Times New Roman" w:hAnsi="Times New Roman"/>
            <w:szCs w:val="22"/>
            <w:lang w:val="fr-CA"/>
          </w:rPr>
          <w:t>CIDI/doc. 330/21 rev.1</w:t>
        </w:r>
      </w:hyperlink>
      <w:r w:rsidRPr="00623A2B">
        <w:rPr>
          <w:rFonts w:ascii="Times New Roman" w:hAnsi="Times New Roman"/>
          <w:szCs w:val="22"/>
          <w:lang w:val="fr-CA"/>
        </w:rPr>
        <w:t xml:space="preserve">, </w:t>
      </w:r>
    </w:p>
    <w:p w14:paraId="51AA6426"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lang w:val="fr-CA"/>
        </w:rPr>
      </w:pPr>
    </w:p>
    <w:p w14:paraId="10D0ECE9"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rPr>
      </w:pPr>
      <w:r w:rsidRPr="00623A2B">
        <w:rPr>
          <w:rFonts w:ascii="Times New Roman" w:hAnsi="Times New Roman"/>
          <w:color w:val="000000" w:themeColor="text1"/>
          <w:szCs w:val="22"/>
        </w:rPr>
        <w:t xml:space="preserve">DÉCIDE: </w:t>
      </w:r>
    </w:p>
    <w:p w14:paraId="3A1D57B9" w14:textId="77777777" w:rsidR="00A84B93" w:rsidRPr="00623A2B" w:rsidRDefault="00A84B93" w:rsidP="00A84B93">
      <w:pPr>
        <w:ind w:right="-29"/>
        <w:rPr>
          <w:rFonts w:ascii="Times New Roman" w:hAnsi="Times New Roman"/>
          <w:color w:val="000000" w:themeColor="text1"/>
          <w:szCs w:val="22"/>
        </w:rPr>
      </w:pPr>
    </w:p>
    <w:p w14:paraId="12BB2D13"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 remercier les gouvernements des États membres ci-après, qui ont accueilli et présidé les réunions des ministres et hauts fonctionnaires organisées dans le cadre du Conseil interaméricain pour le développement intégré (CIDI) et des processus ministériels réalisés à la suite de la cinquantième session ordinaire de l'Assemblée générale, pour leur hospitalité, leur leadership et leur engagement :</w:t>
      </w:r>
    </w:p>
    <w:p w14:paraId="31BCF5B7" w14:textId="77777777" w:rsidR="00A84B93" w:rsidRPr="00623A2B" w:rsidRDefault="00A84B93" w:rsidP="00A84B93">
      <w:pPr>
        <w:pBdr>
          <w:top w:val="nil"/>
          <w:left w:val="nil"/>
          <w:bottom w:val="nil"/>
          <w:right w:val="nil"/>
          <w:between w:val="nil"/>
        </w:pBdr>
        <w:ind w:left="720" w:right="-29"/>
        <w:rPr>
          <w:rFonts w:ascii="Times New Roman" w:hAnsi="Times New Roman"/>
          <w:color w:val="000000" w:themeColor="text1"/>
          <w:szCs w:val="22"/>
          <w:lang w:val="fr-CA"/>
        </w:rPr>
      </w:pPr>
    </w:p>
    <w:p w14:paraId="392B2FB8" w14:textId="77777777" w:rsidR="00A84B93" w:rsidRPr="00623A2B" w:rsidRDefault="00A84B93" w:rsidP="00A84B93">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L'Équateur, pour avoir présidé le Onzième </w:t>
      </w:r>
      <w:r w:rsidRPr="00623A2B">
        <w:rPr>
          <w:rFonts w:ascii="Times New Roman" w:hAnsi="Times New Roman"/>
          <w:szCs w:val="22"/>
          <w:lang w:val="fr-CA"/>
        </w:rPr>
        <w:t>Forum de compétitivité des Amériques</w:t>
      </w:r>
      <w:r w:rsidRPr="00623A2B">
        <w:rPr>
          <w:rFonts w:ascii="Times New Roman" w:hAnsi="Times New Roman"/>
          <w:color w:val="000000" w:themeColor="text1"/>
          <w:szCs w:val="22"/>
          <w:lang w:val="fr-CA"/>
        </w:rPr>
        <w:t>, qui s'est tenu virtuellement les 25 et 26 février 2021 ;</w:t>
      </w:r>
    </w:p>
    <w:p w14:paraId="48D26F33" w14:textId="77777777" w:rsidR="00A84B93" w:rsidRPr="00623A2B" w:rsidRDefault="00A84B93" w:rsidP="00A84B93">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L’Argentine, pour avoir présidé la Douzième Réunion ordinaire de la Commission interaméricaine des ports (CIP), qui s'est tenue virtuellement le 19 mai 2021 ;</w:t>
      </w:r>
    </w:p>
    <w:p w14:paraId="4C00CAB3" w14:textId="77777777" w:rsidR="00A84B93" w:rsidRPr="00623A2B" w:rsidRDefault="00A84B93" w:rsidP="00A84B93">
      <w:pPr>
        <w:widowControl/>
        <w:numPr>
          <w:ilvl w:val="0"/>
          <w:numId w:val="3"/>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Le Mexique, pour avoir présidé la Deuxième réunion ordinaire de la Commission interaméricaine du tourisme (CITUR), réalisée virtuellement les 19 et 20 novembre 2020, ainsi que les Troisième et Quatrième réunions </w:t>
      </w:r>
      <w:r w:rsidRPr="00623A2B">
        <w:rPr>
          <w:rFonts w:ascii="Times New Roman" w:hAnsi="Times New Roman"/>
          <w:color w:val="000000" w:themeColor="text1"/>
          <w:szCs w:val="22"/>
          <w:lang w:val="fr-CA"/>
        </w:rPr>
        <w:lastRenderedPageBreak/>
        <w:t xml:space="preserve">extraordinaires de la CITUR, qui se sont tenues virtuellement les 26 mars et 28 juin 2021 ; </w:t>
      </w:r>
    </w:p>
    <w:p w14:paraId="556D0054" w14:textId="77777777" w:rsidR="00A84B93" w:rsidRPr="00623A2B" w:rsidRDefault="00A84B93" w:rsidP="00A84B93">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La Colombie, pour avoir présidé la Sixième Réunion ordinaire de la Commission interaméricaine de la culture (CIC), qui s'est tenue virtuellement le 27 avril 2021 ; </w:t>
      </w:r>
    </w:p>
    <w:p w14:paraId="51B28569" w14:textId="77777777" w:rsidR="00A84B93" w:rsidRPr="00623A2B" w:rsidRDefault="00A84B93" w:rsidP="00A84B93">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Les États-Unis, pour le Treizième Échange pour la compétitivité des Amériques (ACE) qui s'est tenu dans l'État du Colorado, du 1</w:t>
      </w:r>
      <w:r w:rsidRPr="00623A2B">
        <w:rPr>
          <w:rFonts w:ascii="Times New Roman" w:hAnsi="Times New Roman"/>
          <w:color w:val="000000" w:themeColor="text1"/>
          <w:szCs w:val="22"/>
          <w:vertAlign w:val="superscript"/>
          <w:lang w:val="fr-CA"/>
        </w:rPr>
        <w:t>er</w:t>
      </w:r>
      <w:r w:rsidRPr="00623A2B">
        <w:rPr>
          <w:rFonts w:ascii="Times New Roman" w:hAnsi="Times New Roman"/>
          <w:color w:val="000000" w:themeColor="text1"/>
          <w:szCs w:val="22"/>
          <w:lang w:val="fr-CA"/>
        </w:rPr>
        <w:t xml:space="preserve"> au 6 août 2021 ;</w:t>
      </w:r>
    </w:p>
    <w:p w14:paraId="48B4E064" w14:textId="77777777" w:rsidR="00A84B93" w:rsidRPr="00623A2B" w:rsidRDefault="00A84B93" w:rsidP="00A84B93">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Le Chili, pour avoir présidé le Septième Dialogue interaméricain des chefs de microentreprises et de petites et moyennes entreprises (MPME), qui s'est tenu virtuellement les 9 et 10 septembre 2021 ;</w:t>
      </w:r>
    </w:p>
    <w:p w14:paraId="5E112E99" w14:textId="77777777" w:rsidR="00A84B93" w:rsidRPr="00623A2B" w:rsidRDefault="00A84B93" w:rsidP="00A84B93">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L'Argentine, pour avoir présidé la Vingt-et-unième Conférence interaméricaine des ministres du travail (CIMT), qui s'est tenue virtuellement du 22 au 24 septembre 2021 ;</w:t>
      </w:r>
    </w:p>
    <w:p w14:paraId="54358E5B" w14:textId="77777777" w:rsidR="00A84B93" w:rsidRPr="00623A2B" w:rsidRDefault="00A84B93" w:rsidP="00A84B93">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Le Paraguay, pour avoir présidé le Vingt-cinquième Congrès interaméricain des ministres et hauts fonctionnaires chargé du tourisme, qui s'est tenu virtuellement le 6 octobre 2021 ;</w:t>
      </w:r>
    </w:p>
    <w:p w14:paraId="25A30CAE" w14:textId="77777777" w:rsidR="00A84B93" w:rsidRPr="00623A2B" w:rsidRDefault="00A84B93" w:rsidP="00A84B93">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Le Mexique, pour avoir accueilli les sessions stratégiques de </w:t>
      </w:r>
      <w:r w:rsidRPr="00623A2B">
        <w:rPr>
          <w:rFonts w:ascii="Times New Roman" w:hAnsi="Times New Roman"/>
          <w:i/>
          <w:iCs/>
          <w:color w:val="000000" w:themeColor="text1"/>
          <w:szCs w:val="22"/>
          <w:lang w:val="fr-CA"/>
        </w:rPr>
        <w:t xml:space="preserve">Prospecta </w:t>
      </w:r>
      <w:proofErr w:type="spellStart"/>
      <w:r w:rsidRPr="00623A2B">
        <w:rPr>
          <w:rFonts w:ascii="Times New Roman" w:hAnsi="Times New Roman"/>
          <w:i/>
          <w:iCs/>
          <w:color w:val="000000" w:themeColor="text1"/>
          <w:szCs w:val="22"/>
          <w:lang w:val="fr-CA"/>
        </w:rPr>
        <w:t>Américas</w:t>
      </w:r>
      <w:proofErr w:type="spellEnd"/>
      <w:r w:rsidRPr="00623A2B">
        <w:rPr>
          <w:rFonts w:ascii="Times New Roman" w:hAnsi="Times New Roman"/>
          <w:color w:val="000000" w:themeColor="text1"/>
          <w:szCs w:val="22"/>
          <w:lang w:val="fr-CA"/>
        </w:rPr>
        <w:t xml:space="preserve"> sur la </w:t>
      </w:r>
      <w:r w:rsidRPr="00623A2B">
        <w:rPr>
          <w:rFonts w:ascii="Times New Roman" w:hAnsi="Times New Roman"/>
          <w:i/>
          <w:color w:val="000000" w:themeColor="text1"/>
          <w:szCs w:val="22"/>
          <w:lang w:val="fr-CA"/>
        </w:rPr>
        <w:t>blockchain</w:t>
      </w:r>
      <w:r w:rsidRPr="00623A2B">
        <w:rPr>
          <w:rFonts w:ascii="Times New Roman" w:hAnsi="Times New Roman"/>
          <w:color w:val="000000" w:themeColor="text1"/>
          <w:szCs w:val="22"/>
          <w:lang w:val="fr-CA"/>
        </w:rPr>
        <w:t xml:space="preserve"> et l'intelligence artificielle, qui se sont tenues virtuellement, en coordination avec l'État d'Hidalgo, les 27 et 28 octobre 2021.</w:t>
      </w:r>
    </w:p>
    <w:p w14:paraId="7B2A3DF5" w14:textId="77777777" w:rsidR="00A84B93" w:rsidRPr="00623A2B" w:rsidRDefault="00A84B93" w:rsidP="00A84B93">
      <w:pPr>
        <w:ind w:right="-29"/>
        <w:rPr>
          <w:rFonts w:ascii="Times New Roman" w:hAnsi="Times New Roman"/>
          <w:color w:val="000000" w:themeColor="text1"/>
          <w:szCs w:val="22"/>
          <w:lang w:val="fr-CA"/>
        </w:rPr>
      </w:pPr>
    </w:p>
    <w:p w14:paraId="1E97DC89"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D’accepter avec satisfaction les aimables offres des États membres suivants visant à accueillir les prochaines réunions sectorielles au niveau ministériel et les processus correspondants qui se tiendront dans le cadre du CIDI, étant entendu qu’elles pourraient être reprogrammées en raison de la pandémie actuelle, et d’inviter instamment les autorités de tous les États membres à y participer :</w:t>
      </w:r>
    </w:p>
    <w:p w14:paraId="42F4496A"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lang w:val="fr-CA"/>
        </w:rPr>
      </w:pPr>
    </w:p>
    <w:p w14:paraId="30B13296" w14:textId="77777777" w:rsidR="00A84B93" w:rsidRPr="00623A2B" w:rsidRDefault="00A84B93" w:rsidP="00A84B93">
      <w:pPr>
        <w:widowControl/>
        <w:numPr>
          <w:ilvl w:val="0"/>
          <w:numId w:val="4"/>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Jamaïque : Sixième Réunion interaméricaine des ministres et hauts fonctionnaires chargés de la science et de la technologie, qui se tiendra virtuellement le 7 décembre 2021 ;</w:t>
      </w:r>
    </w:p>
    <w:p w14:paraId="18EE7E7C" w14:textId="77777777" w:rsidR="00A84B93" w:rsidRPr="00623A2B" w:rsidRDefault="00A84B93" w:rsidP="00A84B93">
      <w:pPr>
        <w:widowControl/>
        <w:numPr>
          <w:ilvl w:val="0"/>
          <w:numId w:val="4"/>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Panama : Cinquième Réunion ministérielle du Partenariat des Amériques pour l’énergie et le climat (ECPA), en février 2022 ;</w:t>
      </w:r>
    </w:p>
    <w:p w14:paraId="1077144C" w14:textId="77777777" w:rsidR="00A84B93" w:rsidRPr="00623A2B" w:rsidRDefault="00A84B93" w:rsidP="00A84B93">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Mexique : Deuxième édition du séminaire Prospecta </w:t>
      </w:r>
      <w:proofErr w:type="spellStart"/>
      <w:r w:rsidRPr="00623A2B">
        <w:rPr>
          <w:rFonts w:ascii="Times New Roman" w:hAnsi="Times New Roman"/>
          <w:color w:val="000000" w:themeColor="text1"/>
          <w:szCs w:val="22"/>
          <w:lang w:val="fr-CA"/>
        </w:rPr>
        <w:t>Americas</w:t>
      </w:r>
      <w:proofErr w:type="spellEnd"/>
      <w:r w:rsidRPr="00623A2B">
        <w:rPr>
          <w:rFonts w:ascii="Times New Roman" w:hAnsi="Times New Roman"/>
          <w:color w:val="000000" w:themeColor="text1"/>
          <w:szCs w:val="22"/>
          <w:lang w:val="fr-CA"/>
        </w:rPr>
        <w:t xml:space="preserve">, qui se tiendra dans l'État </w:t>
      </w:r>
      <w:proofErr w:type="gramStart"/>
      <w:r w:rsidRPr="00623A2B">
        <w:rPr>
          <w:rFonts w:ascii="Times New Roman" w:hAnsi="Times New Roman"/>
          <w:color w:val="000000" w:themeColor="text1"/>
          <w:szCs w:val="22"/>
          <w:lang w:val="fr-CA"/>
        </w:rPr>
        <w:t>d'</w:t>
      </w:r>
      <w:r w:rsidRPr="00623A2B">
        <w:rPr>
          <w:rFonts w:ascii="Times New Roman" w:hAnsi="Times New Roman"/>
          <w:color w:val="000000" w:themeColor="text1"/>
          <w:szCs w:val="22"/>
          <w:highlight w:val="white"/>
          <w:lang w:val="fr-CA"/>
        </w:rPr>
        <w:t xml:space="preserve"> Hidalgo</w:t>
      </w:r>
      <w:proofErr w:type="gramEnd"/>
      <w:r w:rsidRPr="00623A2B">
        <w:rPr>
          <w:rFonts w:ascii="Times New Roman" w:hAnsi="Times New Roman"/>
          <w:color w:val="000000" w:themeColor="text1"/>
          <w:szCs w:val="22"/>
          <w:highlight w:val="white"/>
          <w:lang w:val="fr-CA"/>
        </w:rPr>
        <w:t xml:space="preserve">, </w:t>
      </w:r>
      <w:r w:rsidRPr="00623A2B">
        <w:rPr>
          <w:rFonts w:ascii="Times New Roman" w:hAnsi="Times New Roman"/>
          <w:color w:val="000000" w:themeColor="text1"/>
          <w:szCs w:val="22"/>
          <w:lang w:val="fr-CA"/>
        </w:rPr>
        <w:t>en février 2022 ;</w:t>
      </w:r>
    </w:p>
    <w:p w14:paraId="43525265" w14:textId="77777777" w:rsidR="00A84B93" w:rsidRPr="00623A2B" w:rsidRDefault="00A84B93" w:rsidP="00A84B93">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Uruguay : Vingt-deuxième Réunion du Comité exécutif de la Commission interaméricaine des ports (CECIP), à Colonia del Sacramento (Uruguay), en mars 2022 ;</w:t>
      </w:r>
    </w:p>
    <w:p w14:paraId="482FBBAA" w14:textId="77777777" w:rsidR="00A84B93" w:rsidRPr="00623A2B" w:rsidRDefault="00A84B93" w:rsidP="00A84B93">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République dominicaine : Cinquième Réunion des ministres et hauts fonctionnaires chargés du développement social, les 17 et 18 novembre 2022 ;</w:t>
      </w:r>
    </w:p>
    <w:p w14:paraId="6A3F53D4" w14:textId="77777777" w:rsidR="00A84B93" w:rsidRPr="00623A2B" w:rsidRDefault="00A84B93" w:rsidP="00A84B93">
      <w:pPr>
        <w:widowControl/>
        <w:numPr>
          <w:ilvl w:val="0"/>
          <w:numId w:val="4"/>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fr-CA"/>
        </w:rPr>
      </w:pPr>
      <w:bookmarkStart w:id="11" w:name="_heading=h.30j0zll"/>
      <w:bookmarkEnd w:id="11"/>
      <w:r w:rsidRPr="00623A2B">
        <w:rPr>
          <w:rFonts w:ascii="Times New Roman" w:hAnsi="Times New Roman"/>
          <w:color w:val="000000" w:themeColor="text1"/>
          <w:szCs w:val="22"/>
          <w:lang w:val="fr-CA"/>
        </w:rPr>
        <w:t>Guatemala : Neuvième Réunion interaméricaine des ministres et hauts fonctionnaires chargés de la culture, prévue en 2022 ;</w:t>
      </w:r>
    </w:p>
    <w:p w14:paraId="1A7FDB83" w14:textId="77777777" w:rsidR="00A84B93" w:rsidRPr="00623A2B" w:rsidRDefault="00A84B93" w:rsidP="00A84B93">
      <w:pPr>
        <w:widowControl/>
        <w:numPr>
          <w:ilvl w:val="0"/>
          <w:numId w:val="4"/>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rPr>
      </w:pPr>
      <w:proofErr w:type="spellStart"/>
      <w:proofErr w:type="gramStart"/>
      <w:r w:rsidRPr="00623A2B">
        <w:rPr>
          <w:rFonts w:ascii="Times New Roman" w:hAnsi="Times New Roman"/>
          <w:color w:val="000000" w:themeColor="text1"/>
          <w:szCs w:val="22"/>
        </w:rPr>
        <w:t>Colombie</w:t>
      </w:r>
      <w:proofErr w:type="spellEnd"/>
      <w:r w:rsidRPr="00623A2B">
        <w:rPr>
          <w:rFonts w:ascii="Times New Roman" w:hAnsi="Times New Roman"/>
          <w:color w:val="000000" w:themeColor="text1"/>
          <w:szCs w:val="22"/>
        </w:rPr>
        <w:t> :</w:t>
      </w:r>
      <w:proofErr w:type="gramEnd"/>
      <w:r w:rsidRPr="00623A2B">
        <w:rPr>
          <w:rFonts w:ascii="Times New Roman" w:hAnsi="Times New Roman"/>
          <w:color w:val="000000" w:themeColor="text1"/>
          <w:szCs w:val="22"/>
        </w:rPr>
        <w:t xml:space="preserve"> </w:t>
      </w:r>
      <w:r w:rsidRPr="00623A2B">
        <w:rPr>
          <w:rFonts w:ascii="Times New Roman" w:hAnsi="Times New Roman"/>
          <w:i/>
          <w:iCs/>
          <w:color w:val="000000" w:themeColor="text1"/>
          <w:szCs w:val="22"/>
        </w:rPr>
        <w:t xml:space="preserve">Prospecta </w:t>
      </w:r>
      <w:proofErr w:type="spellStart"/>
      <w:r w:rsidRPr="00623A2B">
        <w:rPr>
          <w:rFonts w:ascii="Times New Roman" w:hAnsi="Times New Roman"/>
          <w:i/>
          <w:iCs/>
          <w:color w:val="000000" w:themeColor="text1"/>
          <w:szCs w:val="22"/>
        </w:rPr>
        <w:t>Americas</w:t>
      </w:r>
      <w:proofErr w:type="spellEnd"/>
      <w:r w:rsidRPr="00623A2B">
        <w:rPr>
          <w:rFonts w:ascii="Times New Roman" w:hAnsi="Times New Roman"/>
          <w:color w:val="000000" w:themeColor="text1"/>
          <w:szCs w:val="22"/>
        </w:rPr>
        <w:t>, en 2022 ;</w:t>
      </w:r>
    </w:p>
    <w:p w14:paraId="3614EEDB" w14:textId="77777777" w:rsidR="00A84B93" w:rsidRPr="00623A2B" w:rsidRDefault="00A84B93" w:rsidP="00A84B93">
      <w:pPr>
        <w:widowControl/>
        <w:numPr>
          <w:ilvl w:val="0"/>
          <w:numId w:val="4"/>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Équateur : RIAC, Réunion des ministres et hauts fonctionnaires chargés de la compétitivité des Amériques, en 2022 ;</w:t>
      </w:r>
    </w:p>
    <w:p w14:paraId="5C1C1F39" w14:textId="77777777" w:rsidR="00A84B93" w:rsidRPr="00623A2B" w:rsidRDefault="00A84B93" w:rsidP="00A84B93">
      <w:pPr>
        <w:widowControl/>
        <w:numPr>
          <w:ilvl w:val="0"/>
          <w:numId w:val="8"/>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Les États-Unis : Quatorzième Échange pour la compétitivité des Amériques (ACE), dans l’État de la Louisiane, en 2022 ;</w:t>
      </w:r>
    </w:p>
    <w:p w14:paraId="3DE6BB7A" w14:textId="77777777" w:rsidR="00A84B93" w:rsidRPr="00623A2B" w:rsidRDefault="00A84B93" w:rsidP="00A84B93">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Honduras : Treizième Réunion ordinaire de la Commission interaméricaine des ports (CIP) et Vingt-troisième Réunion du Comité exécutif de la CIP à </w:t>
      </w:r>
      <w:proofErr w:type="spellStart"/>
      <w:r w:rsidRPr="00623A2B">
        <w:rPr>
          <w:rFonts w:ascii="Times New Roman" w:hAnsi="Times New Roman"/>
          <w:color w:val="000000" w:themeColor="text1"/>
          <w:szCs w:val="22"/>
          <w:lang w:val="fr-CA"/>
        </w:rPr>
        <w:t>Roatan</w:t>
      </w:r>
      <w:proofErr w:type="spellEnd"/>
      <w:r w:rsidRPr="00623A2B">
        <w:rPr>
          <w:rFonts w:ascii="Times New Roman" w:hAnsi="Times New Roman"/>
          <w:color w:val="000000" w:themeColor="text1"/>
          <w:szCs w:val="22"/>
          <w:lang w:val="fr-CA"/>
        </w:rPr>
        <w:t xml:space="preserve"> (Honduras), en juin 2023 ;</w:t>
      </w:r>
    </w:p>
    <w:p w14:paraId="57B31521" w14:textId="77777777" w:rsidR="00A84B93" w:rsidRPr="00623A2B" w:rsidRDefault="00A84B93" w:rsidP="00A84B93">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lastRenderedPageBreak/>
        <w:t>Colombie : Vingt-deuxième Conférence interaméricaine des ministres du travail (CIMT), en 2024;</w:t>
      </w:r>
    </w:p>
    <w:p w14:paraId="0C3E7CB7" w14:textId="77777777" w:rsidR="00A84B93" w:rsidRPr="00623A2B" w:rsidRDefault="00A84B93" w:rsidP="00A84B93">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Équateur : Vingt</w:t>
      </w:r>
      <w:r w:rsidRPr="00623A2B">
        <w:rPr>
          <w:rFonts w:ascii="Times New Roman" w:hAnsi="Times New Roman"/>
          <w:szCs w:val="22"/>
          <w:lang w:val="fr-CA"/>
        </w:rPr>
        <w:t>-sixième Congrès interaméricain des ministres et hauts fonctionnaires chargés du tourisme, en 2024.</w:t>
      </w:r>
    </w:p>
    <w:p w14:paraId="54433745" w14:textId="77777777" w:rsidR="00A84B93" w:rsidRPr="00623A2B" w:rsidRDefault="00A84B93" w:rsidP="00A84B93">
      <w:pPr>
        <w:ind w:left="2160" w:right="-29"/>
        <w:rPr>
          <w:rFonts w:ascii="Times New Roman" w:hAnsi="Times New Roman"/>
          <w:color w:val="000000" w:themeColor="text1"/>
          <w:szCs w:val="22"/>
          <w:lang w:val="fr-CA"/>
        </w:rPr>
      </w:pPr>
    </w:p>
    <w:p w14:paraId="31AC3426" w14:textId="77777777" w:rsidR="00A84B93" w:rsidRPr="00623A2B" w:rsidRDefault="00A84B93" w:rsidP="00A84B93">
      <w:pPr>
        <w:widowControl/>
        <w:numPr>
          <w:ilvl w:val="0"/>
          <w:numId w:val="6"/>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LIGNE STRATÉGIQUE « PROMOUVOIR DES ÉCONOMIES INCLUSIVES ET COMPÉTITIVES » </w:t>
      </w:r>
    </w:p>
    <w:p w14:paraId="365966BA"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lang w:val="fr-CA"/>
        </w:rPr>
      </w:pPr>
    </w:p>
    <w:p w14:paraId="1EC6CE01"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D’inviter instamment les États membres à procéder à des échanges de bonnes pratiques, de données d’expériences, de possibilités de formation et d'assistance technique afin de promouvoir la recherche, l'utilisation et la diffusion de la science, de l'innovation, des connaissances des populations locales, autochtones, d’ascendance africaine et d’autres groupes ethniques, et le transfert volontaire de technologie à des conditions mutuellement convenues, afin de soutenir le relèvement post-COVID-19, la mise en œuvre des technologies 4.0 et la transformation numérique des États membres dans le cadre de la Commission interaméricain de la science et de la technologie (</w:t>
      </w:r>
      <w:proofErr w:type="spellStart"/>
      <w:r w:rsidRPr="00623A2B">
        <w:rPr>
          <w:rFonts w:ascii="Times New Roman" w:hAnsi="Times New Roman"/>
          <w:color w:val="000000" w:themeColor="text1"/>
          <w:szCs w:val="22"/>
          <w:lang w:val="fr-CA"/>
        </w:rPr>
        <w:t>COMCyT</w:t>
      </w:r>
      <w:proofErr w:type="spellEnd"/>
      <w:r w:rsidRPr="00623A2B">
        <w:rPr>
          <w:rFonts w:ascii="Times New Roman" w:hAnsi="Times New Roman"/>
          <w:color w:val="000000" w:themeColor="text1"/>
          <w:szCs w:val="22"/>
          <w:lang w:val="fr-CA"/>
        </w:rPr>
        <w:t>), en vue d'élaborer des propositions concrètes et viables à des fins d’examen à la Sixième Réunion des ministres et hauts fonctionnaires chargés de la science et de la technologie (VI REMCYT).</w:t>
      </w:r>
    </w:p>
    <w:p w14:paraId="4BD9CD6F" w14:textId="77777777" w:rsidR="00A84B93" w:rsidRPr="00623A2B" w:rsidRDefault="00A84B93" w:rsidP="00A84B93">
      <w:pPr>
        <w:ind w:right="-29"/>
        <w:rPr>
          <w:rFonts w:ascii="Times New Roman" w:hAnsi="Times New Roman"/>
          <w:color w:val="000000" w:themeColor="text1"/>
          <w:szCs w:val="22"/>
          <w:lang w:val="fr-CA"/>
        </w:rPr>
      </w:pPr>
    </w:p>
    <w:p w14:paraId="7DAB09B1"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 charger le Secrétariat exécutif au développement intégré (SEDI), en tant que secrétariat technique de la COMCYT, de collaborer avec les États membres pour assurer la mise en œuvre des mandats et des initiatives découlant de la Sixième REMCYT, qui se tiendra le 7 décembre 2021, ainsi que l'avancement des programmes en cours des groupes de travail de la COMCYT, y compris l’atelier HUB sur la commercialisation et le transfert de technologies pour les Amériques et le réseau de centres d’excellence des Amériques en matière de prospective technologique.</w:t>
      </w:r>
    </w:p>
    <w:p w14:paraId="259FBA7F" w14:textId="77777777" w:rsidR="00A84B93" w:rsidRPr="00623A2B" w:rsidRDefault="00A84B93" w:rsidP="00A84B93">
      <w:pPr>
        <w:ind w:right="-29"/>
        <w:rPr>
          <w:rFonts w:ascii="Times New Roman" w:hAnsi="Times New Roman"/>
          <w:color w:val="000000" w:themeColor="text1"/>
          <w:szCs w:val="22"/>
          <w:lang w:val="fr-CA"/>
        </w:rPr>
      </w:pPr>
      <w:bookmarkStart w:id="12" w:name="_heading=h.2et92p0"/>
      <w:bookmarkStart w:id="13" w:name="_heading=h.tyjcwt" w:colFirst="0" w:colLast="0"/>
      <w:bookmarkEnd w:id="12"/>
      <w:bookmarkEnd w:id="13"/>
    </w:p>
    <w:p w14:paraId="7BC262E4"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 demander instamment aux États membres de soutenir la mise en œuvre des priorités pour le relèvement post-COVID-19 dans les Amériques, identifiées lors du Onzième Forum de compétitivité des Amériques afin de réduire la vulnérabilité et de renforcer la résilience par des actions à court, moyen et long terme en matière : (i) de transformation numérique des capacités des MPME et des particuliers; (ii) de développement d’entreprises stimulées par l'innovation et l'autonomisation des entrepreneurs, (iii) d’amélioration de l'environnement réglementaire, de facilitation du commerce et de chaînes de valeur régionales, et, (iv) d’adaptation au climat et de relèvement post-COVID-19.</w:t>
      </w:r>
    </w:p>
    <w:p w14:paraId="6B58ACFA"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lang w:val="fr-CA"/>
        </w:rPr>
      </w:pPr>
      <w:bookmarkStart w:id="14" w:name="_heading=h.3dy6vkm"/>
      <w:bookmarkEnd w:id="14"/>
    </w:p>
    <w:p w14:paraId="43F0DF3E"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 recommander la pleine participation des États membres à l'Échange sur la compétitivité des Amériques (ACE), afin de promouvoir la collaboration, de développer des synergies et d'accélérer la création de partenariats novateurs entre les parties intéressés et le secteur privé, les universités, les organisations de la société civile et les pouvoirs publics, pour parvenir à un relèvement économique inclusif et durable et au développement dans le continent américain, en tirant parti de cette plateforme régionale pour le développement économique et commercial, tout en multipliant les possibilités en matière de commerce, d'investissement et de compétitivité.</w:t>
      </w:r>
    </w:p>
    <w:p w14:paraId="0AB12112" w14:textId="77777777" w:rsidR="00A84B93" w:rsidRPr="00623A2B" w:rsidRDefault="00A84B93" w:rsidP="00A84B93">
      <w:pPr>
        <w:ind w:right="-29"/>
        <w:rPr>
          <w:rFonts w:ascii="Times New Roman" w:hAnsi="Times New Roman"/>
          <w:color w:val="000000" w:themeColor="text1"/>
          <w:szCs w:val="22"/>
          <w:highlight w:val="green"/>
          <w:lang w:val="fr-CA"/>
        </w:rPr>
      </w:pPr>
    </w:p>
    <w:p w14:paraId="484E7752"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fr-CA"/>
        </w:rPr>
      </w:pPr>
      <w:r w:rsidRPr="00623A2B">
        <w:rPr>
          <w:rFonts w:ascii="Times New Roman" w:hAnsi="Times New Roman"/>
          <w:color w:val="000000" w:themeColor="text1"/>
          <w:szCs w:val="22"/>
          <w:lang w:val="fr-CA"/>
        </w:rPr>
        <w:t xml:space="preserve">De charger le SEDI de promouvoir activement avec les États membres l'avancement du dialogue sur les politiques publiques visant à briser les tendances négatives qui entravent le développement intégré et la résilience, y compris la pauvreté absolue et l'inégalité, afin de concrétiser la coopération régionale, l'échange de données d'expérience et de bonnes pratiques, et le développement de partenariats stratégiques public-privé, dans le cadre du Réseau interaméricain de compétitivité (RIAC), du Groupe d’experts en matière de compétitivité infranationale (GTECS, selon le sigle en espagnol) et du programme ACE. </w:t>
      </w:r>
    </w:p>
    <w:p w14:paraId="05445F15" w14:textId="2BE6FD66"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lastRenderedPageBreak/>
        <w:t>Reconnaissant que la pandémie de COVID-19 a gravement touché les microentreprises et petites et moyennes entreprises (MPME) et accéléré la transformation numérique de la région, et que la fracture numérique entre les MPME a accru les inégalités entre les individus, les pays et les entreprises, de charger le SEDI de continuer à développer les capacités locales dans les États membres de l'OEA afin de soutenir les MPME dans les efforts qu’elles déploient pour participer pleinement à l'économie numérique et augmenter leurs possibilités de tirer parti des avantages offerts par le processus de numérisation en cours.</w:t>
      </w:r>
    </w:p>
    <w:p w14:paraId="2B005763" w14:textId="77777777" w:rsidR="00A84B93" w:rsidRPr="00623A2B" w:rsidRDefault="00A84B93" w:rsidP="00A84B93">
      <w:pPr>
        <w:pBdr>
          <w:top w:val="nil"/>
          <w:left w:val="nil"/>
          <w:bottom w:val="nil"/>
          <w:right w:val="nil"/>
          <w:between w:val="nil"/>
        </w:pBdr>
        <w:ind w:right="-29"/>
        <w:rPr>
          <w:rFonts w:ascii="Times New Roman" w:hAnsi="Times New Roman"/>
          <w:bCs/>
          <w:color w:val="000000" w:themeColor="text1"/>
          <w:szCs w:val="22"/>
          <w:lang w:val="fr-CA"/>
        </w:rPr>
      </w:pPr>
    </w:p>
    <w:p w14:paraId="472531A1"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De demander instamment au SEDI de continuer à promouvoir et soutenir les efforts que déploie le programme des centres de développement des petites entreprises (SBDC, selon le sigle en anglais) pour aider les États membres à « mieux reconstruire » en mettant à profit les leçons tirées de la crise de la </w:t>
      </w:r>
      <w:r w:rsidRPr="00623A2B">
        <w:rPr>
          <w:rFonts w:ascii="Times New Roman" w:hAnsi="Times New Roman"/>
          <w:smallCaps/>
          <w:color w:val="000000" w:themeColor="text1"/>
          <w:szCs w:val="22"/>
          <w:lang w:val="fr-CA"/>
        </w:rPr>
        <w:t>COVID-19</w:t>
      </w:r>
      <w:r w:rsidRPr="00623A2B">
        <w:rPr>
          <w:rFonts w:ascii="Times New Roman" w:hAnsi="Times New Roman"/>
          <w:color w:val="000000" w:themeColor="text1"/>
          <w:szCs w:val="22"/>
          <w:lang w:val="fr-CA"/>
        </w:rPr>
        <w:t>, et à réduire les risques pour les MPME dans le continent américain en mettant l’accent sur la mise en place de pratiques commerciales plus responsables et durables, la reconnaissance de la diversité des MPME et la promotion d’une plus grande inclusion dans les écosystèmes nationaux de soutien aux entreprises.</w:t>
      </w:r>
    </w:p>
    <w:p w14:paraId="78EDBDF5"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lang w:val="fr-CA"/>
        </w:rPr>
      </w:pPr>
    </w:p>
    <w:p w14:paraId="539D635A"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 demander instamment aux États membres d’accélérer la mise en œuvre des ODD par des approches concrètes, intégrées, multisectorielles et de coopération en vue d'un relèvement économique équitable et durable, d'une meilleure protection de l'environnement et de la mise en œuvre d'une couverture des soins de santé qui soit universelle et contribue au bien-être humain.</w:t>
      </w:r>
    </w:p>
    <w:p w14:paraId="57F95D91"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lang w:val="fr-CA"/>
        </w:rPr>
      </w:pPr>
    </w:p>
    <w:p w14:paraId="148776C5"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De demander instamment aux États membres, avec le soutien du SEDI, de poursuivre l'échange de bonnes pratiques et de données d'expérience en matière de priorités pour le relèvement post-COVID-19 des MPME, identifiées lors du Septième Dialogue interaméricain des chefs de MPME comme suit : 1) Solutions financières tenant compte d’une perspective de parité hommes-femmes ; 2) Numérisation, commerce électronique et autres solutions technologiques ; 3) Services de messagerie et d'expédition à l’international ; et 4) Autonomisation économique des femmes. </w:t>
      </w:r>
    </w:p>
    <w:p w14:paraId="2BE4170B"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lang w:val="fr-CA"/>
        </w:rPr>
      </w:pPr>
    </w:p>
    <w:p w14:paraId="6854D2AA"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Reconnaissant que la recherche de l'équité et de la parité hommes-femmes est essentielle pour parvenir à des sociétés plus justes, plus inclusives et plus prospères, et que toutes les femmes, en respectant et en appréciant toute la diversité des situations et des conditions dans lesquelles elles se trouvent, ont été touchées de manière disproportionnée par les profondes conséquences économiques et sociales de la pandémie de COVID-19, de charger par conséquent le Secrétariat général et les commissions compétentes</w:t>
      </w:r>
      <w:r w:rsidRPr="00623A2B">
        <w:rPr>
          <w:rFonts w:ascii="Times New Roman" w:hAnsi="Times New Roman"/>
          <w:b/>
          <w:color w:val="000000" w:themeColor="text1"/>
          <w:szCs w:val="22"/>
          <w:lang w:val="fr-CA"/>
        </w:rPr>
        <w:t xml:space="preserve"> </w:t>
      </w:r>
      <w:r w:rsidRPr="00623A2B">
        <w:rPr>
          <w:rFonts w:ascii="Times New Roman" w:hAnsi="Times New Roman"/>
          <w:color w:val="000000" w:themeColor="text1"/>
          <w:szCs w:val="22"/>
          <w:lang w:val="fr-CA"/>
        </w:rPr>
        <w:t>d’intensifier les efforts qu’ils déploient pour favoriser l'autonomisation et l'indépendance économiques de toutes les femmes</w:t>
      </w:r>
      <w:r w:rsidRPr="00623A2B">
        <w:rPr>
          <w:rFonts w:ascii="Times New Roman" w:hAnsi="Times New Roman"/>
          <w:b/>
          <w:color w:val="000000" w:themeColor="text1"/>
          <w:szCs w:val="22"/>
          <w:lang w:val="fr-CA"/>
        </w:rPr>
        <w:t xml:space="preserve"> </w:t>
      </w:r>
      <w:r w:rsidRPr="00623A2B">
        <w:rPr>
          <w:rFonts w:ascii="Times New Roman" w:hAnsi="Times New Roman"/>
          <w:color w:val="000000" w:themeColor="text1"/>
          <w:szCs w:val="22"/>
          <w:lang w:val="fr-CA"/>
        </w:rPr>
        <w:t>afin de s’attaquer aux disparités entre hommes et femmes en matière de participation économique, au moyen de politiques concrètes et d'initiatives de programme susceptibles de les aider</w:t>
      </w:r>
      <w:r w:rsidRPr="00623A2B">
        <w:rPr>
          <w:rFonts w:ascii="Times New Roman" w:hAnsi="Times New Roman"/>
          <w:b/>
          <w:color w:val="000000" w:themeColor="text1"/>
          <w:szCs w:val="22"/>
          <w:lang w:val="fr-CA"/>
        </w:rPr>
        <w:t xml:space="preserve"> </w:t>
      </w:r>
      <w:r w:rsidRPr="00623A2B">
        <w:rPr>
          <w:rFonts w:ascii="Times New Roman" w:hAnsi="Times New Roman"/>
          <w:color w:val="000000" w:themeColor="text1"/>
          <w:szCs w:val="22"/>
          <w:lang w:val="fr-CA"/>
        </w:rPr>
        <w:t>à atteindre leur plein potentiel socio-économique, y compris des initiatives qui visent à améliorer l'accès inclusif à l'économie des soins et contribuent ainsi au développement des femmes, des adolescentes, des filles et de leurs communautés.</w:t>
      </w:r>
    </w:p>
    <w:p w14:paraId="1922C383"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lang w:val="fr-CA"/>
        </w:rPr>
      </w:pPr>
      <w:bookmarkStart w:id="15" w:name="_heading=h.3rdcrjn"/>
      <w:bookmarkEnd w:id="15"/>
    </w:p>
    <w:p w14:paraId="65B346D0"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fr-CA"/>
        </w:rPr>
      </w:pPr>
      <w:r w:rsidRPr="00623A2B">
        <w:rPr>
          <w:rFonts w:ascii="Times New Roman" w:hAnsi="Times New Roman"/>
          <w:color w:val="000000" w:themeColor="text1"/>
          <w:szCs w:val="22"/>
          <w:lang w:val="fr-CA"/>
        </w:rPr>
        <w:t xml:space="preserve">De charger le SEDI, en sa qualité de secrétariat technique de la Commission interaméricaine du tourisme (CITUR) et en s’appuyant sur les termes de la Déclaration de Lima </w:t>
      </w:r>
      <w:r w:rsidRPr="00623A2B">
        <w:rPr>
          <w:rFonts w:ascii="Times New Roman" w:hAnsi="Times New Roman"/>
          <w:color w:val="1F3864" w:themeColor="accent1" w:themeShade="80"/>
          <w:szCs w:val="22"/>
          <w:lang w:val="fr-CA"/>
        </w:rPr>
        <w:t>(</w:t>
      </w:r>
      <w:hyperlink r:id="rId21">
        <w:r w:rsidRPr="00623A2B">
          <w:rPr>
            <w:rFonts w:ascii="Times New Roman" w:hAnsi="Times New Roman"/>
            <w:color w:val="1F3864" w:themeColor="accent1" w:themeShade="80"/>
            <w:szCs w:val="22"/>
            <w:u w:val="single"/>
            <w:lang w:val="fr-CA"/>
          </w:rPr>
          <w:t xml:space="preserve">CIDI/TUR-XXIII/DEC. 1/15 </w:t>
        </w:r>
        <w:proofErr w:type="spellStart"/>
        <w:r w:rsidRPr="00623A2B">
          <w:rPr>
            <w:rFonts w:ascii="Times New Roman" w:hAnsi="Times New Roman"/>
            <w:color w:val="1F3864" w:themeColor="accent1" w:themeShade="80"/>
            <w:szCs w:val="22"/>
            <w:u w:val="single"/>
            <w:lang w:val="fr-CA"/>
          </w:rPr>
          <w:t>rev</w:t>
        </w:r>
        <w:proofErr w:type="spellEnd"/>
        <w:r w:rsidRPr="00623A2B">
          <w:rPr>
            <w:rFonts w:ascii="Times New Roman" w:hAnsi="Times New Roman"/>
            <w:color w:val="1F3864" w:themeColor="accent1" w:themeShade="80"/>
            <w:szCs w:val="22"/>
            <w:u w:val="single"/>
            <w:lang w:val="fr-CA"/>
          </w:rPr>
          <w:t>. 1</w:t>
        </w:r>
      </w:hyperlink>
      <w:r w:rsidRPr="00623A2B">
        <w:rPr>
          <w:rFonts w:ascii="Times New Roman" w:hAnsi="Times New Roman"/>
          <w:color w:val="1F3864" w:themeColor="accent1" w:themeShade="80"/>
          <w:szCs w:val="22"/>
          <w:lang w:val="fr-CA"/>
        </w:rPr>
        <w:t xml:space="preserve">), </w:t>
      </w:r>
      <w:r w:rsidRPr="00623A2B">
        <w:rPr>
          <w:rFonts w:ascii="Times New Roman" w:hAnsi="Times New Roman"/>
          <w:color w:val="000000" w:themeColor="text1"/>
          <w:szCs w:val="22"/>
          <w:lang w:val="fr-CA"/>
        </w:rPr>
        <w:t xml:space="preserve">et de la Déclaration de Georgetown </w:t>
      </w:r>
      <w:r w:rsidRPr="00623A2B">
        <w:rPr>
          <w:rFonts w:ascii="Times New Roman" w:hAnsi="Times New Roman"/>
          <w:color w:val="1F3864" w:themeColor="accent1" w:themeShade="80"/>
          <w:szCs w:val="22"/>
          <w:lang w:val="fr-CA"/>
        </w:rPr>
        <w:t>(</w:t>
      </w:r>
      <w:hyperlink r:id="rId22">
        <w:r w:rsidRPr="00623A2B">
          <w:rPr>
            <w:rFonts w:ascii="Times New Roman" w:hAnsi="Times New Roman"/>
            <w:color w:val="1F3864" w:themeColor="accent1" w:themeShade="80"/>
            <w:szCs w:val="22"/>
            <w:u w:val="single"/>
            <w:lang w:val="fr-CA"/>
          </w:rPr>
          <w:t>CIDI/TUR-XXIV/DEC. 1/18</w:t>
        </w:r>
      </w:hyperlink>
      <w:r w:rsidRPr="00623A2B">
        <w:rPr>
          <w:rFonts w:ascii="Times New Roman" w:hAnsi="Times New Roman"/>
          <w:color w:val="1F3864" w:themeColor="accent1" w:themeShade="80"/>
          <w:szCs w:val="22"/>
          <w:lang w:val="fr-CA"/>
        </w:rPr>
        <w:t xml:space="preserve">), </w:t>
      </w:r>
      <w:r w:rsidRPr="00623A2B">
        <w:rPr>
          <w:rFonts w:ascii="Times New Roman" w:hAnsi="Times New Roman"/>
          <w:color w:val="000000" w:themeColor="text1"/>
          <w:szCs w:val="22"/>
          <w:lang w:val="fr-CA"/>
        </w:rPr>
        <w:t>le plan de travail de CITUR et les résultats de la Deuxième Réunion extraordinaire de la Commission interaméricaine du tourisme, tenue à</w:t>
      </w:r>
      <w:r w:rsidRPr="00623A2B">
        <w:rPr>
          <w:rFonts w:ascii="Times New Roman" w:hAnsi="Times New Roman"/>
          <w:b/>
          <w:color w:val="000000" w:themeColor="text1"/>
          <w:szCs w:val="22"/>
          <w:lang w:val="fr-CA"/>
        </w:rPr>
        <w:t xml:space="preserve"> </w:t>
      </w:r>
      <w:r w:rsidRPr="00623A2B">
        <w:rPr>
          <w:rFonts w:ascii="Times New Roman" w:hAnsi="Times New Roman"/>
          <w:color w:val="000000" w:themeColor="text1"/>
          <w:szCs w:val="22"/>
          <w:lang w:val="fr-CA"/>
        </w:rPr>
        <w:t xml:space="preserve">le 14 août 2020 </w:t>
      </w:r>
      <w:r w:rsidRPr="00623A2B">
        <w:rPr>
          <w:rFonts w:ascii="Times New Roman" w:hAnsi="Times New Roman"/>
          <w:color w:val="1F3864" w:themeColor="accent1" w:themeShade="80"/>
          <w:szCs w:val="22"/>
          <w:lang w:val="fr-CA"/>
        </w:rPr>
        <w:t>(</w:t>
      </w:r>
      <w:hyperlink r:id="rId23">
        <w:r w:rsidRPr="00623A2B">
          <w:rPr>
            <w:rFonts w:ascii="Times New Roman" w:hAnsi="Times New Roman"/>
            <w:color w:val="1F3864" w:themeColor="accent1" w:themeShade="80"/>
            <w:szCs w:val="22"/>
            <w:u w:val="single"/>
            <w:lang w:val="fr-CA"/>
          </w:rPr>
          <w:t>CIDI/CITUR/RE/doc.6/20</w:t>
        </w:r>
      </w:hyperlink>
      <w:r w:rsidRPr="00623A2B">
        <w:rPr>
          <w:rFonts w:ascii="Times New Roman" w:hAnsi="Times New Roman"/>
          <w:color w:val="1F3864" w:themeColor="accent1" w:themeShade="80"/>
          <w:szCs w:val="22"/>
          <w:lang w:val="fr-CA"/>
        </w:rPr>
        <w:t xml:space="preserve">), </w:t>
      </w:r>
      <w:r w:rsidRPr="00623A2B">
        <w:rPr>
          <w:rFonts w:ascii="Times New Roman" w:hAnsi="Times New Roman"/>
          <w:color w:val="000000" w:themeColor="text1"/>
          <w:szCs w:val="22"/>
          <w:lang w:val="fr-CA"/>
        </w:rPr>
        <w:t xml:space="preserve">d'établir quatre </w:t>
      </w:r>
      <w:r w:rsidRPr="00623A2B">
        <w:rPr>
          <w:rFonts w:ascii="Times New Roman" w:hAnsi="Times New Roman"/>
          <w:szCs w:val="22"/>
          <w:lang w:val="fr-CA"/>
        </w:rPr>
        <w:t>groupes de travail spécialisés</w:t>
      </w:r>
      <w:r w:rsidRPr="00623A2B">
        <w:rPr>
          <w:rFonts w:ascii="Times New Roman" w:hAnsi="Times New Roman"/>
          <w:color w:val="000000" w:themeColor="text1"/>
          <w:szCs w:val="22"/>
          <w:lang w:val="fr-CA"/>
        </w:rPr>
        <w:t xml:space="preserve"> afin de continuer à soutenir les efforts que déploient les États membres dans le cadre de la CITUR pour renforcer le relèvement durable du secteur du tourisme </w:t>
      </w:r>
      <w:r w:rsidRPr="00623A2B">
        <w:rPr>
          <w:rFonts w:ascii="Times New Roman" w:hAnsi="Times New Roman"/>
          <w:color w:val="000000" w:themeColor="text1"/>
          <w:szCs w:val="22"/>
          <w:lang w:val="fr-CA"/>
        </w:rPr>
        <w:lastRenderedPageBreak/>
        <w:t>face aux effets de la pandémie de COVID-19, et d'encourager les États membres à soutenir les efforts des groupes de travail de la CITUR dans ce processus</w:t>
      </w:r>
      <w:r w:rsidRPr="00623A2B">
        <w:rPr>
          <w:rFonts w:ascii="Times New Roman" w:hAnsi="Times New Roman"/>
          <w:szCs w:val="22"/>
          <w:lang w:val="fr-CA"/>
        </w:rPr>
        <w:t>.</w:t>
      </w:r>
    </w:p>
    <w:p w14:paraId="29B08BAE"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lang w:val="fr-CA"/>
        </w:rPr>
      </w:pPr>
    </w:p>
    <w:p w14:paraId="74EB5E2F"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fr-CA"/>
        </w:rPr>
      </w:pPr>
      <w:r w:rsidRPr="00623A2B">
        <w:rPr>
          <w:rFonts w:ascii="Times New Roman" w:hAnsi="Times New Roman"/>
          <w:szCs w:val="22"/>
          <w:lang w:val="fr-CA"/>
        </w:rPr>
        <w:t xml:space="preserve">De même, de demander au SEDI de soutenir les initiatives de reconstruction et de relance du secteur du tourisme convenues dans la Déclaration du Paraguay </w:t>
      </w:r>
      <w:r w:rsidRPr="00623A2B">
        <w:rPr>
          <w:rFonts w:ascii="Times New Roman" w:hAnsi="Times New Roman"/>
          <w:color w:val="1F3864" w:themeColor="accent1" w:themeShade="80"/>
          <w:szCs w:val="22"/>
          <w:lang w:val="fr-CA"/>
        </w:rPr>
        <w:t>(</w:t>
      </w:r>
      <w:hyperlink r:id="rId24">
        <w:r w:rsidRPr="00623A2B">
          <w:rPr>
            <w:rFonts w:ascii="Times New Roman" w:hAnsi="Times New Roman"/>
            <w:color w:val="1F3864" w:themeColor="accent1" w:themeShade="80"/>
            <w:szCs w:val="22"/>
            <w:u w:val="single"/>
            <w:lang w:val="fr-CA"/>
          </w:rPr>
          <w:t>CIDI/TUR-XXV/DEC.</w:t>
        </w:r>
      </w:hyperlink>
      <w:hyperlink r:id="rId25">
        <w:r w:rsidRPr="00623A2B">
          <w:rPr>
            <w:rFonts w:ascii="Times New Roman" w:hAnsi="Times New Roman"/>
            <w:color w:val="1F3864" w:themeColor="accent1" w:themeShade="80"/>
            <w:szCs w:val="22"/>
            <w:u w:val="single"/>
            <w:lang w:val="fr-CA"/>
          </w:rPr>
          <w:t xml:space="preserve"> 1/21</w:t>
        </w:r>
      </w:hyperlink>
      <w:r w:rsidRPr="00623A2B">
        <w:rPr>
          <w:rFonts w:ascii="Times New Roman" w:hAnsi="Times New Roman"/>
          <w:color w:val="1F3864" w:themeColor="accent1" w:themeShade="80"/>
          <w:szCs w:val="22"/>
          <w:lang w:val="fr-CA"/>
        </w:rPr>
        <w:t>)</w:t>
      </w:r>
      <w:r w:rsidRPr="00623A2B">
        <w:rPr>
          <w:rFonts w:ascii="Times New Roman" w:hAnsi="Times New Roman"/>
          <w:szCs w:val="22"/>
          <w:lang w:val="fr-CA"/>
        </w:rPr>
        <w:t>, adoptée le 6 octobre 2021, dans le cadre du Vingt-cinquième Congrès interaméricain des ministres et hauts fonctionnaires chargés du tourisme.</w:t>
      </w:r>
      <w:r w:rsidRPr="00623A2B">
        <w:rPr>
          <w:rFonts w:ascii="Times New Roman" w:hAnsi="Times New Roman"/>
          <w:color w:val="000000" w:themeColor="text1"/>
          <w:szCs w:val="22"/>
          <w:lang w:val="fr-CA"/>
        </w:rPr>
        <w:t xml:space="preserve"> </w:t>
      </w:r>
    </w:p>
    <w:p w14:paraId="04893853"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highlight w:val="green"/>
          <w:lang w:val="fr-CA"/>
        </w:rPr>
      </w:pPr>
    </w:p>
    <w:p w14:paraId="1F427663"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 charger le SEDI de poursuivre sa collaboration avec les partenaires concernés des secteurs public, privé, universitaire, de la société civile, et d’autres secteurs,</w:t>
      </w:r>
      <w:r w:rsidRPr="00623A2B">
        <w:rPr>
          <w:rFonts w:ascii="Times New Roman" w:hAnsi="Times New Roman"/>
          <w:b/>
          <w:color w:val="000000" w:themeColor="text1"/>
          <w:szCs w:val="22"/>
          <w:lang w:val="fr-CA"/>
        </w:rPr>
        <w:t xml:space="preserve"> </w:t>
      </w:r>
      <w:r w:rsidRPr="00623A2B">
        <w:rPr>
          <w:rFonts w:ascii="Times New Roman" w:hAnsi="Times New Roman"/>
          <w:color w:val="000000" w:themeColor="text1"/>
          <w:szCs w:val="22"/>
          <w:lang w:val="fr-CA"/>
        </w:rPr>
        <w:t xml:space="preserve">afin de renforcer le Dialogue sur le tourisme autochtone dans les Amériques, lancé en octobre 2021, qui constitue un réseau de dirigeants et d'organisations autochtones issus des secteurs public, privé et de la société civile organisée, liés à l'industrie du tourisme, dont l’objectif est d’échanger des données d’expérience et de favoriser les échanges afin d'encourager la collaboration à l'appui du développement durable et de la croissance du tourisme parmi les communautés autochtones et rurales dans l'ensemble des Amériques. </w:t>
      </w:r>
    </w:p>
    <w:p w14:paraId="53C46A36"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lang w:val="fr-CA"/>
        </w:rPr>
      </w:pPr>
    </w:p>
    <w:p w14:paraId="312B86F0"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bookmarkStart w:id="16" w:name="_heading=h.1t3h5sf"/>
      <w:bookmarkStart w:id="17" w:name="_heading=h.4d34og8" w:colFirst="0" w:colLast="0"/>
      <w:bookmarkEnd w:id="16"/>
      <w:bookmarkEnd w:id="17"/>
      <w:r w:rsidRPr="00623A2B">
        <w:rPr>
          <w:rFonts w:ascii="Times New Roman" w:hAnsi="Times New Roman"/>
          <w:color w:val="000000" w:themeColor="text1"/>
          <w:szCs w:val="22"/>
          <w:lang w:val="fr-CA"/>
        </w:rPr>
        <w:t xml:space="preserve">De charger le SEDI, en sa qualité de secrétariat technique de la Commission interaméricaine de la culture (CIC) et en s’appuyant sur les termes de la Déclaration de Bridgetown </w:t>
      </w:r>
      <w:r w:rsidRPr="00623A2B">
        <w:rPr>
          <w:rFonts w:ascii="Times New Roman" w:hAnsi="Times New Roman"/>
          <w:color w:val="1F3864" w:themeColor="accent1" w:themeShade="80"/>
          <w:szCs w:val="22"/>
          <w:lang w:val="fr-CA"/>
        </w:rPr>
        <w:t>(</w:t>
      </w:r>
      <w:hyperlink r:id="rId26">
        <w:r w:rsidRPr="00623A2B">
          <w:rPr>
            <w:rFonts w:ascii="Times New Roman" w:hAnsi="Times New Roman"/>
            <w:color w:val="1F3864" w:themeColor="accent1" w:themeShade="80"/>
            <w:szCs w:val="22"/>
            <w:u w:val="single"/>
            <w:lang w:val="fr-CA"/>
          </w:rPr>
          <w:t>CIDI/REMIC-VIII/DEC.1/19</w:t>
        </w:r>
      </w:hyperlink>
      <w:r w:rsidRPr="00623A2B">
        <w:rPr>
          <w:rFonts w:ascii="Times New Roman" w:hAnsi="Times New Roman"/>
          <w:color w:val="1F3864" w:themeColor="accent1" w:themeShade="80"/>
          <w:szCs w:val="22"/>
          <w:lang w:val="fr-CA"/>
        </w:rPr>
        <w:t xml:space="preserve">) </w:t>
      </w:r>
      <w:r w:rsidRPr="00623A2B">
        <w:rPr>
          <w:rFonts w:ascii="Times New Roman" w:hAnsi="Times New Roman"/>
          <w:color w:val="000000" w:themeColor="text1"/>
          <w:szCs w:val="22"/>
          <w:lang w:val="fr-CA"/>
        </w:rPr>
        <w:t>et le plan de travail 2020-2022 du CIC (</w:t>
      </w:r>
      <w:hyperlink r:id="rId27">
        <w:r w:rsidRPr="00623A2B">
          <w:rPr>
            <w:rFonts w:ascii="Times New Roman" w:hAnsi="Times New Roman"/>
            <w:color w:val="1F3864" w:themeColor="accent1" w:themeShade="80"/>
            <w:szCs w:val="22"/>
            <w:u w:val="single"/>
            <w:lang w:val="fr-CA"/>
          </w:rPr>
          <w:t xml:space="preserve">CIDI/CIC/RPA/doc.89/20 </w:t>
        </w:r>
        <w:proofErr w:type="spellStart"/>
        <w:r w:rsidRPr="00623A2B">
          <w:rPr>
            <w:rFonts w:ascii="Times New Roman" w:hAnsi="Times New Roman"/>
            <w:color w:val="1F3864" w:themeColor="accent1" w:themeShade="80"/>
            <w:szCs w:val="22"/>
            <w:u w:val="single"/>
            <w:lang w:val="fr-CA"/>
          </w:rPr>
          <w:t>rev</w:t>
        </w:r>
        <w:proofErr w:type="spellEnd"/>
        <w:r w:rsidRPr="00623A2B">
          <w:rPr>
            <w:rFonts w:ascii="Times New Roman" w:hAnsi="Times New Roman"/>
            <w:color w:val="1F3864" w:themeColor="accent1" w:themeShade="80"/>
            <w:szCs w:val="22"/>
            <w:u w:val="single"/>
            <w:lang w:val="fr-CA"/>
          </w:rPr>
          <w:t>. 2</w:t>
        </w:r>
      </w:hyperlink>
      <w:r w:rsidRPr="00623A2B">
        <w:rPr>
          <w:rFonts w:ascii="Times New Roman" w:hAnsi="Times New Roman"/>
          <w:color w:val="1F3864" w:themeColor="accent1" w:themeShade="80"/>
          <w:szCs w:val="22"/>
          <w:lang w:val="fr-CA"/>
        </w:rPr>
        <w:t>)</w:t>
      </w:r>
      <w:r w:rsidRPr="00623A2B">
        <w:rPr>
          <w:rFonts w:ascii="Times New Roman" w:hAnsi="Times New Roman"/>
          <w:szCs w:val="22"/>
          <w:lang w:val="fr-CA"/>
        </w:rPr>
        <w:t>, de continuer à soutenir le Groupe de travail sur les comptes satellites de la culture dans ses échanges de données d’expériences en matière de renforcement des capacités des États membres à mesurer la contribution de la culture et de l’économie créative</w:t>
      </w:r>
      <w:r w:rsidRPr="00623A2B">
        <w:rPr>
          <w:rFonts w:ascii="Times New Roman" w:hAnsi="Times New Roman"/>
          <w:color w:val="000000" w:themeColor="text1"/>
          <w:szCs w:val="22"/>
          <w:lang w:val="fr-CA"/>
        </w:rPr>
        <w:t>.</w:t>
      </w:r>
    </w:p>
    <w:p w14:paraId="6DE47F8C"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lang w:val="fr-CA"/>
        </w:rPr>
      </w:pPr>
    </w:p>
    <w:p w14:paraId="71FE204F"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szCs w:val="22"/>
          <w:lang w:val="fr-CA"/>
        </w:rPr>
      </w:pPr>
      <w:r w:rsidRPr="00623A2B">
        <w:rPr>
          <w:rFonts w:ascii="Times New Roman" w:hAnsi="Times New Roman"/>
          <w:szCs w:val="22"/>
          <w:lang w:val="fr-CA"/>
        </w:rPr>
        <w:t xml:space="preserve">De demander instamment au SEDI, en sa qualité de secrétariat technique de la Commission </w:t>
      </w:r>
      <w:r w:rsidRPr="00623A2B">
        <w:rPr>
          <w:rFonts w:ascii="Times New Roman" w:hAnsi="Times New Roman"/>
          <w:color w:val="000000" w:themeColor="text1"/>
          <w:szCs w:val="22"/>
          <w:lang w:val="fr-CA"/>
        </w:rPr>
        <w:t>interaméricaine</w:t>
      </w:r>
      <w:r w:rsidRPr="00623A2B">
        <w:rPr>
          <w:rFonts w:ascii="Times New Roman" w:hAnsi="Times New Roman"/>
          <w:szCs w:val="22"/>
          <w:lang w:val="fr-CA"/>
        </w:rPr>
        <w:t xml:space="preserve"> de la culture (CIC), de continuer à aider les États membres des Caraïbes à utiliser le guide pour l'élaboration de comptes satellites de la culture dans le cadre des efforts qu’ils déploient pour établir des comptes satellites de la culture au niveau national.</w:t>
      </w:r>
    </w:p>
    <w:p w14:paraId="3D2A59AE"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lang w:val="fr-CA"/>
        </w:rPr>
      </w:pPr>
      <w:bookmarkStart w:id="18" w:name="_heading=h.bptqs23smihh"/>
      <w:bookmarkEnd w:id="18"/>
    </w:p>
    <w:p w14:paraId="1CBF401B"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fr-CA"/>
        </w:rPr>
      </w:pPr>
      <w:r w:rsidRPr="00623A2B">
        <w:rPr>
          <w:rFonts w:ascii="Times New Roman" w:hAnsi="Times New Roman"/>
          <w:color w:val="000000" w:themeColor="text1"/>
          <w:szCs w:val="22"/>
          <w:lang w:val="fr-CA"/>
        </w:rPr>
        <w:t>De demander à la CIC de partager, avec le soutien du SEDI, des données d’expérience sur les efforts visant à promouvoir, moderniser et relancer de manière durable le secteur culturel et créatif de l'économie pendant et après la pandémie de COVID-19, et de promouvoir les efforts que déploient les États membres de la CIC pour conserver un rôle visible à la culture en tant que catalyseur du développement social et économique dans les programmes d'action régionaux, permettant ainsi de trouver des solutions novatrices en matière de développement de capacités et d'acquisition de connaissances et d'outils pour favoriser la transformation sociale et économique et renforcer l'entrepreneuriat artistique et culturel dans le continent américain.</w:t>
      </w:r>
    </w:p>
    <w:p w14:paraId="700B01C1" w14:textId="77777777" w:rsidR="00A84B93" w:rsidRPr="00623A2B" w:rsidRDefault="00A84B93" w:rsidP="00A84B93">
      <w:pPr>
        <w:pStyle w:val="ListParagraph"/>
        <w:rPr>
          <w:rFonts w:ascii="Times New Roman" w:hAnsi="Times New Roman"/>
          <w:b/>
          <w:color w:val="000000" w:themeColor="text1"/>
          <w:szCs w:val="22"/>
          <w:lang w:val="fr-CA"/>
        </w:rPr>
      </w:pPr>
    </w:p>
    <w:p w14:paraId="714F40EC" w14:textId="77777777" w:rsidR="00A84B93" w:rsidRPr="00623A2B" w:rsidRDefault="00A84B93" w:rsidP="00A84B93">
      <w:pPr>
        <w:widowControl/>
        <w:numPr>
          <w:ilvl w:val="0"/>
          <w:numId w:val="7"/>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color w:val="000000" w:themeColor="text1"/>
          <w:szCs w:val="22"/>
          <w:lang w:val="fr-CA"/>
        </w:rPr>
      </w:pPr>
      <w:r w:rsidRPr="00623A2B">
        <w:rPr>
          <w:rFonts w:ascii="Times New Roman" w:hAnsi="Times New Roman"/>
          <w:color w:val="000000" w:themeColor="text1"/>
          <w:szCs w:val="22"/>
          <w:lang w:val="fr-CA"/>
        </w:rPr>
        <w:t>LIGNE STRATÉGIQUE « RENFORCEMENT DE LA MISE EN ŒUVRE DES OBJECTIFS DE DÉVELOPPEMENT DURABLE CONFORMÉMENT AU PROGRAMME INTERAMÉRICAIN DE DÉVELOPPEMENT DURABLE (PIDS) 2016-2021 »</w:t>
      </w:r>
    </w:p>
    <w:p w14:paraId="087A88A9" w14:textId="77777777" w:rsidR="00A84B93" w:rsidRPr="00623A2B" w:rsidRDefault="00A84B93" w:rsidP="00A84B93">
      <w:pPr>
        <w:ind w:right="-29"/>
        <w:rPr>
          <w:rFonts w:ascii="Times New Roman" w:hAnsi="Times New Roman"/>
          <w:bCs/>
          <w:color w:val="000000" w:themeColor="text1"/>
          <w:szCs w:val="22"/>
          <w:lang w:val="fr-CA"/>
        </w:rPr>
      </w:pPr>
    </w:p>
    <w:p w14:paraId="5FD976A9"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color w:val="000000" w:themeColor="text1"/>
          <w:szCs w:val="22"/>
          <w:lang w:val="fr-CA"/>
        </w:rPr>
      </w:pPr>
      <w:r w:rsidRPr="00623A2B">
        <w:rPr>
          <w:rFonts w:ascii="Times New Roman" w:hAnsi="Times New Roman"/>
          <w:color w:val="000000" w:themeColor="text1"/>
          <w:szCs w:val="22"/>
          <w:lang w:val="fr-CA"/>
        </w:rPr>
        <w:t xml:space="preserve">De proroger le Programme interaméricain de développement durable (PIDS) 2016-2021 </w:t>
      </w:r>
      <w:hyperlink r:id="rId28" w:history="1">
        <w:r w:rsidRPr="00623A2B">
          <w:rPr>
            <w:rStyle w:val="Hyperlink"/>
            <w:rFonts w:ascii="Times New Roman" w:hAnsi="Times New Roman"/>
            <w:color w:val="1F3864" w:themeColor="accent1" w:themeShade="80"/>
            <w:szCs w:val="22"/>
            <w:lang w:val="fr-CA"/>
          </w:rPr>
          <w:t>[AG/RES.</w:t>
        </w:r>
      </w:hyperlink>
      <w:hyperlink r:id="rId29" w:history="1">
        <w:r w:rsidRPr="00623A2B">
          <w:rPr>
            <w:rStyle w:val="Hyperlink"/>
            <w:rFonts w:ascii="Times New Roman" w:hAnsi="Times New Roman"/>
            <w:color w:val="1F3864" w:themeColor="accent1" w:themeShade="80"/>
            <w:szCs w:val="22"/>
            <w:lang w:val="fr-CA"/>
          </w:rPr>
          <w:t xml:space="preserve"> 2882 (XLVI-O/16)]</w:t>
        </w:r>
      </w:hyperlink>
      <w:r w:rsidRPr="00623A2B">
        <w:rPr>
          <w:rFonts w:ascii="Times New Roman" w:hAnsi="Times New Roman"/>
          <w:color w:val="1F3864" w:themeColor="accent1" w:themeShade="80"/>
          <w:szCs w:val="22"/>
          <w:lang w:val="fr-CA"/>
        </w:rPr>
        <w:t xml:space="preserve"> </w:t>
      </w:r>
      <w:r w:rsidRPr="00623A2B">
        <w:rPr>
          <w:rFonts w:ascii="Times New Roman" w:hAnsi="Times New Roman"/>
          <w:color w:val="000000" w:themeColor="text1"/>
          <w:szCs w:val="22"/>
          <w:lang w:val="fr-CA"/>
        </w:rPr>
        <w:t xml:space="preserve">jusqu'en 2023 et de lancer un processus de révision, en tenant compte des mandats pertinents de l'OEA et des initiatives convenues lors des Sommets des Amériques, aux fins d’examen par la Commission interaméricaine pour le développement durable (CIDS) et d’approbation par le Conseil interaméricain pour le développement intégré (CIDI) au dernier trimestre de 2023. </w:t>
      </w:r>
    </w:p>
    <w:p w14:paraId="34AA253C" w14:textId="77777777" w:rsidR="00A84B93" w:rsidRPr="00623A2B" w:rsidRDefault="00A84B93" w:rsidP="00A84B93">
      <w:pPr>
        <w:ind w:right="-29"/>
        <w:rPr>
          <w:rFonts w:ascii="Times New Roman" w:hAnsi="Times New Roman"/>
          <w:color w:val="000000" w:themeColor="text1"/>
          <w:szCs w:val="22"/>
          <w:lang w:val="fr-CA"/>
        </w:rPr>
      </w:pPr>
    </w:p>
    <w:p w14:paraId="7E634197"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lastRenderedPageBreak/>
        <w:t>D’encourager les États membres à tirer le meilleur parti des possibilités que peuvent offrir les investissements dans la transition énergétique, les énergies renouvelables et l'efficacité énergétique pour stimuler le développement durable afin de réduire les émissions de gaz à effet de serre, pour créer d’emplois et pour instaurer un environnement favorable à l'autonomisation des femmes et au renforcement de la parité hommes-femmes dans le cadre des efforts de relèvement économique.</w:t>
      </w:r>
    </w:p>
    <w:p w14:paraId="40D8330B" w14:textId="77777777" w:rsidR="00A84B93" w:rsidRPr="00623A2B" w:rsidRDefault="00A84B93" w:rsidP="00A84B93">
      <w:pPr>
        <w:ind w:right="-29"/>
        <w:rPr>
          <w:rFonts w:ascii="Times New Roman" w:hAnsi="Times New Roman"/>
          <w:color w:val="000000" w:themeColor="text1"/>
          <w:szCs w:val="22"/>
          <w:lang w:val="fr-CA"/>
        </w:rPr>
      </w:pPr>
    </w:p>
    <w:p w14:paraId="412B0A22"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fr-CA"/>
        </w:rPr>
      </w:pPr>
      <w:r w:rsidRPr="00623A2B">
        <w:rPr>
          <w:rFonts w:ascii="Times New Roman" w:hAnsi="Times New Roman"/>
          <w:color w:val="000000" w:themeColor="text1"/>
          <w:szCs w:val="22"/>
          <w:lang w:val="fr-CA"/>
        </w:rPr>
        <w:t>De demander instamment aux États membres d’intégrer pleinement dans leurs plans de développement nationaux des stratégies d'évaluation des risques qui permettent de moderniser et de mettre à niveau les infrastructures existantes et qui soutiennent des processus de reconstruction et de relèvement améliorés en mettant particulièrement l'accent sur la durabilité environnementale et la santé humaine.</w:t>
      </w:r>
    </w:p>
    <w:p w14:paraId="2B308BBA" w14:textId="77777777" w:rsidR="00A84B93" w:rsidRPr="00623A2B" w:rsidRDefault="00A84B93" w:rsidP="00A84B93">
      <w:pPr>
        <w:ind w:right="-29"/>
        <w:rPr>
          <w:rFonts w:ascii="Times New Roman" w:hAnsi="Times New Roman"/>
          <w:bCs/>
          <w:color w:val="000000" w:themeColor="text1"/>
          <w:szCs w:val="22"/>
          <w:lang w:val="fr-CA"/>
        </w:rPr>
      </w:pPr>
    </w:p>
    <w:p w14:paraId="006D1C17"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color w:val="000000" w:themeColor="text1"/>
          <w:szCs w:val="22"/>
          <w:lang w:val="fr-CA"/>
        </w:rPr>
      </w:pPr>
      <w:r w:rsidRPr="00623A2B">
        <w:rPr>
          <w:rFonts w:ascii="Times New Roman" w:hAnsi="Times New Roman"/>
          <w:color w:val="000000" w:themeColor="text1"/>
          <w:szCs w:val="22"/>
          <w:lang w:val="fr-CA"/>
        </w:rPr>
        <w:t>D’encourager les États membres, lorsqu'ils mettent en œuvre une gestion intégrée et durable des ressources en eau, pour faire face aux pénuries et aux excédents saisonniers en eau, de tenir compte des conséquences de l'augmentation de la demande en eau à des fins de santé et d'assainissement pour freiner la propagation du virus de la COVID-19 ainsi que d'autres maladies, en particulier dans les zones rurales, qui pourraient entraîner un risque pour l'agriculture.</w:t>
      </w:r>
    </w:p>
    <w:p w14:paraId="74DB56B3" w14:textId="77777777" w:rsidR="00A84B93" w:rsidRPr="00623A2B" w:rsidRDefault="00A84B93" w:rsidP="00A84B93">
      <w:pPr>
        <w:ind w:right="-29"/>
        <w:rPr>
          <w:rFonts w:ascii="Times New Roman" w:hAnsi="Times New Roman"/>
          <w:bCs/>
          <w:color w:val="000000" w:themeColor="text1"/>
          <w:szCs w:val="22"/>
          <w:lang w:val="fr-CA"/>
        </w:rPr>
      </w:pPr>
    </w:p>
    <w:p w14:paraId="1D9A01A6"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 demander au Secrétariat de la Commission interaméricaine des ports (CIP) de poursuivre ses efforts pour mettre en œuvre des programmes qui favorisent la durabilité de l’environnement dans les États membres, y compris la réduction de la pollution, dans le cadre du Programme d’incitations portuaires pour la réduction des gaz à effet de serre émis par les cargos.</w:t>
      </w:r>
    </w:p>
    <w:p w14:paraId="383DFC9F" w14:textId="77777777" w:rsidR="00A84B93" w:rsidRPr="00623A2B" w:rsidRDefault="00A84B93" w:rsidP="00A84B93">
      <w:pPr>
        <w:ind w:right="-29"/>
        <w:rPr>
          <w:rFonts w:ascii="Times New Roman" w:hAnsi="Times New Roman"/>
          <w:color w:val="000000" w:themeColor="text1"/>
          <w:szCs w:val="22"/>
          <w:lang w:val="fr-CA"/>
        </w:rPr>
      </w:pPr>
    </w:p>
    <w:p w14:paraId="3D1125E5"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szCs w:val="22"/>
          <w:lang w:val="fr-CA"/>
        </w:rPr>
        <w:t xml:space="preserve">De charger le SEDI de continuer à soutenir la promotion ou le développement, selon le cas, de politiques en matière de gestion intégrée des ressources en eau ainsi que de sécurité de l’eau, qui </w:t>
      </w:r>
      <w:r w:rsidRPr="00623A2B">
        <w:rPr>
          <w:rFonts w:ascii="Times New Roman" w:hAnsi="Times New Roman"/>
          <w:color w:val="000000" w:themeColor="text1"/>
          <w:szCs w:val="22"/>
          <w:lang w:val="fr-CA"/>
        </w:rPr>
        <w:t>comprennent</w:t>
      </w:r>
      <w:r w:rsidRPr="00623A2B">
        <w:rPr>
          <w:rFonts w:ascii="Times New Roman" w:hAnsi="Times New Roman"/>
          <w:color w:val="000000"/>
          <w:szCs w:val="22"/>
          <w:lang w:val="fr-CA"/>
        </w:rPr>
        <w:t xml:space="preserve"> des dispositions visant l’atténuation et l’adaptation aux effets du changement climatique, tels que les sécheresses et les inondations graves, en particulier pour les pays souffrant de pénuries d’eau et les régions à risque</w:t>
      </w:r>
      <w:r w:rsidRPr="00623A2B">
        <w:rPr>
          <w:rFonts w:ascii="Times New Roman" w:hAnsi="Times New Roman"/>
          <w:color w:val="000000" w:themeColor="text1"/>
          <w:szCs w:val="22"/>
          <w:lang w:val="fr-CA"/>
        </w:rPr>
        <w:t>.</w:t>
      </w:r>
    </w:p>
    <w:p w14:paraId="55E79CA1" w14:textId="77777777" w:rsidR="00A84B93" w:rsidRPr="00623A2B" w:rsidRDefault="00A84B93" w:rsidP="00A84B93">
      <w:pPr>
        <w:ind w:right="-29"/>
        <w:rPr>
          <w:rFonts w:ascii="Times New Roman" w:hAnsi="Times New Roman"/>
          <w:color w:val="000000" w:themeColor="text1"/>
          <w:szCs w:val="22"/>
          <w:lang w:val="fr-CA"/>
        </w:rPr>
      </w:pPr>
    </w:p>
    <w:p w14:paraId="3170AF8B"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 reconnaître que la gestion des risques de catastrophes est l'un des domaines stratégiques du Programme interaméricain de développement durable (PIDS) et d’encourager le Secrétariat général</w:t>
      </w:r>
      <w:r w:rsidRPr="00623A2B">
        <w:rPr>
          <w:rFonts w:ascii="Times New Roman" w:hAnsi="Times New Roman"/>
          <w:b/>
          <w:color w:val="000000" w:themeColor="text1"/>
          <w:szCs w:val="22"/>
          <w:lang w:val="fr-CA"/>
        </w:rPr>
        <w:t xml:space="preserve"> </w:t>
      </w:r>
      <w:r w:rsidRPr="00623A2B">
        <w:rPr>
          <w:rFonts w:ascii="Times New Roman" w:hAnsi="Times New Roman"/>
          <w:color w:val="000000" w:themeColor="text1"/>
          <w:szCs w:val="22"/>
          <w:lang w:val="fr-CA"/>
        </w:rPr>
        <w:t xml:space="preserve">à soutenir l'élaboration, à des fins d'examen par les États membres, de recommandations de politiques de coopération en matière de sécurité, y compris des lignes directrices pour ceux qui recherchent une assistance technique pour renforcer la résilience aux catastrophes dans </w:t>
      </w:r>
      <w:r w:rsidRPr="00623A2B">
        <w:rPr>
          <w:rFonts w:ascii="Times New Roman" w:hAnsi="Times New Roman"/>
          <w:color w:val="000000"/>
          <w:szCs w:val="22"/>
          <w:shd w:val="clear" w:color="auto" w:fill="FFFFFF"/>
          <w:lang w:val="fr-CA"/>
        </w:rPr>
        <w:t xml:space="preserve">les petits États insulaires et </w:t>
      </w:r>
      <w:r w:rsidRPr="00623A2B">
        <w:rPr>
          <w:rFonts w:ascii="Times New Roman" w:hAnsi="Times New Roman"/>
          <w:color w:val="000000"/>
          <w:szCs w:val="22"/>
          <w:lang w:val="fr-CA"/>
        </w:rPr>
        <w:t>de faible altitude en développement</w:t>
      </w:r>
      <w:r w:rsidRPr="00623A2B">
        <w:rPr>
          <w:rFonts w:ascii="Times New Roman" w:hAnsi="Times New Roman"/>
          <w:color w:val="000000" w:themeColor="text1"/>
          <w:szCs w:val="22"/>
          <w:lang w:val="fr-CA"/>
        </w:rPr>
        <w:t xml:space="preserve"> et les États d'Amérique centrale qui en font la demande, en vue de leur présentation à une réunion ordinaire du CIDI avant la fin du deuxième trimestre de 2022.</w:t>
      </w:r>
      <w:r w:rsidRPr="00623A2B">
        <w:rPr>
          <w:rFonts w:ascii="Times New Roman" w:hAnsi="Times New Roman"/>
          <w:b/>
          <w:color w:val="000000" w:themeColor="text1"/>
          <w:szCs w:val="22"/>
          <w:lang w:val="fr-CA"/>
        </w:rPr>
        <w:t xml:space="preserve"> </w:t>
      </w:r>
    </w:p>
    <w:p w14:paraId="4B0B4648" w14:textId="77777777" w:rsidR="00A84B93" w:rsidRPr="00623A2B" w:rsidRDefault="00A84B93" w:rsidP="00A84B93">
      <w:pPr>
        <w:ind w:right="-29"/>
        <w:rPr>
          <w:rFonts w:ascii="Times New Roman" w:hAnsi="Times New Roman"/>
          <w:color w:val="000000" w:themeColor="text1"/>
          <w:szCs w:val="22"/>
          <w:lang w:val="fr-CA"/>
        </w:rPr>
      </w:pPr>
    </w:p>
    <w:p w14:paraId="0A940962" w14:textId="77777777" w:rsidR="00A84B93" w:rsidRPr="00623A2B" w:rsidRDefault="00A84B93" w:rsidP="00A84B93">
      <w:pPr>
        <w:widowControl/>
        <w:numPr>
          <w:ilvl w:val="0"/>
          <w:numId w:val="7"/>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color w:val="000000" w:themeColor="text1"/>
          <w:szCs w:val="22"/>
          <w:lang w:val="fr-CA"/>
        </w:rPr>
      </w:pPr>
      <w:r w:rsidRPr="00623A2B">
        <w:rPr>
          <w:rFonts w:ascii="Times New Roman" w:hAnsi="Times New Roman"/>
          <w:color w:val="000000" w:themeColor="text1"/>
          <w:szCs w:val="22"/>
          <w:lang w:val="fr-CA"/>
        </w:rPr>
        <w:t>LIGNE STRATÉGIQUE « PROMOUVOIR L'ÉDUCATION ET LE DÉVELOPPEMENT HUMAIN DANS LES AMÉRIQUES »</w:t>
      </w:r>
    </w:p>
    <w:p w14:paraId="6C38A42E" w14:textId="77777777" w:rsidR="00A84B93" w:rsidRPr="00623A2B" w:rsidRDefault="00A84B93" w:rsidP="00A84B93">
      <w:pPr>
        <w:ind w:right="-29"/>
        <w:rPr>
          <w:rFonts w:ascii="Times New Roman" w:hAnsi="Times New Roman"/>
          <w:color w:val="000000" w:themeColor="text1"/>
          <w:szCs w:val="22"/>
          <w:lang w:val="fr-CA"/>
        </w:rPr>
      </w:pPr>
    </w:p>
    <w:p w14:paraId="53FF5FA9"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D’encourager les États membres à continuer de soutenir les engagements pris dans le Plan d'action d'Antigua-et-Barbuda 2019 </w:t>
      </w:r>
      <w:r w:rsidRPr="00623A2B">
        <w:rPr>
          <w:rFonts w:ascii="Times New Roman" w:hAnsi="Times New Roman"/>
          <w:color w:val="1F3864" w:themeColor="accent1" w:themeShade="80"/>
          <w:szCs w:val="22"/>
          <w:lang w:val="fr-CA"/>
        </w:rPr>
        <w:t>(</w:t>
      </w:r>
      <w:hyperlink r:id="rId30">
        <w:r w:rsidRPr="00623A2B">
          <w:rPr>
            <w:rFonts w:ascii="Times New Roman" w:hAnsi="Times New Roman"/>
            <w:color w:val="1F3864" w:themeColor="accent1" w:themeShade="80"/>
            <w:szCs w:val="22"/>
            <w:u w:val="single"/>
            <w:lang w:val="fr-CA"/>
          </w:rPr>
          <w:t>CIDI/RME/doc.6/19</w:t>
        </w:r>
      </w:hyperlink>
      <w:r w:rsidRPr="00623A2B">
        <w:rPr>
          <w:rFonts w:ascii="Times New Roman" w:hAnsi="Times New Roman"/>
          <w:color w:val="1F3864" w:themeColor="accent1" w:themeShade="80"/>
          <w:szCs w:val="22"/>
          <w:lang w:val="fr-CA"/>
        </w:rPr>
        <w:t>)</w:t>
      </w:r>
      <w:r w:rsidRPr="00623A2B">
        <w:rPr>
          <w:rFonts w:ascii="Times New Roman" w:hAnsi="Times New Roman"/>
          <w:color w:val="000000" w:themeColor="text1"/>
          <w:szCs w:val="22"/>
          <w:lang w:val="fr-CA"/>
        </w:rPr>
        <w:t xml:space="preserve">, « Le Programme interaméricain d’éducation : Forger des partenariats durables grâce à la coopération, en mettant l’accent sur l’éducation et le développement de compétences pour une meilleure citoyenneté ». </w:t>
      </w:r>
    </w:p>
    <w:p w14:paraId="0705C66B" w14:textId="77777777" w:rsidR="00A84B93" w:rsidRPr="00623A2B" w:rsidRDefault="00A84B93" w:rsidP="00A84B93">
      <w:pPr>
        <w:ind w:right="-29"/>
        <w:rPr>
          <w:rFonts w:ascii="Times New Roman" w:hAnsi="Times New Roman"/>
          <w:bCs/>
          <w:color w:val="000000" w:themeColor="text1"/>
          <w:szCs w:val="22"/>
          <w:lang w:val="fr-CA"/>
        </w:rPr>
      </w:pPr>
    </w:p>
    <w:p w14:paraId="03999931"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color w:val="000000" w:themeColor="text1"/>
          <w:szCs w:val="22"/>
          <w:lang w:val="fr-CA"/>
        </w:rPr>
      </w:pPr>
      <w:r w:rsidRPr="00623A2B">
        <w:rPr>
          <w:rFonts w:ascii="Times New Roman" w:hAnsi="Times New Roman"/>
          <w:color w:val="000000" w:themeColor="text1"/>
          <w:szCs w:val="22"/>
          <w:lang w:val="fr-CA"/>
        </w:rPr>
        <w:lastRenderedPageBreak/>
        <w:t>D’encourager les États membres et les autres partenaires stratégiques à échanger les bonnes pratiques, les données d’expériences, les possibilités de formation et les connaissances techniques pour promouvoir l'éducation et le développement humain dans les Amériques.</w:t>
      </w:r>
    </w:p>
    <w:p w14:paraId="3696A79F" w14:textId="77777777" w:rsidR="00A84B93" w:rsidRPr="00623A2B" w:rsidRDefault="00A84B93" w:rsidP="00A84B93">
      <w:pPr>
        <w:ind w:right="-29"/>
        <w:rPr>
          <w:rFonts w:ascii="Times New Roman" w:hAnsi="Times New Roman"/>
          <w:color w:val="000000" w:themeColor="text1"/>
          <w:szCs w:val="22"/>
          <w:lang w:val="fr-CA"/>
        </w:rPr>
      </w:pPr>
    </w:p>
    <w:p w14:paraId="4CA948CA"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fr-CA"/>
        </w:rPr>
      </w:pPr>
      <w:r w:rsidRPr="00623A2B">
        <w:rPr>
          <w:rFonts w:ascii="Times New Roman" w:hAnsi="Times New Roman"/>
          <w:color w:val="000000" w:themeColor="text1"/>
          <w:szCs w:val="22"/>
          <w:lang w:val="fr-CA"/>
        </w:rPr>
        <w:t xml:space="preserve">De charger le SEDI de continuer à soutenir le plan de travail 2019-2022 de la Commission interaméricaine de l'éducation (CIE) </w:t>
      </w:r>
      <w:r w:rsidRPr="00623A2B">
        <w:rPr>
          <w:rFonts w:ascii="Times New Roman" w:hAnsi="Times New Roman"/>
          <w:color w:val="1F3864" w:themeColor="accent1" w:themeShade="80"/>
          <w:szCs w:val="22"/>
          <w:lang w:val="fr-CA"/>
        </w:rPr>
        <w:t>(</w:t>
      </w:r>
      <w:hyperlink r:id="rId31">
        <w:r w:rsidRPr="00623A2B">
          <w:rPr>
            <w:rFonts w:ascii="Times New Roman" w:hAnsi="Times New Roman"/>
            <w:color w:val="1F3864" w:themeColor="accent1" w:themeShade="80"/>
            <w:szCs w:val="22"/>
            <w:u w:val="single"/>
            <w:lang w:val="fr-CA"/>
          </w:rPr>
          <w:t xml:space="preserve">CIDI/CIE/RPA/doc.9/20 </w:t>
        </w:r>
        <w:proofErr w:type="spellStart"/>
        <w:r w:rsidRPr="00623A2B">
          <w:rPr>
            <w:rFonts w:ascii="Times New Roman" w:hAnsi="Times New Roman"/>
            <w:color w:val="1F3864" w:themeColor="accent1" w:themeShade="80"/>
            <w:szCs w:val="22"/>
            <w:u w:val="single"/>
            <w:lang w:val="fr-CA"/>
          </w:rPr>
          <w:t>rev</w:t>
        </w:r>
        <w:proofErr w:type="spellEnd"/>
        <w:r w:rsidRPr="00623A2B">
          <w:rPr>
            <w:rFonts w:ascii="Times New Roman" w:hAnsi="Times New Roman"/>
            <w:color w:val="1F3864" w:themeColor="accent1" w:themeShade="80"/>
            <w:szCs w:val="22"/>
            <w:u w:val="single"/>
            <w:lang w:val="fr-CA"/>
          </w:rPr>
          <w:t>. 3</w:t>
        </w:r>
      </w:hyperlink>
      <w:r w:rsidRPr="00623A2B">
        <w:rPr>
          <w:rFonts w:ascii="Times New Roman" w:hAnsi="Times New Roman"/>
          <w:color w:val="1F3864" w:themeColor="accent1" w:themeShade="80"/>
          <w:szCs w:val="22"/>
          <w:lang w:val="fr-CA"/>
        </w:rPr>
        <w:t xml:space="preserve">) </w:t>
      </w:r>
      <w:r w:rsidRPr="00623A2B">
        <w:rPr>
          <w:rFonts w:ascii="Times New Roman" w:hAnsi="Times New Roman"/>
          <w:color w:val="000000" w:themeColor="text1"/>
          <w:szCs w:val="22"/>
          <w:lang w:val="fr-CA"/>
        </w:rPr>
        <w:t>et son objectif de partager des initiatives concrètes pour la mise en œuvre du Programme interaméricain d’éducation (PIE), d’approfondir les synergies entre les initiatives éducatives mondiales, continentales et sous-régionales pour renforcer les politiques d'enseignement et d’éducation</w:t>
      </w:r>
      <w:r w:rsidRPr="00623A2B">
        <w:rPr>
          <w:rFonts w:ascii="Times New Roman" w:hAnsi="Times New Roman"/>
          <w:b/>
          <w:color w:val="000000" w:themeColor="text1"/>
          <w:szCs w:val="22"/>
          <w:lang w:val="fr-CA"/>
        </w:rPr>
        <w:t xml:space="preserve"> </w:t>
      </w:r>
      <w:r w:rsidRPr="00623A2B">
        <w:rPr>
          <w:rFonts w:ascii="Times New Roman" w:hAnsi="Times New Roman"/>
          <w:color w:val="000000" w:themeColor="text1"/>
          <w:szCs w:val="22"/>
          <w:lang w:val="fr-CA"/>
        </w:rPr>
        <w:t xml:space="preserve">et de promouvoir la coopération intersectorielle et avec les autres acteurs sociaux afin de contribuer à la réalisation des objectifs fixés dans le Programme de développement durable à l’horizon 2030 et à la réduction des inégalités exacerbées par la pandémie de COVID-19, </w:t>
      </w:r>
      <w:r w:rsidRPr="00623A2B">
        <w:rPr>
          <w:rFonts w:ascii="Times New Roman" w:hAnsi="Times New Roman"/>
          <w:color w:val="000000" w:themeColor="text1"/>
          <w:szCs w:val="22"/>
          <w:highlight w:val="white"/>
          <w:lang w:val="fr-CA"/>
        </w:rPr>
        <w:t>notamment pour les populations d'élèves et d'enseignants handicapés</w:t>
      </w:r>
      <w:r w:rsidRPr="00623A2B">
        <w:rPr>
          <w:rFonts w:ascii="Times New Roman" w:hAnsi="Times New Roman"/>
          <w:color w:val="000000" w:themeColor="text1"/>
          <w:szCs w:val="22"/>
          <w:lang w:val="fr-CA"/>
        </w:rPr>
        <w:t>, en mettant l'accent sur l'accès à l'éducation.</w:t>
      </w:r>
    </w:p>
    <w:p w14:paraId="155A58E8" w14:textId="77777777" w:rsidR="00A84B93" w:rsidRPr="00623A2B" w:rsidRDefault="00A84B93" w:rsidP="00A84B93">
      <w:pPr>
        <w:ind w:right="-29"/>
        <w:rPr>
          <w:rFonts w:ascii="Times New Roman" w:hAnsi="Times New Roman"/>
          <w:color w:val="000000" w:themeColor="text1"/>
          <w:szCs w:val="22"/>
          <w:lang w:val="fr-CA"/>
        </w:rPr>
      </w:pPr>
    </w:p>
    <w:p w14:paraId="461188DC"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 charger le SEDI de continuer à soutenir le Réseau interaméricain de formation des enseignants (RIED) et ses objectifs de renforcement de la profession d'enseignant et d’élargir son offre au moyen de projets multilatéraux et multisectoriels afin de renforcer la qualité et le caractère inclusif de l'éducation pour les étudiants et leurs enseignants par le biais de la coopération régionale, notamment en ce qui concerne la transformation numérique de l'enseignement et de l'apprentissage.</w:t>
      </w:r>
    </w:p>
    <w:p w14:paraId="29BC2BD3" w14:textId="77777777" w:rsidR="00A84B93" w:rsidRPr="00623A2B" w:rsidRDefault="00A84B93" w:rsidP="00A84B93">
      <w:pPr>
        <w:ind w:right="-29"/>
        <w:rPr>
          <w:rFonts w:ascii="Times New Roman" w:hAnsi="Times New Roman"/>
          <w:color w:val="000000" w:themeColor="text1"/>
          <w:szCs w:val="22"/>
          <w:lang w:val="fr-CA"/>
        </w:rPr>
      </w:pPr>
    </w:p>
    <w:p w14:paraId="32EA1791"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fr-CA"/>
        </w:rPr>
      </w:pPr>
      <w:r w:rsidRPr="00623A2B">
        <w:rPr>
          <w:rFonts w:ascii="Times New Roman" w:hAnsi="Times New Roman"/>
          <w:color w:val="000000" w:themeColor="text1"/>
          <w:szCs w:val="22"/>
          <w:lang w:val="fr-CA"/>
        </w:rPr>
        <w:t>De charger le SEDI de soutenir les ministères et institutions responsables de l’éducation dans la région afin de mettre en œuvre les actions proposées par les États membres dans le cadre de la Proposition d’action continentale pour la continuité de l’éducation dans le contexte de la pandémie de COVID-19 (PHACE).</w:t>
      </w:r>
    </w:p>
    <w:p w14:paraId="5996EE51" w14:textId="77777777" w:rsidR="00A84B93" w:rsidRPr="00623A2B" w:rsidRDefault="00A84B93" w:rsidP="00A84B93">
      <w:pPr>
        <w:ind w:right="-29"/>
        <w:rPr>
          <w:rFonts w:ascii="Times New Roman" w:hAnsi="Times New Roman"/>
          <w:color w:val="000000" w:themeColor="text1"/>
          <w:szCs w:val="22"/>
          <w:lang w:val="fr-CA"/>
        </w:rPr>
      </w:pPr>
    </w:p>
    <w:p w14:paraId="0E416EB3"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szCs w:val="22"/>
          <w:lang w:val="fr-CA"/>
        </w:rPr>
        <w:t>De charger le SEDI, dans le cadre de la coordination qu’il effectue en tant que secrétariat technique de la CIE</w:t>
      </w:r>
      <w:r w:rsidRPr="00623A2B">
        <w:rPr>
          <w:rFonts w:ascii="Times New Roman" w:hAnsi="Times New Roman"/>
          <w:color w:val="000000" w:themeColor="text1"/>
          <w:szCs w:val="22"/>
          <w:lang w:val="fr-CA"/>
        </w:rPr>
        <w:t xml:space="preserve">, de continuer à créer des espaces de dialogue, conformément aux priorités identifiées par les États membres intéressés par la mise en œuvre de programmes qui contribuent à la réalisation des mandats inclus dans le Plan d'action Antigua-et-Barbuda 2019 </w:t>
      </w:r>
      <w:r w:rsidRPr="00623A2B">
        <w:rPr>
          <w:rFonts w:ascii="Times New Roman" w:hAnsi="Times New Roman"/>
          <w:color w:val="1F3864" w:themeColor="accent1" w:themeShade="80"/>
          <w:szCs w:val="22"/>
          <w:lang w:val="fr-CA"/>
        </w:rPr>
        <w:t>(</w:t>
      </w:r>
      <w:hyperlink r:id="rId32">
        <w:r w:rsidRPr="00623A2B">
          <w:rPr>
            <w:rFonts w:ascii="Times New Roman" w:hAnsi="Times New Roman"/>
            <w:color w:val="1F3864" w:themeColor="accent1" w:themeShade="80"/>
            <w:szCs w:val="22"/>
            <w:u w:val="single"/>
            <w:lang w:val="fr-CA"/>
          </w:rPr>
          <w:t>CIDI/RME/doc.6/19</w:t>
        </w:r>
      </w:hyperlink>
      <w:r w:rsidRPr="00623A2B">
        <w:rPr>
          <w:rFonts w:ascii="Times New Roman" w:hAnsi="Times New Roman"/>
          <w:color w:val="1F3864" w:themeColor="accent1" w:themeShade="80"/>
          <w:szCs w:val="22"/>
          <w:lang w:val="fr-CA"/>
        </w:rPr>
        <w:t>)</w:t>
      </w:r>
      <w:r w:rsidRPr="00623A2B">
        <w:rPr>
          <w:rFonts w:ascii="Times New Roman" w:hAnsi="Times New Roman"/>
          <w:color w:val="000000" w:themeColor="text1"/>
          <w:szCs w:val="22"/>
          <w:lang w:val="fr-CA"/>
        </w:rPr>
        <w:t>.</w:t>
      </w:r>
    </w:p>
    <w:p w14:paraId="7F407143" w14:textId="77777777" w:rsidR="00A84B93" w:rsidRPr="00623A2B" w:rsidRDefault="00A84B93" w:rsidP="00A84B93">
      <w:pPr>
        <w:ind w:right="-29"/>
        <w:rPr>
          <w:rFonts w:ascii="Times New Roman" w:hAnsi="Times New Roman"/>
          <w:color w:val="000000" w:themeColor="text1"/>
          <w:szCs w:val="22"/>
          <w:lang w:val="fr-CA"/>
        </w:rPr>
      </w:pPr>
    </w:p>
    <w:p w14:paraId="664605EF"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 charger le SEDI, en application des mandats de la Dixième Réunion interaméricaine des ministres de l’éducation dans le cadre du CIDI et de la Vingtième Conférence interaméricaine des ministres du travail, en consultation avec les États membres, de promouvoir des espaces de dialogue intersectoriel, y compris dans les domaines de la santé, du travail, de l'environnement et de l'économie</w:t>
      </w:r>
      <w:r w:rsidRPr="00623A2B">
        <w:rPr>
          <w:rFonts w:ascii="Times New Roman" w:hAnsi="Times New Roman"/>
          <w:bCs/>
          <w:color w:val="000000" w:themeColor="text1"/>
          <w:szCs w:val="22"/>
          <w:lang w:val="fr-CA"/>
        </w:rPr>
        <w:t>.</w:t>
      </w:r>
    </w:p>
    <w:p w14:paraId="275E7F90"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lang w:val="fr-CA"/>
        </w:rPr>
      </w:pPr>
    </w:p>
    <w:p w14:paraId="6F5073B4"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D’encourager les États membres à continuer de renforcer les contributions et les engagements en matière d'éducation qui rendent visibles les processus de dialogue politique et contribuent au renforcement des politiques publiques dans la région.</w:t>
      </w:r>
    </w:p>
    <w:p w14:paraId="7C73A9A9" w14:textId="77777777" w:rsidR="00A84B93" w:rsidRPr="00623A2B" w:rsidRDefault="00A84B93" w:rsidP="00A84B93">
      <w:pPr>
        <w:ind w:right="-29"/>
        <w:rPr>
          <w:rFonts w:ascii="Times New Roman" w:hAnsi="Times New Roman"/>
          <w:color w:val="000000" w:themeColor="text1"/>
          <w:szCs w:val="22"/>
          <w:lang w:val="fr-CA"/>
        </w:rPr>
      </w:pPr>
    </w:p>
    <w:p w14:paraId="7C40C089"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 charger le SEDI, en tant que secrétariat technique de la CIE, après des consultations préliminaires avec les États membres, de présenter la proposition de deuxième phase du Programme interaméricain d'éducation, 2022-2027, dans le cadre de la Dixième Réunion interaméricaine des ministres de l'éducation qui se tiendra en avril 2022.</w:t>
      </w:r>
    </w:p>
    <w:p w14:paraId="5B27499E" w14:textId="77777777" w:rsidR="00A84B93" w:rsidRPr="00623A2B" w:rsidRDefault="00A84B93" w:rsidP="00A84B93">
      <w:pPr>
        <w:ind w:right="-29"/>
        <w:rPr>
          <w:rFonts w:ascii="Times New Roman" w:hAnsi="Times New Roman"/>
          <w:color w:val="000000" w:themeColor="text1"/>
          <w:szCs w:val="22"/>
          <w:lang w:val="fr-CA"/>
        </w:rPr>
      </w:pPr>
    </w:p>
    <w:p w14:paraId="0D402A5D"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fr-CA"/>
        </w:rPr>
      </w:pPr>
      <w:r w:rsidRPr="00623A2B">
        <w:rPr>
          <w:rFonts w:ascii="Times New Roman" w:hAnsi="Times New Roman"/>
          <w:color w:val="000000" w:themeColor="text1"/>
          <w:szCs w:val="22"/>
          <w:lang w:val="fr-CA"/>
        </w:rPr>
        <w:t xml:space="preserve">De charger le SEDI de renforcer les programmes de bourses d'études et de perfectionnement de l'OEA, par le biais d’alliances stratégiques avec des institutions universitaires, le </w:t>
      </w:r>
      <w:r w:rsidRPr="00623A2B">
        <w:rPr>
          <w:rFonts w:ascii="Times New Roman" w:hAnsi="Times New Roman"/>
          <w:color w:val="000000" w:themeColor="text1"/>
          <w:szCs w:val="22"/>
          <w:lang w:val="fr-CA"/>
        </w:rPr>
        <w:lastRenderedPageBreak/>
        <w:t xml:space="preserve">secteur privé et des organisations de la société civile afin d’aider les États membres à atteindre leurs objectifs de développement intégré, notamment en contribuant au développement de compétences pertinentes et à la formation technique et technologique pour accéder à l’emploi et s’y maintenir dans le contexte de la période post-COVID-19. </w:t>
      </w:r>
    </w:p>
    <w:p w14:paraId="71A5DDD7"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lang w:val="fr-CA"/>
        </w:rPr>
      </w:pPr>
    </w:p>
    <w:p w14:paraId="033C79D2"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 charger le SEDI de renouveler les efforts de collecte de fonds pour des bourses d'urgence destinées à aider les étudiants internationaux des pays d'Amérique latine et des Caraïbes inscrits dans des universités aux États-Unis. Ces subventions d'urgence complètent les prêts sans intérêt du Fonds Rowe pour aider les étudiants à terminer leurs études aux États-Unis.</w:t>
      </w:r>
    </w:p>
    <w:p w14:paraId="421A1261" w14:textId="77777777" w:rsidR="00A84B93" w:rsidRPr="00623A2B" w:rsidRDefault="00A84B93" w:rsidP="00A84B93">
      <w:pPr>
        <w:ind w:right="-29"/>
        <w:rPr>
          <w:rFonts w:ascii="Times New Roman" w:hAnsi="Times New Roman"/>
          <w:color w:val="000000" w:themeColor="text1"/>
          <w:szCs w:val="22"/>
          <w:lang w:val="fr-CA"/>
        </w:rPr>
      </w:pPr>
    </w:p>
    <w:p w14:paraId="7D3FE9B4"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 charger le SEDI d'élargir les alliances stratégiques du Portail éducatif des Amériques avec d'autres secteurs de l'OEA, les institutions universitaires et le secteur privé, et de s’efforcer à faire fonctionner le portail dans toutes les langues officielles de l'OEA, dans le but de soutenir sa durabilité en tant que mécanisme de formation et de développement professionnel dans la région, en accordant une attention particulière au secteur de l'enseignement des systèmes éducatifs nationaux dans l'utilisation des outils d'enseignement à distance.</w:t>
      </w:r>
    </w:p>
    <w:p w14:paraId="17F5A6C3" w14:textId="77777777" w:rsidR="00A84B93" w:rsidRPr="00623A2B" w:rsidRDefault="00A84B93" w:rsidP="00A84B93">
      <w:pPr>
        <w:ind w:right="-29"/>
        <w:rPr>
          <w:rFonts w:ascii="Times New Roman" w:hAnsi="Times New Roman"/>
          <w:color w:val="000000" w:themeColor="text1"/>
          <w:szCs w:val="22"/>
          <w:lang w:val="fr-CA"/>
        </w:rPr>
      </w:pPr>
    </w:p>
    <w:p w14:paraId="460B50CB"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fr-CA"/>
        </w:rPr>
      </w:pPr>
      <w:r w:rsidRPr="00623A2B">
        <w:rPr>
          <w:rFonts w:ascii="Times New Roman" w:hAnsi="Times New Roman"/>
          <w:color w:val="000000" w:themeColor="text1"/>
          <w:szCs w:val="22"/>
          <w:lang w:val="fr-CA"/>
        </w:rPr>
        <w:t>De réitérer l’instruction donnée au SEDI de promouvoir et d’élargir le consortium d’universités de l’OEA, en mettant l’accent sur les universités nationales/d’État, les institutions de formation technique et professionnelle et les établissements d’enseignement en Amérique latine et dans les Caraïbes. Cet élargissement du consortium devrait tenir compte de la nécessité de privilégier la diversité, l'impact et le nombre potentiel d'étudiants bénéficiant de chaque nouvelle alliance, en fonction des ressources disponibles.</w:t>
      </w:r>
    </w:p>
    <w:p w14:paraId="3B27604D" w14:textId="77777777" w:rsidR="00A84B93" w:rsidRPr="00623A2B" w:rsidRDefault="00A84B93" w:rsidP="00A84B93">
      <w:pPr>
        <w:ind w:right="-29"/>
        <w:rPr>
          <w:rFonts w:ascii="Times New Roman" w:hAnsi="Times New Roman"/>
          <w:color w:val="000000" w:themeColor="text1"/>
          <w:szCs w:val="22"/>
          <w:highlight w:val="yellow"/>
          <w:lang w:val="fr-CA"/>
        </w:rPr>
      </w:pPr>
    </w:p>
    <w:p w14:paraId="70A63AAB"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D’approuver la résolution de Buenos Aires </w:t>
      </w:r>
      <w:r w:rsidRPr="00623A2B">
        <w:rPr>
          <w:rFonts w:ascii="Times New Roman" w:hAnsi="Times New Roman"/>
          <w:color w:val="1F3864" w:themeColor="accent1" w:themeShade="80"/>
          <w:szCs w:val="22"/>
          <w:lang w:val="fr-CA"/>
        </w:rPr>
        <w:t>(</w:t>
      </w:r>
      <w:hyperlink r:id="rId33">
        <w:r w:rsidRPr="00623A2B">
          <w:rPr>
            <w:rFonts w:ascii="Times New Roman" w:hAnsi="Times New Roman"/>
            <w:color w:val="1F3864" w:themeColor="accent1" w:themeShade="80"/>
            <w:szCs w:val="22"/>
            <w:u w:val="single"/>
            <w:lang w:val="fr-CA"/>
          </w:rPr>
          <w:t>CIDI/CIP/RES. 1/2</w:t>
        </w:r>
      </w:hyperlink>
      <w:r w:rsidRPr="00623A2B">
        <w:rPr>
          <w:rFonts w:ascii="Times New Roman" w:hAnsi="Times New Roman"/>
          <w:color w:val="1F3864" w:themeColor="accent1" w:themeShade="80"/>
          <w:szCs w:val="22"/>
          <w:u w:val="single"/>
          <w:lang w:val="fr-CA"/>
        </w:rPr>
        <w:t>1</w:t>
      </w:r>
      <w:r w:rsidRPr="00623A2B">
        <w:rPr>
          <w:rFonts w:ascii="Times New Roman" w:hAnsi="Times New Roman"/>
          <w:color w:val="1F3864" w:themeColor="accent1" w:themeShade="80"/>
          <w:szCs w:val="22"/>
          <w:lang w:val="fr-CA"/>
        </w:rPr>
        <w:t xml:space="preserve">) </w:t>
      </w:r>
      <w:r w:rsidRPr="00623A2B">
        <w:rPr>
          <w:rFonts w:ascii="Times New Roman" w:hAnsi="Times New Roman"/>
          <w:color w:val="000000" w:themeColor="text1"/>
          <w:szCs w:val="22"/>
          <w:lang w:val="fr-CA"/>
        </w:rPr>
        <w:t xml:space="preserve">et de prendre note du Plan d'action de Buenos Aires 2021-2023 </w:t>
      </w:r>
      <w:r w:rsidRPr="00623A2B">
        <w:rPr>
          <w:rFonts w:ascii="Times New Roman" w:hAnsi="Times New Roman"/>
          <w:color w:val="1F3864" w:themeColor="accent1" w:themeShade="80"/>
          <w:szCs w:val="22"/>
          <w:lang w:val="fr-CA"/>
        </w:rPr>
        <w:t>(</w:t>
      </w:r>
      <w:hyperlink r:id="rId34">
        <w:r w:rsidRPr="00623A2B">
          <w:rPr>
            <w:rFonts w:ascii="Times New Roman" w:hAnsi="Times New Roman"/>
            <w:color w:val="1F3864" w:themeColor="accent1" w:themeShade="80"/>
            <w:szCs w:val="22"/>
            <w:u w:val="single"/>
            <w:lang w:val="fr-CA"/>
          </w:rPr>
          <w:t xml:space="preserve">CIDI/CIP/doc.5/21 </w:t>
        </w:r>
        <w:proofErr w:type="spellStart"/>
        <w:r w:rsidRPr="00623A2B">
          <w:rPr>
            <w:rFonts w:ascii="Times New Roman" w:hAnsi="Times New Roman"/>
            <w:color w:val="1F3864" w:themeColor="accent1" w:themeShade="80"/>
            <w:szCs w:val="22"/>
            <w:u w:val="single"/>
            <w:lang w:val="fr-CA"/>
          </w:rPr>
          <w:t>rev</w:t>
        </w:r>
        <w:proofErr w:type="spellEnd"/>
        <w:r w:rsidRPr="00623A2B">
          <w:rPr>
            <w:rFonts w:ascii="Times New Roman" w:hAnsi="Times New Roman"/>
            <w:color w:val="1F3864" w:themeColor="accent1" w:themeShade="80"/>
            <w:szCs w:val="22"/>
            <w:u w:val="single"/>
            <w:lang w:val="fr-CA"/>
          </w:rPr>
          <w:t>. 3</w:t>
        </w:r>
      </w:hyperlink>
      <w:r w:rsidRPr="00623A2B">
        <w:rPr>
          <w:rFonts w:ascii="Times New Roman" w:hAnsi="Times New Roman"/>
          <w:color w:val="1F3864" w:themeColor="accent1" w:themeShade="80"/>
          <w:szCs w:val="22"/>
          <w:lang w:val="fr-CA"/>
        </w:rPr>
        <w:t xml:space="preserve">), </w:t>
      </w:r>
      <w:r w:rsidRPr="00623A2B">
        <w:rPr>
          <w:rFonts w:ascii="Times New Roman" w:hAnsi="Times New Roman"/>
          <w:color w:val="000000" w:themeColor="text1"/>
          <w:szCs w:val="22"/>
          <w:lang w:val="fr-CA"/>
        </w:rPr>
        <w:t>approuvés lors de la Douzième réunion ordinaire de la Commission interaméricaine des ports (CIP), tenue virtuellement le 19 mai 2021.</w:t>
      </w:r>
    </w:p>
    <w:p w14:paraId="3425A403" w14:textId="77777777" w:rsidR="00A84B93" w:rsidRPr="00623A2B" w:rsidRDefault="00A84B93" w:rsidP="00A84B93">
      <w:pPr>
        <w:ind w:right="-29"/>
        <w:rPr>
          <w:rFonts w:ascii="Times New Roman" w:hAnsi="Times New Roman"/>
          <w:color w:val="000000" w:themeColor="text1"/>
          <w:szCs w:val="22"/>
          <w:lang w:val="fr-CA"/>
        </w:rPr>
      </w:pPr>
    </w:p>
    <w:p w14:paraId="2311E487"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fr-CA"/>
        </w:rPr>
      </w:pPr>
      <w:r w:rsidRPr="00623A2B">
        <w:rPr>
          <w:rFonts w:ascii="Times New Roman" w:hAnsi="Times New Roman"/>
          <w:szCs w:val="22"/>
          <w:lang w:val="fr-CA"/>
        </w:rPr>
        <w:t>De charger le Secrétariat de la CIP de continuer d’œuvrer</w:t>
      </w:r>
      <w:r w:rsidRPr="00623A2B">
        <w:rPr>
          <w:rFonts w:ascii="Times New Roman" w:hAnsi="Times New Roman"/>
          <w:color w:val="000000" w:themeColor="text1"/>
          <w:szCs w:val="22"/>
          <w:lang w:val="fr-CA"/>
        </w:rPr>
        <w:t xml:space="preserve">, conformément au Plan d'action de Buenos Aires 2021-2023 </w:t>
      </w:r>
      <w:r w:rsidRPr="00623A2B">
        <w:rPr>
          <w:rFonts w:ascii="Times New Roman" w:hAnsi="Times New Roman"/>
          <w:color w:val="1F3864" w:themeColor="accent1" w:themeShade="80"/>
          <w:szCs w:val="22"/>
          <w:lang w:val="fr-CA"/>
        </w:rPr>
        <w:t>(</w:t>
      </w:r>
      <w:hyperlink r:id="rId35">
        <w:r w:rsidRPr="00623A2B">
          <w:rPr>
            <w:rFonts w:ascii="Times New Roman" w:hAnsi="Times New Roman"/>
            <w:color w:val="1F3864" w:themeColor="accent1" w:themeShade="80"/>
            <w:szCs w:val="22"/>
            <w:u w:val="single"/>
            <w:lang w:val="fr-CA"/>
          </w:rPr>
          <w:t xml:space="preserve">CIDI/CIP/doc.5/21 </w:t>
        </w:r>
        <w:proofErr w:type="spellStart"/>
        <w:r w:rsidRPr="00623A2B">
          <w:rPr>
            <w:rFonts w:ascii="Times New Roman" w:hAnsi="Times New Roman"/>
            <w:color w:val="1F3864" w:themeColor="accent1" w:themeShade="80"/>
            <w:szCs w:val="22"/>
            <w:u w:val="single"/>
            <w:lang w:val="fr-CA"/>
          </w:rPr>
          <w:t>rev</w:t>
        </w:r>
        <w:proofErr w:type="spellEnd"/>
        <w:r w:rsidRPr="00623A2B">
          <w:rPr>
            <w:rFonts w:ascii="Times New Roman" w:hAnsi="Times New Roman"/>
            <w:color w:val="1F3864" w:themeColor="accent1" w:themeShade="80"/>
            <w:szCs w:val="22"/>
            <w:u w:val="single"/>
            <w:lang w:val="fr-CA"/>
          </w:rPr>
          <w:t>. 3</w:t>
        </w:r>
      </w:hyperlink>
      <w:r w:rsidRPr="00623A2B">
        <w:rPr>
          <w:rFonts w:ascii="Times New Roman" w:hAnsi="Times New Roman"/>
          <w:color w:val="1F3864" w:themeColor="accent1" w:themeShade="80"/>
          <w:szCs w:val="22"/>
          <w:lang w:val="fr-CA"/>
        </w:rPr>
        <w:t>)</w:t>
      </w:r>
      <w:r w:rsidRPr="00623A2B">
        <w:rPr>
          <w:rFonts w:ascii="Times New Roman" w:hAnsi="Times New Roman"/>
          <w:szCs w:val="22"/>
          <w:lang w:val="fr-CA"/>
        </w:rPr>
        <w:t xml:space="preserve"> </w:t>
      </w:r>
      <w:r w:rsidRPr="00623A2B">
        <w:rPr>
          <w:rFonts w:ascii="Times New Roman" w:hAnsi="Times New Roman"/>
          <w:color w:val="000000" w:themeColor="text1"/>
          <w:szCs w:val="22"/>
          <w:lang w:val="fr-CA"/>
        </w:rPr>
        <w:t>et en collaboration avec ses membres, membres associés et partenaires stratégiques, pour offrir des possibilités de développement professionnel et de renforcement des capacités, dans les quatre langues officielles de l’OEA, dans la mesure du possible, au personnel du secteur portuaire dans les Amériques, en contribuant ainsi au renforcement des capacités institutionnelle</w:t>
      </w:r>
      <w:r w:rsidRPr="00623A2B">
        <w:rPr>
          <w:rFonts w:ascii="Times New Roman" w:hAnsi="Times New Roman"/>
          <w:szCs w:val="22"/>
          <w:lang w:val="fr-CA"/>
        </w:rPr>
        <w:t>s.</w:t>
      </w:r>
    </w:p>
    <w:p w14:paraId="0078D5EE" w14:textId="77777777" w:rsidR="00A84B93" w:rsidRPr="00623A2B" w:rsidRDefault="00A84B93" w:rsidP="00A84B93">
      <w:pPr>
        <w:ind w:right="-29"/>
        <w:rPr>
          <w:rFonts w:ascii="Times New Roman" w:hAnsi="Times New Roman"/>
          <w:color w:val="000000" w:themeColor="text1"/>
          <w:szCs w:val="22"/>
          <w:lang w:val="fr-CA"/>
        </w:rPr>
      </w:pPr>
    </w:p>
    <w:p w14:paraId="36B3B87E"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 charger le Secrétariat de la CIP de poursuivre la mise en œuvre du projet</w:t>
      </w:r>
      <w:r w:rsidRPr="00623A2B">
        <w:rPr>
          <w:rFonts w:ascii="Times New Roman" w:hAnsi="Times New Roman"/>
          <w:i/>
          <w:color w:val="000000" w:themeColor="text1"/>
          <w:szCs w:val="22"/>
          <w:lang w:val="fr-CA"/>
        </w:rPr>
        <w:t xml:space="preserve"> </w:t>
      </w:r>
      <w:proofErr w:type="spellStart"/>
      <w:r w:rsidRPr="00623A2B">
        <w:rPr>
          <w:rFonts w:ascii="Times New Roman" w:hAnsi="Times New Roman"/>
          <w:i/>
          <w:color w:val="000000" w:themeColor="text1"/>
          <w:szCs w:val="22"/>
          <w:lang w:val="fr-CA"/>
        </w:rPr>
        <w:t>Improved</w:t>
      </w:r>
      <w:proofErr w:type="spellEnd"/>
      <w:r w:rsidRPr="00623A2B">
        <w:rPr>
          <w:rFonts w:ascii="Times New Roman" w:hAnsi="Times New Roman"/>
          <w:i/>
          <w:color w:val="000000" w:themeColor="text1"/>
          <w:szCs w:val="22"/>
          <w:lang w:val="fr-CA"/>
        </w:rPr>
        <w:t xml:space="preserve"> </w:t>
      </w:r>
      <w:proofErr w:type="spellStart"/>
      <w:r w:rsidRPr="00623A2B">
        <w:rPr>
          <w:rFonts w:ascii="Times New Roman" w:hAnsi="Times New Roman"/>
          <w:i/>
          <w:color w:val="000000" w:themeColor="text1"/>
          <w:szCs w:val="22"/>
          <w:lang w:val="fr-CA"/>
        </w:rPr>
        <w:t>Disaster</w:t>
      </w:r>
      <w:proofErr w:type="spellEnd"/>
      <w:r w:rsidRPr="00623A2B">
        <w:rPr>
          <w:rFonts w:ascii="Times New Roman" w:hAnsi="Times New Roman"/>
          <w:i/>
          <w:color w:val="000000" w:themeColor="text1"/>
          <w:szCs w:val="22"/>
          <w:lang w:val="fr-CA"/>
        </w:rPr>
        <w:t xml:space="preserve"> Risk Management in Caribbean Ports</w:t>
      </w:r>
      <w:r w:rsidRPr="00623A2B">
        <w:rPr>
          <w:rFonts w:ascii="Times New Roman" w:hAnsi="Times New Roman"/>
          <w:i/>
          <w:iCs/>
          <w:color w:val="000000" w:themeColor="text1"/>
          <w:szCs w:val="22"/>
          <w:lang w:val="fr-CA"/>
        </w:rPr>
        <w:t xml:space="preserve"> (amélioration de la gestion des risques de catastrophes dans les ports des Caraïbes),</w:t>
      </w:r>
      <w:r w:rsidRPr="00623A2B">
        <w:rPr>
          <w:rFonts w:ascii="Times New Roman" w:hAnsi="Times New Roman"/>
          <w:color w:val="000000" w:themeColor="text1"/>
          <w:szCs w:val="22"/>
          <w:lang w:val="fr-CA"/>
        </w:rPr>
        <w:t xml:space="preserve"> financé par les États-Unis et l'Italie,</w:t>
      </w:r>
      <w:r w:rsidRPr="00623A2B">
        <w:rPr>
          <w:rFonts w:ascii="Times New Roman" w:hAnsi="Times New Roman"/>
          <w:b/>
          <w:color w:val="000000" w:themeColor="text1"/>
          <w:szCs w:val="22"/>
          <w:lang w:val="fr-CA"/>
        </w:rPr>
        <w:t xml:space="preserve"> </w:t>
      </w:r>
      <w:r w:rsidRPr="00623A2B">
        <w:rPr>
          <w:rFonts w:ascii="Times New Roman" w:hAnsi="Times New Roman"/>
          <w:color w:val="000000" w:themeColor="text1"/>
          <w:szCs w:val="22"/>
          <w:lang w:val="fr-CA"/>
        </w:rPr>
        <w:t>afin de contribuer au développement et à la professionnalisation des ressources humaines dans le bassin des Caraïbes dans les domaines de la gestion des risques de catastrophes, de l'atténuation, des interventions et de la résilience aux catastrophes naturelles et celles causées par l’homme ainsi qu’aux urgences maritimes,</w:t>
      </w:r>
      <w:r w:rsidRPr="00623A2B">
        <w:rPr>
          <w:rFonts w:ascii="Times New Roman" w:hAnsi="Times New Roman"/>
          <w:b/>
          <w:color w:val="000000" w:themeColor="text1"/>
          <w:szCs w:val="22"/>
          <w:lang w:val="fr-CA"/>
        </w:rPr>
        <w:t xml:space="preserve"> </w:t>
      </w:r>
      <w:r w:rsidRPr="00623A2B">
        <w:rPr>
          <w:rFonts w:ascii="Times New Roman" w:hAnsi="Times New Roman"/>
          <w:color w:val="000000" w:themeColor="text1"/>
          <w:szCs w:val="22"/>
          <w:lang w:val="fr-CA"/>
        </w:rPr>
        <w:t>et d’encourager les États membres à tirer pleinement parti de cette initiative.</w:t>
      </w:r>
    </w:p>
    <w:p w14:paraId="27B999FC"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lang w:val="fr-CA"/>
        </w:rPr>
      </w:pPr>
    </w:p>
    <w:p w14:paraId="1655202E" w14:textId="77777777" w:rsidR="00A84B93" w:rsidRPr="00623A2B" w:rsidRDefault="00A84B93" w:rsidP="00A84B93">
      <w:pPr>
        <w:rPr>
          <w:rFonts w:ascii="Times New Roman" w:hAnsi="Times New Roman"/>
          <w:color w:val="000000" w:themeColor="text1"/>
          <w:szCs w:val="22"/>
          <w:lang w:val="fr-CA"/>
        </w:rPr>
      </w:pPr>
      <w:r w:rsidRPr="00623A2B">
        <w:rPr>
          <w:rFonts w:ascii="Times New Roman" w:hAnsi="Times New Roman"/>
          <w:color w:val="000000" w:themeColor="text1"/>
          <w:szCs w:val="22"/>
          <w:lang w:val="fr-CA"/>
        </w:rPr>
        <w:br w:type="page"/>
      </w:r>
    </w:p>
    <w:p w14:paraId="5AC05110" w14:textId="77777777" w:rsidR="00A84B93" w:rsidRPr="00623A2B" w:rsidRDefault="00A84B93" w:rsidP="00A84B93">
      <w:pPr>
        <w:widowControl/>
        <w:numPr>
          <w:ilvl w:val="0"/>
          <w:numId w:val="7"/>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color w:val="000000" w:themeColor="text1"/>
          <w:szCs w:val="22"/>
          <w:lang w:val="fr-CA"/>
        </w:rPr>
      </w:pPr>
      <w:r w:rsidRPr="00623A2B">
        <w:rPr>
          <w:rFonts w:ascii="Times New Roman" w:hAnsi="Times New Roman"/>
          <w:color w:val="000000" w:themeColor="text1"/>
          <w:szCs w:val="22"/>
          <w:lang w:val="fr-CA"/>
        </w:rPr>
        <w:lastRenderedPageBreak/>
        <w:t>LIGNE STRATÉGIQUE « PROMOUVOIR LE TRAVAIL DÉCENT, DIGNE ET PRODUCTIF POUR TOUS »</w:t>
      </w:r>
    </w:p>
    <w:p w14:paraId="1EF2B02D" w14:textId="77777777" w:rsidR="00A84B93" w:rsidRPr="00623A2B" w:rsidRDefault="00A84B93" w:rsidP="00A84B93">
      <w:pPr>
        <w:ind w:right="-29"/>
        <w:rPr>
          <w:rFonts w:ascii="Times New Roman" w:hAnsi="Times New Roman"/>
          <w:color w:val="000000" w:themeColor="text1"/>
          <w:szCs w:val="22"/>
          <w:lang w:val="fr-CA"/>
        </w:rPr>
      </w:pPr>
    </w:p>
    <w:p w14:paraId="5F5D6E43"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fr-CA"/>
        </w:rPr>
      </w:pPr>
      <w:r w:rsidRPr="00623A2B">
        <w:rPr>
          <w:rFonts w:ascii="Times New Roman" w:hAnsi="Times New Roman"/>
          <w:color w:val="000000" w:themeColor="text1"/>
          <w:szCs w:val="22"/>
          <w:lang w:val="fr-CA"/>
        </w:rPr>
        <w:t xml:space="preserve">D’encourager les États membres à soutenir la mise en œuvre des engagements pris dans la Déclaration de Buenos Aires 2021 </w:t>
      </w:r>
      <w:r w:rsidRPr="00623A2B">
        <w:rPr>
          <w:rFonts w:ascii="Times New Roman" w:hAnsi="Times New Roman"/>
          <w:color w:val="1F3864" w:themeColor="accent1" w:themeShade="80"/>
          <w:szCs w:val="22"/>
          <w:lang w:val="fr-CA"/>
        </w:rPr>
        <w:t>(</w:t>
      </w:r>
      <w:hyperlink r:id="rId36">
        <w:r w:rsidRPr="00623A2B">
          <w:rPr>
            <w:rFonts w:ascii="Times New Roman" w:hAnsi="Times New Roman"/>
            <w:color w:val="1F3864" w:themeColor="accent1" w:themeShade="80"/>
            <w:szCs w:val="22"/>
            <w:u w:val="single"/>
            <w:lang w:val="fr-CA"/>
          </w:rPr>
          <w:t>CIDI</w:t>
        </w:r>
      </w:hyperlink>
      <w:hyperlink r:id="rId37">
        <w:r w:rsidRPr="00623A2B">
          <w:rPr>
            <w:rFonts w:ascii="Times New Roman" w:hAnsi="Times New Roman"/>
            <w:b/>
            <w:color w:val="1F3864" w:themeColor="accent1" w:themeShade="80"/>
            <w:szCs w:val="22"/>
            <w:u w:val="single"/>
            <w:lang w:val="fr-CA"/>
          </w:rPr>
          <w:t>/</w:t>
        </w:r>
      </w:hyperlink>
      <w:hyperlink r:id="rId38">
        <w:r w:rsidRPr="00623A2B">
          <w:rPr>
            <w:rFonts w:ascii="Times New Roman" w:hAnsi="Times New Roman"/>
            <w:color w:val="1F3864" w:themeColor="accent1" w:themeShade="80"/>
            <w:szCs w:val="22"/>
            <w:u w:val="single"/>
            <w:lang w:val="fr-CA"/>
          </w:rPr>
          <w:t>TRAVAIL/DEC. 1/21</w:t>
        </w:r>
      </w:hyperlink>
      <w:r w:rsidRPr="00623A2B">
        <w:rPr>
          <w:rFonts w:ascii="Times New Roman" w:hAnsi="Times New Roman"/>
          <w:color w:val="1F3864" w:themeColor="accent1" w:themeShade="80"/>
          <w:szCs w:val="22"/>
          <w:lang w:val="fr-CA"/>
        </w:rPr>
        <w:t xml:space="preserve">) </w:t>
      </w:r>
      <w:r w:rsidRPr="00623A2B">
        <w:rPr>
          <w:rFonts w:ascii="Times New Roman" w:hAnsi="Times New Roman"/>
          <w:color w:val="000000" w:themeColor="text1"/>
          <w:szCs w:val="22"/>
          <w:lang w:val="fr-CA"/>
        </w:rPr>
        <w:t xml:space="preserve">et le Plan d'action de Buenos Aires 2021 </w:t>
      </w:r>
      <w:r w:rsidRPr="00623A2B">
        <w:rPr>
          <w:rFonts w:ascii="Times New Roman" w:hAnsi="Times New Roman"/>
          <w:color w:val="1F3864" w:themeColor="accent1" w:themeShade="80"/>
          <w:szCs w:val="22"/>
          <w:u w:val="single"/>
          <w:lang w:val="fr-CA"/>
        </w:rPr>
        <w:t>(</w:t>
      </w:r>
      <w:hyperlink r:id="rId39">
        <w:r w:rsidRPr="00623A2B">
          <w:rPr>
            <w:rFonts w:ascii="Times New Roman" w:hAnsi="Times New Roman"/>
            <w:color w:val="1F3864" w:themeColor="accent1" w:themeShade="80"/>
            <w:szCs w:val="22"/>
            <w:u w:val="single"/>
            <w:lang w:val="fr-CA"/>
          </w:rPr>
          <w:t>CIDI</w:t>
        </w:r>
      </w:hyperlink>
      <w:hyperlink r:id="rId40">
        <w:r w:rsidRPr="00623A2B">
          <w:rPr>
            <w:rFonts w:ascii="Times New Roman" w:hAnsi="Times New Roman"/>
            <w:b/>
            <w:color w:val="1F3864" w:themeColor="accent1" w:themeShade="80"/>
            <w:szCs w:val="22"/>
            <w:u w:val="single"/>
            <w:lang w:val="fr-CA"/>
          </w:rPr>
          <w:t>/</w:t>
        </w:r>
      </w:hyperlink>
      <w:hyperlink r:id="rId41">
        <w:r w:rsidRPr="00623A2B">
          <w:rPr>
            <w:rFonts w:ascii="Times New Roman" w:hAnsi="Times New Roman"/>
            <w:color w:val="1F3864" w:themeColor="accent1" w:themeShade="80"/>
            <w:szCs w:val="22"/>
            <w:u w:val="single"/>
            <w:lang w:val="fr-CA"/>
          </w:rPr>
          <w:t xml:space="preserve">TRAVAIL/doc.5/21 </w:t>
        </w:r>
        <w:proofErr w:type="spellStart"/>
        <w:r w:rsidRPr="00623A2B">
          <w:rPr>
            <w:rFonts w:ascii="Times New Roman" w:hAnsi="Times New Roman"/>
            <w:color w:val="1F3864" w:themeColor="accent1" w:themeShade="80"/>
            <w:szCs w:val="22"/>
            <w:u w:val="single"/>
            <w:lang w:val="fr-CA"/>
          </w:rPr>
          <w:t>rev</w:t>
        </w:r>
        <w:proofErr w:type="spellEnd"/>
        <w:r w:rsidRPr="00623A2B">
          <w:rPr>
            <w:rFonts w:ascii="Times New Roman" w:hAnsi="Times New Roman"/>
            <w:color w:val="1F3864" w:themeColor="accent1" w:themeShade="80"/>
            <w:szCs w:val="22"/>
            <w:u w:val="single"/>
            <w:lang w:val="fr-CA"/>
          </w:rPr>
          <w:t>. 1</w:t>
        </w:r>
      </w:hyperlink>
      <w:r w:rsidRPr="00623A2B">
        <w:rPr>
          <w:rFonts w:ascii="Times New Roman" w:hAnsi="Times New Roman"/>
          <w:color w:val="1F3864" w:themeColor="accent1" w:themeShade="80"/>
          <w:szCs w:val="22"/>
          <w:lang w:val="fr-CA"/>
        </w:rPr>
        <w:t xml:space="preserve">), </w:t>
      </w:r>
      <w:r w:rsidRPr="00623A2B">
        <w:rPr>
          <w:rFonts w:ascii="Times New Roman" w:hAnsi="Times New Roman"/>
          <w:color w:val="000000" w:themeColor="text1"/>
          <w:szCs w:val="22"/>
          <w:lang w:val="fr-CA"/>
        </w:rPr>
        <w:t>« Construire un monde du travail plus résilient, assorti de développement durable, de travail décent, d'emploi productif et d'inclusion sociale », adopté lors de la Vingtième Conférence interaméricaine des ministres du travail (CIMT), qui s'est tenue virtuellement du 22 au 24 septembre 2021.</w:t>
      </w:r>
    </w:p>
    <w:p w14:paraId="1E5BD7DC" w14:textId="77777777" w:rsidR="00A84B93" w:rsidRPr="00623A2B" w:rsidRDefault="00A84B93" w:rsidP="00A84B93">
      <w:pPr>
        <w:ind w:right="-29"/>
        <w:rPr>
          <w:rFonts w:ascii="Times New Roman" w:hAnsi="Times New Roman"/>
          <w:color w:val="000000" w:themeColor="text1"/>
          <w:szCs w:val="22"/>
          <w:lang w:val="fr-CA"/>
        </w:rPr>
      </w:pPr>
    </w:p>
    <w:p w14:paraId="4474CC64"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szCs w:val="22"/>
          <w:lang w:val="fr-CA"/>
        </w:rPr>
        <w:t>De charger le</w:t>
      </w:r>
      <w:r w:rsidRPr="00623A2B">
        <w:rPr>
          <w:rFonts w:ascii="Times New Roman" w:hAnsi="Times New Roman"/>
          <w:color w:val="000000" w:themeColor="text1"/>
          <w:szCs w:val="22"/>
          <w:lang w:val="fr-CA"/>
        </w:rPr>
        <w:t xml:space="preserve"> SEDI de soutenir le suivi de la mise en œuvre de la Déclaration de Buenos Aires 2021 </w:t>
      </w:r>
      <w:r w:rsidRPr="00623A2B">
        <w:rPr>
          <w:rFonts w:ascii="Times New Roman" w:hAnsi="Times New Roman"/>
          <w:color w:val="1F3864" w:themeColor="accent1" w:themeShade="80"/>
          <w:szCs w:val="22"/>
          <w:u w:val="single"/>
          <w:lang w:val="fr-CA"/>
        </w:rPr>
        <w:t>(</w:t>
      </w:r>
      <w:hyperlink r:id="rId42">
        <w:r w:rsidRPr="00623A2B">
          <w:rPr>
            <w:rFonts w:ascii="Times New Roman" w:hAnsi="Times New Roman"/>
            <w:color w:val="1F3864" w:themeColor="accent1" w:themeShade="80"/>
            <w:szCs w:val="22"/>
            <w:u w:val="single"/>
            <w:lang w:val="fr-CA"/>
          </w:rPr>
          <w:t>CIDI</w:t>
        </w:r>
      </w:hyperlink>
      <w:hyperlink r:id="rId43">
        <w:r w:rsidRPr="00623A2B">
          <w:rPr>
            <w:rFonts w:ascii="Times New Roman" w:hAnsi="Times New Roman"/>
            <w:b/>
            <w:color w:val="1F3864" w:themeColor="accent1" w:themeShade="80"/>
            <w:szCs w:val="22"/>
            <w:u w:val="single"/>
            <w:lang w:val="fr-CA"/>
          </w:rPr>
          <w:t>/</w:t>
        </w:r>
      </w:hyperlink>
      <w:hyperlink r:id="rId44">
        <w:r w:rsidRPr="00623A2B">
          <w:rPr>
            <w:rFonts w:ascii="Times New Roman" w:hAnsi="Times New Roman"/>
            <w:color w:val="1F3864" w:themeColor="accent1" w:themeShade="80"/>
            <w:szCs w:val="22"/>
            <w:u w:val="single"/>
            <w:lang w:val="fr-CA"/>
          </w:rPr>
          <w:t>TRAVAIL/DEC. 1/21</w:t>
        </w:r>
      </w:hyperlink>
      <w:r w:rsidRPr="00623A2B">
        <w:rPr>
          <w:rFonts w:ascii="Times New Roman" w:hAnsi="Times New Roman"/>
          <w:color w:val="1F3864" w:themeColor="accent1" w:themeShade="80"/>
          <w:szCs w:val="22"/>
          <w:lang w:val="fr-CA"/>
        </w:rPr>
        <w:t>)</w:t>
      </w:r>
      <w:r w:rsidRPr="00623A2B">
        <w:rPr>
          <w:rFonts w:ascii="Times New Roman" w:hAnsi="Times New Roman"/>
          <w:color w:val="000000" w:themeColor="text1"/>
          <w:szCs w:val="22"/>
          <w:lang w:val="fr-CA"/>
        </w:rPr>
        <w:t xml:space="preserve"> et du Plan d'action de Buenos Aires 2021 </w:t>
      </w:r>
      <w:r w:rsidRPr="00623A2B">
        <w:rPr>
          <w:rFonts w:ascii="Times New Roman" w:hAnsi="Times New Roman"/>
          <w:color w:val="1F3864" w:themeColor="accent1" w:themeShade="80"/>
          <w:szCs w:val="22"/>
          <w:u w:val="single"/>
          <w:lang w:val="fr-CA"/>
        </w:rPr>
        <w:t>(</w:t>
      </w:r>
      <w:hyperlink r:id="rId45">
        <w:r w:rsidRPr="00623A2B">
          <w:rPr>
            <w:rFonts w:ascii="Times New Roman" w:hAnsi="Times New Roman"/>
            <w:color w:val="1F3864" w:themeColor="accent1" w:themeShade="80"/>
            <w:szCs w:val="22"/>
            <w:u w:val="single"/>
            <w:lang w:val="fr-CA"/>
          </w:rPr>
          <w:t>CIDI</w:t>
        </w:r>
      </w:hyperlink>
      <w:hyperlink r:id="rId46">
        <w:r w:rsidRPr="00623A2B">
          <w:rPr>
            <w:rFonts w:ascii="Times New Roman" w:hAnsi="Times New Roman"/>
            <w:b/>
            <w:color w:val="1F3864" w:themeColor="accent1" w:themeShade="80"/>
            <w:szCs w:val="22"/>
            <w:u w:val="single"/>
            <w:lang w:val="fr-CA"/>
          </w:rPr>
          <w:t>/</w:t>
        </w:r>
      </w:hyperlink>
      <w:hyperlink r:id="rId47">
        <w:r w:rsidRPr="00623A2B">
          <w:rPr>
            <w:rFonts w:ascii="Times New Roman" w:hAnsi="Times New Roman"/>
            <w:color w:val="1F3864" w:themeColor="accent1" w:themeShade="80"/>
            <w:szCs w:val="22"/>
            <w:u w:val="single"/>
            <w:lang w:val="fr-CA"/>
          </w:rPr>
          <w:t xml:space="preserve">TRAVAIL/doc.5/21 </w:t>
        </w:r>
        <w:proofErr w:type="spellStart"/>
        <w:r w:rsidRPr="00623A2B">
          <w:rPr>
            <w:rFonts w:ascii="Times New Roman" w:hAnsi="Times New Roman"/>
            <w:color w:val="1F3864" w:themeColor="accent1" w:themeShade="80"/>
            <w:szCs w:val="22"/>
            <w:u w:val="single"/>
            <w:lang w:val="fr-CA"/>
          </w:rPr>
          <w:t>rev</w:t>
        </w:r>
        <w:proofErr w:type="spellEnd"/>
        <w:r w:rsidRPr="00623A2B">
          <w:rPr>
            <w:rFonts w:ascii="Times New Roman" w:hAnsi="Times New Roman"/>
            <w:color w:val="1F3864" w:themeColor="accent1" w:themeShade="80"/>
            <w:szCs w:val="22"/>
            <w:u w:val="single"/>
            <w:lang w:val="fr-CA"/>
          </w:rPr>
          <w:t>. 1</w:t>
        </w:r>
      </w:hyperlink>
      <w:r w:rsidRPr="00623A2B">
        <w:rPr>
          <w:rFonts w:ascii="Times New Roman" w:hAnsi="Times New Roman"/>
          <w:color w:val="1F3864" w:themeColor="accent1" w:themeShade="80"/>
          <w:szCs w:val="22"/>
          <w:lang w:val="fr-CA"/>
        </w:rPr>
        <w:t xml:space="preserve">) </w:t>
      </w:r>
      <w:r w:rsidRPr="00623A2B">
        <w:rPr>
          <w:rFonts w:ascii="Times New Roman" w:hAnsi="Times New Roman"/>
          <w:color w:val="000000" w:themeColor="text1"/>
          <w:szCs w:val="22"/>
          <w:lang w:val="fr-CA"/>
        </w:rPr>
        <w:t xml:space="preserve">et de continuer à fournir des conseils techniques à la CIMT et à ses groupes de travail. </w:t>
      </w:r>
    </w:p>
    <w:p w14:paraId="4FD1FE61" w14:textId="77777777" w:rsidR="00A84B93" w:rsidRPr="00623A2B" w:rsidRDefault="00A84B93" w:rsidP="00A84B93">
      <w:pPr>
        <w:ind w:right="-29"/>
        <w:rPr>
          <w:rFonts w:ascii="Times New Roman" w:hAnsi="Times New Roman"/>
          <w:color w:val="000000" w:themeColor="text1"/>
          <w:szCs w:val="22"/>
          <w:lang w:val="fr-CA"/>
        </w:rPr>
      </w:pPr>
    </w:p>
    <w:p w14:paraId="4618B836"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 charger le SEDI de soutenir les États membres, par le biais du Réseau interaméricain de l’administration dans le domaine du travail (RIAL), dans le partage de données d’expériences et de connaissances et dans le renforcement des capacités humaines et institutionnelles des ministères du travail pour faire face aux changements émergents dans le monde du travail et aux effets de la pandémie, promouvoir le télétravail, renforcer le dialogue social pour construire un avenir du travail assorti de justice sociale, parvenir à une meilleure articulation entre l'économie, la protection et la préservation de l'environnement, l'éducation, la santé et le travail afin de s’attaquer aux effets de la crise, et contribuer au développement de sociétés plus résilientes et durables, justes et équitables.</w:t>
      </w:r>
    </w:p>
    <w:p w14:paraId="3D5FDBD0" w14:textId="77777777" w:rsidR="00A84B93" w:rsidRPr="00623A2B" w:rsidRDefault="00A84B93" w:rsidP="00A84B93">
      <w:pPr>
        <w:ind w:right="-29"/>
        <w:rPr>
          <w:rFonts w:ascii="Times New Roman" w:hAnsi="Times New Roman"/>
          <w:color w:val="000000" w:themeColor="text1"/>
          <w:szCs w:val="22"/>
          <w:lang w:val="fr-CA"/>
        </w:rPr>
      </w:pPr>
    </w:p>
    <w:p w14:paraId="21809F7E"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u w:val="single"/>
          <w:lang w:val="fr-CA"/>
        </w:rPr>
      </w:pPr>
      <w:r w:rsidRPr="00623A2B">
        <w:rPr>
          <w:rFonts w:ascii="Times New Roman" w:hAnsi="Times New Roman"/>
          <w:szCs w:val="22"/>
          <w:lang w:val="fr-CA"/>
        </w:rPr>
        <w:t xml:space="preserve">D’encourager les États membres à élaborer des politiques et des programmes qui favorisent la reprise </w:t>
      </w:r>
      <w:r w:rsidRPr="00623A2B">
        <w:rPr>
          <w:rFonts w:ascii="Times New Roman" w:hAnsi="Times New Roman"/>
          <w:color w:val="000000" w:themeColor="text1"/>
          <w:szCs w:val="22"/>
          <w:lang w:val="fr-CA"/>
        </w:rPr>
        <w:t>économique</w:t>
      </w:r>
      <w:r w:rsidRPr="00623A2B">
        <w:rPr>
          <w:rFonts w:ascii="Times New Roman" w:hAnsi="Times New Roman"/>
          <w:szCs w:val="22"/>
          <w:lang w:val="fr-CA"/>
        </w:rPr>
        <w:t xml:space="preserve"> et la promotion du travail décent et de l’emploi productif</w:t>
      </w:r>
      <w:r w:rsidRPr="00623A2B">
        <w:rPr>
          <w:rFonts w:ascii="Times New Roman" w:hAnsi="Times New Roman"/>
          <w:color w:val="000000" w:themeColor="text1"/>
          <w:szCs w:val="22"/>
          <w:lang w:val="fr-CA"/>
        </w:rPr>
        <w:t xml:space="preserve">, conformément aux engagements énoncés dans la Déclaration de Buenos Aires 2021 </w:t>
      </w:r>
      <w:r w:rsidRPr="00623A2B">
        <w:rPr>
          <w:rFonts w:ascii="Times New Roman" w:hAnsi="Times New Roman"/>
          <w:color w:val="1F3864" w:themeColor="accent1" w:themeShade="80"/>
          <w:szCs w:val="22"/>
          <w:u w:val="single"/>
          <w:lang w:val="fr-CA"/>
        </w:rPr>
        <w:t>(</w:t>
      </w:r>
      <w:hyperlink r:id="rId48">
        <w:r w:rsidRPr="00623A2B">
          <w:rPr>
            <w:rFonts w:ascii="Times New Roman" w:hAnsi="Times New Roman"/>
            <w:color w:val="1F3864" w:themeColor="accent1" w:themeShade="80"/>
            <w:szCs w:val="22"/>
            <w:u w:val="single"/>
            <w:lang w:val="fr-CA"/>
          </w:rPr>
          <w:t>CIDI</w:t>
        </w:r>
      </w:hyperlink>
      <w:hyperlink r:id="rId49">
        <w:r w:rsidRPr="00623A2B">
          <w:rPr>
            <w:rFonts w:ascii="Times New Roman" w:hAnsi="Times New Roman"/>
            <w:b/>
            <w:color w:val="1F3864" w:themeColor="accent1" w:themeShade="80"/>
            <w:szCs w:val="22"/>
            <w:u w:val="single"/>
            <w:lang w:val="fr-CA"/>
          </w:rPr>
          <w:t>/</w:t>
        </w:r>
      </w:hyperlink>
      <w:hyperlink r:id="rId50">
        <w:r w:rsidRPr="00623A2B">
          <w:rPr>
            <w:rFonts w:ascii="Times New Roman" w:hAnsi="Times New Roman"/>
            <w:color w:val="1F3864" w:themeColor="accent1" w:themeShade="80"/>
            <w:szCs w:val="22"/>
            <w:u w:val="single"/>
            <w:lang w:val="fr-CA"/>
          </w:rPr>
          <w:t>TRAVAIL/DÉC. 1/21</w:t>
        </w:r>
      </w:hyperlink>
      <w:r w:rsidRPr="00623A2B">
        <w:rPr>
          <w:rFonts w:ascii="Times New Roman" w:hAnsi="Times New Roman"/>
          <w:color w:val="000000" w:themeColor="text1"/>
          <w:szCs w:val="22"/>
          <w:lang w:val="fr-CA"/>
        </w:rPr>
        <w:t xml:space="preserve">) et le Plan d'action Buenos Aires 2021 adoptés à la Vingt-et-unième CIMT </w:t>
      </w:r>
      <w:r w:rsidRPr="00623A2B">
        <w:rPr>
          <w:rFonts w:ascii="Times New Roman" w:hAnsi="Times New Roman"/>
          <w:color w:val="1F3864" w:themeColor="accent1" w:themeShade="80"/>
          <w:szCs w:val="22"/>
          <w:lang w:val="fr-CA"/>
        </w:rPr>
        <w:t>(</w:t>
      </w:r>
      <w:hyperlink r:id="rId51">
        <w:r w:rsidRPr="00623A2B">
          <w:rPr>
            <w:rFonts w:ascii="Times New Roman" w:hAnsi="Times New Roman"/>
            <w:color w:val="1F3864" w:themeColor="accent1" w:themeShade="80"/>
            <w:szCs w:val="22"/>
            <w:u w:val="single"/>
            <w:lang w:val="fr-CA"/>
          </w:rPr>
          <w:t>CIDI</w:t>
        </w:r>
      </w:hyperlink>
      <w:hyperlink r:id="rId52">
        <w:r w:rsidRPr="00623A2B">
          <w:rPr>
            <w:rFonts w:ascii="Times New Roman" w:hAnsi="Times New Roman"/>
            <w:b/>
            <w:color w:val="1F3864" w:themeColor="accent1" w:themeShade="80"/>
            <w:szCs w:val="22"/>
            <w:u w:val="single"/>
            <w:lang w:val="fr-CA"/>
          </w:rPr>
          <w:t>/</w:t>
        </w:r>
      </w:hyperlink>
      <w:hyperlink r:id="rId53">
        <w:r w:rsidRPr="00623A2B">
          <w:rPr>
            <w:rFonts w:ascii="Times New Roman" w:hAnsi="Times New Roman"/>
            <w:color w:val="1F3864" w:themeColor="accent1" w:themeShade="80"/>
            <w:szCs w:val="22"/>
            <w:u w:val="single"/>
            <w:lang w:val="fr-CA"/>
          </w:rPr>
          <w:t xml:space="preserve">TRAVAIL/doc.5/21 </w:t>
        </w:r>
        <w:proofErr w:type="spellStart"/>
        <w:r w:rsidRPr="00623A2B">
          <w:rPr>
            <w:rFonts w:ascii="Times New Roman" w:hAnsi="Times New Roman"/>
            <w:color w:val="1F3864" w:themeColor="accent1" w:themeShade="80"/>
            <w:szCs w:val="22"/>
            <w:u w:val="single"/>
            <w:lang w:val="fr-CA"/>
          </w:rPr>
          <w:t>rev</w:t>
        </w:r>
        <w:proofErr w:type="spellEnd"/>
        <w:r w:rsidRPr="00623A2B">
          <w:rPr>
            <w:rFonts w:ascii="Times New Roman" w:hAnsi="Times New Roman"/>
            <w:color w:val="1F3864" w:themeColor="accent1" w:themeShade="80"/>
            <w:szCs w:val="22"/>
            <w:u w:val="single"/>
            <w:lang w:val="fr-CA"/>
          </w:rPr>
          <w:t>. 1</w:t>
        </w:r>
      </w:hyperlink>
      <w:r w:rsidRPr="00623A2B">
        <w:rPr>
          <w:rFonts w:ascii="Times New Roman" w:hAnsi="Times New Roman"/>
          <w:color w:val="1F3864" w:themeColor="accent1" w:themeShade="80"/>
          <w:szCs w:val="22"/>
          <w:u w:val="single"/>
          <w:lang w:val="fr-CA"/>
        </w:rPr>
        <w:t>)</w:t>
      </w:r>
    </w:p>
    <w:p w14:paraId="5E7371F3" w14:textId="77777777" w:rsidR="00A84B93" w:rsidRPr="00623A2B" w:rsidRDefault="00A84B93" w:rsidP="00A84B93">
      <w:pPr>
        <w:ind w:right="-29"/>
        <w:rPr>
          <w:rFonts w:ascii="Times New Roman" w:hAnsi="Times New Roman"/>
          <w:color w:val="000000" w:themeColor="text1"/>
          <w:szCs w:val="22"/>
          <w:lang w:val="fr-CA"/>
        </w:rPr>
      </w:pPr>
    </w:p>
    <w:p w14:paraId="0DE75491" w14:textId="77777777" w:rsidR="00A84B93" w:rsidRPr="00623A2B" w:rsidRDefault="00A84B93" w:rsidP="00A84B93">
      <w:pPr>
        <w:pStyle w:val="ListParagraph"/>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720" w:right="-29"/>
        <w:contextualSpacing w:val="0"/>
        <w:rPr>
          <w:rFonts w:ascii="Times New Roman" w:hAnsi="Times New Roman"/>
          <w:color w:val="000000" w:themeColor="text1"/>
          <w:szCs w:val="22"/>
          <w:lang w:val="fr-CA"/>
        </w:rPr>
      </w:pPr>
      <w:r w:rsidRPr="00623A2B">
        <w:rPr>
          <w:rFonts w:ascii="Times New Roman" w:hAnsi="Times New Roman"/>
          <w:color w:val="000000" w:themeColor="text1"/>
          <w:szCs w:val="22"/>
          <w:lang w:val="fr-CA"/>
        </w:rPr>
        <w:t>LIGNE STRATÉGIQUE « ENCOURAGER LA PROMOTION ET LA PROTECTION DES DROITS HUMAINS DES MIGRANTS, Y COMPRIS LES TRAVAILLEURS MIGRANTS ET LEURS FAMILLES, CONFORMÉMENT AU PROGRAMME INTERAMÉRICAIN EN LA MATIÈRE, AFIN D’ENCOURAGER LEUR CONTRIBUTION AU DÉVELOPPEMENT »</w:t>
      </w:r>
    </w:p>
    <w:p w14:paraId="7EA3F79E" w14:textId="77777777" w:rsidR="00A84B93" w:rsidRPr="00623A2B" w:rsidRDefault="00A84B93" w:rsidP="00A84B93">
      <w:pPr>
        <w:rPr>
          <w:rFonts w:ascii="Times New Roman" w:hAnsi="Times New Roman"/>
          <w:szCs w:val="22"/>
          <w:lang w:val="fr-CA"/>
        </w:rPr>
      </w:pPr>
    </w:p>
    <w:p w14:paraId="735F6A65"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fr-CA"/>
        </w:rPr>
      </w:pPr>
      <w:r w:rsidRPr="00623A2B">
        <w:rPr>
          <w:rFonts w:ascii="Times New Roman" w:hAnsi="Times New Roman"/>
          <w:szCs w:val="22"/>
          <w:lang w:val="fr-CA"/>
        </w:rPr>
        <w:t xml:space="preserve">De réitérer l’importance d’une migration sûre, ordonnée et régulière et de l'élaboration de politiques publiques fondées sur des données probantes pour s’attaquer aux causes et conséquences </w:t>
      </w:r>
      <w:r w:rsidRPr="00623A2B">
        <w:rPr>
          <w:rFonts w:ascii="Times New Roman" w:hAnsi="Times New Roman"/>
          <w:color w:val="000000" w:themeColor="text1"/>
          <w:szCs w:val="22"/>
          <w:lang w:val="fr-CA"/>
        </w:rPr>
        <w:t>structurelles</w:t>
      </w:r>
      <w:r w:rsidRPr="00623A2B">
        <w:rPr>
          <w:rFonts w:ascii="Times New Roman" w:hAnsi="Times New Roman"/>
          <w:szCs w:val="22"/>
          <w:lang w:val="fr-CA"/>
        </w:rPr>
        <w:t xml:space="preserve"> de la migration et réduire les risques liés à la migration irrégulière. </w:t>
      </w:r>
    </w:p>
    <w:p w14:paraId="2E81AA97" w14:textId="77777777" w:rsidR="00A84B93" w:rsidRPr="00623A2B" w:rsidRDefault="00A84B93" w:rsidP="00A84B93">
      <w:pPr>
        <w:pBdr>
          <w:top w:val="nil"/>
          <w:left w:val="nil"/>
          <w:bottom w:val="nil"/>
          <w:right w:val="nil"/>
          <w:between w:val="nil"/>
        </w:pBdr>
        <w:ind w:left="720" w:right="-29"/>
        <w:rPr>
          <w:rFonts w:ascii="Times New Roman" w:hAnsi="Times New Roman"/>
          <w:szCs w:val="22"/>
          <w:lang w:val="fr-CA"/>
        </w:rPr>
      </w:pPr>
    </w:p>
    <w:p w14:paraId="3F7A2D1C"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fr-CA"/>
        </w:rPr>
      </w:pPr>
      <w:r w:rsidRPr="00623A2B">
        <w:rPr>
          <w:rFonts w:ascii="Times New Roman" w:hAnsi="Times New Roman"/>
          <w:szCs w:val="22"/>
          <w:lang w:val="fr-CA"/>
        </w:rPr>
        <w:t xml:space="preserve">D’inviter instamment tous les États membres, conformément aux obligations pertinentes découlant </w:t>
      </w:r>
      <w:r w:rsidRPr="00623A2B">
        <w:rPr>
          <w:rFonts w:ascii="Times New Roman" w:hAnsi="Times New Roman"/>
          <w:color w:val="000000" w:themeColor="text1"/>
          <w:szCs w:val="22"/>
          <w:lang w:val="fr-CA"/>
        </w:rPr>
        <w:t>du</w:t>
      </w:r>
      <w:r w:rsidRPr="00623A2B">
        <w:rPr>
          <w:rFonts w:ascii="Times New Roman" w:hAnsi="Times New Roman"/>
          <w:szCs w:val="22"/>
          <w:lang w:val="fr-CA"/>
        </w:rPr>
        <w:t xml:space="preserve"> droit international des droits de la personne, à renforcer leurs politiques publiques de lutte contre la discrimination, le racisme, la xénophobie, le discours de supériorité raciale et toute forme d’intolérance afin de promouvoir l’intégration socio-économique et l’autonomisation des migrants au sein des communautés de transit et de destination dans toutes les sphères de la société.</w:t>
      </w:r>
      <w:r w:rsidRPr="00623A2B">
        <w:rPr>
          <w:rStyle w:val="FootnoteReference"/>
          <w:rFonts w:ascii="Times New Roman" w:hAnsi="Times New Roman"/>
          <w:szCs w:val="22"/>
          <w:u w:val="single"/>
        </w:rPr>
        <w:footnoteReference w:id="27"/>
      </w:r>
      <w:r w:rsidRPr="00623A2B">
        <w:rPr>
          <w:rFonts w:ascii="Times New Roman" w:hAnsi="Times New Roman"/>
          <w:szCs w:val="22"/>
          <w:vertAlign w:val="superscript"/>
          <w:lang w:val="fr-CA"/>
        </w:rPr>
        <w:t>/</w:t>
      </w:r>
      <w:r w:rsidRPr="00623A2B">
        <w:rPr>
          <w:rFonts w:ascii="Times New Roman" w:hAnsi="Times New Roman"/>
          <w:szCs w:val="22"/>
          <w:lang w:val="fr-CA"/>
        </w:rPr>
        <w:t xml:space="preserve"> </w:t>
      </w:r>
    </w:p>
    <w:p w14:paraId="4D21653C" w14:textId="77777777" w:rsidR="00A84B93" w:rsidRPr="00623A2B" w:rsidRDefault="00A84B93" w:rsidP="00A84B93">
      <w:pPr>
        <w:pStyle w:val="ListParagraph"/>
        <w:ind w:left="0"/>
        <w:rPr>
          <w:rFonts w:ascii="Times New Roman" w:hAnsi="Times New Roman"/>
          <w:szCs w:val="22"/>
          <w:lang w:val="fr-CA"/>
        </w:rPr>
      </w:pPr>
    </w:p>
    <w:p w14:paraId="15359560"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fr-CA"/>
        </w:rPr>
      </w:pPr>
      <w:r w:rsidRPr="00623A2B">
        <w:rPr>
          <w:rFonts w:ascii="Times New Roman" w:hAnsi="Times New Roman"/>
          <w:color w:val="000000" w:themeColor="text1"/>
          <w:szCs w:val="22"/>
          <w:lang w:val="fr-CA"/>
        </w:rPr>
        <w:lastRenderedPageBreak/>
        <w:t>D’exhorter</w:t>
      </w:r>
      <w:r w:rsidRPr="00623A2B">
        <w:rPr>
          <w:rFonts w:ascii="Times New Roman" w:hAnsi="Times New Roman"/>
          <w:szCs w:val="22"/>
          <w:lang w:val="fr-CA"/>
        </w:rPr>
        <w:t xml:space="preserve"> également tous les États membres à renforcer leurs politiques publiques et de coopération pour prévenir et combattre les infractions de la traite des personnes, du trafic illicite, de l’esclavage et de la servitude des migrants, y compris en poursuivant les auteurs de ces infractions, en fournissant protection et assistance aux victimes, en veillant à ce que leurs politiques soient centrées sur les victimes, et en appliquant une perspective de genre. </w:t>
      </w:r>
    </w:p>
    <w:p w14:paraId="43B050E7" w14:textId="77777777" w:rsidR="00A84B93" w:rsidRPr="00623A2B" w:rsidRDefault="00A84B93" w:rsidP="00A84B93">
      <w:pPr>
        <w:pStyle w:val="ListParagraph"/>
        <w:ind w:left="0"/>
        <w:rPr>
          <w:rFonts w:ascii="Times New Roman" w:hAnsi="Times New Roman"/>
          <w:szCs w:val="22"/>
          <w:lang w:val="fr-CA"/>
        </w:rPr>
      </w:pPr>
    </w:p>
    <w:p w14:paraId="5E1C7D44"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fr-CA"/>
        </w:rPr>
      </w:pPr>
      <w:r w:rsidRPr="00623A2B">
        <w:rPr>
          <w:rFonts w:ascii="Times New Roman" w:hAnsi="Times New Roman"/>
          <w:szCs w:val="22"/>
          <w:lang w:val="fr-CA"/>
        </w:rPr>
        <w:t xml:space="preserve">De reconnaître qu’il est nécessaire de fournir aux migrants un accès aux politiques de prise en charge sanitaire, de prévention des maladies et d’éducation, en vue de leur pleine intégration dans les pays d’accueil, quel que soit leur statut migratoire, conformément aux lois nationales et aux obligations internationales applicables, en tenant compte des effets défavorables de la pandémie de COVID-19 à travers le continent tout entier, en particulier au sein des groupes en situation de vulnérabilité. </w:t>
      </w:r>
    </w:p>
    <w:p w14:paraId="05FE8142" w14:textId="77777777" w:rsidR="00A84B93" w:rsidRPr="00623A2B" w:rsidRDefault="00A84B93" w:rsidP="00A84B93">
      <w:pPr>
        <w:pStyle w:val="ListParagraph"/>
        <w:rPr>
          <w:rFonts w:ascii="Times New Roman" w:hAnsi="Times New Roman"/>
          <w:szCs w:val="22"/>
          <w:lang w:val="fr-CA"/>
        </w:rPr>
      </w:pPr>
    </w:p>
    <w:p w14:paraId="0FB17581"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fr-CA"/>
        </w:rPr>
      </w:pPr>
      <w:r w:rsidRPr="00623A2B">
        <w:rPr>
          <w:rFonts w:ascii="Times New Roman" w:hAnsi="Times New Roman"/>
          <w:szCs w:val="22"/>
          <w:lang w:val="fr-CA"/>
        </w:rPr>
        <w:t>D’encourager les pays de la région à établir ou à mettre en œuvre, si nécessaire, des accords de coopération et des protocoles de prise en charge, d’assistance et de protection des enfants et des adolescents, accompagnés et non accompagnés, en promouvant l'intérêt supérieur de l'enfant, en respectant et en protégeant leurs droits, en tenant compte des obligations des pays en vertu du droit international des droits de la personne. De même, d'exhorter les États membres à veiller à ce que les enfants et les adolescents, accompagnés et non accompagnés, bénéficient d'une assistance et d'une protection spécialisées dans toute situation les concernant.</w:t>
      </w:r>
      <w:r w:rsidRPr="00623A2B">
        <w:rPr>
          <w:rStyle w:val="FootnoteReference"/>
          <w:rFonts w:ascii="Times New Roman" w:hAnsi="Times New Roman"/>
          <w:szCs w:val="22"/>
          <w:u w:val="single"/>
        </w:rPr>
        <w:footnoteReference w:id="28"/>
      </w:r>
      <w:r w:rsidRPr="00623A2B">
        <w:rPr>
          <w:rFonts w:ascii="Times New Roman" w:hAnsi="Times New Roman"/>
          <w:szCs w:val="22"/>
          <w:vertAlign w:val="superscript"/>
          <w:lang w:val="fr-CA"/>
        </w:rPr>
        <w:t xml:space="preserve">/ </w:t>
      </w:r>
    </w:p>
    <w:p w14:paraId="25F59601" w14:textId="77777777" w:rsidR="00A84B93" w:rsidRPr="00623A2B" w:rsidRDefault="00A84B93" w:rsidP="00A84B93">
      <w:pPr>
        <w:pStyle w:val="ListParagraph"/>
        <w:ind w:left="0"/>
        <w:rPr>
          <w:rFonts w:ascii="Times New Roman" w:hAnsi="Times New Roman"/>
          <w:szCs w:val="22"/>
          <w:lang w:val="fr-CA"/>
        </w:rPr>
      </w:pPr>
    </w:p>
    <w:p w14:paraId="59886A6C"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fr-CA"/>
        </w:rPr>
      </w:pPr>
      <w:r w:rsidRPr="00623A2B">
        <w:rPr>
          <w:rFonts w:ascii="Times New Roman" w:hAnsi="Times New Roman"/>
          <w:szCs w:val="22"/>
          <w:lang w:val="fr-CA"/>
        </w:rPr>
        <w:t xml:space="preserve">D’inviter instamment les États membres à prendre en compte les droits des migrants et de leurs </w:t>
      </w:r>
      <w:r w:rsidRPr="00623A2B">
        <w:rPr>
          <w:rFonts w:ascii="Times New Roman" w:hAnsi="Times New Roman"/>
          <w:color w:val="000000" w:themeColor="text1"/>
          <w:szCs w:val="22"/>
          <w:lang w:val="fr-CA"/>
        </w:rPr>
        <w:t>familles</w:t>
      </w:r>
      <w:r w:rsidRPr="00623A2B">
        <w:rPr>
          <w:rFonts w:ascii="Times New Roman" w:hAnsi="Times New Roman"/>
          <w:szCs w:val="22"/>
          <w:lang w:val="fr-CA"/>
        </w:rPr>
        <w:t xml:space="preserve">, selon une démarche intégrée soucieuse des droits de la personne, lors de la formulation et de la mise en œuvre des politiques de lutte contre la pandémie de COVID-19, en tenant compte des répercussions particulières sur les femmes, les enfants et les adolescents, les personnes handicapées et les personnes âgées, sur la base des principes d’égalité et de non-discrimination et conformément à la législation nationale de chaque État membre et à ses obligations internationales. </w:t>
      </w:r>
    </w:p>
    <w:p w14:paraId="616784B4" w14:textId="77777777" w:rsidR="00A84B93" w:rsidRPr="00623A2B" w:rsidRDefault="00A84B93" w:rsidP="00A84B93">
      <w:pPr>
        <w:pStyle w:val="ListParagraph"/>
        <w:ind w:left="0"/>
        <w:rPr>
          <w:rFonts w:ascii="Times New Roman" w:hAnsi="Times New Roman"/>
          <w:szCs w:val="22"/>
          <w:lang w:val="fr-CA"/>
        </w:rPr>
      </w:pPr>
    </w:p>
    <w:p w14:paraId="5B5AD491"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fr-CA"/>
        </w:rPr>
      </w:pPr>
      <w:r w:rsidRPr="00623A2B">
        <w:rPr>
          <w:rFonts w:ascii="Times New Roman" w:hAnsi="Times New Roman"/>
          <w:szCs w:val="22"/>
          <w:lang w:val="fr-CA"/>
        </w:rPr>
        <w:t xml:space="preserve">D’encourager des initiatives de coopération internationale pour soutenir les migrants dans les </w:t>
      </w:r>
      <w:r w:rsidRPr="00623A2B">
        <w:rPr>
          <w:rFonts w:ascii="Times New Roman" w:hAnsi="Times New Roman"/>
          <w:color w:val="000000" w:themeColor="text1"/>
          <w:szCs w:val="22"/>
          <w:lang w:val="fr-CA"/>
        </w:rPr>
        <w:t>pays</w:t>
      </w:r>
      <w:r w:rsidRPr="00623A2B">
        <w:rPr>
          <w:rFonts w:ascii="Times New Roman" w:hAnsi="Times New Roman"/>
          <w:szCs w:val="22"/>
          <w:lang w:val="fr-CA"/>
        </w:rPr>
        <w:t xml:space="preserve"> d’origine, de transit, de destination et de retour, de même que les réfugiés et demandeurs d’asile, et d’assurer, le cas échéant, l’apport d’une aide humanitaire et au développement ainsi que leur pleine intégration et insertion socioéconomique, conformément à la législation nationale et internationale applicable. </w:t>
      </w:r>
    </w:p>
    <w:p w14:paraId="46999D16" w14:textId="77777777" w:rsidR="00A84B93" w:rsidRPr="00623A2B" w:rsidRDefault="00A84B93" w:rsidP="00A84B93">
      <w:pPr>
        <w:pStyle w:val="ListParagraph"/>
        <w:ind w:left="0"/>
        <w:rPr>
          <w:rFonts w:ascii="Times New Roman" w:hAnsi="Times New Roman"/>
          <w:szCs w:val="22"/>
          <w:lang w:val="fr-CA"/>
        </w:rPr>
      </w:pPr>
    </w:p>
    <w:p w14:paraId="0E2C29BD"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fr-CA"/>
        </w:rPr>
      </w:pPr>
      <w:r w:rsidRPr="00623A2B">
        <w:rPr>
          <w:rFonts w:ascii="Times New Roman" w:hAnsi="Times New Roman"/>
          <w:szCs w:val="22"/>
          <w:lang w:val="fr-CA"/>
        </w:rPr>
        <w:t xml:space="preserve">De promouvoir et de soutenir, par le biais de politiques de coopération en matière de migration, en tenant compte des objectifs d'intégration socio-économique, le renforcement et le développement des capacités des États membres, en particulier celles des petits États insulaires en développement, </w:t>
      </w:r>
      <w:r w:rsidRPr="00623A2B">
        <w:rPr>
          <w:rFonts w:ascii="Times New Roman" w:hAnsi="Times New Roman"/>
          <w:color w:val="000000" w:themeColor="text1"/>
          <w:szCs w:val="22"/>
          <w:lang w:val="fr-CA"/>
        </w:rPr>
        <w:t>en</w:t>
      </w:r>
      <w:r w:rsidRPr="00623A2B">
        <w:rPr>
          <w:rFonts w:ascii="Times New Roman" w:hAnsi="Times New Roman"/>
          <w:szCs w:val="22"/>
          <w:lang w:val="fr-CA"/>
        </w:rPr>
        <w:t xml:space="preserve"> appliquant une approche fondée sur les droits de la personne et le développement durable. </w:t>
      </w:r>
    </w:p>
    <w:p w14:paraId="4F49FBD8" w14:textId="77777777" w:rsidR="00A84B93" w:rsidRPr="00623A2B" w:rsidRDefault="00A84B93" w:rsidP="00A84B93">
      <w:pPr>
        <w:pStyle w:val="ListParagraph"/>
        <w:ind w:left="0"/>
        <w:rPr>
          <w:rFonts w:ascii="Times New Roman" w:hAnsi="Times New Roman"/>
          <w:szCs w:val="22"/>
          <w:lang w:val="fr-CA"/>
        </w:rPr>
      </w:pPr>
    </w:p>
    <w:p w14:paraId="644F728C"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fr-CA"/>
        </w:rPr>
      </w:pPr>
      <w:r w:rsidRPr="00623A2B">
        <w:rPr>
          <w:rFonts w:ascii="Times New Roman" w:hAnsi="Times New Roman"/>
          <w:szCs w:val="22"/>
          <w:lang w:val="fr-CA"/>
        </w:rPr>
        <w:t xml:space="preserve">De reconnaître les défis de la mobilité humaine causés par les effets des catastrophes naturelles, la dégradation de l’environnement et la perte de biodiversité entraînées par le changement climatique, qui sont documentés dans les conclusions du Groupe d'experts intergouvernemental sur l'évolution du climat (GIEC) des Nations Unies figurant dans son rapport « Changement </w:t>
      </w:r>
      <w:r w:rsidRPr="00623A2B">
        <w:rPr>
          <w:rFonts w:ascii="Times New Roman" w:hAnsi="Times New Roman"/>
          <w:color w:val="000000" w:themeColor="text1"/>
          <w:szCs w:val="22"/>
          <w:lang w:val="fr-CA"/>
        </w:rPr>
        <w:t>climatique</w:t>
      </w:r>
      <w:r w:rsidRPr="00623A2B">
        <w:rPr>
          <w:rFonts w:ascii="Times New Roman" w:hAnsi="Times New Roman"/>
          <w:szCs w:val="22"/>
          <w:lang w:val="fr-CA"/>
        </w:rPr>
        <w:t xml:space="preserve"> 2021 : la base des sciences physiques ». De reconnaître également l'incidence que les catastrophes naturelles et les effets du changement climatique, de la dégradation de l'environnement et de la perte </w:t>
      </w:r>
      <w:r w:rsidRPr="00623A2B">
        <w:rPr>
          <w:rFonts w:ascii="Times New Roman" w:hAnsi="Times New Roman"/>
          <w:szCs w:val="22"/>
          <w:lang w:val="fr-CA"/>
        </w:rPr>
        <w:lastRenderedPageBreak/>
        <w:t xml:space="preserve">de biodiversité ont sur la migration, en particulier pour les femmes et les filles, ainsi que pour les personnes appartenant à des groupes historiquement vulnérables. De reconnaître également la nécessité de s'attaquer aux causes structurelles qui augmentent le risque de catastrophes, avec les déplacements de population qui en découlent, en se concentrant sur les actions d'atténuation et de prévention. À cet égard, de réaffirmer la validité de la Déclaration AG/DEC. 88 (XLVI-O/16), Déclaration sur le changement climatique, la sécurité alimentaire et la migration dans les Amériques, approuvée par l'Assemblée générale le 14 juin 2016, ainsi que l'importance de progresser dans sa mise en œuvre. </w:t>
      </w:r>
    </w:p>
    <w:p w14:paraId="56EA3FF9" w14:textId="77777777" w:rsidR="00A84B93" w:rsidRPr="00623A2B" w:rsidRDefault="00A84B93" w:rsidP="00A84B93">
      <w:pPr>
        <w:pStyle w:val="ListParagraph"/>
        <w:ind w:left="0"/>
        <w:rPr>
          <w:rFonts w:ascii="Times New Roman" w:hAnsi="Times New Roman"/>
          <w:szCs w:val="22"/>
          <w:lang w:val="fr-CA"/>
        </w:rPr>
      </w:pPr>
    </w:p>
    <w:p w14:paraId="73A5087F"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fr-CA"/>
        </w:rPr>
      </w:pPr>
      <w:r w:rsidRPr="00623A2B">
        <w:rPr>
          <w:rFonts w:ascii="Times New Roman" w:hAnsi="Times New Roman"/>
          <w:szCs w:val="22"/>
          <w:lang w:val="fr-CA"/>
        </w:rPr>
        <w:t xml:space="preserve">De promouvoir des initiatives de coopération internationale en matière de migration pour </w:t>
      </w:r>
      <w:r w:rsidRPr="00623A2B">
        <w:rPr>
          <w:rFonts w:ascii="Times New Roman" w:hAnsi="Times New Roman"/>
          <w:color w:val="000000" w:themeColor="text1"/>
          <w:szCs w:val="22"/>
          <w:lang w:val="fr-CA"/>
        </w:rPr>
        <w:t>soutenir</w:t>
      </w:r>
      <w:r w:rsidRPr="00623A2B">
        <w:rPr>
          <w:rFonts w:ascii="Times New Roman" w:hAnsi="Times New Roman"/>
          <w:szCs w:val="22"/>
          <w:lang w:val="fr-CA"/>
        </w:rPr>
        <w:t xml:space="preserve"> les États membres touchés par les catastrophes naturelles ou causées par l’homme. </w:t>
      </w:r>
    </w:p>
    <w:p w14:paraId="1D43F68F" w14:textId="77777777" w:rsidR="00A84B93" w:rsidRPr="00623A2B" w:rsidRDefault="00A84B93" w:rsidP="00A84B93">
      <w:pPr>
        <w:pStyle w:val="ListParagraph"/>
        <w:ind w:left="0"/>
        <w:rPr>
          <w:rFonts w:ascii="Times New Roman" w:hAnsi="Times New Roman"/>
          <w:szCs w:val="22"/>
          <w:lang w:val="fr-CA"/>
        </w:rPr>
      </w:pPr>
    </w:p>
    <w:p w14:paraId="5356A0B1"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fr-CA"/>
        </w:rPr>
      </w:pPr>
      <w:r w:rsidRPr="00623A2B">
        <w:rPr>
          <w:rFonts w:ascii="Times New Roman" w:hAnsi="Times New Roman"/>
          <w:szCs w:val="22"/>
          <w:lang w:val="fr-CA"/>
        </w:rPr>
        <w:t xml:space="preserve">De rendre hommage au travail des mécanismes régionaux existants, tels que la Conférence régionale sur la migration, la Conférence sud-américaine sur la migration, les Consultations des </w:t>
      </w:r>
      <w:r w:rsidRPr="00623A2B">
        <w:rPr>
          <w:rFonts w:ascii="Times New Roman" w:hAnsi="Times New Roman"/>
          <w:color w:val="000000" w:themeColor="text1"/>
          <w:szCs w:val="22"/>
          <w:lang w:val="fr-CA"/>
        </w:rPr>
        <w:t>Caraïbes</w:t>
      </w:r>
      <w:r w:rsidRPr="00623A2B">
        <w:rPr>
          <w:rFonts w:ascii="Times New Roman" w:hAnsi="Times New Roman"/>
          <w:szCs w:val="22"/>
          <w:lang w:val="fr-CA"/>
        </w:rPr>
        <w:t xml:space="preserve"> sur la migration (CMC), le processus de Quito, la Communauté andine, le </w:t>
      </w:r>
      <w:r w:rsidRPr="00623A2B">
        <w:rPr>
          <w:rFonts w:ascii="Times New Roman" w:hAnsi="Times New Roman"/>
          <w:bCs/>
          <w:color w:val="000000"/>
          <w:szCs w:val="22"/>
          <w:lang w:val="fr-CA" w:eastAsia="es-MX"/>
        </w:rPr>
        <w:t>Cadre intégral régional pour la protection et les solutions (MIRPS)</w:t>
      </w:r>
      <w:r w:rsidRPr="00623A2B">
        <w:rPr>
          <w:rFonts w:ascii="Times New Roman" w:hAnsi="Times New Roman"/>
          <w:szCs w:val="22"/>
          <w:lang w:val="fr-CA"/>
        </w:rPr>
        <w:t xml:space="preserve">, et d'autres espaces régionaux ayant un champ d’action important en la matière, et de prendre en compte leur recommandations, selon le cas. </w:t>
      </w:r>
    </w:p>
    <w:p w14:paraId="3D5F90D9" w14:textId="77777777" w:rsidR="00A84B93" w:rsidRPr="00623A2B" w:rsidRDefault="00A84B93" w:rsidP="00A84B93">
      <w:pPr>
        <w:pStyle w:val="ListParagraph"/>
        <w:ind w:left="0"/>
        <w:rPr>
          <w:rFonts w:ascii="Times New Roman" w:hAnsi="Times New Roman"/>
          <w:szCs w:val="22"/>
          <w:lang w:val="fr-CA"/>
        </w:rPr>
      </w:pPr>
    </w:p>
    <w:p w14:paraId="1644B9EA"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fr-CA"/>
        </w:rPr>
      </w:pPr>
      <w:r w:rsidRPr="00623A2B">
        <w:rPr>
          <w:rFonts w:ascii="Times New Roman" w:hAnsi="Times New Roman"/>
          <w:szCs w:val="22"/>
          <w:lang w:val="fr-CA"/>
        </w:rPr>
        <w:t xml:space="preserve">De réaffirmer l’importance de continuer de renforcer et de promouvoir le dialogue, les échanges d’informations et la coopération régionale et bilatérale sur les questions de migration, selon le cas, au moment d’aborder les défis de la migration dans le continent américain, en particulier au sein du Conseil permanent et au sein du CIDI et de ses organes subsidiaires comme la Commission sur les questions de migration, conformément aux dispositions de la résolution AG/RES. 2910 (XLVII-O/17), « Migration dans les Amériques », et de la déclaration CP/DEC. 68 (2099/16), « Coopération interaméricaine pour faire face aux défis et aux possibilités de la migration », adoptée par le Conseil permanent le 15 décembre 2016. </w:t>
      </w:r>
    </w:p>
    <w:p w14:paraId="659CFAC1" w14:textId="77777777" w:rsidR="00A84B93" w:rsidRPr="00623A2B" w:rsidRDefault="00A84B93" w:rsidP="00A84B93">
      <w:pPr>
        <w:pStyle w:val="ListParagraph"/>
        <w:ind w:left="0"/>
        <w:rPr>
          <w:rFonts w:ascii="Times New Roman" w:hAnsi="Times New Roman"/>
          <w:szCs w:val="22"/>
          <w:lang w:val="fr-CA"/>
        </w:rPr>
      </w:pPr>
    </w:p>
    <w:p w14:paraId="524CB985"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fr-CA"/>
        </w:rPr>
      </w:pPr>
      <w:r w:rsidRPr="00623A2B">
        <w:rPr>
          <w:rFonts w:ascii="Times New Roman" w:hAnsi="Times New Roman"/>
          <w:szCs w:val="22"/>
          <w:lang w:val="fr-CA"/>
        </w:rPr>
        <w:t xml:space="preserve">De souligner et de réaffirmer l'importance du Système continu pour l’établissement de rapports sur la </w:t>
      </w:r>
      <w:r w:rsidRPr="00623A2B">
        <w:rPr>
          <w:rFonts w:ascii="Times New Roman" w:hAnsi="Times New Roman"/>
          <w:color w:val="000000" w:themeColor="text1"/>
          <w:szCs w:val="22"/>
          <w:lang w:val="fr-CA"/>
        </w:rPr>
        <w:t>migration</w:t>
      </w:r>
      <w:r w:rsidRPr="00623A2B">
        <w:rPr>
          <w:rFonts w:ascii="Times New Roman" w:hAnsi="Times New Roman"/>
          <w:szCs w:val="22"/>
          <w:lang w:val="fr-CA"/>
        </w:rPr>
        <w:t xml:space="preserve"> internationale dans les Amériques (SICREMI), un instrument de la région qui sert à produire et analyser des informations sur les flux migratoires, les cadres normatifs et les politiques publiques en matière de migration dans le continent américain. De charger le Secrétariat général de procéder à l’élaboration de la prochaine édition du rapport du SICREMI sous réserve de la disponibilité des ressources et en aménageant des espaces de coordination avec d’autres institutions du système interaméricain et d’autres acteurs stratégiques. De même, d’encourager les États membres à rejoindre le SICREMI et de les encourager, ainsi que les États observateurs, à envisager de verser des contributions volontaires pour assurer sa viabilité financière. </w:t>
      </w:r>
    </w:p>
    <w:p w14:paraId="6476035F" w14:textId="77777777" w:rsidR="00A84B93" w:rsidRPr="00623A2B" w:rsidRDefault="00A84B93" w:rsidP="00A84B93">
      <w:pPr>
        <w:pStyle w:val="ListParagraph"/>
        <w:ind w:left="0"/>
        <w:rPr>
          <w:rFonts w:ascii="Times New Roman" w:hAnsi="Times New Roman"/>
          <w:szCs w:val="22"/>
          <w:lang w:val="fr-CA"/>
        </w:rPr>
      </w:pPr>
    </w:p>
    <w:p w14:paraId="1E6C4E79"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fr-CA"/>
        </w:rPr>
      </w:pPr>
      <w:r w:rsidRPr="00623A2B">
        <w:rPr>
          <w:rFonts w:ascii="Times New Roman" w:hAnsi="Times New Roman"/>
          <w:szCs w:val="22"/>
          <w:lang w:val="fr-CA"/>
        </w:rPr>
        <w:t xml:space="preserve">D’encourager les États membres à promouvoir des transferts de fonds plus rapides, plus sûrs et moins coûteux, dans le but de réduire, d'ici 2030, le coût moyen des transactions à moins de 3 % du montant transféré, en développant des cadres politiques et réglementaires qui favorisent la concurrence, la réglementation et l'innovation sur le marché des transferts de fonds, en proposant des </w:t>
      </w:r>
      <w:r w:rsidRPr="00623A2B">
        <w:rPr>
          <w:rFonts w:ascii="Times New Roman" w:hAnsi="Times New Roman"/>
          <w:color w:val="000000" w:themeColor="text1"/>
          <w:szCs w:val="22"/>
          <w:lang w:val="fr-CA"/>
        </w:rPr>
        <w:t>programmes</w:t>
      </w:r>
      <w:r w:rsidRPr="00623A2B">
        <w:rPr>
          <w:rFonts w:ascii="Times New Roman" w:hAnsi="Times New Roman"/>
          <w:szCs w:val="22"/>
          <w:lang w:val="fr-CA"/>
        </w:rPr>
        <w:t xml:space="preserve"> et des instruments sensibles au genre, en vue d'améliorer l'inclusion financière des migrants et de leurs familles. </w:t>
      </w:r>
    </w:p>
    <w:p w14:paraId="3C0B2E35" w14:textId="77777777" w:rsidR="00A84B93" w:rsidRPr="00623A2B" w:rsidRDefault="00A84B93" w:rsidP="00A84B93">
      <w:pPr>
        <w:pStyle w:val="ListParagraph"/>
        <w:ind w:left="0"/>
        <w:rPr>
          <w:rFonts w:ascii="Times New Roman" w:hAnsi="Times New Roman"/>
          <w:szCs w:val="22"/>
          <w:lang w:val="fr-CA"/>
        </w:rPr>
      </w:pPr>
    </w:p>
    <w:p w14:paraId="13F86E37"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fr-CA"/>
        </w:rPr>
      </w:pPr>
      <w:r w:rsidRPr="00623A2B">
        <w:rPr>
          <w:rFonts w:ascii="Times New Roman" w:hAnsi="Times New Roman"/>
          <w:szCs w:val="22"/>
          <w:lang w:val="fr-CA"/>
        </w:rPr>
        <w:t xml:space="preserve">De souligner les initiatives générées au niveau multilatéral pour le dialogue, les échanges d’information et la coopération en matière de migration et de protection internationale, et de prendre note des initiatives auxquelles participent certains États membres de l’OEA, telles que le Forum </w:t>
      </w:r>
      <w:r w:rsidRPr="00623A2B">
        <w:rPr>
          <w:rFonts w:ascii="Times New Roman" w:hAnsi="Times New Roman"/>
          <w:color w:val="000000" w:themeColor="text1"/>
          <w:szCs w:val="22"/>
          <w:lang w:val="fr-CA"/>
        </w:rPr>
        <w:t>mondial</w:t>
      </w:r>
      <w:r w:rsidRPr="00623A2B">
        <w:rPr>
          <w:rFonts w:ascii="Times New Roman" w:hAnsi="Times New Roman"/>
          <w:szCs w:val="22"/>
          <w:lang w:val="fr-CA"/>
        </w:rPr>
        <w:t xml:space="preserve"> sur la migration et le développement, le Pacte mondial pour des migrations sûres, ordonnées </w:t>
      </w:r>
      <w:r w:rsidRPr="00623A2B">
        <w:rPr>
          <w:rFonts w:ascii="Times New Roman" w:hAnsi="Times New Roman"/>
          <w:szCs w:val="22"/>
          <w:lang w:val="fr-CA"/>
        </w:rPr>
        <w:lastRenderedPageBreak/>
        <w:t xml:space="preserve">et régulières et le Pacte mondial sur les réfugiés, et d’encourager le Secrétariat de l'OEA à travailler en coordination et en collaboration avec d'autres institutions régionales et internationales. </w:t>
      </w:r>
    </w:p>
    <w:p w14:paraId="3CA8E7FB" w14:textId="77777777" w:rsidR="00A84B93" w:rsidRPr="00623A2B" w:rsidRDefault="00A84B93" w:rsidP="00A84B93">
      <w:pPr>
        <w:ind w:right="-29"/>
        <w:rPr>
          <w:rFonts w:ascii="Times New Roman" w:hAnsi="Times New Roman"/>
          <w:color w:val="000000" w:themeColor="text1"/>
          <w:szCs w:val="22"/>
          <w:lang w:val="fr-CA"/>
        </w:rPr>
      </w:pPr>
    </w:p>
    <w:p w14:paraId="36D86445" w14:textId="77777777" w:rsidR="00A84B93" w:rsidRPr="00623A2B" w:rsidRDefault="00A84B93" w:rsidP="00A84B93">
      <w:pPr>
        <w:widowControl/>
        <w:numPr>
          <w:ilvl w:val="1"/>
          <w:numId w:val="2"/>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color w:val="000000" w:themeColor="text1"/>
          <w:szCs w:val="22"/>
          <w:lang w:val="fr-CA"/>
        </w:rPr>
      </w:pPr>
      <w:r w:rsidRPr="00623A2B">
        <w:rPr>
          <w:rFonts w:ascii="Times New Roman" w:hAnsi="Times New Roman"/>
          <w:color w:val="000000" w:themeColor="text1"/>
          <w:szCs w:val="22"/>
          <w:lang w:val="fr-CA"/>
        </w:rPr>
        <w:t>LIGNE STRATÉGIQUE « ENCOURAGER LA COOPÉRATION POUR LE DÉVELOPPEMENT ET LA CRÉATION DE PARTENARIATS »</w:t>
      </w:r>
    </w:p>
    <w:p w14:paraId="268B8DF9"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lang w:val="fr-CA"/>
        </w:rPr>
      </w:pPr>
    </w:p>
    <w:p w14:paraId="52D25A4E"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fr-CA"/>
        </w:rPr>
      </w:pPr>
      <w:r w:rsidRPr="00623A2B">
        <w:rPr>
          <w:rFonts w:ascii="Times New Roman" w:hAnsi="Times New Roman"/>
          <w:color w:val="000000" w:themeColor="text1"/>
          <w:szCs w:val="22"/>
          <w:lang w:val="fr-CA"/>
        </w:rPr>
        <w:t>De charger le SEDI de renforcer ses mécanismes de coopération pour le développement visant à améliorer les capacités techniques et institutionnelles des États membres aux niveaux communautaire, national et régional, ainsi qu'à établir des alliances et des partenariats multisectoriels durables, afin d'aider les États membres, en mettant particulièrement l'accent sur l'aide au relèvement post-COVID-19.</w:t>
      </w:r>
    </w:p>
    <w:p w14:paraId="6ADF3BCC" w14:textId="77777777" w:rsidR="00A84B93" w:rsidRPr="00623A2B" w:rsidRDefault="00A84B93" w:rsidP="00A84B93">
      <w:pPr>
        <w:ind w:right="-29"/>
        <w:rPr>
          <w:rFonts w:ascii="Times New Roman" w:hAnsi="Times New Roman"/>
          <w:color w:val="000000" w:themeColor="text1"/>
          <w:szCs w:val="22"/>
          <w:lang w:val="fr-CA"/>
        </w:rPr>
      </w:pPr>
    </w:p>
    <w:p w14:paraId="1105FCAB"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fr-CA"/>
        </w:rPr>
      </w:pPr>
      <w:r w:rsidRPr="00623A2B">
        <w:rPr>
          <w:rFonts w:ascii="Times New Roman" w:hAnsi="Times New Roman"/>
          <w:color w:val="000000" w:themeColor="text1"/>
          <w:szCs w:val="22"/>
          <w:lang w:val="fr-CA"/>
        </w:rPr>
        <w:t xml:space="preserve">De reconnaître les progrès réalisés par le Conseil d’administration de l'Agence interaméricaine pour la coopération et le développement dans la mise en œuvre des huit actions prioritaires du plan de travail 2020-2021 de l'AICD </w:t>
      </w:r>
      <w:r w:rsidRPr="00623A2B">
        <w:rPr>
          <w:rFonts w:ascii="Times New Roman" w:hAnsi="Times New Roman"/>
          <w:color w:val="1F3864" w:themeColor="accent1" w:themeShade="80"/>
          <w:szCs w:val="22"/>
          <w:lang w:val="fr-CA"/>
        </w:rPr>
        <w:t>(</w:t>
      </w:r>
      <w:hyperlink r:id="rId54">
        <w:r w:rsidRPr="00623A2B">
          <w:rPr>
            <w:rFonts w:ascii="Times New Roman" w:hAnsi="Times New Roman"/>
            <w:color w:val="1F3864" w:themeColor="accent1" w:themeShade="80"/>
            <w:szCs w:val="22"/>
            <w:u w:val="single"/>
            <w:lang w:val="fr-CA"/>
          </w:rPr>
          <w:t xml:space="preserve">AICD/JD/doc.177/20 </w:t>
        </w:r>
        <w:proofErr w:type="spellStart"/>
        <w:r w:rsidRPr="00623A2B">
          <w:rPr>
            <w:rFonts w:ascii="Times New Roman" w:hAnsi="Times New Roman"/>
            <w:color w:val="1F3864" w:themeColor="accent1" w:themeShade="80"/>
            <w:szCs w:val="22"/>
            <w:u w:val="single"/>
            <w:lang w:val="fr-CA"/>
          </w:rPr>
          <w:t>rev</w:t>
        </w:r>
        <w:proofErr w:type="spellEnd"/>
        <w:r w:rsidRPr="00623A2B">
          <w:rPr>
            <w:rFonts w:ascii="Times New Roman" w:hAnsi="Times New Roman"/>
            <w:color w:val="1F3864" w:themeColor="accent1" w:themeShade="80"/>
            <w:szCs w:val="22"/>
            <w:u w:val="single"/>
            <w:lang w:val="fr-CA"/>
          </w:rPr>
          <w:t>. 2</w:t>
        </w:r>
      </w:hyperlink>
      <w:r w:rsidRPr="00623A2B">
        <w:rPr>
          <w:rFonts w:ascii="Times New Roman" w:hAnsi="Times New Roman"/>
          <w:color w:val="1F3864" w:themeColor="accent1" w:themeShade="80"/>
          <w:szCs w:val="22"/>
          <w:lang w:val="fr-CA"/>
        </w:rPr>
        <w:t xml:space="preserve">) </w:t>
      </w:r>
      <w:r w:rsidRPr="00623A2B">
        <w:rPr>
          <w:rFonts w:ascii="Times New Roman" w:hAnsi="Times New Roman"/>
          <w:color w:val="000000" w:themeColor="text1"/>
          <w:szCs w:val="22"/>
          <w:lang w:val="fr-CA"/>
        </w:rPr>
        <w:t>et le soutien apporté par le SEDI dans cette avancée, malgré les contraintes rencontrées en raison de la pandémie de COVID- 19.  En outre, de prendre note de la mise à jour de son calendrier et d’encourager les États membres à continuer de fournir et d'élargir les possibilités de coopération offertes par la mise en œuvre de ce plan.</w:t>
      </w:r>
      <w:r w:rsidRPr="00623A2B">
        <w:rPr>
          <w:rFonts w:ascii="Times New Roman" w:hAnsi="Times New Roman"/>
          <w:b/>
          <w:color w:val="000000" w:themeColor="text1"/>
          <w:szCs w:val="22"/>
          <w:lang w:val="fr-CA"/>
        </w:rPr>
        <w:t xml:space="preserve"> </w:t>
      </w:r>
    </w:p>
    <w:p w14:paraId="2DBAF3D4" w14:textId="77777777" w:rsidR="00A84B93" w:rsidRPr="00623A2B" w:rsidRDefault="00A84B93" w:rsidP="00A84B93">
      <w:pPr>
        <w:shd w:val="clear" w:color="auto" w:fill="FFFFFF"/>
        <w:ind w:right="-29"/>
        <w:rPr>
          <w:rFonts w:ascii="Times New Roman" w:hAnsi="Times New Roman"/>
          <w:color w:val="000000" w:themeColor="text1"/>
          <w:szCs w:val="22"/>
          <w:lang w:val="fr-CA"/>
        </w:rPr>
      </w:pPr>
    </w:p>
    <w:p w14:paraId="7828DF55"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 réitérer aux États membres l'importance des contributions volontaires au Fonds de coopération pour le développement (FCD) dans le but de renforcer leurs capacités à répondre efficacement aux besoins émergents des États membres, en accordant une attention particulière au relèvement post-COVID-19.</w:t>
      </w:r>
    </w:p>
    <w:p w14:paraId="530CBF7B" w14:textId="77777777" w:rsidR="00A84B93" w:rsidRPr="00623A2B" w:rsidRDefault="00A84B93" w:rsidP="00A84B93">
      <w:pPr>
        <w:ind w:right="-29"/>
        <w:rPr>
          <w:rFonts w:ascii="Times New Roman" w:hAnsi="Times New Roman"/>
          <w:color w:val="000000" w:themeColor="text1"/>
          <w:szCs w:val="22"/>
          <w:lang w:val="fr-CA"/>
        </w:rPr>
      </w:pPr>
    </w:p>
    <w:p w14:paraId="2B1AB869"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 prendre note avec satisfaction de la convocation de la Troisième Réunion spécialisée du CIDI des hauts fonctionnaires chargés de la coopération, qui se tiendra virtuellement les 2 et 3 décembre 2021, et déclarer attendre avec intérêt les résultats de ladite réunion.</w:t>
      </w:r>
    </w:p>
    <w:p w14:paraId="3B216F1C" w14:textId="77777777" w:rsidR="00A84B93" w:rsidRPr="00623A2B" w:rsidRDefault="00A84B93" w:rsidP="00A84B93">
      <w:pPr>
        <w:ind w:right="-29"/>
        <w:rPr>
          <w:rFonts w:ascii="Times New Roman" w:hAnsi="Times New Roman"/>
          <w:color w:val="000000" w:themeColor="text1"/>
          <w:szCs w:val="22"/>
          <w:lang w:val="fr-CA"/>
        </w:rPr>
      </w:pPr>
    </w:p>
    <w:p w14:paraId="0CB04C48"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 charger le Secrétariat de la Commission interaméricaine des ports (CIP) de continuer à promouvoir l'établissement d'alliances stratégiques, en particulier avec le secteur privé, afin de contribuer à un développement économique, social et environnemental durable du secteur portuaire maritime des Amériques, en mettant l'accent sur la relation port-ville au moyen d'activités concrètes telles que des séminaires, des cours, des enquêtes d'évaluation, une assistance technique et des projets</w:t>
      </w:r>
      <w:r w:rsidRPr="00623A2B">
        <w:rPr>
          <w:rFonts w:ascii="Times New Roman" w:hAnsi="Times New Roman"/>
          <w:b/>
          <w:color w:val="000000" w:themeColor="text1"/>
          <w:szCs w:val="22"/>
          <w:lang w:val="fr-CA"/>
        </w:rPr>
        <w:t xml:space="preserve"> </w:t>
      </w:r>
      <w:r w:rsidRPr="00623A2B">
        <w:rPr>
          <w:rFonts w:ascii="Times New Roman" w:hAnsi="Times New Roman"/>
          <w:color w:val="000000" w:themeColor="text1"/>
          <w:szCs w:val="22"/>
          <w:lang w:val="fr-CA"/>
        </w:rPr>
        <w:t>à l’intention des États membres.</w:t>
      </w:r>
    </w:p>
    <w:p w14:paraId="626B2817" w14:textId="77777777" w:rsidR="00A84B93" w:rsidRPr="00623A2B" w:rsidRDefault="00A84B93" w:rsidP="00A84B93">
      <w:pPr>
        <w:ind w:right="-29"/>
        <w:rPr>
          <w:rFonts w:ascii="Times New Roman" w:hAnsi="Times New Roman"/>
          <w:color w:val="000000" w:themeColor="text1"/>
          <w:szCs w:val="22"/>
          <w:lang w:val="fr-CA"/>
        </w:rPr>
      </w:pPr>
    </w:p>
    <w:p w14:paraId="43EDF490"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 demander instamment aux États membres de poursuivre le dialogue, dans le cadre du CIDI, sur l’accès au financement international</w:t>
      </w:r>
      <w:r w:rsidRPr="00623A2B">
        <w:rPr>
          <w:rStyle w:val="FootnoteReference"/>
          <w:rFonts w:ascii="Times New Roman" w:hAnsi="Times New Roman"/>
          <w:color w:val="000000" w:themeColor="text1"/>
          <w:szCs w:val="22"/>
          <w:u w:val="single"/>
        </w:rPr>
        <w:footnoteReference w:id="29"/>
      </w:r>
      <w:r w:rsidRPr="00623A2B">
        <w:rPr>
          <w:rFonts w:ascii="Times New Roman" w:hAnsi="Times New Roman"/>
          <w:color w:val="000000" w:themeColor="text1"/>
          <w:szCs w:val="22"/>
          <w:vertAlign w:val="superscript"/>
          <w:lang w:val="fr-CA"/>
        </w:rPr>
        <w:t>/</w:t>
      </w:r>
      <w:r w:rsidRPr="00623A2B">
        <w:rPr>
          <w:rFonts w:ascii="Times New Roman" w:hAnsi="Times New Roman"/>
          <w:color w:val="000000" w:themeColor="text1"/>
          <w:szCs w:val="22"/>
          <w:lang w:val="fr-CA"/>
        </w:rPr>
        <w:t xml:space="preserve"> et le renforcement des mécanismes de coopération internationale pour faire avancer le programme de développement durable, en accordant une attention particulière aux défis spécifiques auxquels sont confrontés les petits États insulaires et de faible altitude en développement ainsi que les pays à faible revenu et à revenu intermédiaire de la région, et d’envisager, en plus des indicateurs sur le niveau des revenus, des critères supplémentaires pour évaluer la pauvreté et le développement des pays, y compris la vulnérabilité, afin de parvenir à une reconstruction et un développement socio-économiques plus durables et à l’épreuve du climat.</w:t>
      </w:r>
      <w:r w:rsidRPr="00623A2B">
        <w:rPr>
          <w:rFonts w:ascii="Times New Roman" w:hAnsi="Times New Roman"/>
          <w:b/>
          <w:color w:val="000000" w:themeColor="text1"/>
          <w:szCs w:val="22"/>
          <w:lang w:val="fr-CA"/>
        </w:rPr>
        <w:t xml:space="preserve"> </w:t>
      </w:r>
    </w:p>
    <w:p w14:paraId="1ACC1BF8" w14:textId="77777777" w:rsidR="00A84B93" w:rsidRPr="00623A2B" w:rsidRDefault="00A84B93" w:rsidP="00A84B93">
      <w:pPr>
        <w:ind w:right="-29"/>
        <w:rPr>
          <w:rFonts w:ascii="Times New Roman" w:hAnsi="Times New Roman"/>
          <w:color w:val="000000" w:themeColor="text1"/>
          <w:szCs w:val="22"/>
          <w:lang w:val="fr-CA"/>
        </w:rPr>
      </w:pPr>
    </w:p>
    <w:p w14:paraId="2359C2E6" w14:textId="77777777" w:rsidR="00A84B93" w:rsidRPr="00623A2B" w:rsidRDefault="00A84B93" w:rsidP="00A84B93">
      <w:pPr>
        <w:widowControl/>
        <w:numPr>
          <w:ilvl w:val="1"/>
          <w:numId w:val="2"/>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color w:val="000000" w:themeColor="text1"/>
          <w:szCs w:val="22"/>
          <w:lang w:val="fr-CA"/>
        </w:rPr>
      </w:pPr>
      <w:r w:rsidRPr="00623A2B">
        <w:rPr>
          <w:rFonts w:ascii="Times New Roman" w:hAnsi="Times New Roman"/>
          <w:color w:val="000000" w:themeColor="text1"/>
          <w:szCs w:val="22"/>
          <w:lang w:val="fr-CA"/>
        </w:rPr>
        <w:lastRenderedPageBreak/>
        <w:t>LIGNE STRATÉGIQUE « </w:t>
      </w:r>
      <w:r w:rsidRPr="00623A2B">
        <w:rPr>
          <w:rFonts w:ascii="Times New Roman" w:hAnsi="Times New Roman"/>
          <w:szCs w:val="22"/>
          <w:lang w:val="fr-CA"/>
        </w:rPr>
        <w:t>PROMOUVOIR</w:t>
      </w:r>
      <w:r w:rsidRPr="00623A2B">
        <w:rPr>
          <w:rFonts w:ascii="Times New Roman" w:hAnsi="Times New Roman"/>
          <w:color w:val="000000" w:themeColor="text1"/>
          <w:szCs w:val="22"/>
          <w:lang w:val="fr-CA"/>
        </w:rPr>
        <w:t xml:space="preserve"> L’INCLUSION SOCIALE ASSORTIE D’ÉQUITÉ POUR CONTRIBUER AU DÉVELOPPEMENT DURABLE DANS LES AMÉRIQUES »</w:t>
      </w:r>
      <w:bookmarkStart w:id="19" w:name="_heading=h.26in1rg"/>
      <w:bookmarkEnd w:id="19"/>
    </w:p>
    <w:p w14:paraId="4596C82C" w14:textId="77777777" w:rsidR="00A84B93" w:rsidRPr="00623A2B" w:rsidRDefault="00A84B93" w:rsidP="00A84B93">
      <w:pPr>
        <w:ind w:right="-29"/>
        <w:rPr>
          <w:rFonts w:ascii="Times New Roman" w:hAnsi="Times New Roman"/>
          <w:color w:val="000000" w:themeColor="text1"/>
          <w:szCs w:val="22"/>
          <w:lang w:val="fr-CA"/>
        </w:rPr>
      </w:pPr>
    </w:p>
    <w:p w14:paraId="448A18ED"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De réaffirmer l'importance de l'adoption, pour la première fois au niveau interaméricain, dans le domaine du développement social, du Plan d'action de de Guatemala 2019 « Éliminer la pauvreté multidimensionnelle et combler les écarts d’équité sociale : </w:t>
      </w:r>
      <w:r w:rsidRPr="00623A2B">
        <w:rPr>
          <w:rFonts w:ascii="Times New Roman" w:hAnsi="Times New Roman"/>
          <w:szCs w:val="22"/>
          <w:lang w:val="fr-CA"/>
        </w:rPr>
        <w:t>Vers un programme interaméricain de développement social »</w:t>
      </w:r>
      <w:r w:rsidRPr="00623A2B">
        <w:rPr>
          <w:rFonts w:ascii="Times New Roman" w:hAnsi="Times New Roman"/>
          <w:color w:val="1F3864" w:themeColor="accent1" w:themeShade="80"/>
          <w:szCs w:val="22"/>
          <w:lang w:val="fr-CA"/>
        </w:rPr>
        <w:t xml:space="preserve"> (</w:t>
      </w:r>
      <w:hyperlink r:id="rId55">
        <w:r w:rsidRPr="00623A2B">
          <w:rPr>
            <w:rFonts w:ascii="Times New Roman" w:hAnsi="Times New Roman"/>
            <w:color w:val="1F3864" w:themeColor="accent1" w:themeShade="80"/>
            <w:szCs w:val="22"/>
            <w:u w:val="single"/>
            <w:lang w:val="fr-CA"/>
          </w:rPr>
          <w:t xml:space="preserve">CIDI/REMDES/doc.6/19 </w:t>
        </w:r>
        <w:proofErr w:type="spellStart"/>
        <w:r w:rsidRPr="00623A2B">
          <w:rPr>
            <w:rFonts w:ascii="Times New Roman" w:hAnsi="Times New Roman"/>
            <w:color w:val="1F3864" w:themeColor="accent1" w:themeShade="80"/>
            <w:szCs w:val="22"/>
            <w:u w:val="single"/>
            <w:lang w:val="fr-CA"/>
          </w:rPr>
          <w:t>rev</w:t>
        </w:r>
        <w:proofErr w:type="spellEnd"/>
        <w:r w:rsidRPr="00623A2B">
          <w:rPr>
            <w:rFonts w:ascii="Times New Roman" w:hAnsi="Times New Roman"/>
            <w:color w:val="1F3864" w:themeColor="accent1" w:themeShade="80"/>
            <w:szCs w:val="22"/>
            <w:u w:val="single"/>
            <w:lang w:val="fr-CA"/>
          </w:rPr>
          <w:t>. 3</w:t>
        </w:r>
      </w:hyperlink>
      <w:r w:rsidRPr="00623A2B">
        <w:rPr>
          <w:rFonts w:ascii="Times New Roman" w:hAnsi="Times New Roman"/>
          <w:color w:val="000000" w:themeColor="text1"/>
          <w:szCs w:val="22"/>
          <w:lang w:val="fr-CA"/>
        </w:rPr>
        <w:t>), en tant que feuille de route qui définit des actions concrètes pour faire avancer la promotion du développement social dans la région, et d’inviter instamment les États membres à participer activement aux groupes de travail ainsi qu’aux activités organisées par le Secrétariat à l’accès aux droits et à l’équité en vue de la mise en œuvre du plan d’action.</w:t>
      </w:r>
    </w:p>
    <w:p w14:paraId="00EB06E1" w14:textId="77777777" w:rsidR="00A84B93" w:rsidRPr="00623A2B" w:rsidRDefault="00A84B93" w:rsidP="00A84B93">
      <w:pPr>
        <w:ind w:right="-29"/>
        <w:rPr>
          <w:rFonts w:ascii="Times New Roman" w:hAnsi="Times New Roman"/>
          <w:color w:val="000000" w:themeColor="text1"/>
          <w:szCs w:val="22"/>
          <w:lang w:val="fr-CA"/>
        </w:rPr>
      </w:pPr>
    </w:p>
    <w:p w14:paraId="5373A3DA"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szCs w:val="22"/>
          <w:lang w:val="fr-CA"/>
        </w:rPr>
        <w:t>De charger le Secrétariat à l’accès aux droits et à l’équité</w:t>
      </w:r>
      <w:r w:rsidRPr="00623A2B">
        <w:rPr>
          <w:rFonts w:ascii="Times New Roman" w:hAnsi="Times New Roman"/>
          <w:color w:val="000000" w:themeColor="text1"/>
          <w:szCs w:val="22"/>
          <w:lang w:val="fr-CA"/>
        </w:rPr>
        <w:t xml:space="preserve"> de continuer à soutenir la mise en œuvre des actions concrètes du plan de travail 2021-2022 de la CIDES </w:t>
      </w:r>
      <w:r w:rsidRPr="00623A2B">
        <w:rPr>
          <w:rFonts w:ascii="Times New Roman" w:hAnsi="Times New Roman"/>
          <w:color w:val="1F3864" w:themeColor="accent1" w:themeShade="80"/>
          <w:szCs w:val="22"/>
          <w:lang w:val="fr-CA"/>
        </w:rPr>
        <w:t>(</w:t>
      </w:r>
      <w:hyperlink r:id="rId56">
        <w:r w:rsidRPr="00623A2B">
          <w:rPr>
            <w:rFonts w:ascii="Times New Roman" w:hAnsi="Times New Roman"/>
            <w:color w:val="1F3864" w:themeColor="accent1" w:themeShade="80"/>
            <w:szCs w:val="22"/>
            <w:u w:val="single"/>
            <w:lang w:val="fr-CA"/>
          </w:rPr>
          <w:t xml:space="preserve">CIDI/CIDES/RPA/doc.3/21 </w:t>
        </w:r>
        <w:proofErr w:type="spellStart"/>
        <w:r w:rsidRPr="00623A2B">
          <w:rPr>
            <w:rFonts w:ascii="Times New Roman" w:hAnsi="Times New Roman"/>
            <w:color w:val="1F3864" w:themeColor="accent1" w:themeShade="80"/>
            <w:szCs w:val="22"/>
            <w:u w:val="single"/>
            <w:lang w:val="fr-CA"/>
          </w:rPr>
          <w:t>rev</w:t>
        </w:r>
        <w:proofErr w:type="spellEnd"/>
        <w:r w:rsidRPr="00623A2B">
          <w:rPr>
            <w:rFonts w:ascii="Times New Roman" w:hAnsi="Times New Roman"/>
            <w:color w:val="1F3864" w:themeColor="accent1" w:themeShade="80"/>
            <w:szCs w:val="22"/>
            <w:u w:val="single"/>
            <w:lang w:val="fr-CA"/>
          </w:rPr>
          <w:t>. 1</w:t>
        </w:r>
      </w:hyperlink>
      <w:r w:rsidRPr="00623A2B">
        <w:rPr>
          <w:rFonts w:ascii="Times New Roman" w:hAnsi="Times New Roman"/>
          <w:color w:val="1F3864" w:themeColor="accent1" w:themeShade="80"/>
          <w:szCs w:val="22"/>
          <w:lang w:val="fr-CA"/>
        </w:rPr>
        <w:t xml:space="preserve">) </w:t>
      </w:r>
      <w:r w:rsidRPr="00623A2B">
        <w:rPr>
          <w:rFonts w:ascii="Times New Roman" w:hAnsi="Times New Roman"/>
          <w:color w:val="000000" w:themeColor="text1"/>
          <w:szCs w:val="22"/>
          <w:lang w:val="fr-CA"/>
        </w:rPr>
        <w:t>visant à promouvoir un travail coordonné entre les institutions gouvernementales chargées du développement social dans les Amériques, lequel devrait porter sur des systèmes de protection sociale et de santé universels, avec une approche globale,</w:t>
      </w:r>
      <w:r w:rsidRPr="00623A2B">
        <w:rPr>
          <w:rFonts w:ascii="Times New Roman" w:hAnsi="Times New Roman"/>
          <w:b/>
          <w:color w:val="000000" w:themeColor="text1"/>
          <w:szCs w:val="22"/>
          <w:lang w:val="fr-CA"/>
        </w:rPr>
        <w:t xml:space="preserve"> </w:t>
      </w:r>
      <w:r w:rsidRPr="00623A2B">
        <w:rPr>
          <w:rFonts w:ascii="Times New Roman" w:hAnsi="Times New Roman"/>
          <w:color w:val="000000" w:themeColor="text1"/>
          <w:szCs w:val="22"/>
          <w:lang w:val="fr-CA"/>
        </w:rPr>
        <w:t>en accordant une attention prioritaire aux groupes et secteurs les plus vulnérables de la population.</w:t>
      </w:r>
    </w:p>
    <w:p w14:paraId="1661D24B" w14:textId="77777777" w:rsidR="00A84B93" w:rsidRPr="00623A2B" w:rsidRDefault="00A84B93" w:rsidP="00A84B93">
      <w:pPr>
        <w:pStyle w:val="ListParagraph"/>
        <w:ind w:left="0"/>
        <w:rPr>
          <w:rFonts w:ascii="Times New Roman" w:hAnsi="Times New Roman"/>
          <w:color w:val="000000" w:themeColor="text1"/>
          <w:szCs w:val="22"/>
          <w:lang w:val="fr-CA"/>
        </w:rPr>
      </w:pPr>
    </w:p>
    <w:p w14:paraId="41CD3BFF"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szCs w:val="22"/>
          <w:lang w:val="fr-CA"/>
        </w:rPr>
        <w:t>De charger le Secrétariat à l’accès aux droits et à l’équité</w:t>
      </w:r>
      <w:r w:rsidRPr="00623A2B">
        <w:rPr>
          <w:rFonts w:ascii="Times New Roman" w:hAnsi="Times New Roman"/>
          <w:color w:val="000000" w:themeColor="text1"/>
          <w:szCs w:val="22"/>
          <w:lang w:val="fr-CA"/>
        </w:rPr>
        <w:t>,</w:t>
      </w:r>
      <w:r w:rsidRPr="00623A2B">
        <w:rPr>
          <w:rFonts w:ascii="Times New Roman" w:hAnsi="Times New Roman"/>
          <w:b/>
          <w:color w:val="000000" w:themeColor="text1"/>
          <w:szCs w:val="22"/>
          <w:lang w:val="fr-CA"/>
        </w:rPr>
        <w:t xml:space="preserve"> </w:t>
      </w:r>
      <w:r w:rsidRPr="00623A2B">
        <w:rPr>
          <w:rFonts w:ascii="Times New Roman" w:hAnsi="Times New Roman"/>
          <w:color w:val="000000" w:themeColor="text1"/>
          <w:szCs w:val="22"/>
          <w:lang w:val="fr-CA"/>
        </w:rPr>
        <w:t xml:space="preserve">en s’appuyant sur les dispositions de la </w:t>
      </w:r>
      <w:r w:rsidRPr="00623A2B">
        <w:rPr>
          <w:rFonts w:ascii="Times New Roman" w:hAnsi="Times New Roman"/>
          <w:szCs w:val="22"/>
          <w:lang w:val="fr-CA"/>
        </w:rPr>
        <w:t xml:space="preserve">Déclaration interaméricaine relative aux priorités en matière de développement social </w:t>
      </w:r>
      <w:r w:rsidRPr="00623A2B">
        <w:rPr>
          <w:rFonts w:ascii="Times New Roman" w:hAnsi="Times New Roman"/>
          <w:color w:val="1F3864" w:themeColor="accent1" w:themeShade="80"/>
          <w:szCs w:val="22"/>
          <w:lang w:val="fr-CA"/>
        </w:rPr>
        <w:t>(</w:t>
      </w:r>
      <w:hyperlink r:id="rId57">
        <w:r w:rsidRPr="00623A2B">
          <w:rPr>
            <w:rFonts w:ascii="Times New Roman" w:hAnsi="Times New Roman"/>
            <w:color w:val="1F3864" w:themeColor="accent1" w:themeShade="80"/>
            <w:szCs w:val="22"/>
            <w:u w:val="single"/>
            <w:lang w:val="fr-CA"/>
          </w:rPr>
          <w:t>CIDI/REMDES/DEC. 1/19</w:t>
        </w:r>
      </w:hyperlink>
      <w:r w:rsidRPr="00623A2B">
        <w:rPr>
          <w:rFonts w:ascii="Times New Roman" w:hAnsi="Times New Roman"/>
          <w:color w:val="1F3864" w:themeColor="accent1" w:themeShade="80"/>
          <w:szCs w:val="22"/>
          <w:lang w:val="fr-CA"/>
        </w:rPr>
        <w:t xml:space="preserve">) </w:t>
      </w:r>
      <w:r w:rsidRPr="00623A2B">
        <w:rPr>
          <w:rFonts w:ascii="Times New Roman" w:hAnsi="Times New Roman"/>
          <w:color w:val="000000" w:themeColor="text1"/>
          <w:szCs w:val="22"/>
          <w:lang w:val="fr-CA"/>
        </w:rPr>
        <w:t xml:space="preserve">et du Plan d'action du Guatemala </w:t>
      </w:r>
      <w:r w:rsidRPr="00623A2B">
        <w:rPr>
          <w:rFonts w:ascii="Times New Roman" w:hAnsi="Times New Roman"/>
          <w:color w:val="1F3864" w:themeColor="accent1" w:themeShade="80"/>
          <w:szCs w:val="22"/>
          <w:lang w:val="fr-CA"/>
        </w:rPr>
        <w:t>(</w:t>
      </w:r>
      <w:hyperlink r:id="rId58">
        <w:r w:rsidRPr="00623A2B">
          <w:rPr>
            <w:rFonts w:ascii="Times New Roman" w:hAnsi="Times New Roman"/>
            <w:color w:val="1F3864" w:themeColor="accent1" w:themeShade="80"/>
            <w:szCs w:val="22"/>
            <w:u w:val="single"/>
            <w:lang w:val="fr-CA"/>
          </w:rPr>
          <w:t>CIDI/REMDES/doc.6/19 rev.3</w:t>
        </w:r>
      </w:hyperlink>
      <w:r w:rsidRPr="00623A2B">
        <w:rPr>
          <w:rFonts w:ascii="Times New Roman" w:hAnsi="Times New Roman"/>
          <w:color w:val="000000" w:themeColor="text1"/>
          <w:szCs w:val="22"/>
          <w:lang w:val="fr-CA"/>
        </w:rPr>
        <w:t>), de continuer à soutenir les États membres dans la mise en œuvre d'actions visant à améliorer les capacités des institutions chargées de la politique sociale, par l'échange volontaire de connaissances, le renforcement du dialogue et la coopération technique entre pairs.</w:t>
      </w:r>
    </w:p>
    <w:p w14:paraId="79837AAD" w14:textId="77777777" w:rsidR="00A84B93" w:rsidRPr="00623A2B" w:rsidRDefault="00A84B93" w:rsidP="00A84B93">
      <w:pPr>
        <w:pStyle w:val="ListParagraph"/>
        <w:ind w:left="0"/>
        <w:rPr>
          <w:rFonts w:ascii="Times New Roman" w:hAnsi="Times New Roman"/>
          <w:color w:val="000000" w:themeColor="text1"/>
          <w:szCs w:val="22"/>
          <w:lang w:val="fr-CA"/>
        </w:rPr>
      </w:pPr>
    </w:p>
    <w:p w14:paraId="44064545"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D’encourager les États membres, les observateurs permanents et les autres bailleurs à contribuer au Fonds pour la mise en œuvre du Plan d’action de Guatemala 2019, dans la mesure de leurs capacités, afin d’assurer le financement des activités dudit plan qui sont nécessaires à la réalisation des engagements convenus dans la Déclaration.</w:t>
      </w:r>
      <w:r w:rsidRPr="00623A2B">
        <w:rPr>
          <w:rFonts w:ascii="Times New Roman" w:hAnsi="Times New Roman"/>
          <w:b/>
          <w:color w:val="000000" w:themeColor="text1"/>
          <w:szCs w:val="22"/>
          <w:lang w:val="fr-CA"/>
        </w:rPr>
        <w:t xml:space="preserve"> </w:t>
      </w:r>
      <w:bookmarkStart w:id="20" w:name="_heading=h.2s8eyo1"/>
      <w:bookmarkEnd w:id="20"/>
    </w:p>
    <w:p w14:paraId="3F9C3CD0" w14:textId="77777777" w:rsidR="00A84B93" w:rsidRPr="00623A2B" w:rsidRDefault="00A84B93" w:rsidP="00A84B93">
      <w:pPr>
        <w:pStyle w:val="ListParagraph"/>
        <w:ind w:left="0"/>
        <w:rPr>
          <w:rFonts w:ascii="Times New Roman" w:hAnsi="Times New Roman"/>
          <w:color w:val="000000" w:themeColor="text1"/>
          <w:szCs w:val="22"/>
          <w:lang w:val="fr-CA"/>
        </w:rPr>
      </w:pPr>
    </w:p>
    <w:p w14:paraId="67D5BBBF"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D’encourager les États membres à continuer de renforcer leurs systèmes de protection sociale en vue de parvenir à une</w:t>
      </w:r>
      <w:r w:rsidRPr="00623A2B">
        <w:rPr>
          <w:rFonts w:ascii="Times New Roman" w:hAnsi="Times New Roman"/>
          <w:b/>
          <w:color w:val="000000" w:themeColor="text1"/>
          <w:szCs w:val="22"/>
          <w:lang w:val="fr-CA"/>
        </w:rPr>
        <w:t xml:space="preserve"> </w:t>
      </w:r>
      <w:r w:rsidRPr="00623A2B">
        <w:rPr>
          <w:rFonts w:ascii="Times New Roman" w:hAnsi="Times New Roman"/>
          <w:color w:val="000000" w:themeColor="text1"/>
          <w:szCs w:val="22"/>
          <w:lang w:val="fr-CA"/>
        </w:rPr>
        <w:t xml:space="preserve">couverture universelle conformément aux objectifs du Programme de développement durable à l’horizon 2030 et à prendre en considération les besoins des ménages à faible revenu et des populations vulnérables qui ont été les plus touchés à la suite de la pandémie de COVID-19. De même, de les encourager à dynamiser et mettre à jour leurs bases de données sur la protection sociale et leurs statistiques de mesure multidimensionnelle de la pauvreté, selon le cas, afin de parvenir à une inclusion sociale conforme à la nouvelle réalité. </w:t>
      </w:r>
    </w:p>
    <w:p w14:paraId="0D907378"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lang w:val="fr-CA"/>
        </w:rPr>
      </w:pPr>
    </w:p>
    <w:p w14:paraId="79AA7757"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D’inviter les États membres à soutenir et à renforcer le travail du Réseau interaméricain de protection sociale (RIPSO) et du Secrétariat à l’accès aux droits et à l’équité (SADE), en tant que secrétariat technique de cet important mécanisme continental de coopération en matière de développement social afin de renforcer les institutions et organismes responsables des politiques sociales dans les États membres, par l'échange volontaire de connaissances, de leçons apprises et de données d’expériences, l’assistance technique, l’apprentissage mutuel et la coopération technique entre les pays, selon des conditions mutuellement convenues.</w:t>
      </w:r>
      <w:r w:rsidRPr="00623A2B">
        <w:rPr>
          <w:rFonts w:ascii="Times New Roman" w:hAnsi="Times New Roman"/>
          <w:b/>
          <w:color w:val="000000" w:themeColor="text1"/>
          <w:szCs w:val="22"/>
          <w:lang w:val="fr-CA"/>
        </w:rPr>
        <w:t xml:space="preserve"> </w:t>
      </w:r>
    </w:p>
    <w:p w14:paraId="1BB14004" w14:textId="77777777" w:rsidR="00A84B93" w:rsidRPr="00623A2B" w:rsidRDefault="00A84B93" w:rsidP="00A84B93">
      <w:pPr>
        <w:pStyle w:val="ListParagraph"/>
        <w:ind w:left="0"/>
        <w:rPr>
          <w:rFonts w:ascii="Times New Roman" w:hAnsi="Times New Roman"/>
          <w:color w:val="000000" w:themeColor="text1"/>
          <w:szCs w:val="22"/>
          <w:lang w:val="fr-CA"/>
        </w:rPr>
      </w:pPr>
    </w:p>
    <w:p w14:paraId="79F19338"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fr-CA"/>
        </w:rPr>
      </w:pPr>
      <w:r w:rsidRPr="00623A2B">
        <w:rPr>
          <w:rFonts w:ascii="Times New Roman" w:hAnsi="Times New Roman"/>
          <w:szCs w:val="22"/>
          <w:lang w:val="fr-CA"/>
        </w:rPr>
        <w:lastRenderedPageBreak/>
        <w:t>De continuer à fournir une assistance technique aux États membres qui en font la demande pour la formulation et la mise en œuvre de politiques qui garantissent à tous les enfants et adolescents leur plein développement intégral, dans le cadre du caractère transversal accordé à cette question dans l’actuel Plan stratégique intégral de l’Organisation</w:t>
      </w:r>
      <w:r w:rsidRPr="00623A2B">
        <w:rPr>
          <w:rFonts w:ascii="Times New Roman" w:hAnsi="Times New Roman"/>
          <w:color w:val="000000" w:themeColor="text1"/>
          <w:szCs w:val="22"/>
          <w:lang w:val="fr-CA"/>
        </w:rPr>
        <w:t xml:space="preserve"> </w:t>
      </w:r>
      <w:hyperlink r:id="rId59">
        <w:r w:rsidRPr="00623A2B">
          <w:rPr>
            <w:rFonts w:ascii="Times New Roman" w:hAnsi="Times New Roman"/>
            <w:color w:val="1F3864" w:themeColor="accent1" w:themeShade="80"/>
            <w:szCs w:val="22"/>
            <w:u w:val="single"/>
            <w:lang w:val="fr-CA"/>
          </w:rPr>
          <w:t>[AG/RES.</w:t>
        </w:r>
      </w:hyperlink>
      <w:hyperlink r:id="rId60">
        <w:r w:rsidRPr="00623A2B">
          <w:rPr>
            <w:rFonts w:ascii="Times New Roman" w:hAnsi="Times New Roman"/>
            <w:color w:val="1F3864" w:themeColor="accent1" w:themeShade="80"/>
            <w:szCs w:val="22"/>
            <w:u w:val="single"/>
            <w:lang w:val="fr-CA"/>
          </w:rPr>
          <w:t xml:space="preserve"> 1 (LI-E/16) </w:t>
        </w:r>
        <w:proofErr w:type="spellStart"/>
        <w:r w:rsidRPr="00623A2B">
          <w:rPr>
            <w:rFonts w:ascii="Times New Roman" w:hAnsi="Times New Roman"/>
            <w:color w:val="1F3864" w:themeColor="accent1" w:themeShade="80"/>
            <w:szCs w:val="22"/>
            <w:u w:val="single"/>
            <w:lang w:val="fr-CA"/>
          </w:rPr>
          <w:t>rev</w:t>
        </w:r>
        <w:proofErr w:type="spellEnd"/>
        <w:r w:rsidRPr="00623A2B">
          <w:rPr>
            <w:rFonts w:ascii="Times New Roman" w:hAnsi="Times New Roman"/>
            <w:color w:val="1F3864" w:themeColor="accent1" w:themeShade="80"/>
            <w:szCs w:val="22"/>
            <w:u w:val="single"/>
            <w:lang w:val="fr-CA"/>
          </w:rPr>
          <w:t>. 1]</w:t>
        </w:r>
      </w:hyperlink>
      <w:r w:rsidRPr="00623A2B">
        <w:rPr>
          <w:rFonts w:ascii="Times New Roman" w:hAnsi="Times New Roman"/>
          <w:color w:val="1F3864" w:themeColor="accent1" w:themeShade="80"/>
          <w:szCs w:val="22"/>
          <w:lang w:val="fr-CA"/>
        </w:rPr>
        <w:t xml:space="preserve"> </w:t>
      </w:r>
      <w:r w:rsidRPr="00623A2B">
        <w:rPr>
          <w:rFonts w:ascii="Times New Roman" w:hAnsi="Times New Roman"/>
          <w:szCs w:val="22"/>
          <w:lang w:val="fr-CA"/>
        </w:rPr>
        <w:t>et d’encourager les États membres qui l’envisagent à continuer d’investir dans ce domaine, conformément à leur législation, à leurs priorités nationales et aux ressources disponibles</w:t>
      </w:r>
      <w:r w:rsidRPr="00623A2B">
        <w:rPr>
          <w:rFonts w:ascii="Times New Roman" w:hAnsi="Times New Roman"/>
          <w:color w:val="000000" w:themeColor="text1"/>
          <w:szCs w:val="22"/>
          <w:lang w:val="fr-CA"/>
        </w:rPr>
        <w:t>.</w:t>
      </w:r>
    </w:p>
    <w:p w14:paraId="43A9CD45" w14:textId="77777777" w:rsidR="00A84B93" w:rsidRPr="00623A2B" w:rsidRDefault="00A84B93" w:rsidP="00A84B93">
      <w:pPr>
        <w:pStyle w:val="ListParagraph"/>
        <w:ind w:left="0"/>
        <w:rPr>
          <w:rFonts w:ascii="Times New Roman" w:hAnsi="Times New Roman"/>
          <w:color w:val="000000" w:themeColor="text1"/>
          <w:szCs w:val="22"/>
          <w:lang w:val="fr-CA"/>
        </w:rPr>
      </w:pPr>
    </w:p>
    <w:p w14:paraId="6434A8B4"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De charger Secrétariat à l’accès aux droits et à l’équité, en coordination avec la Commission interaméricaine pour le développement social (CIDES), et en collaboration avec la SEDI et les autres secrétariats concernés, de continuer à suivre la mise en œuvre de la résolution </w:t>
      </w:r>
      <w:hyperlink r:id="rId61">
        <w:r w:rsidRPr="00623A2B">
          <w:rPr>
            <w:rFonts w:ascii="Times New Roman" w:hAnsi="Times New Roman"/>
            <w:color w:val="1F3864" w:themeColor="accent1" w:themeShade="80"/>
            <w:szCs w:val="22"/>
            <w:u w:val="single"/>
            <w:lang w:val="fr-CA"/>
          </w:rPr>
          <w:t>AG/RES.</w:t>
        </w:r>
      </w:hyperlink>
      <w:hyperlink r:id="rId62">
        <w:r w:rsidRPr="00623A2B">
          <w:rPr>
            <w:rFonts w:ascii="Times New Roman" w:hAnsi="Times New Roman"/>
            <w:color w:val="1F3864" w:themeColor="accent1" w:themeShade="80"/>
            <w:szCs w:val="22"/>
            <w:u w:val="single"/>
            <w:lang w:val="fr-CA"/>
          </w:rPr>
          <w:t xml:space="preserve"> 2956 (L-O/20</w:t>
        </w:r>
        <w:r w:rsidRPr="00623A2B">
          <w:rPr>
            <w:rFonts w:ascii="Times New Roman" w:hAnsi="Times New Roman"/>
            <w:color w:val="000000" w:themeColor="text1"/>
            <w:szCs w:val="22"/>
            <w:u w:val="single"/>
            <w:lang w:val="fr-CA"/>
          </w:rPr>
          <w:t>)</w:t>
        </w:r>
      </w:hyperlink>
      <w:r w:rsidRPr="00623A2B">
        <w:rPr>
          <w:rFonts w:ascii="Times New Roman" w:hAnsi="Times New Roman"/>
          <w:color w:val="000000" w:themeColor="text1"/>
          <w:szCs w:val="22"/>
          <w:lang w:val="fr-CA"/>
        </w:rPr>
        <w:t xml:space="preserve"> « Défis pour la sécurité alimentaire et nutritionnelle dans les Amériques face à la pandémie de COVID-19, dans le cadre du Plan d'action Guatemala 2019 ».</w:t>
      </w:r>
    </w:p>
    <w:p w14:paraId="5338FD05"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lang w:val="fr-CA"/>
        </w:rPr>
      </w:pPr>
    </w:p>
    <w:p w14:paraId="4C4F9DC7" w14:textId="77777777" w:rsidR="00A84B93" w:rsidRPr="00623A2B" w:rsidRDefault="00A84B93" w:rsidP="00A84B93">
      <w:pPr>
        <w:widowControl/>
        <w:numPr>
          <w:ilvl w:val="1"/>
          <w:numId w:val="2"/>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color w:val="000000" w:themeColor="text1"/>
          <w:szCs w:val="22"/>
          <w:lang w:val="fr-CA"/>
        </w:rPr>
      </w:pPr>
      <w:r w:rsidRPr="00623A2B">
        <w:rPr>
          <w:rFonts w:ascii="Times New Roman" w:hAnsi="Times New Roman"/>
          <w:color w:val="000000" w:themeColor="text1"/>
          <w:szCs w:val="22"/>
          <w:lang w:val="fr-CA"/>
        </w:rPr>
        <w:t>CONTINUITÉ DES PROCESSUS SECTORIELS DANS LE CADRE DU CIDI</w:t>
      </w:r>
    </w:p>
    <w:p w14:paraId="2564C9E4"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lang w:val="fr-CA"/>
        </w:rPr>
      </w:pPr>
    </w:p>
    <w:p w14:paraId="26A1E734"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D’adopter le calendrier suivant pour les réunions des ministres et hauts fonctionnaires organisées dans le cadre du CIDI, en tenant compte des difficultés résultant du contexte de la pandémie de COVID-19 ainsi que du nombre maximum de réunions pouvant être réalisées en fonction des ressources inscrites au Fonds ordinaire de l’Organisation, et de charger le Secrétariat général de continuer de mettre en œuvre les lignes directrices adoptées dans le cadre du cycle ministériel triennal en coordination avec les autorités compétentes dans chaque secteur : </w:t>
      </w:r>
      <w:bookmarkStart w:id="21" w:name="_Hlk85669203"/>
    </w:p>
    <w:p w14:paraId="2C2F7249" w14:textId="77777777" w:rsidR="00A84B93" w:rsidRPr="00623A2B" w:rsidRDefault="00A84B93" w:rsidP="00A84B93">
      <w:pPr>
        <w:pStyle w:val="ListParagraph"/>
        <w:pBdr>
          <w:top w:val="nil"/>
          <w:left w:val="nil"/>
          <w:bottom w:val="nil"/>
          <w:right w:val="nil"/>
          <w:between w:val="nil"/>
        </w:pBdr>
        <w:ind w:right="-29"/>
        <w:rPr>
          <w:rFonts w:ascii="Times New Roman" w:hAnsi="Times New Roman"/>
          <w:color w:val="000000" w:themeColor="text1"/>
          <w:szCs w:val="22"/>
          <w:lang w:val="fr-CA"/>
        </w:rPr>
      </w:pPr>
    </w:p>
    <w:tbl>
      <w:tblPr>
        <w:tblW w:w="11190" w:type="dxa"/>
        <w:jc w:val="center"/>
        <w:tblLayout w:type="fixed"/>
        <w:tblLook w:val="0400" w:firstRow="0" w:lastRow="0" w:firstColumn="0" w:lastColumn="0" w:noHBand="0" w:noVBand="1"/>
      </w:tblPr>
      <w:tblGrid>
        <w:gridCol w:w="1630"/>
        <w:gridCol w:w="1620"/>
        <w:gridCol w:w="1620"/>
        <w:gridCol w:w="1440"/>
        <w:gridCol w:w="1429"/>
        <w:gridCol w:w="10"/>
        <w:gridCol w:w="1686"/>
        <w:gridCol w:w="1519"/>
        <w:gridCol w:w="236"/>
      </w:tblGrid>
      <w:tr w:rsidR="00A84B93" w:rsidRPr="00623A2B" w14:paraId="0FA02A7D" w14:textId="77777777" w:rsidTr="002F1F49">
        <w:trPr>
          <w:gridAfter w:val="1"/>
          <w:wAfter w:w="236" w:type="dxa"/>
          <w:trHeight w:val="88"/>
          <w:jc w:val="center"/>
        </w:trPr>
        <w:tc>
          <w:tcPr>
            <w:tcW w:w="16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3401D6E" w14:textId="77777777" w:rsidR="00A84B93" w:rsidRPr="00623A2B" w:rsidRDefault="00A84B93" w:rsidP="008B476B">
            <w:pPr>
              <w:ind w:left="-28" w:right="14" w:firstLine="28"/>
              <w:jc w:val="center"/>
              <w:rPr>
                <w:rFonts w:ascii="Times New Roman" w:hAnsi="Times New Roman"/>
                <w:sz w:val="19"/>
                <w:szCs w:val="19"/>
                <w:lang w:val="fr-CA"/>
              </w:rPr>
            </w:pPr>
            <w:r w:rsidRPr="00623A2B">
              <w:rPr>
                <w:rFonts w:ascii="Times New Roman" w:hAnsi="Times New Roman"/>
                <w:sz w:val="19"/>
                <w:szCs w:val="19"/>
                <w:lang w:val="fr-CA"/>
              </w:rPr>
              <w:t>Processus sectoriel</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DB5E6AB" w14:textId="77777777" w:rsidR="00A84B93" w:rsidRPr="00623A2B" w:rsidRDefault="00A84B93" w:rsidP="008B476B">
            <w:pPr>
              <w:ind w:left="62" w:right="14"/>
              <w:jc w:val="center"/>
              <w:rPr>
                <w:rFonts w:ascii="Times New Roman" w:hAnsi="Times New Roman"/>
                <w:sz w:val="19"/>
                <w:szCs w:val="19"/>
                <w:lang w:val="fr-CA"/>
              </w:rPr>
            </w:pPr>
            <w:r w:rsidRPr="00623A2B">
              <w:rPr>
                <w:rFonts w:ascii="Times New Roman" w:hAnsi="Times New Roman"/>
                <w:sz w:val="19"/>
                <w:szCs w:val="19"/>
                <w:lang w:val="fr-CA"/>
              </w:rPr>
              <w:t>2021</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65F0292" w14:textId="77777777" w:rsidR="00A84B93" w:rsidRPr="00623A2B" w:rsidRDefault="00A84B93" w:rsidP="008B476B">
            <w:pPr>
              <w:ind w:left="54" w:right="14"/>
              <w:jc w:val="center"/>
              <w:rPr>
                <w:rFonts w:ascii="Times New Roman" w:hAnsi="Times New Roman"/>
                <w:sz w:val="19"/>
                <w:szCs w:val="19"/>
                <w:lang w:val="fr-CA"/>
              </w:rPr>
            </w:pPr>
            <w:r w:rsidRPr="00623A2B">
              <w:rPr>
                <w:rFonts w:ascii="Times New Roman" w:hAnsi="Times New Roman"/>
                <w:sz w:val="19"/>
                <w:szCs w:val="19"/>
                <w:lang w:val="fr-CA"/>
              </w:rPr>
              <w:t>2022</w:t>
            </w:r>
          </w:p>
        </w:tc>
        <w:tc>
          <w:tcPr>
            <w:tcW w:w="14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5F2435B" w14:textId="77777777" w:rsidR="00A84B93" w:rsidRPr="00623A2B" w:rsidRDefault="00A84B93" w:rsidP="008B476B">
            <w:pPr>
              <w:ind w:left="54" w:right="14"/>
              <w:jc w:val="center"/>
              <w:rPr>
                <w:rFonts w:ascii="Times New Roman" w:hAnsi="Times New Roman"/>
                <w:sz w:val="19"/>
                <w:szCs w:val="19"/>
                <w:lang w:val="fr-CA"/>
              </w:rPr>
            </w:pPr>
            <w:r w:rsidRPr="00623A2B">
              <w:rPr>
                <w:rFonts w:ascii="Times New Roman" w:hAnsi="Times New Roman"/>
                <w:sz w:val="19"/>
                <w:szCs w:val="19"/>
                <w:lang w:val="fr-CA"/>
              </w:rPr>
              <w:t>2023</w:t>
            </w:r>
          </w:p>
        </w:tc>
        <w:tc>
          <w:tcPr>
            <w:tcW w:w="1439"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A0EA2E5" w14:textId="77777777" w:rsidR="00A84B93" w:rsidRPr="00623A2B" w:rsidRDefault="00A84B93" w:rsidP="008B476B">
            <w:pPr>
              <w:ind w:left="54" w:right="14"/>
              <w:jc w:val="center"/>
              <w:rPr>
                <w:rFonts w:ascii="Times New Roman" w:hAnsi="Times New Roman"/>
                <w:sz w:val="19"/>
                <w:szCs w:val="19"/>
                <w:lang w:val="fr-CA"/>
              </w:rPr>
            </w:pPr>
            <w:r w:rsidRPr="00623A2B">
              <w:rPr>
                <w:rFonts w:ascii="Times New Roman" w:hAnsi="Times New Roman"/>
                <w:sz w:val="19"/>
                <w:szCs w:val="19"/>
                <w:lang w:val="fr-CA"/>
              </w:rPr>
              <w:t>2024</w:t>
            </w:r>
          </w:p>
        </w:tc>
        <w:tc>
          <w:tcPr>
            <w:tcW w:w="1686"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5E8C04CE" w14:textId="77777777" w:rsidR="00A84B93" w:rsidRPr="00623A2B" w:rsidRDefault="00A84B93" w:rsidP="008B476B">
            <w:pPr>
              <w:ind w:left="54" w:right="14"/>
              <w:jc w:val="center"/>
              <w:rPr>
                <w:rFonts w:ascii="Times New Roman" w:hAnsi="Times New Roman"/>
                <w:sz w:val="19"/>
                <w:szCs w:val="19"/>
                <w:lang w:val="fr-CA"/>
              </w:rPr>
            </w:pPr>
            <w:r w:rsidRPr="00623A2B">
              <w:rPr>
                <w:rFonts w:ascii="Times New Roman" w:hAnsi="Times New Roman"/>
                <w:sz w:val="19"/>
                <w:szCs w:val="19"/>
                <w:lang w:val="fr-CA"/>
              </w:rPr>
              <w:t>2025</w:t>
            </w:r>
          </w:p>
        </w:tc>
        <w:tc>
          <w:tcPr>
            <w:tcW w:w="1519"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3CA135F7" w14:textId="77777777" w:rsidR="00A84B93" w:rsidRPr="00623A2B" w:rsidRDefault="00A84B93" w:rsidP="008B476B">
            <w:pPr>
              <w:ind w:left="54" w:right="14"/>
              <w:jc w:val="center"/>
              <w:rPr>
                <w:rFonts w:ascii="Times New Roman" w:hAnsi="Times New Roman"/>
                <w:sz w:val="19"/>
                <w:szCs w:val="19"/>
                <w:lang w:val="fr-CA"/>
              </w:rPr>
            </w:pPr>
            <w:r w:rsidRPr="00623A2B">
              <w:rPr>
                <w:rFonts w:ascii="Times New Roman" w:hAnsi="Times New Roman"/>
                <w:sz w:val="19"/>
                <w:szCs w:val="19"/>
                <w:lang w:val="fr-CA"/>
              </w:rPr>
              <w:t>2026</w:t>
            </w:r>
          </w:p>
        </w:tc>
      </w:tr>
      <w:tr w:rsidR="00A84B93" w:rsidRPr="00213B6A" w14:paraId="082BE2D3" w14:textId="77777777" w:rsidTr="002F1F49">
        <w:trPr>
          <w:gridAfter w:val="1"/>
          <w:wAfter w:w="236" w:type="dxa"/>
          <w:trHeight w:val="993"/>
          <w:jc w:val="center"/>
        </w:trPr>
        <w:tc>
          <w:tcPr>
            <w:tcW w:w="163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E8AA427" w14:textId="77777777" w:rsidR="00A84B93" w:rsidRPr="00623A2B" w:rsidRDefault="00A84B93" w:rsidP="002F1F49">
            <w:pPr>
              <w:ind w:left="-28" w:right="14" w:firstLine="28"/>
              <w:rPr>
                <w:rFonts w:ascii="Times New Roman" w:hAnsi="Times New Roman"/>
                <w:sz w:val="19"/>
                <w:szCs w:val="19"/>
                <w:lang w:val="fr-CA"/>
              </w:rPr>
            </w:pPr>
            <w:r w:rsidRPr="00623A2B">
              <w:rPr>
                <w:rFonts w:ascii="Times New Roman" w:hAnsi="Times New Roman"/>
                <w:sz w:val="19"/>
                <w:szCs w:val="19"/>
                <w:lang w:val="fr-CA"/>
              </w:rPr>
              <w:t>1. Tourisme</w:t>
            </w:r>
          </w:p>
          <w:p w14:paraId="77C81C1E" w14:textId="77777777" w:rsidR="00A84B93" w:rsidRPr="00623A2B" w:rsidRDefault="00A84B93" w:rsidP="002F1F49">
            <w:pPr>
              <w:ind w:left="-28" w:right="14" w:firstLine="28"/>
              <w:rPr>
                <w:rFonts w:ascii="Times New Roman" w:hAnsi="Times New Roman"/>
                <w:sz w:val="19"/>
                <w:szCs w:val="19"/>
                <w:lang w:val="fr-CA"/>
              </w:rPr>
            </w:pPr>
          </w:p>
        </w:tc>
        <w:tc>
          <w:tcPr>
            <w:tcW w:w="1620"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2EBB4B1" w14:textId="77777777" w:rsidR="00A84B93" w:rsidRPr="00623A2B" w:rsidRDefault="00A84B93" w:rsidP="002F1F49">
            <w:pPr>
              <w:ind w:left="54" w:right="14"/>
              <w:rPr>
                <w:rFonts w:ascii="Times New Roman" w:hAnsi="Times New Roman"/>
                <w:sz w:val="19"/>
                <w:szCs w:val="19"/>
                <w:lang w:val="fr-CA"/>
              </w:rPr>
            </w:pPr>
            <w:r w:rsidRPr="00623A2B">
              <w:rPr>
                <w:rFonts w:ascii="Times New Roman" w:hAnsi="Times New Roman"/>
                <w:sz w:val="19"/>
                <w:szCs w:val="19"/>
                <w:lang w:val="fr-CA"/>
              </w:rPr>
              <w:t>XXV</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des ministres du tourisme</w:t>
            </w:r>
          </w:p>
          <w:p w14:paraId="377FC5A4" w14:textId="77777777" w:rsidR="00A84B93" w:rsidRPr="00623A2B" w:rsidRDefault="00A84B93" w:rsidP="002F1F49">
            <w:pPr>
              <w:ind w:left="62" w:right="14"/>
              <w:rPr>
                <w:rFonts w:ascii="Times New Roman" w:hAnsi="Times New Roman"/>
                <w:i/>
                <w:sz w:val="19"/>
                <w:szCs w:val="19"/>
                <w:lang w:val="fr-CA"/>
              </w:rPr>
            </w:pPr>
            <w:r w:rsidRPr="00623A2B">
              <w:rPr>
                <w:rFonts w:ascii="Times New Roman" w:hAnsi="Times New Roman"/>
                <w:i/>
                <w:sz w:val="19"/>
                <w:szCs w:val="19"/>
                <w:lang w:val="fr-CA"/>
              </w:rPr>
              <w:t>(</w:t>
            </w:r>
            <w:proofErr w:type="gramStart"/>
            <w:r w:rsidRPr="00623A2B">
              <w:rPr>
                <w:rFonts w:ascii="Times New Roman" w:hAnsi="Times New Roman"/>
                <w:i/>
                <w:sz w:val="19"/>
                <w:szCs w:val="19"/>
                <w:lang w:val="fr-CA"/>
              </w:rPr>
              <w:t>virtuelle</w:t>
            </w:r>
            <w:proofErr w:type="gramEnd"/>
            <w:r w:rsidRPr="00623A2B">
              <w:rPr>
                <w:rFonts w:ascii="Times New Roman" w:hAnsi="Times New Roman"/>
                <w:i/>
                <w:sz w:val="19"/>
                <w:szCs w:val="19"/>
                <w:lang w:val="fr-CA"/>
              </w:rPr>
              <w:t>, 6 octobre)</w:t>
            </w:r>
          </w:p>
        </w:tc>
        <w:tc>
          <w:tcPr>
            <w:tcW w:w="16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BCDE82A" w14:textId="77777777" w:rsidR="00A84B93" w:rsidRPr="00623A2B" w:rsidRDefault="00A84B93" w:rsidP="002F1F49">
            <w:pPr>
              <w:ind w:left="54" w:right="14"/>
              <w:rPr>
                <w:rFonts w:ascii="Times New Roman" w:hAnsi="Times New Roman"/>
                <w:i/>
                <w:sz w:val="19"/>
                <w:szCs w:val="19"/>
                <w:lang w:val="fr-CA"/>
              </w:rPr>
            </w:pPr>
          </w:p>
        </w:tc>
        <w:tc>
          <w:tcPr>
            <w:tcW w:w="144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55066F3" w14:textId="77777777" w:rsidR="00A84B93" w:rsidRPr="00623A2B" w:rsidRDefault="00A84B93" w:rsidP="002F1F49">
            <w:pPr>
              <w:ind w:left="62" w:right="14"/>
              <w:rPr>
                <w:rFonts w:ascii="Times New Roman" w:hAnsi="Times New Roman"/>
                <w:sz w:val="19"/>
                <w:szCs w:val="19"/>
                <w:lang w:val="fr-CA"/>
              </w:rPr>
            </w:pPr>
            <w:r w:rsidRPr="00623A2B">
              <w:rPr>
                <w:rFonts w:ascii="Times New Roman" w:hAnsi="Times New Roman"/>
                <w:sz w:val="19"/>
                <w:szCs w:val="19"/>
                <w:lang w:val="fr-CA"/>
              </w:rPr>
              <w:t>III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 la CITUR</w:t>
            </w:r>
          </w:p>
        </w:tc>
        <w:tc>
          <w:tcPr>
            <w:tcW w:w="1429"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88A745B" w14:textId="77777777" w:rsidR="00A84B93" w:rsidRPr="00623A2B" w:rsidRDefault="00A84B93" w:rsidP="002F1F49">
            <w:pPr>
              <w:ind w:left="70" w:right="14"/>
              <w:rPr>
                <w:rFonts w:ascii="Times New Roman" w:hAnsi="Times New Roman"/>
                <w:sz w:val="19"/>
                <w:szCs w:val="19"/>
                <w:lang w:val="fr-CA"/>
              </w:rPr>
            </w:pPr>
            <w:r w:rsidRPr="00623A2B">
              <w:rPr>
                <w:rFonts w:ascii="Times New Roman" w:hAnsi="Times New Roman"/>
                <w:sz w:val="19"/>
                <w:szCs w:val="19"/>
                <w:lang w:val="fr-CA"/>
              </w:rPr>
              <w:t>XXVI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des ministres du tourisme</w:t>
            </w:r>
          </w:p>
          <w:p w14:paraId="529EBF78" w14:textId="77777777" w:rsidR="00A84B93" w:rsidRPr="00623A2B" w:rsidRDefault="00A84B93" w:rsidP="002F1F49">
            <w:pPr>
              <w:ind w:right="14"/>
              <w:rPr>
                <w:rFonts w:ascii="Times New Roman" w:hAnsi="Times New Roman"/>
                <w:sz w:val="19"/>
                <w:szCs w:val="19"/>
                <w:lang w:val="fr-CA"/>
              </w:rPr>
            </w:pPr>
            <w:r w:rsidRPr="00623A2B">
              <w:rPr>
                <w:rFonts w:ascii="Times New Roman" w:hAnsi="Times New Roman"/>
                <w:i/>
                <w:sz w:val="19"/>
                <w:szCs w:val="19"/>
                <w:lang w:val="fr-CA"/>
              </w:rPr>
              <w:t>(Équateur)</w:t>
            </w:r>
          </w:p>
        </w:tc>
        <w:tc>
          <w:tcPr>
            <w:tcW w:w="1696"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F243477" w14:textId="77777777" w:rsidR="00A84B93" w:rsidRPr="00623A2B" w:rsidRDefault="00A84B93" w:rsidP="002F1F49">
            <w:pPr>
              <w:ind w:left="70" w:right="14"/>
              <w:rPr>
                <w:rFonts w:ascii="Times New Roman" w:hAnsi="Times New Roman"/>
                <w:i/>
                <w:sz w:val="19"/>
                <w:szCs w:val="19"/>
                <w:lang w:val="fr-CA"/>
              </w:rPr>
            </w:pPr>
          </w:p>
        </w:tc>
        <w:tc>
          <w:tcPr>
            <w:tcW w:w="1519"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AFD72DA" w14:textId="77777777" w:rsidR="00A84B93" w:rsidRPr="00623A2B" w:rsidRDefault="00A84B93" w:rsidP="002F1F49">
            <w:pPr>
              <w:ind w:left="270" w:right="14"/>
              <w:rPr>
                <w:rFonts w:ascii="Times New Roman" w:hAnsi="Times New Roman"/>
                <w:sz w:val="19"/>
                <w:szCs w:val="19"/>
                <w:lang w:val="fr-CA"/>
              </w:rPr>
            </w:pPr>
            <w:r w:rsidRPr="00623A2B">
              <w:rPr>
                <w:rFonts w:ascii="Times New Roman" w:hAnsi="Times New Roman"/>
                <w:sz w:val="19"/>
                <w:szCs w:val="19"/>
                <w:lang w:val="fr-CA"/>
              </w:rPr>
              <w:t>IV</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 la CITUR</w:t>
            </w:r>
          </w:p>
        </w:tc>
      </w:tr>
      <w:tr w:rsidR="00A84B93" w:rsidRPr="00623A2B" w14:paraId="2BFCCF2C" w14:textId="77777777" w:rsidTr="002F1F49">
        <w:trPr>
          <w:gridAfter w:val="1"/>
          <w:wAfter w:w="236" w:type="dxa"/>
          <w:trHeight w:val="790"/>
          <w:jc w:val="center"/>
        </w:trPr>
        <w:tc>
          <w:tcPr>
            <w:tcW w:w="163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16A97306" w14:textId="77777777" w:rsidR="00A84B93" w:rsidRPr="00623A2B" w:rsidRDefault="00A84B93" w:rsidP="002F1F49">
            <w:pPr>
              <w:ind w:left="-28" w:right="14" w:firstLine="28"/>
              <w:rPr>
                <w:rFonts w:ascii="Times New Roman" w:hAnsi="Times New Roman"/>
                <w:sz w:val="19"/>
                <w:szCs w:val="19"/>
                <w:lang w:val="fr-CA"/>
              </w:rPr>
            </w:pPr>
            <w:r w:rsidRPr="00623A2B">
              <w:rPr>
                <w:rFonts w:ascii="Times New Roman" w:hAnsi="Times New Roman"/>
                <w:sz w:val="19"/>
                <w:szCs w:val="19"/>
                <w:lang w:val="fr-CA"/>
              </w:rPr>
              <w:t>2. Ports</w:t>
            </w:r>
          </w:p>
          <w:p w14:paraId="7DAE73C2" w14:textId="77777777" w:rsidR="00A84B93" w:rsidRPr="00623A2B" w:rsidRDefault="00A84B93" w:rsidP="002F1F49">
            <w:pPr>
              <w:ind w:left="-28" w:right="14" w:firstLine="28"/>
              <w:rPr>
                <w:rFonts w:ascii="Times New Roman" w:hAnsi="Times New Roman"/>
                <w:sz w:val="19"/>
                <w:szCs w:val="19"/>
                <w:lang w:val="fr-CA"/>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89BDDBA" w14:textId="77777777" w:rsidR="00A84B93" w:rsidRPr="00623A2B" w:rsidRDefault="00A84B93" w:rsidP="002F1F49">
            <w:pPr>
              <w:ind w:left="54" w:right="14"/>
              <w:rPr>
                <w:rFonts w:ascii="Times New Roman" w:hAnsi="Times New Roman"/>
                <w:sz w:val="19"/>
                <w:szCs w:val="19"/>
                <w:lang w:val="fr-CA"/>
              </w:rPr>
            </w:pPr>
            <w:r w:rsidRPr="00623A2B">
              <w:rPr>
                <w:rFonts w:ascii="Times New Roman" w:hAnsi="Times New Roman"/>
                <w:sz w:val="19"/>
                <w:szCs w:val="19"/>
                <w:lang w:val="fr-CA"/>
              </w:rPr>
              <w:t>XII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 la CIP</w:t>
            </w:r>
          </w:p>
          <w:p w14:paraId="7E95F2F8" w14:textId="77777777" w:rsidR="00A84B93" w:rsidRPr="00623A2B" w:rsidRDefault="00A84B93" w:rsidP="002F1F49">
            <w:pPr>
              <w:ind w:left="62" w:right="14"/>
              <w:rPr>
                <w:rFonts w:ascii="Times New Roman" w:hAnsi="Times New Roman"/>
                <w:sz w:val="19"/>
                <w:szCs w:val="19"/>
                <w:lang w:val="fr-CA"/>
              </w:rPr>
            </w:pPr>
            <w:r w:rsidRPr="00623A2B">
              <w:rPr>
                <w:rFonts w:ascii="Times New Roman" w:hAnsi="Times New Roman"/>
                <w:i/>
                <w:sz w:val="19"/>
                <w:szCs w:val="19"/>
                <w:lang w:val="fr-CA"/>
              </w:rPr>
              <w:t>(</w:t>
            </w:r>
            <w:proofErr w:type="gramStart"/>
            <w:r w:rsidRPr="00623A2B">
              <w:rPr>
                <w:rFonts w:ascii="Times New Roman" w:hAnsi="Times New Roman"/>
                <w:i/>
                <w:sz w:val="19"/>
                <w:szCs w:val="19"/>
                <w:lang w:val="fr-CA"/>
              </w:rPr>
              <w:t>virtuelle</w:t>
            </w:r>
            <w:proofErr w:type="gramEnd"/>
            <w:r w:rsidRPr="00623A2B">
              <w:rPr>
                <w:rFonts w:ascii="Times New Roman" w:hAnsi="Times New Roman"/>
                <w:i/>
                <w:sz w:val="19"/>
                <w:szCs w:val="19"/>
                <w:lang w:val="fr-CA"/>
              </w:rPr>
              <w:t>, 19- 21 mai)</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9972275" w14:textId="77777777" w:rsidR="00A84B93" w:rsidRPr="00623A2B" w:rsidRDefault="00A84B93" w:rsidP="002F1F49">
            <w:pPr>
              <w:ind w:left="54" w:right="14"/>
              <w:rPr>
                <w:rFonts w:ascii="Times New Roman" w:hAnsi="Times New Roman"/>
                <w:sz w:val="19"/>
                <w:szCs w:val="19"/>
                <w:lang w:val="fr-CA"/>
              </w:rPr>
            </w:pPr>
            <w:r w:rsidRPr="00623A2B">
              <w:rPr>
                <w:rFonts w:ascii="Times New Roman" w:hAnsi="Times New Roman"/>
                <w:sz w:val="19"/>
                <w:szCs w:val="19"/>
                <w:lang w:val="fr-CA"/>
              </w:rPr>
              <w:t>XXII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du Comité exécutif de la CIP</w:t>
            </w:r>
          </w:p>
          <w:p w14:paraId="1611C0D7" w14:textId="77777777" w:rsidR="00A84B93" w:rsidRPr="00623A2B" w:rsidRDefault="00A84B93" w:rsidP="002F1F49">
            <w:pPr>
              <w:ind w:left="54" w:right="14"/>
              <w:rPr>
                <w:rFonts w:ascii="Times New Roman" w:hAnsi="Times New Roman"/>
                <w:i/>
                <w:iCs/>
                <w:sz w:val="19"/>
                <w:szCs w:val="19"/>
                <w:lang w:val="fr-CA"/>
              </w:rPr>
            </w:pPr>
            <w:r w:rsidRPr="00623A2B">
              <w:rPr>
                <w:rFonts w:ascii="Times New Roman" w:hAnsi="Times New Roman"/>
                <w:i/>
                <w:sz w:val="19"/>
                <w:szCs w:val="19"/>
                <w:lang w:val="fr-CA"/>
              </w:rPr>
              <w:t>(Colonia, Uruguay, mars)</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21FC5E2" w14:textId="77777777" w:rsidR="00A84B93" w:rsidRPr="00623A2B" w:rsidRDefault="00A84B93" w:rsidP="002F1F49">
            <w:pPr>
              <w:ind w:right="14"/>
              <w:rPr>
                <w:rFonts w:ascii="Times New Roman" w:hAnsi="Times New Roman"/>
                <w:sz w:val="19"/>
                <w:szCs w:val="19"/>
                <w:lang w:val="fr-CA"/>
              </w:rPr>
            </w:pPr>
            <w:r w:rsidRPr="00623A2B">
              <w:rPr>
                <w:rFonts w:ascii="Times New Roman" w:hAnsi="Times New Roman"/>
                <w:sz w:val="19"/>
                <w:szCs w:val="19"/>
                <w:lang w:val="fr-CA"/>
              </w:rPr>
              <w:t>XIII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 la CIP et XXIIIe Réunion du Comité exécutif de la CIP</w:t>
            </w:r>
          </w:p>
          <w:p w14:paraId="57F73768" w14:textId="77777777" w:rsidR="00A84B93" w:rsidRPr="00623A2B" w:rsidRDefault="00A84B93" w:rsidP="002F1F49">
            <w:pPr>
              <w:ind w:right="14"/>
              <w:rPr>
                <w:rFonts w:ascii="Times New Roman" w:hAnsi="Times New Roman"/>
                <w:sz w:val="19"/>
                <w:szCs w:val="19"/>
                <w:lang w:val="fr-CA"/>
              </w:rPr>
            </w:pPr>
            <w:r w:rsidRPr="00623A2B">
              <w:rPr>
                <w:rFonts w:ascii="Times New Roman" w:hAnsi="Times New Roman"/>
                <w:i/>
                <w:sz w:val="19"/>
                <w:szCs w:val="19"/>
                <w:lang w:val="fr-CA"/>
              </w:rPr>
              <w:t>(</w:t>
            </w:r>
            <w:proofErr w:type="spellStart"/>
            <w:r w:rsidRPr="00623A2B">
              <w:rPr>
                <w:rFonts w:ascii="Times New Roman" w:hAnsi="Times New Roman"/>
                <w:i/>
                <w:sz w:val="19"/>
                <w:szCs w:val="19"/>
                <w:lang w:val="fr-CA"/>
              </w:rPr>
              <w:t>Roatan</w:t>
            </w:r>
            <w:proofErr w:type="spellEnd"/>
            <w:r w:rsidRPr="00623A2B">
              <w:rPr>
                <w:rFonts w:ascii="Times New Roman" w:hAnsi="Times New Roman"/>
                <w:i/>
                <w:sz w:val="19"/>
                <w:szCs w:val="19"/>
                <w:lang w:val="fr-CA"/>
              </w:rPr>
              <w:t>, Honduras, juin)</w:t>
            </w: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215757C" w14:textId="77777777" w:rsidR="00A84B93" w:rsidRPr="00623A2B" w:rsidRDefault="00A84B93" w:rsidP="002F1F49">
            <w:pPr>
              <w:ind w:right="14"/>
              <w:rPr>
                <w:rFonts w:ascii="Times New Roman" w:hAnsi="Times New Roman"/>
                <w:sz w:val="19"/>
                <w:szCs w:val="19"/>
                <w:lang w:val="fr-CA"/>
              </w:rPr>
            </w:pPr>
            <w:r w:rsidRPr="00623A2B">
              <w:rPr>
                <w:rFonts w:ascii="Times New Roman" w:hAnsi="Times New Roman"/>
                <w:sz w:val="19"/>
                <w:szCs w:val="19"/>
                <w:lang w:val="fr-CA"/>
              </w:rPr>
              <w:t>XXIV</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du Comité exécutif de la CIP</w:t>
            </w:r>
          </w:p>
          <w:p w14:paraId="4C48F4AE" w14:textId="77777777" w:rsidR="00A84B93" w:rsidRPr="00623A2B" w:rsidRDefault="00A84B93" w:rsidP="002F1F49">
            <w:pPr>
              <w:ind w:right="14"/>
              <w:rPr>
                <w:rFonts w:ascii="Times New Roman" w:hAnsi="Times New Roman"/>
                <w:i/>
                <w:sz w:val="19"/>
                <w:szCs w:val="19"/>
                <w:lang w:val="fr-CA"/>
              </w:rPr>
            </w:pPr>
            <w:r w:rsidRPr="00623A2B">
              <w:rPr>
                <w:rFonts w:ascii="Times New Roman" w:hAnsi="Times New Roman"/>
                <w:i/>
                <w:sz w:val="19"/>
                <w:szCs w:val="19"/>
                <w:lang w:val="fr-CA"/>
              </w:rPr>
              <w:t xml:space="preserve"> (</w:t>
            </w:r>
            <w:proofErr w:type="gramStart"/>
            <w:r w:rsidRPr="00623A2B">
              <w:rPr>
                <w:rFonts w:ascii="Times New Roman" w:hAnsi="Times New Roman"/>
                <w:i/>
                <w:sz w:val="19"/>
                <w:szCs w:val="19"/>
                <w:lang w:val="fr-CA"/>
              </w:rPr>
              <w:t>hôte</w:t>
            </w:r>
            <w:proofErr w:type="gramEnd"/>
            <w:r w:rsidRPr="00623A2B">
              <w:rPr>
                <w:rFonts w:ascii="Times New Roman" w:hAnsi="Times New Roman"/>
                <w:i/>
                <w:sz w:val="19"/>
                <w:szCs w:val="19"/>
                <w:lang w:val="fr-CA"/>
              </w:rPr>
              <w:t xml:space="preserve"> à préciser)</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5DFA0DD" w14:textId="77777777" w:rsidR="00A84B93" w:rsidRPr="00623A2B" w:rsidRDefault="00A84B93" w:rsidP="002F1F49">
            <w:pPr>
              <w:ind w:left="80" w:right="14"/>
              <w:rPr>
                <w:rFonts w:ascii="Times New Roman" w:hAnsi="Times New Roman"/>
                <w:i/>
                <w:sz w:val="19"/>
                <w:szCs w:val="19"/>
                <w:lang w:val="fr-CA"/>
              </w:rPr>
            </w:pPr>
            <w:r w:rsidRPr="00623A2B">
              <w:rPr>
                <w:rFonts w:ascii="Times New Roman" w:hAnsi="Times New Roman"/>
                <w:sz w:val="19"/>
                <w:szCs w:val="19"/>
                <w:lang w:val="fr-CA"/>
              </w:rPr>
              <w:t>XIV</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 la CIP et XXV</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du Comité exécutif de la CIP</w:t>
            </w:r>
          </w:p>
          <w:p w14:paraId="0F2AF61C" w14:textId="77777777" w:rsidR="00A84B93" w:rsidRPr="00623A2B" w:rsidRDefault="00A84B93" w:rsidP="002F1F49">
            <w:pPr>
              <w:ind w:left="80" w:right="14"/>
              <w:rPr>
                <w:rFonts w:ascii="Times New Roman" w:hAnsi="Times New Roman"/>
                <w:sz w:val="19"/>
                <w:szCs w:val="19"/>
                <w:lang w:val="fr-CA"/>
              </w:rPr>
            </w:pPr>
            <w:r w:rsidRPr="00623A2B">
              <w:rPr>
                <w:rFonts w:ascii="Times New Roman" w:hAnsi="Times New Roman"/>
                <w:i/>
                <w:sz w:val="19"/>
                <w:szCs w:val="19"/>
                <w:lang w:val="fr-CA"/>
              </w:rPr>
              <w:t>(</w:t>
            </w:r>
            <w:proofErr w:type="gramStart"/>
            <w:r w:rsidRPr="00623A2B">
              <w:rPr>
                <w:rFonts w:ascii="Times New Roman" w:hAnsi="Times New Roman"/>
                <w:i/>
                <w:sz w:val="19"/>
                <w:szCs w:val="19"/>
                <w:lang w:val="fr-CA"/>
              </w:rPr>
              <w:t>hôte</w:t>
            </w:r>
            <w:proofErr w:type="gramEnd"/>
            <w:r w:rsidRPr="00623A2B">
              <w:rPr>
                <w:rFonts w:ascii="Times New Roman" w:hAnsi="Times New Roman"/>
                <w:i/>
                <w:sz w:val="19"/>
                <w:szCs w:val="19"/>
                <w:lang w:val="fr-CA"/>
              </w:rPr>
              <w:t xml:space="preserve"> à préciser)</w:t>
            </w:r>
          </w:p>
          <w:p w14:paraId="7E305002" w14:textId="77777777" w:rsidR="00A84B93" w:rsidRPr="00623A2B" w:rsidRDefault="00A84B93" w:rsidP="002F1F49">
            <w:pPr>
              <w:ind w:left="270" w:right="14"/>
              <w:rPr>
                <w:rFonts w:ascii="Times New Roman" w:hAnsi="Times New Roman"/>
                <w:sz w:val="19"/>
                <w:szCs w:val="19"/>
                <w:lang w:val="fr-CA"/>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E7A53A4" w14:textId="77777777" w:rsidR="00A84B93" w:rsidRPr="00623A2B" w:rsidRDefault="00A84B93" w:rsidP="002F1F49">
            <w:pPr>
              <w:ind w:right="14"/>
              <w:rPr>
                <w:rFonts w:ascii="Times New Roman" w:hAnsi="Times New Roman"/>
                <w:sz w:val="19"/>
                <w:szCs w:val="19"/>
                <w:lang w:val="fr-CA"/>
              </w:rPr>
            </w:pPr>
            <w:r w:rsidRPr="00623A2B">
              <w:rPr>
                <w:rFonts w:ascii="Times New Roman" w:hAnsi="Times New Roman"/>
                <w:sz w:val="19"/>
                <w:szCs w:val="19"/>
                <w:lang w:val="fr-CA"/>
              </w:rPr>
              <w:t>XXVI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du Comité exécutif de la CIP</w:t>
            </w:r>
          </w:p>
          <w:p w14:paraId="55E7783E" w14:textId="77777777" w:rsidR="00A84B93" w:rsidRPr="00623A2B" w:rsidRDefault="00A84B93" w:rsidP="002F1F49">
            <w:pPr>
              <w:ind w:right="14"/>
              <w:rPr>
                <w:rFonts w:ascii="Times New Roman" w:hAnsi="Times New Roman"/>
                <w:i/>
                <w:sz w:val="19"/>
                <w:szCs w:val="19"/>
                <w:lang w:val="fr-CA"/>
              </w:rPr>
            </w:pPr>
            <w:r w:rsidRPr="00623A2B">
              <w:rPr>
                <w:rFonts w:ascii="Times New Roman" w:hAnsi="Times New Roman"/>
                <w:i/>
                <w:sz w:val="19"/>
                <w:szCs w:val="19"/>
                <w:lang w:val="fr-CA"/>
              </w:rPr>
              <w:t>(</w:t>
            </w:r>
            <w:proofErr w:type="gramStart"/>
            <w:r w:rsidRPr="00623A2B">
              <w:rPr>
                <w:rFonts w:ascii="Times New Roman" w:hAnsi="Times New Roman"/>
                <w:i/>
                <w:sz w:val="19"/>
                <w:szCs w:val="19"/>
                <w:lang w:val="fr-CA"/>
              </w:rPr>
              <w:t>hôte</w:t>
            </w:r>
            <w:proofErr w:type="gramEnd"/>
            <w:r w:rsidRPr="00623A2B">
              <w:rPr>
                <w:rFonts w:ascii="Times New Roman" w:hAnsi="Times New Roman"/>
                <w:i/>
                <w:sz w:val="19"/>
                <w:szCs w:val="19"/>
                <w:lang w:val="fr-CA"/>
              </w:rPr>
              <w:t xml:space="preserve"> à préciser)</w:t>
            </w:r>
          </w:p>
        </w:tc>
      </w:tr>
      <w:tr w:rsidR="00A84B93" w:rsidRPr="00623A2B" w14:paraId="498FA6F9" w14:textId="77777777" w:rsidTr="002F1F49">
        <w:trPr>
          <w:gridAfter w:val="1"/>
          <w:wAfter w:w="236" w:type="dxa"/>
          <w:trHeight w:val="516"/>
          <w:jc w:val="center"/>
        </w:trPr>
        <w:tc>
          <w:tcPr>
            <w:tcW w:w="163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CA48D00" w14:textId="77777777" w:rsidR="00A84B93" w:rsidRPr="00623A2B" w:rsidRDefault="00A84B93" w:rsidP="002F1F49">
            <w:pPr>
              <w:ind w:left="-28" w:right="14" w:firstLine="28"/>
              <w:rPr>
                <w:rFonts w:ascii="Times New Roman" w:hAnsi="Times New Roman"/>
                <w:sz w:val="19"/>
                <w:szCs w:val="19"/>
                <w:lang w:val="fr-CA"/>
              </w:rPr>
            </w:pPr>
            <w:r w:rsidRPr="00623A2B">
              <w:rPr>
                <w:rFonts w:ascii="Times New Roman" w:hAnsi="Times New Roman"/>
                <w:sz w:val="19"/>
                <w:szCs w:val="19"/>
                <w:lang w:val="fr-CA"/>
              </w:rPr>
              <w:t>3. Éducation</w:t>
            </w: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FC1ED72" w14:textId="77777777" w:rsidR="00A84B93" w:rsidRPr="00623A2B" w:rsidRDefault="00A84B93" w:rsidP="002F1F49">
            <w:pPr>
              <w:ind w:left="54" w:right="14"/>
              <w:rPr>
                <w:rFonts w:ascii="Times New Roman" w:hAnsi="Times New Roman"/>
                <w:sz w:val="19"/>
                <w:szCs w:val="19"/>
                <w:lang w:val="fr-CA"/>
              </w:rPr>
            </w:pPr>
            <w:r w:rsidRPr="00623A2B">
              <w:rPr>
                <w:rFonts w:ascii="Times New Roman" w:hAnsi="Times New Roman"/>
                <w:sz w:val="19"/>
                <w:szCs w:val="19"/>
                <w:lang w:val="fr-CA"/>
              </w:rPr>
              <w:t>IX</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 la CIE </w:t>
            </w:r>
            <w:r w:rsidRPr="00623A2B">
              <w:rPr>
                <w:rFonts w:ascii="Times New Roman" w:hAnsi="Times New Roman"/>
                <w:i/>
                <w:sz w:val="19"/>
                <w:szCs w:val="19"/>
                <w:lang w:val="fr-CA"/>
              </w:rPr>
              <w:t>(virtuelle, 18-19 novembre</w:t>
            </w:r>
            <w:r w:rsidRPr="00623A2B">
              <w:rPr>
                <w:rFonts w:ascii="Times New Roman" w:hAnsi="Times New Roman"/>
                <w:sz w:val="19"/>
                <w:szCs w:val="19"/>
                <w:lang w:val="fr-CA"/>
              </w:rPr>
              <w:t>)</w:t>
            </w:r>
          </w:p>
          <w:p w14:paraId="7DBF344F" w14:textId="77777777" w:rsidR="00A84B93" w:rsidRPr="00623A2B" w:rsidRDefault="00A84B93" w:rsidP="002F1F49">
            <w:pPr>
              <w:ind w:left="62" w:right="14"/>
              <w:rPr>
                <w:rFonts w:ascii="Times New Roman" w:hAnsi="Times New Roman"/>
                <w:sz w:val="19"/>
                <w:szCs w:val="19"/>
                <w:lang w:val="fr-CA"/>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B46AB51" w14:textId="77777777" w:rsidR="00A84B93" w:rsidRPr="00623A2B" w:rsidRDefault="00A84B93" w:rsidP="002F1F49">
            <w:pPr>
              <w:ind w:left="62" w:right="14"/>
              <w:rPr>
                <w:rFonts w:ascii="Times New Roman" w:hAnsi="Times New Roman"/>
                <w:sz w:val="19"/>
                <w:szCs w:val="19"/>
                <w:lang w:val="fr-CA"/>
              </w:rPr>
            </w:pPr>
            <w:r w:rsidRPr="00623A2B">
              <w:rPr>
                <w:rFonts w:ascii="Times New Roman" w:hAnsi="Times New Roman"/>
                <w:sz w:val="19"/>
                <w:szCs w:val="19"/>
                <w:lang w:val="fr-CA"/>
              </w:rPr>
              <w:t>XI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des ministres de l'éducation</w:t>
            </w:r>
          </w:p>
          <w:p w14:paraId="51271C90" w14:textId="77777777" w:rsidR="00A84B93" w:rsidRPr="00623A2B" w:rsidRDefault="00A84B93" w:rsidP="002F1F49">
            <w:pPr>
              <w:ind w:left="54" w:right="14"/>
              <w:rPr>
                <w:rFonts w:ascii="Times New Roman" w:hAnsi="Times New Roman"/>
                <w:sz w:val="19"/>
                <w:szCs w:val="19"/>
                <w:lang w:val="fr-CA"/>
              </w:rPr>
            </w:pPr>
            <w:r w:rsidRPr="00623A2B">
              <w:rPr>
                <w:rFonts w:ascii="Times New Roman" w:hAnsi="Times New Roman"/>
                <w:i/>
                <w:sz w:val="19"/>
                <w:szCs w:val="19"/>
                <w:lang w:val="fr-CA"/>
              </w:rPr>
              <w:t>(</w:t>
            </w:r>
            <w:proofErr w:type="gramStart"/>
            <w:r w:rsidRPr="00623A2B">
              <w:rPr>
                <w:rFonts w:ascii="Times New Roman" w:hAnsi="Times New Roman"/>
                <w:i/>
                <w:sz w:val="19"/>
                <w:szCs w:val="19"/>
                <w:lang w:val="fr-CA"/>
              </w:rPr>
              <w:t>hôte</w:t>
            </w:r>
            <w:proofErr w:type="gramEnd"/>
            <w:r w:rsidRPr="00623A2B">
              <w:rPr>
                <w:rFonts w:ascii="Times New Roman" w:hAnsi="Times New Roman"/>
                <w:i/>
                <w:sz w:val="19"/>
                <w:szCs w:val="19"/>
                <w:lang w:val="fr-CA"/>
              </w:rPr>
              <w:t xml:space="preserve"> à préciser)</w:t>
            </w: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47FADDB" w14:textId="77777777" w:rsidR="00A84B93" w:rsidRPr="00623A2B" w:rsidRDefault="00A84B93" w:rsidP="002F1F49">
            <w:pPr>
              <w:ind w:left="62" w:right="14"/>
              <w:rPr>
                <w:rFonts w:ascii="Times New Roman" w:hAnsi="Times New Roman"/>
                <w:i/>
                <w:sz w:val="19"/>
                <w:szCs w:val="19"/>
                <w:lang w:val="fr-CA"/>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13D99D5" w14:textId="77777777" w:rsidR="00A84B93" w:rsidRPr="00623A2B" w:rsidRDefault="00A84B93" w:rsidP="002F1F49">
            <w:pPr>
              <w:ind w:left="80" w:right="14"/>
              <w:rPr>
                <w:rFonts w:ascii="Times New Roman" w:hAnsi="Times New Roman"/>
                <w:sz w:val="19"/>
                <w:szCs w:val="19"/>
                <w:lang w:val="fr-CA"/>
              </w:rPr>
            </w:pPr>
            <w:r w:rsidRPr="00623A2B">
              <w:rPr>
                <w:rFonts w:ascii="Times New Roman" w:hAnsi="Times New Roman"/>
                <w:sz w:val="19"/>
                <w:szCs w:val="19"/>
                <w:lang w:val="fr-CA"/>
              </w:rPr>
              <w:t>X</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 la CIE</w:t>
            </w:r>
          </w:p>
          <w:p w14:paraId="034329BE" w14:textId="77777777" w:rsidR="00A84B93" w:rsidRPr="00623A2B" w:rsidRDefault="00A84B93" w:rsidP="002F1F49">
            <w:pPr>
              <w:ind w:right="14"/>
              <w:rPr>
                <w:rFonts w:ascii="Times New Roman" w:hAnsi="Times New Roman"/>
                <w:sz w:val="19"/>
                <w:szCs w:val="19"/>
                <w:lang w:val="fr-CA"/>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2A51BB1" w14:textId="77777777" w:rsidR="00A84B93" w:rsidRPr="00623A2B" w:rsidRDefault="00A84B93" w:rsidP="002F1F49">
            <w:pPr>
              <w:ind w:left="62" w:right="14"/>
              <w:rPr>
                <w:rFonts w:ascii="Times New Roman" w:hAnsi="Times New Roman"/>
                <w:sz w:val="19"/>
                <w:szCs w:val="19"/>
                <w:lang w:val="fr-CA"/>
              </w:rPr>
            </w:pPr>
            <w:r w:rsidRPr="00623A2B">
              <w:rPr>
                <w:rFonts w:ascii="Times New Roman" w:hAnsi="Times New Roman"/>
                <w:sz w:val="19"/>
                <w:szCs w:val="19"/>
                <w:lang w:val="fr-CA"/>
              </w:rPr>
              <w:t>XII</w:t>
            </w:r>
            <w:r w:rsidRPr="00623A2B">
              <w:rPr>
                <w:rFonts w:ascii="Times New Roman" w:hAnsi="Times New Roman"/>
                <w:sz w:val="19"/>
                <w:szCs w:val="19"/>
                <w:vertAlign w:val="superscript"/>
                <w:lang w:val="fr-CA"/>
              </w:rPr>
              <w:t xml:space="preserve">e </w:t>
            </w:r>
            <w:r w:rsidRPr="00623A2B">
              <w:rPr>
                <w:rFonts w:ascii="Times New Roman" w:hAnsi="Times New Roman"/>
                <w:sz w:val="19"/>
                <w:szCs w:val="19"/>
                <w:lang w:val="fr-CA"/>
              </w:rPr>
              <w:t>Réunion des ministres de de l'éducation</w:t>
            </w:r>
          </w:p>
          <w:p w14:paraId="53241B96" w14:textId="77777777" w:rsidR="00A84B93" w:rsidRPr="00623A2B" w:rsidRDefault="00A84B93" w:rsidP="002F1F49">
            <w:pPr>
              <w:ind w:right="14"/>
              <w:rPr>
                <w:rFonts w:ascii="Times New Roman" w:hAnsi="Times New Roman"/>
                <w:sz w:val="19"/>
                <w:szCs w:val="19"/>
                <w:lang w:val="fr-CA"/>
              </w:rPr>
            </w:pPr>
            <w:r w:rsidRPr="00623A2B">
              <w:rPr>
                <w:rFonts w:ascii="Times New Roman" w:hAnsi="Times New Roman"/>
                <w:i/>
                <w:sz w:val="19"/>
                <w:szCs w:val="19"/>
                <w:lang w:val="fr-CA"/>
              </w:rPr>
              <w:t>(</w:t>
            </w:r>
            <w:proofErr w:type="gramStart"/>
            <w:r w:rsidRPr="00623A2B">
              <w:rPr>
                <w:rFonts w:ascii="Times New Roman" w:hAnsi="Times New Roman"/>
                <w:i/>
                <w:sz w:val="19"/>
                <w:szCs w:val="19"/>
                <w:lang w:val="fr-CA"/>
              </w:rPr>
              <w:t>hôte</w:t>
            </w:r>
            <w:proofErr w:type="gramEnd"/>
            <w:r w:rsidRPr="00623A2B">
              <w:rPr>
                <w:rFonts w:ascii="Times New Roman" w:hAnsi="Times New Roman"/>
                <w:i/>
                <w:sz w:val="19"/>
                <w:szCs w:val="19"/>
                <w:lang w:val="fr-CA"/>
              </w:rPr>
              <w:t xml:space="preserve"> à préciser)</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B432282" w14:textId="77777777" w:rsidR="00A84B93" w:rsidRPr="00623A2B" w:rsidRDefault="00A84B93" w:rsidP="002F1F49">
            <w:pPr>
              <w:ind w:left="80" w:right="14"/>
              <w:rPr>
                <w:rFonts w:ascii="Times New Roman" w:hAnsi="Times New Roman"/>
                <w:i/>
                <w:sz w:val="19"/>
                <w:szCs w:val="19"/>
                <w:lang w:val="fr-CA"/>
              </w:rPr>
            </w:pPr>
          </w:p>
        </w:tc>
      </w:tr>
      <w:tr w:rsidR="00A84B93" w:rsidRPr="00623A2B" w14:paraId="22A5058B" w14:textId="77777777" w:rsidTr="002F1F49">
        <w:trPr>
          <w:gridAfter w:val="1"/>
          <w:wAfter w:w="236" w:type="dxa"/>
          <w:trHeight w:val="669"/>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7057ED1" w14:textId="77777777" w:rsidR="00A84B93" w:rsidRPr="00623A2B" w:rsidRDefault="00A84B93" w:rsidP="002F1F49">
            <w:pPr>
              <w:ind w:left="-28" w:right="14" w:firstLine="28"/>
              <w:rPr>
                <w:rFonts w:ascii="Times New Roman" w:hAnsi="Times New Roman"/>
                <w:sz w:val="19"/>
                <w:szCs w:val="19"/>
                <w:lang w:val="fr-CA"/>
              </w:rPr>
            </w:pPr>
            <w:r w:rsidRPr="00623A2B">
              <w:rPr>
                <w:rFonts w:ascii="Times New Roman" w:hAnsi="Times New Roman"/>
                <w:sz w:val="19"/>
                <w:szCs w:val="19"/>
                <w:lang w:val="fr-CA"/>
              </w:rPr>
              <w:t>4. Coopération</w:t>
            </w:r>
          </w:p>
          <w:p w14:paraId="18DEE208" w14:textId="77777777" w:rsidR="00A84B93" w:rsidRPr="00623A2B" w:rsidRDefault="00A84B93" w:rsidP="002F1F49">
            <w:pPr>
              <w:ind w:left="-28" w:right="14" w:firstLine="28"/>
              <w:rPr>
                <w:rFonts w:ascii="Times New Roman" w:hAnsi="Times New Roman"/>
                <w:sz w:val="19"/>
                <w:szCs w:val="19"/>
                <w:lang w:val="fr-CA"/>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9921909" w14:textId="77777777" w:rsidR="00A84B93" w:rsidRPr="00623A2B" w:rsidRDefault="00A84B93" w:rsidP="002F1F49">
            <w:pPr>
              <w:ind w:left="54" w:right="14"/>
              <w:rPr>
                <w:rFonts w:ascii="Times New Roman" w:hAnsi="Times New Roman"/>
                <w:sz w:val="19"/>
                <w:szCs w:val="19"/>
                <w:lang w:val="fr-CA"/>
              </w:rPr>
            </w:pPr>
            <w:r w:rsidRPr="00623A2B">
              <w:rPr>
                <w:rFonts w:ascii="Times New Roman" w:hAnsi="Times New Roman"/>
                <w:sz w:val="19"/>
                <w:szCs w:val="19"/>
                <w:lang w:val="fr-CA"/>
              </w:rPr>
              <w:t>III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des ministres chargés de la coopération</w:t>
            </w:r>
          </w:p>
          <w:p w14:paraId="34D736BA" w14:textId="77777777" w:rsidR="00A84B93" w:rsidRPr="00623A2B" w:rsidRDefault="00A84B93" w:rsidP="002F1F49">
            <w:pPr>
              <w:ind w:right="14"/>
              <w:rPr>
                <w:rFonts w:ascii="Times New Roman" w:hAnsi="Times New Roman"/>
                <w:sz w:val="19"/>
                <w:szCs w:val="19"/>
                <w:lang w:val="fr-CA"/>
              </w:rPr>
            </w:pPr>
            <w:r w:rsidRPr="00623A2B">
              <w:rPr>
                <w:rFonts w:ascii="Times New Roman" w:hAnsi="Times New Roman"/>
                <w:i/>
                <w:sz w:val="19"/>
                <w:szCs w:val="19"/>
                <w:lang w:val="fr-CA"/>
              </w:rPr>
              <w:t>(</w:t>
            </w:r>
            <w:proofErr w:type="gramStart"/>
            <w:r w:rsidRPr="00623A2B">
              <w:rPr>
                <w:rFonts w:ascii="Times New Roman" w:hAnsi="Times New Roman"/>
                <w:i/>
                <w:sz w:val="19"/>
                <w:szCs w:val="19"/>
                <w:lang w:val="fr-CA"/>
              </w:rPr>
              <w:t>virtuel</w:t>
            </w:r>
            <w:proofErr w:type="gramEnd"/>
            <w:r w:rsidRPr="00623A2B">
              <w:rPr>
                <w:rFonts w:ascii="Times New Roman" w:hAnsi="Times New Roman"/>
                <w:i/>
                <w:sz w:val="19"/>
                <w:szCs w:val="19"/>
                <w:lang w:val="fr-CA"/>
              </w:rPr>
              <w:t>, 2-3 décembre)</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F5B49D9" w14:textId="77777777" w:rsidR="00A84B93" w:rsidRPr="00623A2B" w:rsidRDefault="00A84B93" w:rsidP="002F1F49">
            <w:pPr>
              <w:ind w:left="54" w:right="14"/>
              <w:rPr>
                <w:rFonts w:ascii="Times New Roman" w:hAnsi="Times New Roman"/>
                <w:i/>
                <w:sz w:val="19"/>
                <w:szCs w:val="19"/>
                <w:lang w:val="fr-CA"/>
              </w:rPr>
            </w:pP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C2CE03A" w14:textId="77777777" w:rsidR="00A84B93" w:rsidRPr="00623A2B" w:rsidRDefault="00A84B93" w:rsidP="002F1F49">
            <w:pPr>
              <w:ind w:left="62" w:right="14"/>
              <w:rPr>
                <w:rFonts w:ascii="Times New Roman" w:hAnsi="Times New Roman"/>
                <w:sz w:val="19"/>
                <w:szCs w:val="19"/>
                <w:lang w:val="fr-CA"/>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0A2D51B" w14:textId="77777777" w:rsidR="00A84B93" w:rsidRPr="00623A2B" w:rsidRDefault="00A84B93" w:rsidP="002F1F49">
            <w:pPr>
              <w:ind w:right="14"/>
              <w:rPr>
                <w:rFonts w:ascii="Times New Roman" w:hAnsi="Times New Roman"/>
                <w:sz w:val="19"/>
                <w:szCs w:val="19"/>
                <w:lang w:val="fr-CA"/>
              </w:rPr>
            </w:pPr>
            <w:r w:rsidRPr="00623A2B">
              <w:rPr>
                <w:rFonts w:ascii="Times New Roman" w:hAnsi="Times New Roman"/>
                <w:sz w:val="19"/>
                <w:szCs w:val="19"/>
                <w:lang w:val="fr-CA"/>
              </w:rPr>
              <w:t>IV</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des ministres chargés de la coopération</w:t>
            </w:r>
          </w:p>
          <w:p w14:paraId="11D643F4" w14:textId="77777777" w:rsidR="00A84B93" w:rsidRPr="00623A2B" w:rsidRDefault="00A84B93" w:rsidP="002F1F49">
            <w:pPr>
              <w:ind w:right="14"/>
              <w:rPr>
                <w:rFonts w:ascii="Times New Roman" w:hAnsi="Times New Roman"/>
                <w:sz w:val="19"/>
                <w:szCs w:val="19"/>
                <w:lang w:val="fr-CA"/>
              </w:rPr>
            </w:pPr>
            <w:r w:rsidRPr="00623A2B">
              <w:rPr>
                <w:rFonts w:ascii="Times New Roman" w:hAnsi="Times New Roman"/>
                <w:i/>
                <w:sz w:val="19"/>
                <w:szCs w:val="19"/>
                <w:lang w:val="fr-CA"/>
              </w:rPr>
              <w:t>(</w:t>
            </w:r>
            <w:proofErr w:type="gramStart"/>
            <w:r w:rsidRPr="00623A2B">
              <w:rPr>
                <w:rFonts w:ascii="Times New Roman" w:hAnsi="Times New Roman"/>
                <w:i/>
                <w:sz w:val="19"/>
                <w:szCs w:val="19"/>
                <w:lang w:val="fr-CA"/>
              </w:rPr>
              <w:t>hôte</w:t>
            </w:r>
            <w:proofErr w:type="gramEnd"/>
            <w:r w:rsidRPr="00623A2B">
              <w:rPr>
                <w:rFonts w:ascii="Times New Roman" w:hAnsi="Times New Roman"/>
                <w:i/>
                <w:sz w:val="19"/>
                <w:szCs w:val="19"/>
                <w:lang w:val="fr-CA"/>
              </w:rPr>
              <w:t xml:space="preserve"> à préciser)</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3F9A4A1" w14:textId="77777777" w:rsidR="00A84B93" w:rsidRPr="00623A2B" w:rsidRDefault="00A84B93" w:rsidP="002F1F49">
            <w:pPr>
              <w:ind w:left="80" w:right="14" w:firstLine="5"/>
              <w:rPr>
                <w:rFonts w:ascii="Times New Roman" w:hAnsi="Times New Roman"/>
                <w:i/>
                <w:sz w:val="19"/>
                <w:szCs w:val="19"/>
                <w:lang w:val="fr-CA"/>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B2DAF25" w14:textId="77777777" w:rsidR="00A84B93" w:rsidRPr="00623A2B" w:rsidRDefault="00A84B93" w:rsidP="002F1F49">
            <w:pPr>
              <w:ind w:left="80" w:right="14"/>
              <w:rPr>
                <w:rFonts w:ascii="Times New Roman" w:hAnsi="Times New Roman"/>
                <w:sz w:val="19"/>
                <w:szCs w:val="19"/>
                <w:lang w:val="fr-CA"/>
              </w:rPr>
            </w:pPr>
          </w:p>
        </w:tc>
      </w:tr>
      <w:tr w:rsidR="00A84B93" w:rsidRPr="00623A2B" w14:paraId="777D06E9" w14:textId="77777777" w:rsidTr="002F1F49">
        <w:trPr>
          <w:gridAfter w:val="1"/>
          <w:wAfter w:w="236" w:type="dxa"/>
          <w:trHeight w:val="658"/>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FD27CF0" w14:textId="77777777" w:rsidR="00A84B93" w:rsidRPr="00623A2B" w:rsidRDefault="00A84B93" w:rsidP="002F1F49">
            <w:pPr>
              <w:ind w:left="120" w:right="14" w:hanging="120"/>
              <w:rPr>
                <w:rFonts w:ascii="Times New Roman" w:hAnsi="Times New Roman"/>
                <w:sz w:val="19"/>
                <w:szCs w:val="19"/>
                <w:lang w:val="fr-CA"/>
              </w:rPr>
            </w:pPr>
            <w:r w:rsidRPr="00623A2B">
              <w:rPr>
                <w:rFonts w:ascii="Times New Roman" w:hAnsi="Times New Roman"/>
                <w:sz w:val="19"/>
                <w:szCs w:val="19"/>
                <w:lang w:val="fr-CA"/>
              </w:rPr>
              <w:t>5. Développement social</w:t>
            </w:r>
          </w:p>
          <w:p w14:paraId="390FDC0E" w14:textId="77777777" w:rsidR="00A84B93" w:rsidRPr="00623A2B" w:rsidRDefault="00A84B93" w:rsidP="002F1F49">
            <w:pPr>
              <w:ind w:left="-28" w:right="14" w:firstLine="28"/>
              <w:rPr>
                <w:rFonts w:ascii="Times New Roman" w:hAnsi="Times New Roman"/>
                <w:sz w:val="19"/>
                <w:szCs w:val="19"/>
                <w:lang w:val="fr-CA"/>
              </w:rPr>
            </w:pP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079C8E6" w14:textId="77777777" w:rsidR="00A84B93" w:rsidRPr="00623A2B" w:rsidRDefault="00A84B93" w:rsidP="002F1F49">
            <w:pPr>
              <w:ind w:left="62" w:right="14"/>
              <w:rPr>
                <w:rFonts w:ascii="Times New Roman" w:hAnsi="Times New Roman"/>
                <w:sz w:val="19"/>
                <w:szCs w:val="19"/>
                <w:lang w:val="fr-CA"/>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B1CE1CA" w14:textId="77777777" w:rsidR="00A84B93" w:rsidRPr="00623A2B" w:rsidRDefault="00A84B93" w:rsidP="002F1F49">
            <w:pPr>
              <w:ind w:left="62" w:right="14"/>
              <w:rPr>
                <w:rFonts w:ascii="Times New Roman" w:hAnsi="Times New Roman"/>
                <w:sz w:val="19"/>
                <w:szCs w:val="19"/>
                <w:lang w:val="fr-CA"/>
              </w:rPr>
            </w:pPr>
            <w:r w:rsidRPr="00623A2B">
              <w:rPr>
                <w:rFonts w:ascii="Times New Roman" w:hAnsi="Times New Roman"/>
                <w:sz w:val="19"/>
                <w:szCs w:val="19"/>
                <w:lang w:val="fr-CA"/>
              </w:rPr>
              <w:t>V</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des ministres chargés du développement </w:t>
            </w:r>
            <w:r w:rsidRPr="00623A2B">
              <w:rPr>
                <w:rFonts w:ascii="Times New Roman" w:hAnsi="Times New Roman"/>
                <w:sz w:val="19"/>
                <w:szCs w:val="19"/>
                <w:lang w:val="fr-CA"/>
              </w:rPr>
              <w:lastRenderedPageBreak/>
              <w:t>social</w:t>
            </w:r>
          </w:p>
          <w:p w14:paraId="2E0EF21A" w14:textId="77777777" w:rsidR="00A84B93" w:rsidRPr="00623A2B" w:rsidRDefault="00A84B93" w:rsidP="002F1F49">
            <w:pPr>
              <w:ind w:left="54" w:right="14"/>
              <w:rPr>
                <w:rFonts w:ascii="Times New Roman" w:hAnsi="Times New Roman"/>
                <w:sz w:val="19"/>
                <w:szCs w:val="19"/>
                <w:lang w:val="fr-CA"/>
              </w:rPr>
            </w:pPr>
            <w:r w:rsidRPr="00623A2B">
              <w:rPr>
                <w:rFonts w:ascii="Times New Roman" w:hAnsi="Times New Roman"/>
                <w:i/>
                <w:sz w:val="19"/>
                <w:szCs w:val="19"/>
                <w:lang w:val="fr-CA"/>
              </w:rPr>
              <w:t>(République dominicaine, 17-18 novembre)</w:t>
            </w: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E6AA29E" w14:textId="77777777" w:rsidR="00A84B93" w:rsidRPr="00623A2B" w:rsidRDefault="00A84B93" w:rsidP="002F1F49">
            <w:pPr>
              <w:ind w:left="62" w:right="14"/>
              <w:rPr>
                <w:rFonts w:ascii="Times New Roman" w:hAnsi="Times New Roman"/>
                <w:i/>
                <w:sz w:val="19"/>
                <w:szCs w:val="19"/>
                <w:lang w:val="fr-CA"/>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BED52B4" w14:textId="77777777" w:rsidR="00A84B93" w:rsidRPr="00623A2B" w:rsidRDefault="00A84B93" w:rsidP="002F1F49">
            <w:pPr>
              <w:ind w:right="14"/>
              <w:rPr>
                <w:rFonts w:ascii="Times New Roman" w:hAnsi="Times New Roman"/>
                <w:sz w:val="19"/>
                <w:szCs w:val="19"/>
                <w:lang w:val="fr-CA"/>
              </w:rPr>
            </w:pPr>
            <w:r w:rsidRPr="00623A2B">
              <w:rPr>
                <w:rFonts w:ascii="Times New Roman" w:hAnsi="Times New Roman"/>
                <w:sz w:val="19"/>
                <w:szCs w:val="19"/>
                <w:lang w:val="fr-CA"/>
              </w:rPr>
              <w:t>VI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 la CIDES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A8A8BEC" w14:textId="77777777" w:rsidR="00A84B93" w:rsidRPr="00623A2B" w:rsidRDefault="00A84B93" w:rsidP="002F1F49">
            <w:pPr>
              <w:ind w:left="80" w:right="14"/>
              <w:rPr>
                <w:rFonts w:ascii="Times New Roman" w:hAnsi="Times New Roman"/>
                <w:sz w:val="19"/>
                <w:szCs w:val="19"/>
                <w:lang w:val="fr-CA"/>
              </w:rPr>
            </w:pPr>
            <w:r w:rsidRPr="00623A2B">
              <w:rPr>
                <w:rFonts w:ascii="Times New Roman" w:hAnsi="Times New Roman"/>
                <w:sz w:val="19"/>
                <w:szCs w:val="19"/>
                <w:lang w:val="fr-CA"/>
              </w:rPr>
              <w:t>VI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des ministres chargés du développement </w:t>
            </w:r>
            <w:r w:rsidRPr="00623A2B">
              <w:rPr>
                <w:rFonts w:ascii="Times New Roman" w:hAnsi="Times New Roman"/>
                <w:sz w:val="19"/>
                <w:szCs w:val="19"/>
                <w:lang w:val="fr-CA"/>
              </w:rPr>
              <w:lastRenderedPageBreak/>
              <w:t>social</w:t>
            </w:r>
          </w:p>
          <w:p w14:paraId="4026AFFB" w14:textId="77777777" w:rsidR="00A84B93" w:rsidRPr="00623A2B" w:rsidRDefault="00A84B93" w:rsidP="002F1F49">
            <w:pPr>
              <w:ind w:left="80" w:right="14"/>
              <w:rPr>
                <w:rFonts w:ascii="Times New Roman" w:hAnsi="Times New Roman"/>
                <w:sz w:val="19"/>
                <w:szCs w:val="19"/>
                <w:lang w:val="fr-CA"/>
              </w:rPr>
            </w:pPr>
            <w:r w:rsidRPr="00623A2B">
              <w:rPr>
                <w:rFonts w:ascii="Times New Roman" w:hAnsi="Times New Roman"/>
                <w:i/>
                <w:sz w:val="19"/>
                <w:szCs w:val="19"/>
                <w:lang w:val="fr-CA"/>
              </w:rPr>
              <w:t>(</w:t>
            </w:r>
            <w:proofErr w:type="gramStart"/>
            <w:r w:rsidRPr="00623A2B">
              <w:rPr>
                <w:rFonts w:ascii="Times New Roman" w:hAnsi="Times New Roman"/>
                <w:i/>
                <w:sz w:val="19"/>
                <w:szCs w:val="19"/>
                <w:lang w:val="fr-CA"/>
              </w:rPr>
              <w:t>hôte</w:t>
            </w:r>
            <w:proofErr w:type="gramEnd"/>
            <w:r w:rsidRPr="00623A2B">
              <w:rPr>
                <w:rFonts w:ascii="Times New Roman" w:hAnsi="Times New Roman"/>
                <w:i/>
                <w:sz w:val="19"/>
                <w:szCs w:val="19"/>
                <w:lang w:val="fr-CA"/>
              </w:rPr>
              <w:t xml:space="preserve"> à préciser)</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73A0275" w14:textId="77777777" w:rsidR="00A84B93" w:rsidRPr="00623A2B" w:rsidRDefault="00A84B93" w:rsidP="002F1F49">
            <w:pPr>
              <w:ind w:right="14"/>
              <w:rPr>
                <w:rFonts w:ascii="Times New Roman" w:hAnsi="Times New Roman"/>
                <w:i/>
                <w:sz w:val="19"/>
                <w:szCs w:val="19"/>
                <w:lang w:val="fr-CA"/>
              </w:rPr>
            </w:pPr>
          </w:p>
        </w:tc>
      </w:tr>
      <w:tr w:rsidR="00A84B93" w:rsidRPr="00213B6A" w14:paraId="11BE032D" w14:textId="77777777" w:rsidTr="002F1F49">
        <w:trPr>
          <w:gridAfter w:val="1"/>
          <w:wAfter w:w="236" w:type="dxa"/>
          <w:trHeight w:val="669"/>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27F12A2" w14:textId="77777777" w:rsidR="00A84B93" w:rsidRPr="00623A2B" w:rsidRDefault="00A84B93" w:rsidP="002F1F49">
            <w:pPr>
              <w:ind w:left="-28" w:right="14" w:firstLine="28"/>
              <w:rPr>
                <w:rFonts w:ascii="Times New Roman" w:hAnsi="Times New Roman"/>
                <w:sz w:val="19"/>
                <w:szCs w:val="19"/>
                <w:lang w:val="fr-CA"/>
              </w:rPr>
            </w:pPr>
            <w:r w:rsidRPr="00623A2B">
              <w:rPr>
                <w:rFonts w:ascii="Times New Roman" w:hAnsi="Times New Roman"/>
                <w:sz w:val="19"/>
                <w:szCs w:val="19"/>
                <w:lang w:val="fr-CA"/>
              </w:rPr>
              <w:t>6. Culture</w:t>
            </w:r>
          </w:p>
          <w:p w14:paraId="2FFA793D" w14:textId="77777777" w:rsidR="00A84B93" w:rsidRPr="00623A2B" w:rsidRDefault="00A84B93" w:rsidP="002F1F49">
            <w:pPr>
              <w:ind w:left="-28" w:right="14" w:firstLine="28"/>
              <w:rPr>
                <w:rFonts w:ascii="Times New Roman" w:hAnsi="Times New Roman"/>
                <w:sz w:val="19"/>
                <w:szCs w:val="19"/>
                <w:lang w:val="fr-CA"/>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709EF54" w14:textId="77777777" w:rsidR="00A84B93" w:rsidRPr="00623A2B" w:rsidRDefault="00A84B93" w:rsidP="002F1F49">
            <w:pPr>
              <w:ind w:left="62" w:right="14"/>
              <w:rPr>
                <w:rFonts w:ascii="Times New Roman" w:hAnsi="Times New Roman"/>
                <w:sz w:val="19"/>
                <w:szCs w:val="19"/>
                <w:lang w:val="fr-CA"/>
              </w:rPr>
            </w:pPr>
            <w:r w:rsidRPr="00623A2B">
              <w:rPr>
                <w:rFonts w:ascii="Times New Roman" w:hAnsi="Times New Roman"/>
                <w:sz w:val="19"/>
                <w:szCs w:val="19"/>
                <w:lang w:val="fr-CA"/>
              </w:rPr>
              <w:t>VI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 la CIC</w:t>
            </w:r>
          </w:p>
          <w:p w14:paraId="132F3F03" w14:textId="77777777" w:rsidR="00A84B93" w:rsidRPr="00623A2B" w:rsidRDefault="00A84B93" w:rsidP="002F1F49">
            <w:pPr>
              <w:ind w:left="62" w:right="14"/>
              <w:rPr>
                <w:rFonts w:ascii="Times New Roman" w:hAnsi="Times New Roman"/>
                <w:sz w:val="19"/>
                <w:szCs w:val="19"/>
                <w:lang w:val="fr-CA"/>
              </w:rPr>
            </w:pPr>
            <w:r w:rsidRPr="00623A2B">
              <w:rPr>
                <w:rFonts w:ascii="Times New Roman" w:hAnsi="Times New Roman"/>
                <w:i/>
                <w:sz w:val="19"/>
                <w:szCs w:val="19"/>
                <w:lang w:val="fr-CA"/>
              </w:rPr>
              <w:t>(27 avril)</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691133C" w14:textId="77777777" w:rsidR="00A84B93" w:rsidRPr="00623A2B" w:rsidRDefault="00A84B93" w:rsidP="002F1F49">
            <w:pPr>
              <w:ind w:left="54" w:right="14"/>
              <w:rPr>
                <w:rFonts w:ascii="Times New Roman" w:hAnsi="Times New Roman"/>
                <w:sz w:val="19"/>
                <w:szCs w:val="19"/>
                <w:lang w:val="fr-CA"/>
              </w:rPr>
            </w:pPr>
            <w:r w:rsidRPr="00623A2B">
              <w:rPr>
                <w:rFonts w:ascii="Times New Roman" w:hAnsi="Times New Roman"/>
                <w:sz w:val="19"/>
                <w:szCs w:val="19"/>
                <w:lang w:val="fr-CA"/>
              </w:rPr>
              <w:t>IX</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des ministres chargés de la culture </w:t>
            </w:r>
            <w:r w:rsidRPr="00623A2B">
              <w:rPr>
                <w:rFonts w:ascii="Times New Roman" w:hAnsi="Times New Roman"/>
                <w:i/>
                <w:sz w:val="19"/>
                <w:szCs w:val="19"/>
                <w:lang w:val="fr-CA"/>
              </w:rPr>
              <w:t>(Guatemala</w:t>
            </w:r>
            <w:r w:rsidRPr="00623A2B">
              <w:rPr>
                <w:rFonts w:ascii="Times New Roman" w:hAnsi="Times New Roman"/>
                <w:sz w:val="19"/>
                <w:szCs w:val="19"/>
                <w:lang w:val="fr-CA"/>
              </w:rPr>
              <w:t>)</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69BA0AA" w14:textId="77777777" w:rsidR="00A84B93" w:rsidRPr="00623A2B" w:rsidRDefault="00A84B93" w:rsidP="002F1F49">
            <w:pPr>
              <w:ind w:left="62" w:right="14"/>
              <w:rPr>
                <w:rFonts w:ascii="Times New Roman" w:hAnsi="Times New Roman"/>
                <w:sz w:val="19"/>
                <w:szCs w:val="19"/>
                <w:lang w:val="fr-CA"/>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B6F789E" w14:textId="77777777" w:rsidR="00A84B93" w:rsidRPr="00623A2B" w:rsidRDefault="00A84B93" w:rsidP="002F1F49">
            <w:pPr>
              <w:ind w:right="14"/>
              <w:rPr>
                <w:rFonts w:ascii="Times New Roman" w:hAnsi="Times New Roman"/>
                <w:sz w:val="19"/>
                <w:szCs w:val="19"/>
                <w:lang w:val="fr-CA"/>
              </w:rPr>
            </w:pPr>
            <w:r w:rsidRPr="00623A2B">
              <w:rPr>
                <w:rFonts w:ascii="Times New Roman" w:hAnsi="Times New Roman"/>
                <w:sz w:val="19"/>
                <w:szCs w:val="19"/>
                <w:lang w:val="fr-CA"/>
              </w:rPr>
              <w:t>VII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 la CIC</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E731D96" w14:textId="77777777" w:rsidR="00A84B93" w:rsidRPr="00623A2B" w:rsidRDefault="00A84B93" w:rsidP="002F1F49">
            <w:pPr>
              <w:ind w:left="80" w:right="14"/>
              <w:rPr>
                <w:rFonts w:ascii="Times New Roman" w:hAnsi="Times New Roman"/>
                <w:sz w:val="19"/>
                <w:szCs w:val="19"/>
                <w:lang w:val="fr-CA"/>
              </w:rPr>
            </w:pPr>
            <w:r w:rsidRPr="00623A2B">
              <w:rPr>
                <w:rFonts w:ascii="Times New Roman" w:hAnsi="Times New Roman"/>
                <w:sz w:val="19"/>
                <w:szCs w:val="19"/>
                <w:lang w:val="fr-CA"/>
              </w:rPr>
              <w:t>X</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des ministres chargés de la culture </w:t>
            </w:r>
            <w:r w:rsidRPr="00623A2B">
              <w:rPr>
                <w:rFonts w:ascii="Times New Roman" w:hAnsi="Times New Roman"/>
                <w:i/>
                <w:sz w:val="19"/>
                <w:szCs w:val="19"/>
                <w:lang w:val="fr-CA"/>
              </w:rPr>
              <w:t>(hôte à définir)</w:t>
            </w: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5142FBAD" w14:textId="77777777" w:rsidR="00A84B93" w:rsidRPr="00623A2B" w:rsidRDefault="00A84B93" w:rsidP="002F1F49">
            <w:pPr>
              <w:ind w:left="74" w:right="14"/>
              <w:rPr>
                <w:rFonts w:ascii="Times New Roman" w:hAnsi="Times New Roman"/>
                <w:sz w:val="19"/>
                <w:szCs w:val="19"/>
                <w:lang w:val="fr-CA"/>
              </w:rPr>
            </w:pPr>
          </w:p>
        </w:tc>
      </w:tr>
      <w:tr w:rsidR="00A84B93" w:rsidRPr="00623A2B" w14:paraId="3FF92479" w14:textId="77777777" w:rsidTr="002F1F49">
        <w:trPr>
          <w:gridAfter w:val="1"/>
          <w:wAfter w:w="236" w:type="dxa"/>
          <w:trHeight w:val="828"/>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18C9B55" w14:textId="77777777" w:rsidR="00A84B93" w:rsidRPr="00623A2B" w:rsidRDefault="00A84B93" w:rsidP="002F1F49">
            <w:pPr>
              <w:ind w:left="120" w:right="14" w:hanging="120"/>
              <w:rPr>
                <w:rFonts w:ascii="Times New Roman" w:hAnsi="Times New Roman"/>
                <w:sz w:val="19"/>
                <w:szCs w:val="19"/>
                <w:lang w:val="fr-CA"/>
              </w:rPr>
            </w:pPr>
            <w:r w:rsidRPr="00623A2B">
              <w:rPr>
                <w:rFonts w:ascii="Times New Roman" w:hAnsi="Times New Roman"/>
                <w:sz w:val="19"/>
                <w:szCs w:val="19"/>
                <w:lang w:val="fr-CA"/>
              </w:rPr>
              <w:t>7. Développement durable</w:t>
            </w:r>
          </w:p>
          <w:p w14:paraId="4A2FD861" w14:textId="77777777" w:rsidR="00A84B93" w:rsidRPr="00623A2B" w:rsidRDefault="00A84B93" w:rsidP="002F1F49">
            <w:pPr>
              <w:ind w:left="-28" w:right="14" w:firstLine="28"/>
              <w:rPr>
                <w:rFonts w:ascii="Times New Roman" w:hAnsi="Times New Roman"/>
                <w:sz w:val="19"/>
                <w:szCs w:val="19"/>
                <w:lang w:val="fr-CA"/>
              </w:rPr>
            </w:pP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88CEC8A" w14:textId="77777777" w:rsidR="00A84B93" w:rsidRPr="00623A2B" w:rsidRDefault="00A84B93" w:rsidP="002F1F49">
            <w:pPr>
              <w:ind w:left="62" w:right="14"/>
              <w:rPr>
                <w:rFonts w:ascii="Times New Roman" w:hAnsi="Times New Roman"/>
                <w:sz w:val="19"/>
                <w:szCs w:val="19"/>
                <w:lang w:val="fr-CA"/>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15B21CE" w14:textId="77777777" w:rsidR="00A84B93" w:rsidRPr="00623A2B" w:rsidRDefault="00A84B93" w:rsidP="002F1F49">
            <w:pPr>
              <w:ind w:left="62" w:right="14"/>
              <w:rPr>
                <w:rFonts w:ascii="Times New Roman" w:hAnsi="Times New Roman"/>
                <w:sz w:val="19"/>
                <w:szCs w:val="19"/>
                <w:lang w:val="fr-CA"/>
              </w:rPr>
            </w:pPr>
            <w:r w:rsidRPr="00623A2B">
              <w:rPr>
                <w:rFonts w:ascii="Times New Roman" w:hAnsi="Times New Roman"/>
                <w:sz w:val="19"/>
                <w:szCs w:val="19"/>
                <w:lang w:val="fr-CA"/>
              </w:rPr>
              <w:t>VI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 la CIDS et</w:t>
            </w:r>
          </w:p>
          <w:p w14:paraId="602CB41A" w14:textId="77777777" w:rsidR="00A84B93" w:rsidRPr="00623A2B" w:rsidRDefault="00A84B93" w:rsidP="002F1F49">
            <w:pPr>
              <w:ind w:left="54" w:right="14"/>
              <w:rPr>
                <w:rFonts w:ascii="Times New Roman" w:hAnsi="Times New Roman"/>
                <w:sz w:val="19"/>
                <w:szCs w:val="19"/>
                <w:lang w:val="fr-CA"/>
              </w:rPr>
            </w:pPr>
            <w:r w:rsidRPr="00623A2B">
              <w:rPr>
                <w:rFonts w:ascii="Times New Roman" w:hAnsi="Times New Roman"/>
                <w:sz w:val="19"/>
                <w:szCs w:val="19"/>
                <w:lang w:val="fr-CA"/>
              </w:rPr>
              <w:t>IV</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des ministres chargés du développement durable</w:t>
            </w:r>
          </w:p>
          <w:p w14:paraId="2E06223D" w14:textId="77777777" w:rsidR="00A84B93" w:rsidRPr="00623A2B" w:rsidRDefault="00A84B93" w:rsidP="002F1F49">
            <w:pPr>
              <w:ind w:left="54" w:right="14"/>
              <w:rPr>
                <w:rFonts w:ascii="Times New Roman" w:hAnsi="Times New Roman"/>
                <w:i/>
                <w:sz w:val="19"/>
                <w:szCs w:val="19"/>
                <w:lang w:val="fr-CA"/>
              </w:rPr>
            </w:pPr>
            <w:r w:rsidRPr="00623A2B">
              <w:rPr>
                <w:rFonts w:ascii="Times New Roman" w:hAnsi="Times New Roman"/>
                <w:i/>
                <w:sz w:val="19"/>
                <w:szCs w:val="19"/>
                <w:lang w:val="fr-CA"/>
              </w:rPr>
              <w:t>(</w:t>
            </w:r>
            <w:proofErr w:type="gramStart"/>
            <w:r w:rsidRPr="00623A2B">
              <w:rPr>
                <w:rFonts w:ascii="Times New Roman" w:hAnsi="Times New Roman"/>
                <w:i/>
                <w:sz w:val="19"/>
                <w:szCs w:val="19"/>
                <w:lang w:val="fr-CA"/>
              </w:rPr>
              <w:t>hôte</w:t>
            </w:r>
            <w:proofErr w:type="gramEnd"/>
            <w:r w:rsidRPr="00623A2B">
              <w:rPr>
                <w:rFonts w:ascii="Times New Roman" w:hAnsi="Times New Roman"/>
                <w:i/>
                <w:sz w:val="19"/>
                <w:szCs w:val="19"/>
                <w:lang w:val="fr-CA"/>
              </w:rPr>
              <w:t xml:space="preserve"> à définir))</w:t>
            </w: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C5C3B01" w14:textId="77777777" w:rsidR="00A84B93" w:rsidRPr="00623A2B" w:rsidRDefault="00A84B93" w:rsidP="002F1F49">
            <w:pPr>
              <w:ind w:left="62" w:right="14"/>
              <w:rPr>
                <w:rFonts w:ascii="Times New Roman" w:hAnsi="Times New Roman"/>
                <w:sz w:val="19"/>
                <w:szCs w:val="19"/>
                <w:lang w:val="fr-CA"/>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9505BB9" w14:textId="77777777" w:rsidR="00A84B93" w:rsidRPr="00623A2B" w:rsidRDefault="00A84B93" w:rsidP="002F1F49">
            <w:pPr>
              <w:ind w:left="62" w:right="14"/>
              <w:rPr>
                <w:rFonts w:ascii="Times New Roman" w:hAnsi="Times New Roman"/>
                <w:sz w:val="19"/>
                <w:szCs w:val="19"/>
                <w:lang w:val="fr-CA"/>
              </w:rPr>
            </w:pPr>
            <w:r w:rsidRPr="00623A2B">
              <w:rPr>
                <w:rFonts w:ascii="Times New Roman" w:hAnsi="Times New Roman"/>
                <w:sz w:val="19"/>
                <w:szCs w:val="19"/>
                <w:lang w:val="fr-CA"/>
              </w:rPr>
              <w:t>VI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 la CIDS</w:t>
            </w:r>
          </w:p>
          <w:p w14:paraId="5ADB9130" w14:textId="77777777" w:rsidR="00A84B93" w:rsidRPr="00623A2B" w:rsidRDefault="00A84B93" w:rsidP="002F1F49">
            <w:pPr>
              <w:ind w:left="62" w:right="14"/>
              <w:rPr>
                <w:rFonts w:ascii="Times New Roman" w:hAnsi="Times New Roman"/>
                <w:sz w:val="19"/>
                <w:szCs w:val="19"/>
                <w:lang w:val="fr-CA"/>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45DB521" w14:textId="77777777" w:rsidR="00A84B93" w:rsidRPr="00623A2B" w:rsidRDefault="00A84B93" w:rsidP="002F1F49">
            <w:pPr>
              <w:ind w:left="85" w:right="14" w:firstLine="5"/>
              <w:rPr>
                <w:rFonts w:ascii="Times New Roman" w:hAnsi="Times New Roman"/>
                <w:sz w:val="19"/>
                <w:szCs w:val="19"/>
                <w:lang w:val="fr-CA"/>
              </w:rPr>
            </w:pPr>
            <w:r w:rsidRPr="00623A2B">
              <w:rPr>
                <w:rFonts w:ascii="Times New Roman" w:hAnsi="Times New Roman"/>
                <w:sz w:val="19"/>
                <w:szCs w:val="19"/>
                <w:lang w:val="fr-CA"/>
              </w:rPr>
              <w:t>V</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des ministres chargés du développement durable</w:t>
            </w:r>
          </w:p>
          <w:p w14:paraId="09FA92E6" w14:textId="77777777" w:rsidR="00A84B93" w:rsidRPr="00623A2B" w:rsidRDefault="00A84B93" w:rsidP="002F1F49">
            <w:pPr>
              <w:ind w:left="81" w:right="14"/>
              <w:rPr>
                <w:rFonts w:ascii="Times New Roman" w:hAnsi="Times New Roman"/>
                <w:i/>
                <w:sz w:val="19"/>
                <w:szCs w:val="19"/>
                <w:lang w:val="fr-CA"/>
              </w:rPr>
            </w:pPr>
            <w:r w:rsidRPr="00623A2B">
              <w:rPr>
                <w:rFonts w:ascii="Times New Roman" w:hAnsi="Times New Roman"/>
                <w:i/>
                <w:sz w:val="19"/>
                <w:szCs w:val="19"/>
                <w:lang w:val="fr-CA"/>
              </w:rPr>
              <w:t>(</w:t>
            </w:r>
            <w:proofErr w:type="gramStart"/>
            <w:r w:rsidRPr="00623A2B">
              <w:rPr>
                <w:rFonts w:ascii="Times New Roman" w:hAnsi="Times New Roman"/>
                <w:i/>
                <w:sz w:val="19"/>
                <w:szCs w:val="19"/>
                <w:lang w:val="fr-CA"/>
              </w:rPr>
              <w:t>hôte</w:t>
            </w:r>
            <w:proofErr w:type="gramEnd"/>
            <w:r w:rsidRPr="00623A2B">
              <w:rPr>
                <w:rFonts w:ascii="Times New Roman" w:hAnsi="Times New Roman"/>
                <w:i/>
                <w:sz w:val="19"/>
                <w:szCs w:val="19"/>
                <w:lang w:val="fr-CA"/>
              </w:rPr>
              <w:t xml:space="preserve"> à préciser)</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CE24836" w14:textId="77777777" w:rsidR="00A84B93" w:rsidRPr="00623A2B" w:rsidRDefault="00A84B93" w:rsidP="002F1F49">
            <w:pPr>
              <w:ind w:left="270" w:right="14"/>
              <w:rPr>
                <w:rFonts w:ascii="Times New Roman" w:hAnsi="Times New Roman"/>
                <w:sz w:val="19"/>
                <w:szCs w:val="19"/>
                <w:lang w:val="fr-CA"/>
              </w:rPr>
            </w:pPr>
          </w:p>
        </w:tc>
      </w:tr>
      <w:tr w:rsidR="00A84B93" w:rsidRPr="00623A2B" w14:paraId="6690D1B0" w14:textId="77777777" w:rsidTr="002F1F49">
        <w:trPr>
          <w:gridAfter w:val="1"/>
          <w:wAfter w:w="236" w:type="dxa"/>
          <w:trHeight w:val="447"/>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3F8FC50" w14:textId="77777777" w:rsidR="00A84B93" w:rsidRPr="00623A2B" w:rsidRDefault="00A84B93" w:rsidP="002F1F49">
            <w:pPr>
              <w:ind w:left="120" w:right="14" w:hanging="120"/>
              <w:rPr>
                <w:rFonts w:ascii="Times New Roman" w:hAnsi="Times New Roman"/>
                <w:sz w:val="19"/>
                <w:szCs w:val="19"/>
                <w:lang w:val="fr-CA"/>
              </w:rPr>
            </w:pPr>
            <w:r w:rsidRPr="00623A2B">
              <w:rPr>
                <w:rFonts w:ascii="Times New Roman" w:hAnsi="Times New Roman"/>
                <w:sz w:val="19"/>
                <w:szCs w:val="19"/>
                <w:lang w:val="fr-CA"/>
              </w:rPr>
              <w:t>8. Science et technologie</w:t>
            </w:r>
          </w:p>
          <w:p w14:paraId="11F47869" w14:textId="77777777" w:rsidR="00A84B93" w:rsidRPr="00623A2B" w:rsidRDefault="00A84B93" w:rsidP="002F1F49">
            <w:pPr>
              <w:ind w:left="-28" w:right="14" w:firstLine="28"/>
              <w:rPr>
                <w:rFonts w:ascii="Times New Roman" w:hAnsi="Times New Roman"/>
                <w:sz w:val="19"/>
                <w:szCs w:val="19"/>
                <w:lang w:val="fr-CA"/>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ABC0479" w14:textId="77777777" w:rsidR="00A84B93" w:rsidRPr="00623A2B" w:rsidRDefault="00A84B93" w:rsidP="002F1F49">
            <w:pPr>
              <w:ind w:left="54" w:right="14"/>
              <w:rPr>
                <w:rFonts w:ascii="Times New Roman" w:hAnsi="Times New Roman"/>
                <w:sz w:val="19"/>
                <w:szCs w:val="19"/>
                <w:lang w:val="fr-CA"/>
              </w:rPr>
            </w:pPr>
            <w:r w:rsidRPr="00623A2B">
              <w:rPr>
                <w:rFonts w:ascii="Times New Roman" w:hAnsi="Times New Roman"/>
                <w:sz w:val="19"/>
                <w:szCs w:val="19"/>
                <w:lang w:val="fr-CA"/>
              </w:rPr>
              <w:t>VI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des ministres chargés de la science et de la technologie</w:t>
            </w:r>
          </w:p>
          <w:p w14:paraId="4A0475DD" w14:textId="77777777" w:rsidR="00A84B93" w:rsidRPr="00623A2B" w:rsidRDefault="00A84B93" w:rsidP="002F1F49">
            <w:pPr>
              <w:ind w:left="-3" w:right="14" w:firstLine="65"/>
              <w:rPr>
                <w:rFonts w:ascii="Times New Roman" w:hAnsi="Times New Roman"/>
                <w:sz w:val="19"/>
                <w:szCs w:val="19"/>
                <w:lang w:val="fr-CA"/>
              </w:rPr>
            </w:pPr>
            <w:r w:rsidRPr="00623A2B">
              <w:rPr>
                <w:rFonts w:ascii="Times New Roman" w:hAnsi="Times New Roman"/>
                <w:i/>
                <w:sz w:val="19"/>
                <w:szCs w:val="19"/>
                <w:lang w:val="fr-CA"/>
              </w:rPr>
              <w:t>(</w:t>
            </w:r>
            <w:proofErr w:type="gramStart"/>
            <w:r w:rsidRPr="00623A2B">
              <w:rPr>
                <w:rFonts w:ascii="Times New Roman" w:hAnsi="Times New Roman"/>
                <w:i/>
                <w:sz w:val="19"/>
                <w:szCs w:val="19"/>
                <w:lang w:val="fr-CA"/>
              </w:rPr>
              <w:t>virtuel</w:t>
            </w:r>
            <w:proofErr w:type="gramEnd"/>
            <w:r w:rsidRPr="00623A2B">
              <w:rPr>
                <w:rFonts w:ascii="Times New Roman" w:hAnsi="Times New Roman"/>
                <w:i/>
                <w:sz w:val="19"/>
                <w:szCs w:val="19"/>
                <w:lang w:val="fr-CA"/>
              </w:rPr>
              <w:t>, 7 décembre)</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82A8C4F" w14:textId="77777777" w:rsidR="00A84B93" w:rsidRPr="00623A2B" w:rsidRDefault="00A84B93" w:rsidP="002F1F49">
            <w:pPr>
              <w:ind w:left="54" w:right="14"/>
              <w:rPr>
                <w:rFonts w:ascii="Times New Roman" w:hAnsi="Times New Roman"/>
                <w:i/>
                <w:sz w:val="19"/>
                <w:szCs w:val="19"/>
                <w:lang w:val="fr-CA"/>
              </w:rPr>
            </w:pP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3557132" w14:textId="77777777" w:rsidR="00A84B93" w:rsidRPr="00623A2B" w:rsidRDefault="00A84B93" w:rsidP="002F1F49">
            <w:pPr>
              <w:ind w:left="62" w:right="14"/>
              <w:rPr>
                <w:rFonts w:ascii="Times New Roman" w:hAnsi="Times New Roman"/>
                <w:sz w:val="19"/>
                <w:szCs w:val="19"/>
                <w:lang w:val="fr-CA"/>
              </w:rPr>
            </w:pPr>
            <w:r w:rsidRPr="00623A2B">
              <w:rPr>
                <w:rFonts w:ascii="Times New Roman" w:hAnsi="Times New Roman"/>
                <w:sz w:val="19"/>
                <w:szCs w:val="19"/>
                <w:lang w:val="fr-CA"/>
              </w:rPr>
              <w:t>X</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 la </w:t>
            </w:r>
            <w:proofErr w:type="spellStart"/>
            <w:r w:rsidRPr="00623A2B">
              <w:rPr>
                <w:rFonts w:ascii="Times New Roman" w:hAnsi="Times New Roman"/>
                <w:sz w:val="19"/>
                <w:szCs w:val="19"/>
                <w:lang w:val="fr-CA"/>
              </w:rPr>
              <w:t>COMCyT</w:t>
            </w:r>
            <w:proofErr w:type="spellEnd"/>
          </w:p>
          <w:p w14:paraId="7FE42B01" w14:textId="77777777" w:rsidR="00A84B93" w:rsidRPr="00623A2B" w:rsidRDefault="00A84B93" w:rsidP="002F1F49">
            <w:pPr>
              <w:ind w:left="62" w:right="14"/>
              <w:rPr>
                <w:rFonts w:ascii="Times New Roman" w:hAnsi="Times New Roman"/>
                <w:sz w:val="19"/>
                <w:szCs w:val="19"/>
                <w:lang w:val="fr-CA"/>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F52CD22" w14:textId="77777777" w:rsidR="00A84B93" w:rsidRPr="00623A2B" w:rsidRDefault="00A84B93" w:rsidP="002F1F49">
            <w:pPr>
              <w:ind w:left="81" w:right="14"/>
              <w:rPr>
                <w:rFonts w:ascii="Times New Roman" w:hAnsi="Times New Roman"/>
                <w:sz w:val="19"/>
                <w:szCs w:val="19"/>
                <w:lang w:val="fr-CA"/>
              </w:rPr>
            </w:pPr>
            <w:r w:rsidRPr="00623A2B">
              <w:rPr>
                <w:rFonts w:ascii="Times New Roman" w:hAnsi="Times New Roman"/>
                <w:sz w:val="19"/>
                <w:szCs w:val="19"/>
                <w:lang w:val="fr-CA"/>
              </w:rPr>
              <w:t>VII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des ministres chargés de la science et de la technologie</w:t>
            </w:r>
          </w:p>
          <w:p w14:paraId="5694875D" w14:textId="77777777" w:rsidR="00A84B93" w:rsidRPr="00623A2B" w:rsidRDefault="00A84B93" w:rsidP="002F1F49">
            <w:pPr>
              <w:ind w:left="62" w:right="14"/>
              <w:rPr>
                <w:rFonts w:ascii="Times New Roman" w:hAnsi="Times New Roman"/>
                <w:sz w:val="19"/>
                <w:szCs w:val="19"/>
                <w:lang w:val="fr-CA"/>
              </w:rPr>
            </w:pPr>
            <w:r w:rsidRPr="00623A2B">
              <w:rPr>
                <w:rFonts w:ascii="Times New Roman" w:hAnsi="Times New Roman"/>
                <w:i/>
                <w:sz w:val="19"/>
                <w:szCs w:val="19"/>
                <w:lang w:val="fr-CA"/>
              </w:rPr>
              <w:t>(</w:t>
            </w:r>
            <w:proofErr w:type="gramStart"/>
            <w:r w:rsidRPr="00623A2B">
              <w:rPr>
                <w:rFonts w:ascii="Times New Roman" w:hAnsi="Times New Roman"/>
                <w:i/>
                <w:sz w:val="19"/>
                <w:szCs w:val="19"/>
                <w:lang w:val="fr-CA"/>
              </w:rPr>
              <w:t>hôte</w:t>
            </w:r>
            <w:proofErr w:type="gramEnd"/>
            <w:r w:rsidRPr="00623A2B">
              <w:rPr>
                <w:rFonts w:ascii="Times New Roman" w:hAnsi="Times New Roman"/>
                <w:i/>
                <w:sz w:val="19"/>
                <w:szCs w:val="19"/>
                <w:lang w:val="fr-CA"/>
              </w:rPr>
              <w:t xml:space="preserve"> à préciser)</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B19D7EC" w14:textId="77777777" w:rsidR="00A84B93" w:rsidRPr="00623A2B" w:rsidRDefault="00A84B93" w:rsidP="002F1F49">
            <w:pPr>
              <w:ind w:left="81" w:right="14" w:firstLine="4"/>
              <w:rPr>
                <w:rFonts w:ascii="Times New Roman" w:hAnsi="Times New Roman"/>
                <w:i/>
                <w:sz w:val="19"/>
                <w:szCs w:val="19"/>
                <w:lang w:val="fr-CA"/>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97D4A1B" w14:textId="77777777" w:rsidR="00A84B93" w:rsidRPr="00623A2B" w:rsidRDefault="00A84B93" w:rsidP="002F1F49">
            <w:pPr>
              <w:ind w:left="270" w:right="14"/>
              <w:rPr>
                <w:rFonts w:ascii="Times New Roman" w:hAnsi="Times New Roman"/>
                <w:sz w:val="19"/>
                <w:szCs w:val="19"/>
                <w:lang w:val="fr-CA"/>
              </w:rPr>
            </w:pPr>
          </w:p>
        </w:tc>
      </w:tr>
      <w:tr w:rsidR="00A84B93" w:rsidRPr="00213B6A" w14:paraId="2D98D84F" w14:textId="77777777" w:rsidTr="002F1F49">
        <w:trPr>
          <w:gridAfter w:val="1"/>
          <w:wAfter w:w="236" w:type="dxa"/>
          <w:trHeight w:val="817"/>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CC92BA5" w14:textId="77777777" w:rsidR="00A84B93" w:rsidRPr="00623A2B" w:rsidRDefault="00A84B93" w:rsidP="002F1F49">
            <w:pPr>
              <w:ind w:left="-28" w:right="14" w:firstLine="28"/>
              <w:rPr>
                <w:rFonts w:ascii="Times New Roman" w:hAnsi="Times New Roman"/>
                <w:sz w:val="19"/>
                <w:szCs w:val="19"/>
                <w:lang w:val="fr-CA"/>
              </w:rPr>
            </w:pPr>
            <w:r w:rsidRPr="00623A2B">
              <w:rPr>
                <w:rFonts w:ascii="Times New Roman" w:hAnsi="Times New Roman"/>
                <w:sz w:val="19"/>
                <w:szCs w:val="19"/>
                <w:lang w:val="fr-CA"/>
              </w:rPr>
              <w:t>9. Travail</w:t>
            </w:r>
          </w:p>
          <w:p w14:paraId="2C9C498F" w14:textId="77777777" w:rsidR="00A84B93" w:rsidRPr="00623A2B" w:rsidRDefault="00A84B93" w:rsidP="002F1F49">
            <w:pPr>
              <w:ind w:left="-28" w:right="14" w:firstLine="28"/>
              <w:rPr>
                <w:rFonts w:ascii="Times New Roman" w:hAnsi="Times New Roman"/>
                <w:sz w:val="19"/>
                <w:szCs w:val="19"/>
                <w:lang w:val="fr-CA"/>
              </w:rPr>
            </w:pP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2BECD04" w14:textId="77777777" w:rsidR="00A84B93" w:rsidRPr="00623A2B" w:rsidRDefault="00A84B93" w:rsidP="002F1F49">
            <w:pPr>
              <w:ind w:left="54" w:right="14"/>
              <w:rPr>
                <w:rFonts w:ascii="Times New Roman" w:hAnsi="Times New Roman"/>
                <w:sz w:val="19"/>
                <w:szCs w:val="19"/>
                <w:lang w:val="fr-CA"/>
              </w:rPr>
            </w:pPr>
            <w:r w:rsidRPr="00623A2B">
              <w:rPr>
                <w:rFonts w:ascii="Times New Roman" w:hAnsi="Times New Roman"/>
                <w:sz w:val="19"/>
                <w:szCs w:val="19"/>
                <w:lang w:val="fr-CA"/>
              </w:rPr>
              <w:t>XXI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des ministres du travail (CIMT)</w:t>
            </w:r>
          </w:p>
          <w:p w14:paraId="6CCBD2AA" w14:textId="77777777" w:rsidR="00A84B93" w:rsidRPr="00623A2B" w:rsidRDefault="00A84B93" w:rsidP="002F1F49">
            <w:pPr>
              <w:ind w:left="62" w:right="14"/>
              <w:rPr>
                <w:rFonts w:ascii="Times New Roman" w:hAnsi="Times New Roman"/>
                <w:sz w:val="19"/>
                <w:szCs w:val="19"/>
                <w:lang w:val="fr-CA"/>
              </w:rPr>
            </w:pPr>
            <w:r w:rsidRPr="00623A2B">
              <w:rPr>
                <w:rFonts w:ascii="Times New Roman" w:hAnsi="Times New Roman"/>
                <w:i/>
                <w:sz w:val="19"/>
                <w:szCs w:val="19"/>
                <w:lang w:val="fr-CA"/>
              </w:rPr>
              <w:t>(</w:t>
            </w:r>
            <w:proofErr w:type="gramStart"/>
            <w:r w:rsidRPr="00623A2B">
              <w:rPr>
                <w:rFonts w:ascii="Times New Roman" w:hAnsi="Times New Roman"/>
                <w:i/>
                <w:sz w:val="19"/>
                <w:szCs w:val="19"/>
                <w:lang w:val="fr-CA"/>
              </w:rPr>
              <w:t>virtuelle</w:t>
            </w:r>
            <w:proofErr w:type="gramEnd"/>
            <w:r w:rsidRPr="00623A2B">
              <w:rPr>
                <w:rFonts w:ascii="Times New Roman" w:hAnsi="Times New Roman"/>
                <w:i/>
                <w:sz w:val="19"/>
                <w:szCs w:val="19"/>
                <w:lang w:val="fr-CA"/>
              </w:rPr>
              <w:t>, 22-24 septembre)</w:t>
            </w: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25DB726" w14:textId="77777777" w:rsidR="00A84B93" w:rsidRPr="00623A2B" w:rsidRDefault="00A84B93" w:rsidP="002F1F49">
            <w:pPr>
              <w:ind w:left="54" w:right="14"/>
              <w:rPr>
                <w:rFonts w:ascii="Times New Roman" w:hAnsi="Times New Roman"/>
                <w:i/>
                <w:sz w:val="19"/>
                <w:szCs w:val="19"/>
                <w:lang w:val="fr-CA"/>
              </w:rPr>
            </w:pP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048133B" w14:textId="77777777" w:rsidR="00A84B93" w:rsidRPr="00623A2B" w:rsidRDefault="00A84B93" w:rsidP="002F1F49">
            <w:pPr>
              <w:ind w:left="62" w:right="14"/>
              <w:rPr>
                <w:rFonts w:ascii="Times New Roman" w:hAnsi="Times New Roman"/>
                <w:sz w:val="19"/>
                <w:szCs w:val="19"/>
                <w:lang w:val="fr-CA"/>
              </w:rPr>
            </w:pPr>
            <w:r w:rsidRPr="00623A2B">
              <w:rPr>
                <w:rFonts w:ascii="Times New Roman" w:hAnsi="Times New Roman"/>
                <w:sz w:val="19"/>
                <w:szCs w:val="19"/>
                <w:lang w:val="fr-CA"/>
              </w:rPr>
              <w:t>Réunion des groupes de travail de la CIMT</w:t>
            </w:r>
          </w:p>
          <w:p w14:paraId="2816A3E3" w14:textId="77777777" w:rsidR="00A84B93" w:rsidRPr="00623A2B" w:rsidRDefault="00A84B93" w:rsidP="002F1F49">
            <w:pPr>
              <w:ind w:left="62" w:right="14"/>
              <w:rPr>
                <w:rFonts w:ascii="Times New Roman" w:hAnsi="Times New Roman"/>
                <w:sz w:val="19"/>
                <w:szCs w:val="19"/>
                <w:lang w:val="fr-CA"/>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79A130F" w14:textId="77777777" w:rsidR="00A84B93" w:rsidRPr="00623A2B" w:rsidRDefault="00A84B93" w:rsidP="002F1F49">
            <w:pPr>
              <w:ind w:right="14"/>
              <w:rPr>
                <w:rFonts w:ascii="Times New Roman" w:hAnsi="Times New Roman"/>
                <w:sz w:val="19"/>
                <w:szCs w:val="19"/>
                <w:lang w:val="fr-CA"/>
              </w:rPr>
            </w:pPr>
            <w:r w:rsidRPr="00623A2B">
              <w:rPr>
                <w:rFonts w:ascii="Times New Roman" w:hAnsi="Times New Roman"/>
                <w:sz w:val="19"/>
                <w:szCs w:val="19"/>
                <w:lang w:val="fr-CA"/>
              </w:rPr>
              <w:t>XXII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Réunion des ministres du travail (CIMT)</w:t>
            </w:r>
          </w:p>
          <w:p w14:paraId="3CD9E6E3" w14:textId="77777777" w:rsidR="00A84B93" w:rsidRPr="00623A2B" w:rsidRDefault="00A84B93" w:rsidP="002F1F49">
            <w:pPr>
              <w:ind w:right="14"/>
              <w:rPr>
                <w:rFonts w:ascii="Times New Roman" w:hAnsi="Times New Roman"/>
                <w:sz w:val="19"/>
                <w:szCs w:val="19"/>
                <w:lang w:val="fr-CA"/>
              </w:rPr>
            </w:pPr>
            <w:r w:rsidRPr="00623A2B">
              <w:rPr>
                <w:rFonts w:ascii="Times New Roman" w:hAnsi="Times New Roman"/>
                <w:i/>
                <w:sz w:val="19"/>
                <w:szCs w:val="19"/>
                <w:lang w:val="fr-CA"/>
              </w:rPr>
              <w:t>(Colombie)</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E7B7466" w14:textId="77777777" w:rsidR="00A84B93" w:rsidRPr="00623A2B" w:rsidRDefault="00A84B93" w:rsidP="002F1F49">
            <w:pPr>
              <w:ind w:left="81" w:right="14"/>
              <w:rPr>
                <w:rFonts w:ascii="Times New Roman" w:hAnsi="Times New Roman"/>
                <w:i/>
                <w:sz w:val="19"/>
                <w:szCs w:val="19"/>
                <w:lang w:val="fr-CA"/>
              </w:rPr>
            </w:pP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12D300B" w14:textId="77777777" w:rsidR="00A84B93" w:rsidRPr="00623A2B" w:rsidRDefault="00A84B93" w:rsidP="002F1F49">
            <w:pPr>
              <w:ind w:left="270" w:right="14"/>
              <w:rPr>
                <w:rFonts w:ascii="Times New Roman" w:hAnsi="Times New Roman"/>
                <w:sz w:val="19"/>
                <w:szCs w:val="19"/>
                <w:lang w:val="fr-CA"/>
              </w:rPr>
            </w:pPr>
            <w:r w:rsidRPr="00623A2B">
              <w:rPr>
                <w:rFonts w:ascii="Times New Roman" w:hAnsi="Times New Roman"/>
                <w:color w:val="000000"/>
                <w:sz w:val="19"/>
                <w:szCs w:val="19"/>
                <w:lang w:val="fr-CA"/>
              </w:rPr>
              <w:t>Réunion des groupes de travail de la CIMT</w:t>
            </w:r>
          </w:p>
        </w:tc>
      </w:tr>
      <w:tr w:rsidR="00A84B93" w:rsidRPr="00623A2B" w14:paraId="55A8FEF2" w14:textId="77777777" w:rsidTr="002F1F49">
        <w:trPr>
          <w:gridAfter w:val="1"/>
          <w:wAfter w:w="236" w:type="dxa"/>
          <w:trHeight w:val="439"/>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5BAF1F05" w14:textId="77777777" w:rsidR="00A84B93" w:rsidRPr="00623A2B" w:rsidRDefault="00A84B93" w:rsidP="002F1F49">
            <w:pPr>
              <w:ind w:left="-28" w:right="14" w:firstLine="28"/>
              <w:rPr>
                <w:rFonts w:ascii="Times New Roman" w:hAnsi="Times New Roman"/>
                <w:i/>
                <w:sz w:val="19"/>
                <w:szCs w:val="19"/>
                <w:lang w:val="fr-CA"/>
              </w:rPr>
            </w:pPr>
            <w:r w:rsidRPr="00623A2B">
              <w:rPr>
                <w:rFonts w:ascii="Times New Roman" w:hAnsi="Times New Roman"/>
                <w:i/>
                <w:sz w:val="19"/>
                <w:szCs w:val="19"/>
                <w:lang w:val="fr-CA"/>
              </w:rPr>
              <w:t>Autres réunions*</w:t>
            </w:r>
          </w:p>
          <w:p w14:paraId="6845F83A" w14:textId="77777777" w:rsidR="00A84B93" w:rsidRPr="00623A2B" w:rsidRDefault="00A84B93" w:rsidP="002F1F49">
            <w:pPr>
              <w:ind w:left="-28" w:right="14" w:firstLine="28"/>
              <w:rPr>
                <w:rFonts w:ascii="Times New Roman" w:hAnsi="Times New Roman"/>
                <w:sz w:val="19"/>
                <w:szCs w:val="19"/>
                <w:lang w:val="fr-CA"/>
              </w:rPr>
            </w:pPr>
            <w:r w:rsidRPr="00623A2B">
              <w:rPr>
                <w:rFonts w:ascii="Times New Roman" w:hAnsi="Times New Roman"/>
                <w:i/>
                <w:sz w:val="19"/>
                <w:szCs w:val="19"/>
                <w:lang w:val="fr-CA"/>
              </w:rPr>
              <w:t>(</w:t>
            </w:r>
            <w:proofErr w:type="gramStart"/>
            <w:r w:rsidRPr="00623A2B">
              <w:rPr>
                <w:rFonts w:ascii="Times New Roman" w:hAnsi="Times New Roman"/>
                <w:i/>
                <w:iCs/>
                <w:sz w:val="19"/>
                <w:szCs w:val="19"/>
                <w:lang w:val="fr-CA"/>
              </w:rPr>
              <w:t>à</w:t>
            </w:r>
            <w:proofErr w:type="gramEnd"/>
            <w:r w:rsidRPr="00623A2B">
              <w:rPr>
                <w:rFonts w:ascii="Times New Roman" w:hAnsi="Times New Roman"/>
                <w:i/>
                <w:iCs/>
                <w:sz w:val="19"/>
                <w:szCs w:val="19"/>
                <w:lang w:val="fr-CA"/>
              </w:rPr>
              <w:t xml:space="preserve"> titre de référence seulement</w:t>
            </w:r>
            <w:r w:rsidRPr="00623A2B">
              <w:rPr>
                <w:rFonts w:ascii="Times New Roman" w:hAnsi="Times New Roman"/>
                <w:i/>
                <w:sz w:val="19"/>
                <w:szCs w:val="19"/>
                <w:lang w:val="fr-CA"/>
              </w:rPr>
              <w:t>)</w:t>
            </w:r>
          </w:p>
        </w:tc>
        <w:tc>
          <w:tcPr>
            <w:tcW w:w="1620"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tcPr>
          <w:p w14:paraId="5F50BB1C" w14:textId="77777777" w:rsidR="00A84B93" w:rsidRPr="00623A2B" w:rsidRDefault="00A84B93" w:rsidP="002F1F49">
            <w:pPr>
              <w:ind w:left="54" w:right="14"/>
              <w:rPr>
                <w:rFonts w:ascii="Times New Roman" w:hAnsi="Times New Roman"/>
                <w:sz w:val="19"/>
                <w:szCs w:val="19"/>
                <w:lang w:val="fr-CA"/>
              </w:rPr>
            </w:pPr>
            <w:r w:rsidRPr="00623A2B">
              <w:rPr>
                <w:rFonts w:ascii="Times New Roman" w:hAnsi="Times New Roman"/>
                <w:sz w:val="19"/>
                <w:szCs w:val="19"/>
                <w:lang w:val="fr-CA"/>
              </w:rPr>
              <w:t>XI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Forum de compétitivité des Amériques </w:t>
            </w:r>
          </w:p>
          <w:p w14:paraId="37270C8C" w14:textId="77777777" w:rsidR="00A84B93" w:rsidRPr="00623A2B" w:rsidRDefault="00A84B93" w:rsidP="002F1F49">
            <w:pPr>
              <w:ind w:left="54" w:right="14"/>
              <w:rPr>
                <w:rFonts w:ascii="Times New Roman" w:hAnsi="Times New Roman"/>
                <w:i/>
                <w:sz w:val="19"/>
                <w:szCs w:val="19"/>
                <w:lang w:val="fr-CA"/>
              </w:rPr>
            </w:pPr>
            <w:r w:rsidRPr="00623A2B">
              <w:rPr>
                <w:rFonts w:ascii="Times New Roman" w:hAnsi="Times New Roman"/>
                <w:i/>
                <w:sz w:val="19"/>
                <w:szCs w:val="19"/>
                <w:lang w:val="fr-CA"/>
              </w:rPr>
              <w:t>(Équateur, février)</w:t>
            </w:r>
          </w:p>
          <w:p w14:paraId="7019157F" w14:textId="77777777" w:rsidR="00A84B93" w:rsidRPr="00623A2B" w:rsidRDefault="00A84B93" w:rsidP="002F1F49">
            <w:pPr>
              <w:ind w:left="54" w:right="14"/>
              <w:rPr>
                <w:rFonts w:ascii="Times New Roman" w:hAnsi="Times New Roman"/>
                <w:sz w:val="19"/>
                <w:szCs w:val="19"/>
                <w:lang w:val="fr-CA"/>
              </w:rPr>
            </w:pPr>
          </w:p>
          <w:p w14:paraId="0D5AA3A6" w14:textId="77777777" w:rsidR="00A84B93" w:rsidRPr="00623A2B" w:rsidRDefault="00A84B93" w:rsidP="002F1F49">
            <w:pPr>
              <w:ind w:left="54" w:right="14"/>
              <w:rPr>
                <w:rFonts w:ascii="Times New Roman" w:hAnsi="Times New Roman"/>
                <w:sz w:val="19"/>
                <w:szCs w:val="19"/>
                <w:lang w:val="fr-CA"/>
              </w:rPr>
            </w:pPr>
            <w:r w:rsidRPr="00623A2B">
              <w:rPr>
                <w:rFonts w:ascii="Times New Roman" w:hAnsi="Times New Roman"/>
                <w:sz w:val="19"/>
                <w:szCs w:val="19"/>
                <w:lang w:val="fr-CA"/>
              </w:rPr>
              <w:t>VII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Dialogue interaméricain des chefs de </w:t>
            </w:r>
            <w:r w:rsidRPr="00623A2B">
              <w:rPr>
                <w:rFonts w:ascii="Times New Roman" w:hAnsi="Times New Roman"/>
                <w:smallCaps/>
                <w:sz w:val="19"/>
                <w:szCs w:val="19"/>
                <w:lang w:val="fr-CA"/>
              </w:rPr>
              <w:t xml:space="preserve">MPME </w:t>
            </w:r>
            <w:r w:rsidRPr="00623A2B">
              <w:rPr>
                <w:rFonts w:ascii="Times New Roman" w:hAnsi="Times New Roman"/>
                <w:i/>
                <w:sz w:val="19"/>
                <w:szCs w:val="19"/>
                <w:lang w:val="fr-CA"/>
              </w:rPr>
              <w:t>(Chili, 9 et 10 septembre</w:t>
            </w:r>
            <w:r w:rsidRPr="00623A2B">
              <w:rPr>
                <w:rFonts w:ascii="Times New Roman" w:hAnsi="Times New Roman"/>
                <w:sz w:val="19"/>
                <w:szCs w:val="19"/>
                <w:lang w:val="fr-CA"/>
              </w:rPr>
              <w:t>)</w:t>
            </w:r>
          </w:p>
          <w:p w14:paraId="6944CA2E" w14:textId="77777777" w:rsidR="00A84B93" w:rsidRPr="00623A2B" w:rsidRDefault="00A84B93" w:rsidP="002F1F49">
            <w:pPr>
              <w:ind w:left="54" w:right="14"/>
              <w:rPr>
                <w:rFonts w:ascii="Times New Roman" w:hAnsi="Times New Roman"/>
                <w:sz w:val="19"/>
                <w:szCs w:val="19"/>
                <w:lang w:val="fr-CA"/>
              </w:rPr>
            </w:pPr>
            <w:r w:rsidRPr="00623A2B">
              <w:rPr>
                <w:rFonts w:ascii="Times New Roman" w:hAnsi="Times New Roman"/>
                <w:color w:val="000000"/>
                <w:sz w:val="19"/>
                <w:szCs w:val="19"/>
                <w:lang w:val="fr-CA"/>
              </w:rPr>
              <w:t> </w:t>
            </w:r>
          </w:p>
          <w:p w14:paraId="0F0D2D5E" w14:textId="77777777" w:rsidR="00A84B93" w:rsidRPr="00623A2B" w:rsidRDefault="00A84B93" w:rsidP="002F1F49">
            <w:pPr>
              <w:ind w:left="54" w:right="14"/>
              <w:rPr>
                <w:rFonts w:ascii="Times New Roman" w:hAnsi="Times New Roman"/>
                <w:sz w:val="19"/>
                <w:szCs w:val="19"/>
                <w:lang w:val="fr-CA"/>
              </w:rPr>
            </w:pPr>
            <w:r w:rsidRPr="00623A2B">
              <w:rPr>
                <w:rFonts w:ascii="Times New Roman" w:hAnsi="Times New Roman"/>
                <w:sz w:val="19"/>
                <w:szCs w:val="19"/>
                <w:lang w:val="fr-CA"/>
              </w:rPr>
              <w:t xml:space="preserve">Prospecta </w:t>
            </w:r>
            <w:proofErr w:type="spellStart"/>
            <w:r w:rsidRPr="00623A2B">
              <w:rPr>
                <w:rFonts w:ascii="Times New Roman" w:hAnsi="Times New Roman"/>
                <w:sz w:val="19"/>
                <w:szCs w:val="19"/>
                <w:lang w:val="fr-CA"/>
              </w:rPr>
              <w:t>Americas</w:t>
            </w:r>
            <w:proofErr w:type="spellEnd"/>
          </w:p>
          <w:p w14:paraId="07921CC9" w14:textId="77777777" w:rsidR="00A84B93" w:rsidRPr="00623A2B" w:rsidRDefault="00A84B93" w:rsidP="002F1F49">
            <w:pPr>
              <w:ind w:left="54" w:right="14"/>
              <w:rPr>
                <w:rFonts w:ascii="Times New Roman" w:hAnsi="Times New Roman"/>
                <w:i/>
                <w:sz w:val="19"/>
                <w:szCs w:val="19"/>
                <w:lang w:val="fr-CA"/>
              </w:rPr>
            </w:pPr>
            <w:r w:rsidRPr="00623A2B">
              <w:rPr>
                <w:rFonts w:ascii="Times New Roman" w:hAnsi="Times New Roman"/>
                <w:i/>
                <w:sz w:val="19"/>
                <w:szCs w:val="19"/>
                <w:lang w:val="fr-CA"/>
              </w:rPr>
              <w:t>(Mexique, 27- 28 octobre)</w:t>
            </w:r>
          </w:p>
          <w:p w14:paraId="0B66EFE3" w14:textId="77777777" w:rsidR="00A84B93" w:rsidRPr="00623A2B" w:rsidRDefault="00A84B93" w:rsidP="002F1F49">
            <w:pPr>
              <w:ind w:left="54" w:right="14"/>
              <w:rPr>
                <w:rFonts w:ascii="Times New Roman" w:hAnsi="Times New Roman"/>
                <w:sz w:val="19"/>
                <w:szCs w:val="19"/>
                <w:lang w:val="fr-CA"/>
              </w:rPr>
            </w:pPr>
          </w:p>
          <w:p w14:paraId="070D9908" w14:textId="77777777" w:rsidR="00A84B93" w:rsidRPr="00623A2B" w:rsidRDefault="00A84B93" w:rsidP="002F1F49">
            <w:pPr>
              <w:ind w:left="54" w:right="14"/>
              <w:rPr>
                <w:rFonts w:ascii="Times New Roman" w:hAnsi="Times New Roman"/>
                <w:sz w:val="19"/>
                <w:szCs w:val="19"/>
                <w:lang w:val="fr-CA"/>
              </w:rPr>
            </w:pPr>
            <w:r w:rsidRPr="00623A2B">
              <w:rPr>
                <w:rFonts w:ascii="Times New Roman" w:hAnsi="Times New Roman"/>
                <w:sz w:val="19"/>
                <w:szCs w:val="19"/>
                <w:lang w:val="fr-CA"/>
              </w:rPr>
              <w:t>XIII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Échange pour la compétitivité des Amériques (États-</w:t>
            </w:r>
            <w:proofErr w:type="gramStart"/>
            <w:r w:rsidRPr="00623A2B">
              <w:rPr>
                <w:rFonts w:ascii="Times New Roman" w:hAnsi="Times New Roman"/>
                <w:sz w:val="19"/>
                <w:szCs w:val="19"/>
                <w:lang w:val="fr-CA"/>
              </w:rPr>
              <w:t xml:space="preserve">Unis </w:t>
            </w:r>
            <w:r w:rsidRPr="00623A2B">
              <w:rPr>
                <w:rFonts w:ascii="Times New Roman" w:hAnsi="Times New Roman"/>
                <w:i/>
                <w:sz w:val="19"/>
                <w:szCs w:val="19"/>
                <w:lang w:val="fr-CA"/>
              </w:rPr>
              <w:t>,</w:t>
            </w:r>
            <w:proofErr w:type="gramEnd"/>
            <w:r w:rsidRPr="00623A2B">
              <w:rPr>
                <w:rFonts w:ascii="Times New Roman" w:hAnsi="Times New Roman"/>
                <w:i/>
                <w:sz w:val="19"/>
                <w:szCs w:val="19"/>
                <w:lang w:val="fr-CA"/>
              </w:rPr>
              <w:t xml:space="preserve"> août)</w:t>
            </w:r>
          </w:p>
          <w:p w14:paraId="2FB478E9" w14:textId="77777777" w:rsidR="00A84B93" w:rsidRPr="00623A2B" w:rsidRDefault="00A84B93" w:rsidP="002F1F49">
            <w:pPr>
              <w:ind w:left="54" w:right="14"/>
              <w:rPr>
                <w:rFonts w:ascii="Times New Roman" w:hAnsi="Times New Roman"/>
                <w:sz w:val="19"/>
                <w:szCs w:val="19"/>
                <w:lang w:val="fr-CA"/>
              </w:rPr>
            </w:pPr>
          </w:p>
          <w:p w14:paraId="398F548B" w14:textId="77777777" w:rsidR="00A84B93" w:rsidRPr="00623A2B" w:rsidRDefault="00A84B93" w:rsidP="002F1F49">
            <w:pPr>
              <w:ind w:left="62" w:right="14"/>
              <w:rPr>
                <w:rFonts w:ascii="Times New Roman" w:hAnsi="Times New Roman"/>
                <w:sz w:val="19"/>
                <w:szCs w:val="19"/>
                <w:lang w:val="fr-CA"/>
              </w:rPr>
            </w:pPr>
          </w:p>
        </w:tc>
        <w:tc>
          <w:tcPr>
            <w:tcW w:w="16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4AAB206D" w14:textId="77777777" w:rsidR="00A84B93" w:rsidRPr="00623A2B" w:rsidRDefault="00A84B93" w:rsidP="002F1F49">
            <w:pPr>
              <w:rPr>
                <w:rFonts w:ascii="Times New Roman" w:hAnsi="Times New Roman"/>
                <w:sz w:val="19"/>
                <w:szCs w:val="19"/>
                <w:lang w:val="fr-CA"/>
              </w:rPr>
            </w:pPr>
            <w:r w:rsidRPr="00623A2B">
              <w:rPr>
                <w:rFonts w:ascii="Times New Roman" w:hAnsi="Times New Roman"/>
                <w:color w:val="000000"/>
                <w:sz w:val="19"/>
                <w:szCs w:val="19"/>
                <w:lang w:val="fr-CA"/>
              </w:rPr>
              <w:t xml:space="preserve">Prospecta </w:t>
            </w:r>
            <w:proofErr w:type="spellStart"/>
            <w:r w:rsidRPr="00623A2B">
              <w:rPr>
                <w:rFonts w:ascii="Times New Roman" w:hAnsi="Times New Roman"/>
                <w:color w:val="000000"/>
                <w:sz w:val="19"/>
                <w:szCs w:val="19"/>
                <w:lang w:val="fr-CA"/>
              </w:rPr>
              <w:t>Americas</w:t>
            </w:r>
            <w:proofErr w:type="spellEnd"/>
            <w:r w:rsidRPr="00623A2B">
              <w:rPr>
                <w:rFonts w:ascii="Times New Roman" w:hAnsi="Times New Roman"/>
                <w:color w:val="000000"/>
                <w:sz w:val="19"/>
                <w:szCs w:val="19"/>
                <w:lang w:val="fr-CA"/>
              </w:rPr>
              <w:t xml:space="preserve"> II</w:t>
            </w:r>
            <w:r w:rsidRPr="00623A2B">
              <w:rPr>
                <w:rFonts w:ascii="Times New Roman" w:hAnsi="Times New Roman"/>
                <w:color w:val="000000"/>
                <w:sz w:val="19"/>
                <w:szCs w:val="19"/>
                <w:vertAlign w:val="superscript"/>
                <w:lang w:val="fr-CA"/>
              </w:rPr>
              <w:t>e</w:t>
            </w:r>
            <w:r w:rsidRPr="00623A2B">
              <w:rPr>
                <w:rFonts w:ascii="Times New Roman" w:hAnsi="Times New Roman"/>
                <w:color w:val="000000"/>
                <w:sz w:val="19"/>
                <w:szCs w:val="19"/>
                <w:lang w:val="fr-CA"/>
              </w:rPr>
              <w:t xml:space="preserve"> Séminaire </w:t>
            </w:r>
            <w:proofErr w:type="gramStart"/>
            <w:r w:rsidRPr="00623A2B">
              <w:rPr>
                <w:rFonts w:ascii="Times New Roman" w:hAnsi="Times New Roman"/>
                <w:color w:val="000000"/>
                <w:sz w:val="19"/>
                <w:szCs w:val="19"/>
                <w:lang w:val="fr-CA"/>
              </w:rPr>
              <w:t xml:space="preserve">régional  </w:t>
            </w:r>
            <w:r w:rsidRPr="00623A2B">
              <w:rPr>
                <w:rFonts w:ascii="Times New Roman" w:hAnsi="Times New Roman"/>
                <w:i/>
                <w:color w:val="000000"/>
                <w:sz w:val="19"/>
                <w:szCs w:val="19"/>
                <w:lang w:val="fr-CA"/>
              </w:rPr>
              <w:t>(</w:t>
            </w:r>
            <w:proofErr w:type="gramEnd"/>
            <w:r w:rsidRPr="00623A2B">
              <w:rPr>
                <w:rFonts w:ascii="Times New Roman" w:hAnsi="Times New Roman"/>
                <w:i/>
                <w:color w:val="000000"/>
                <w:sz w:val="19"/>
                <w:szCs w:val="19"/>
                <w:lang w:val="fr-CA"/>
              </w:rPr>
              <w:t>Mexique, février</w:t>
            </w:r>
            <w:r w:rsidRPr="00623A2B">
              <w:rPr>
                <w:rFonts w:ascii="Times New Roman" w:hAnsi="Times New Roman"/>
                <w:color w:val="000000"/>
                <w:sz w:val="19"/>
                <w:szCs w:val="19"/>
                <w:lang w:val="fr-CA"/>
              </w:rPr>
              <w:t>)</w:t>
            </w:r>
          </w:p>
          <w:p w14:paraId="2207DDD3" w14:textId="77777777" w:rsidR="00A84B93" w:rsidRPr="00623A2B" w:rsidRDefault="00A84B93" w:rsidP="002F1F49">
            <w:pPr>
              <w:rPr>
                <w:rFonts w:ascii="Times New Roman" w:hAnsi="Times New Roman"/>
                <w:sz w:val="19"/>
                <w:szCs w:val="19"/>
                <w:lang w:val="fr-CA"/>
              </w:rPr>
            </w:pPr>
          </w:p>
          <w:p w14:paraId="22D5B488" w14:textId="77777777" w:rsidR="00A84B93" w:rsidRPr="00623A2B" w:rsidRDefault="00A84B93" w:rsidP="002F1F49">
            <w:pPr>
              <w:rPr>
                <w:rFonts w:ascii="Times New Roman" w:hAnsi="Times New Roman"/>
                <w:sz w:val="19"/>
                <w:szCs w:val="19"/>
                <w:lang w:val="fr-CA"/>
              </w:rPr>
            </w:pPr>
            <w:r w:rsidRPr="00623A2B">
              <w:rPr>
                <w:rFonts w:ascii="Times New Roman" w:hAnsi="Times New Roman"/>
                <w:color w:val="000000"/>
                <w:sz w:val="19"/>
                <w:szCs w:val="19"/>
                <w:lang w:val="fr-CA"/>
              </w:rPr>
              <w:t xml:space="preserve">Prospecta </w:t>
            </w:r>
            <w:proofErr w:type="spellStart"/>
            <w:r w:rsidRPr="00623A2B">
              <w:rPr>
                <w:rFonts w:ascii="Times New Roman" w:hAnsi="Times New Roman"/>
                <w:color w:val="000000"/>
                <w:sz w:val="19"/>
                <w:szCs w:val="19"/>
                <w:lang w:val="fr-CA"/>
              </w:rPr>
              <w:t>Americas</w:t>
            </w:r>
            <w:proofErr w:type="spellEnd"/>
            <w:r w:rsidRPr="00623A2B">
              <w:rPr>
                <w:rFonts w:ascii="Times New Roman" w:hAnsi="Times New Roman"/>
                <w:color w:val="000000"/>
                <w:sz w:val="19"/>
                <w:szCs w:val="19"/>
                <w:lang w:val="fr-CA"/>
              </w:rPr>
              <w:t xml:space="preserve"> III</w:t>
            </w:r>
            <w:r w:rsidRPr="00623A2B">
              <w:rPr>
                <w:rFonts w:ascii="Times New Roman" w:hAnsi="Times New Roman"/>
                <w:color w:val="000000"/>
                <w:sz w:val="19"/>
                <w:szCs w:val="19"/>
                <w:vertAlign w:val="superscript"/>
                <w:lang w:val="fr-CA"/>
              </w:rPr>
              <w:t>e</w:t>
            </w:r>
            <w:r w:rsidRPr="00623A2B">
              <w:rPr>
                <w:rFonts w:ascii="Times New Roman" w:hAnsi="Times New Roman"/>
                <w:color w:val="000000"/>
                <w:sz w:val="19"/>
                <w:szCs w:val="19"/>
                <w:lang w:val="fr-CA"/>
              </w:rPr>
              <w:t xml:space="preserve"> Séminaire régional </w:t>
            </w:r>
            <w:r w:rsidRPr="00623A2B">
              <w:rPr>
                <w:rFonts w:ascii="Times New Roman" w:hAnsi="Times New Roman"/>
                <w:i/>
                <w:color w:val="000000"/>
                <w:sz w:val="19"/>
                <w:szCs w:val="19"/>
                <w:lang w:val="fr-CA"/>
              </w:rPr>
              <w:t>(Colombie</w:t>
            </w:r>
            <w:r w:rsidRPr="00623A2B">
              <w:rPr>
                <w:rFonts w:ascii="Times New Roman" w:hAnsi="Times New Roman"/>
                <w:color w:val="000000"/>
                <w:sz w:val="19"/>
                <w:szCs w:val="19"/>
                <w:lang w:val="fr-CA"/>
              </w:rPr>
              <w:t>)</w:t>
            </w:r>
          </w:p>
          <w:p w14:paraId="7B7B86D1" w14:textId="77777777" w:rsidR="00A84B93" w:rsidRPr="00623A2B" w:rsidRDefault="00A84B93" w:rsidP="002F1F49">
            <w:pPr>
              <w:rPr>
                <w:rFonts w:ascii="Times New Roman" w:hAnsi="Times New Roman"/>
                <w:sz w:val="19"/>
                <w:szCs w:val="19"/>
                <w:lang w:val="fr-CA"/>
              </w:rPr>
            </w:pPr>
          </w:p>
          <w:p w14:paraId="4CEFEFB8" w14:textId="77777777" w:rsidR="00A84B93" w:rsidRPr="00623A2B" w:rsidRDefault="00A84B93" w:rsidP="002F1F49">
            <w:pPr>
              <w:rPr>
                <w:rFonts w:ascii="Times New Roman" w:hAnsi="Times New Roman"/>
                <w:sz w:val="19"/>
                <w:szCs w:val="19"/>
                <w:lang w:val="fr-CA"/>
              </w:rPr>
            </w:pPr>
          </w:p>
          <w:p w14:paraId="2BCC3FFC" w14:textId="77777777" w:rsidR="00A84B93" w:rsidRPr="00623A2B" w:rsidRDefault="00A84B93" w:rsidP="002F1F49">
            <w:pPr>
              <w:ind w:left="54" w:right="14"/>
              <w:rPr>
                <w:rFonts w:ascii="Times New Roman" w:hAnsi="Times New Roman"/>
                <w:sz w:val="19"/>
                <w:szCs w:val="19"/>
                <w:lang w:val="fr-CA"/>
              </w:rPr>
            </w:pPr>
            <w:r w:rsidRPr="00623A2B">
              <w:rPr>
                <w:rFonts w:ascii="Times New Roman" w:hAnsi="Times New Roman"/>
                <w:color w:val="000000"/>
                <w:sz w:val="19"/>
                <w:szCs w:val="19"/>
                <w:lang w:val="fr-CA"/>
              </w:rPr>
              <w:t>XV</w:t>
            </w:r>
            <w:r w:rsidRPr="00623A2B">
              <w:rPr>
                <w:rFonts w:ascii="Times New Roman" w:hAnsi="Times New Roman"/>
                <w:color w:val="000000"/>
                <w:sz w:val="19"/>
                <w:szCs w:val="19"/>
                <w:vertAlign w:val="superscript"/>
                <w:lang w:val="fr-CA"/>
              </w:rPr>
              <w:t>e</w:t>
            </w:r>
            <w:r w:rsidRPr="00623A2B">
              <w:rPr>
                <w:rFonts w:ascii="Times New Roman" w:hAnsi="Times New Roman"/>
                <w:color w:val="000000"/>
                <w:sz w:val="19"/>
                <w:szCs w:val="19"/>
                <w:lang w:val="fr-CA"/>
              </w:rPr>
              <w:t xml:space="preserve"> &amp; XVI</w:t>
            </w:r>
            <w:r w:rsidRPr="00623A2B">
              <w:rPr>
                <w:rFonts w:ascii="Times New Roman" w:hAnsi="Times New Roman"/>
                <w:color w:val="000000"/>
                <w:sz w:val="19"/>
                <w:szCs w:val="19"/>
                <w:vertAlign w:val="superscript"/>
                <w:lang w:val="fr-CA"/>
              </w:rPr>
              <w:t>e</w:t>
            </w:r>
            <w:r w:rsidRPr="00623A2B">
              <w:rPr>
                <w:rFonts w:ascii="Times New Roman" w:hAnsi="Times New Roman"/>
                <w:color w:val="000000"/>
                <w:sz w:val="19"/>
                <w:szCs w:val="19"/>
                <w:lang w:val="fr-CA"/>
              </w:rPr>
              <w:t xml:space="preserve"> </w:t>
            </w:r>
            <w:r w:rsidRPr="00623A2B">
              <w:rPr>
                <w:rFonts w:ascii="Times New Roman" w:hAnsi="Times New Roman"/>
                <w:sz w:val="19"/>
                <w:szCs w:val="19"/>
                <w:lang w:val="fr-CA"/>
              </w:rPr>
              <w:t>Échanges pour la compétitivité des Amériques</w:t>
            </w:r>
            <w:r w:rsidRPr="00623A2B">
              <w:rPr>
                <w:rFonts w:ascii="Times New Roman" w:hAnsi="Times New Roman"/>
                <w:color w:val="000000"/>
                <w:sz w:val="19"/>
                <w:szCs w:val="19"/>
                <w:lang w:val="fr-CA"/>
              </w:rPr>
              <w:t xml:space="preserve"> </w:t>
            </w:r>
            <w:r w:rsidRPr="00623A2B">
              <w:rPr>
                <w:rFonts w:ascii="Times New Roman" w:hAnsi="Times New Roman"/>
                <w:i/>
                <w:color w:val="000000"/>
                <w:sz w:val="19"/>
                <w:szCs w:val="19"/>
                <w:lang w:val="fr-CA"/>
              </w:rPr>
              <w:t>(États-Unis et autre pays hôte à préciser)</w:t>
            </w:r>
          </w:p>
        </w:tc>
        <w:tc>
          <w:tcPr>
            <w:tcW w:w="144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55BF6DBA" w14:textId="77777777" w:rsidR="00A84B93" w:rsidRPr="00623A2B" w:rsidRDefault="00A84B93" w:rsidP="002F1F49">
            <w:pPr>
              <w:rPr>
                <w:rFonts w:ascii="Times New Roman" w:hAnsi="Times New Roman"/>
                <w:sz w:val="19"/>
                <w:szCs w:val="19"/>
                <w:lang w:val="fr-CA"/>
              </w:rPr>
            </w:pPr>
            <w:r w:rsidRPr="00623A2B">
              <w:rPr>
                <w:rFonts w:ascii="Times New Roman" w:hAnsi="Times New Roman"/>
                <w:sz w:val="19"/>
                <w:szCs w:val="19"/>
                <w:lang w:val="fr-CA"/>
              </w:rPr>
              <w:t>XII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Forum de compétitivité des Amériques</w:t>
            </w:r>
          </w:p>
          <w:p w14:paraId="2BE167D7" w14:textId="77777777" w:rsidR="00A84B93" w:rsidRPr="00623A2B" w:rsidRDefault="00A84B93" w:rsidP="002F1F49">
            <w:pPr>
              <w:rPr>
                <w:rFonts w:ascii="Times New Roman" w:hAnsi="Times New Roman"/>
                <w:i/>
                <w:sz w:val="19"/>
                <w:szCs w:val="19"/>
                <w:lang w:val="fr-CA"/>
              </w:rPr>
            </w:pPr>
            <w:r w:rsidRPr="00623A2B">
              <w:rPr>
                <w:rFonts w:ascii="Times New Roman" w:hAnsi="Times New Roman"/>
                <w:i/>
                <w:sz w:val="19"/>
                <w:szCs w:val="19"/>
                <w:lang w:val="fr-CA"/>
              </w:rPr>
              <w:t>(</w:t>
            </w:r>
            <w:proofErr w:type="gramStart"/>
            <w:r w:rsidRPr="00623A2B">
              <w:rPr>
                <w:rFonts w:ascii="Times New Roman" w:hAnsi="Times New Roman"/>
                <w:i/>
                <w:sz w:val="19"/>
                <w:szCs w:val="19"/>
                <w:lang w:val="fr-CA"/>
              </w:rPr>
              <w:t>hôte</w:t>
            </w:r>
            <w:proofErr w:type="gramEnd"/>
            <w:r w:rsidRPr="00623A2B">
              <w:rPr>
                <w:rFonts w:ascii="Times New Roman" w:hAnsi="Times New Roman"/>
                <w:i/>
                <w:sz w:val="19"/>
                <w:szCs w:val="19"/>
                <w:lang w:val="fr-CA"/>
              </w:rPr>
              <w:t xml:space="preserve"> à préciser)</w:t>
            </w:r>
          </w:p>
          <w:p w14:paraId="015972D5" w14:textId="77777777" w:rsidR="00A84B93" w:rsidRPr="00623A2B" w:rsidRDefault="00A84B93" w:rsidP="002F1F49">
            <w:pPr>
              <w:rPr>
                <w:rFonts w:ascii="Times New Roman" w:hAnsi="Times New Roman"/>
                <w:sz w:val="19"/>
                <w:szCs w:val="19"/>
                <w:lang w:val="fr-CA"/>
              </w:rPr>
            </w:pPr>
          </w:p>
          <w:p w14:paraId="5F97130B" w14:textId="77777777" w:rsidR="00A84B93" w:rsidRPr="00623A2B" w:rsidRDefault="00A84B93" w:rsidP="002F1F49">
            <w:pPr>
              <w:rPr>
                <w:rFonts w:ascii="Times New Roman" w:hAnsi="Times New Roman"/>
                <w:sz w:val="19"/>
                <w:szCs w:val="19"/>
                <w:lang w:val="fr-CA"/>
              </w:rPr>
            </w:pPr>
            <w:r w:rsidRPr="00623A2B">
              <w:rPr>
                <w:rFonts w:ascii="Times New Roman" w:hAnsi="Times New Roman"/>
                <w:sz w:val="19"/>
                <w:szCs w:val="19"/>
                <w:lang w:val="fr-CA"/>
              </w:rPr>
              <w:t>VIII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Dialogue interaméricain des chefs de </w:t>
            </w:r>
            <w:r w:rsidRPr="00623A2B">
              <w:rPr>
                <w:rFonts w:ascii="Times New Roman" w:hAnsi="Times New Roman"/>
                <w:smallCaps/>
                <w:sz w:val="19"/>
                <w:szCs w:val="19"/>
                <w:lang w:val="fr-CA"/>
              </w:rPr>
              <w:t>MPME</w:t>
            </w:r>
          </w:p>
          <w:p w14:paraId="41C279A5" w14:textId="77777777" w:rsidR="00A84B93" w:rsidRPr="00623A2B" w:rsidRDefault="00A84B93" w:rsidP="002F1F49">
            <w:pPr>
              <w:rPr>
                <w:rFonts w:ascii="Times New Roman" w:hAnsi="Times New Roman"/>
                <w:i/>
                <w:sz w:val="19"/>
                <w:szCs w:val="19"/>
                <w:lang w:val="fr-CA"/>
              </w:rPr>
            </w:pPr>
            <w:r w:rsidRPr="00623A2B">
              <w:rPr>
                <w:rFonts w:ascii="Times New Roman" w:hAnsi="Times New Roman"/>
                <w:i/>
                <w:sz w:val="19"/>
                <w:szCs w:val="19"/>
                <w:lang w:val="fr-CA"/>
              </w:rPr>
              <w:t>(</w:t>
            </w:r>
            <w:proofErr w:type="gramStart"/>
            <w:r w:rsidRPr="00623A2B">
              <w:rPr>
                <w:rFonts w:ascii="Times New Roman" w:hAnsi="Times New Roman"/>
                <w:i/>
                <w:sz w:val="19"/>
                <w:szCs w:val="19"/>
                <w:lang w:val="fr-CA"/>
              </w:rPr>
              <w:t>hôte</w:t>
            </w:r>
            <w:proofErr w:type="gramEnd"/>
            <w:r w:rsidRPr="00623A2B">
              <w:rPr>
                <w:rFonts w:ascii="Times New Roman" w:hAnsi="Times New Roman"/>
                <w:i/>
                <w:sz w:val="19"/>
                <w:szCs w:val="19"/>
                <w:lang w:val="fr-CA"/>
              </w:rPr>
              <w:t xml:space="preserve"> à préciser)</w:t>
            </w:r>
          </w:p>
          <w:p w14:paraId="5CC17C6A" w14:textId="77777777" w:rsidR="00A84B93" w:rsidRPr="00623A2B" w:rsidRDefault="00A84B93" w:rsidP="002F1F49">
            <w:pPr>
              <w:rPr>
                <w:rFonts w:ascii="Times New Roman" w:hAnsi="Times New Roman"/>
                <w:sz w:val="19"/>
                <w:szCs w:val="19"/>
                <w:lang w:val="fr-CA"/>
              </w:rPr>
            </w:pPr>
          </w:p>
          <w:p w14:paraId="05CEE7AC" w14:textId="77777777" w:rsidR="00A84B93" w:rsidRPr="00623A2B" w:rsidRDefault="00A84B93" w:rsidP="002F1F49">
            <w:pPr>
              <w:rPr>
                <w:rFonts w:ascii="Times New Roman" w:hAnsi="Times New Roman"/>
                <w:sz w:val="19"/>
                <w:szCs w:val="19"/>
                <w:lang w:val="fr-CA"/>
              </w:rPr>
            </w:pPr>
            <w:r w:rsidRPr="00623A2B">
              <w:rPr>
                <w:rFonts w:ascii="Times New Roman" w:hAnsi="Times New Roman"/>
                <w:sz w:val="19"/>
                <w:szCs w:val="19"/>
                <w:lang w:val="fr-CA"/>
              </w:rPr>
              <w:t>XVII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&amp; XVIII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Échanges pour la compétitivité des Amériques </w:t>
            </w:r>
            <w:r w:rsidRPr="00623A2B">
              <w:rPr>
                <w:rFonts w:ascii="Times New Roman" w:hAnsi="Times New Roman"/>
                <w:i/>
                <w:sz w:val="19"/>
                <w:szCs w:val="19"/>
                <w:lang w:val="fr-CA"/>
              </w:rPr>
              <w:t>(États-Unis et autre pays hôte à préciser)</w:t>
            </w:r>
          </w:p>
          <w:p w14:paraId="6D9A59F1" w14:textId="77777777" w:rsidR="00A84B93" w:rsidRPr="00623A2B" w:rsidRDefault="00A84B93" w:rsidP="002F1F49">
            <w:pPr>
              <w:rPr>
                <w:rFonts w:ascii="Times New Roman" w:hAnsi="Times New Roman"/>
                <w:sz w:val="19"/>
                <w:szCs w:val="19"/>
                <w:lang w:val="fr-CA"/>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5579760D" w14:textId="77777777" w:rsidR="00A84B93" w:rsidRPr="00623A2B" w:rsidRDefault="00A84B93" w:rsidP="002F1F49">
            <w:pPr>
              <w:rPr>
                <w:rFonts w:ascii="Times New Roman" w:hAnsi="Times New Roman"/>
                <w:sz w:val="19"/>
                <w:szCs w:val="19"/>
                <w:lang w:val="fr-CA"/>
              </w:rPr>
            </w:pPr>
            <w:r w:rsidRPr="00623A2B">
              <w:rPr>
                <w:rFonts w:ascii="Times New Roman" w:hAnsi="Times New Roman"/>
                <w:sz w:val="19"/>
                <w:szCs w:val="19"/>
                <w:lang w:val="fr-CA"/>
              </w:rPr>
              <w:t>XIX</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&amp; XX</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Échanges pour la compétitivité des Amériques</w:t>
            </w:r>
          </w:p>
          <w:p w14:paraId="2FB2A22C" w14:textId="77777777" w:rsidR="00A84B93" w:rsidRPr="00623A2B" w:rsidRDefault="00A84B93" w:rsidP="002F1F49">
            <w:pPr>
              <w:rPr>
                <w:rFonts w:ascii="Times New Roman" w:hAnsi="Times New Roman"/>
                <w:sz w:val="19"/>
                <w:szCs w:val="19"/>
                <w:lang w:val="fr-CA"/>
              </w:rPr>
            </w:pPr>
            <w:r w:rsidRPr="00623A2B">
              <w:rPr>
                <w:rFonts w:ascii="Times New Roman" w:hAnsi="Times New Roman"/>
                <w:i/>
                <w:sz w:val="19"/>
                <w:szCs w:val="19"/>
                <w:lang w:val="fr-CA"/>
              </w:rPr>
              <w:t>(</w:t>
            </w:r>
            <w:proofErr w:type="gramStart"/>
            <w:r w:rsidRPr="00623A2B">
              <w:rPr>
                <w:rFonts w:ascii="Times New Roman" w:hAnsi="Times New Roman"/>
                <w:i/>
                <w:sz w:val="19"/>
                <w:szCs w:val="19"/>
                <w:lang w:val="fr-CA"/>
              </w:rPr>
              <w:t>hôtes</w:t>
            </w:r>
            <w:proofErr w:type="gramEnd"/>
            <w:r w:rsidRPr="00623A2B">
              <w:rPr>
                <w:rFonts w:ascii="Times New Roman" w:hAnsi="Times New Roman"/>
                <w:i/>
                <w:sz w:val="19"/>
                <w:szCs w:val="19"/>
                <w:lang w:val="fr-CA"/>
              </w:rPr>
              <w:t xml:space="preserve"> à préciser)</w:t>
            </w:r>
          </w:p>
          <w:p w14:paraId="73043677" w14:textId="77777777" w:rsidR="00A84B93" w:rsidRPr="00623A2B" w:rsidRDefault="00A84B93" w:rsidP="002F1F49">
            <w:pPr>
              <w:rPr>
                <w:rFonts w:ascii="Times New Roman" w:hAnsi="Times New Roman"/>
                <w:sz w:val="19"/>
                <w:szCs w:val="19"/>
                <w:lang w:val="fr-CA"/>
              </w:rPr>
            </w:pPr>
          </w:p>
        </w:tc>
        <w:tc>
          <w:tcPr>
            <w:tcW w:w="1686"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03AA7430" w14:textId="77777777" w:rsidR="00A84B93" w:rsidRPr="00623A2B" w:rsidRDefault="00A84B93" w:rsidP="002F1F49">
            <w:pPr>
              <w:ind w:left="71"/>
              <w:rPr>
                <w:rFonts w:ascii="Times New Roman" w:hAnsi="Times New Roman"/>
                <w:sz w:val="19"/>
                <w:szCs w:val="19"/>
                <w:lang w:val="fr-CA"/>
              </w:rPr>
            </w:pPr>
            <w:r w:rsidRPr="00623A2B">
              <w:rPr>
                <w:rFonts w:ascii="Times New Roman" w:hAnsi="Times New Roman"/>
                <w:sz w:val="19"/>
                <w:szCs w:val="19"/>
                <w:lang w:val="fr-CA"/>
              </w:rPr>
              <w:t>IX</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Dialogue interaméricain des chefs de </w:t>
            </w:r>
            <w:r w:rsidRPr="00623A2B">
              <w:rPr>
                <w:rFonts w:ascii="Times New Roman" w:hAnsi="Times New Roman"/>
                <w:smallCaps/>
                <w:sz w:val="19"/>
                <w:szCs w:val="19"/>
                <w:lang w:val="fr-CA"/>
              </w:rPr>
              <w:t>MPME</w:t>
            </w:r>
          </w:p>
          <w:p w14:paraId="3D37F9C7" w14:textId="77777777" w:rsidR="00A84B93" w:rsidRPr="00623A2B" w:rsidRDefault="00A84B93" w:rsidP="002F1F49">
            <w:pPr>
              <w:ind w:left="74"/>
              <w:rPr>
                <w:rFonts w:ascii="Times New Roman" w:hAnsi="Times New Roman"/>
                <w:sz w:val="19"/>
                <w:szCs w:val="19"/>
                <w:lang w:val="fr-CA"/>
              </w:rPr>
            </w:pPr>
            <w:r w:rsidRPr="00623A2B">
              <w:rPr>
                <w:rFonts w:ascii="Times New Roman" w:hAnsi="Times New Roman"/>
                <w:i/>
                <w:sz w:val="19"/>
                <w:szCs w:val="19"/>
                <w:lang w:val="fr-CA"/>
              </w:rPr>
              <w:t>(</w:t>
            </w:r>
            <w:proofErr w:type="gramStart"/>
            <w:r w:rsidRPr="00623A2B">
              <w:rPr>
                <w:rFonts w:ascii="Times New Roman" w:hAnsi="Times New Roman"/>
                <w:i/>
                <w:sz w:val="19"/>
                <w:szCs w:val="19"/>
                <w:lang w:val="fr-CA"/>
              </w:rPr>
              <w:t>hôte</w:t>
            </w:r>
            <w:proofErr w:type="gramEnd"/>
            <w:r w:rsidRPr="00623A2B">
              <w:rPr>
                <w:rFonts w:ascii="Times New Roman" w:hAnsi="Times New Roman"/>
                <w:i/>
                <w:sz w:val="19"/>
                <w:szCs w:val="19"/>
                <w:lang w:val="fr-CA"/>
              </w:rPr>
              <w:t xml:space="preserve"> à préciser)</w:t>
            </w:r>
          </w:p>
          <w:p w14:paraId="277624CE" w14:textId="77777777" w:rsidR="00A84B93" w:rsidRPr="00623A2B" w:rsidRDefault="00A84B93" w:rsidP="002F1F49">
            <w:pPr>
              <w:ind w:left="74"/>
              <w:rPr>
                <w:rFonts w:ascii="Times New Roman" w:hAnsi="Times New Roman"/>
                <w:sz w:val="19"/>
                <w:szCs w:val="19"/>
                <w:lang w:val="fr-CA"/>
              </w:rPr>
            </w:pPr>
          </w:p>
          <w:p w14:paraId="7A6EC0AF" w14:textId="77777777" w:rsidR="00A84B93" w:rsidRPr="00623A2B" w:rsidRDefault="00A84B93" w:rsidP="002F1F49">
            <w:pPr>
              <w:ind w:left="71"/>
              <w:rPr>
                <w:rFonts w:ascii="Times New Roman" w:hAnsi="Times New Roman"/>
                <w:sz w:val="19"/>
                <w:szCs w:val="19"/>
                <w:lang w:val="fr-CA"/>
              </w:rPr>
            </w:pPr>
            <w:r w:rsidRPr="00623A2B">
              <w:rPr>
                <w:rFonts w:ascii="Times New Roman" w:hAnsi="Times New Roman"/>
                <w:sz w:val="19"/>
                <w:szCs w:val="19"/>
                <w:lang w:val="fr-CA"/>
              </w:rPr>
              <w:t>XXI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&amp; XXII</w:t>
            </w:r>
            <w:r w:rsidRPr="00623A2B">
              <w:rPr>
                <w:rFonts w:ascii="Times New Roman" w:hAnsi="Times New Roman"/>
                <w:sz w:val="19"/>
                <w:szCs w:val="19"/>
                <w:vertAlign w:val="superscript"/>
                <w:lang w:val="fr-CA"/>
              </w:rPr>
              <w:t>e</w:t>
            </w:r>
            <w:r w:rsidRPr="00623A2B">
              <w:rPr>
                <w:rFonts w:ascii="Times New Roman" w:hAnsi="Times New Roman"/>
                <w:sz w:val="19"/>
                <w:szCs w:val="19"/>
                <w:lang w:val="fr-CA"/>
              </w:rPr>
              <w:t xml:space="preserve"> Échanges pour la compétitivité des Amériques</w:t>
            </w:r>
          </w:p>
          <w:p w14:paraId="05E2EF37" w14:textId="77777777" w:rsidR="00A84B93" w:rsidRPr="00623A2B" w:rsidRDefault="00A84B93" w:rsidP="002F1F49">
            <w:pPr>
              <w:ind w:left="71"/>
              <w:rPr>
                <w:rFonts w:ascii="Times New Roman" w:hAnsi="Times New Roman"/>
                <w:i/>
                <w:sz w:val="19"/>
                <w:szCs w:val="19"/>
                <w:lang w:val="fr-CA"/>
              </w:rPr>
            </w:pPr>
            <w:r w:rsidRPr="00623A2B">
              <w:rPr>
                <w:rFonts w:ascii="Times New Roman" w:hAnsi="Times New Roman"/>
                <w:i/>
                <w:sz w:val="19"/>
                <w:szCs w:val="19"/>
                <w:lang w:val="fr-CA"/>
              </w:rPr>
              <w:t>(</w:t>
            </w:r>
            <w:proofErr w:type="gramStart"/>
            <w:r w:rsidRPr="00623A2B">
              <w:rPr>
                <w:rFonts w:ascii="Times New Roman" w:hAnsi="Times New Roman"/>
                <w:i/>
                <w:sz w:val="19"/>
                <w:szCs w:val="19"/>
                <w:lang w:val="fr-CA"/>
              </w:rPr>
              <w:t>hôtes</w:t>
            </w:r>
            <w:proofErr w:type="gramEnd"/>
            <w:r w:rsidRPr="00623A2B">
              <w:rPr>
                <w:rFonts w:ascii="Times New Roman" w:hAnsi="Times New Roman"/>
                <w:i/>
                <w:sz w:val="19"/>
                <w:szCs w:val="19"/>
                <w:lang w:val="fr-CA"/>
              </w:rPr>
              <w:t xml:space="preserve"> à préciser)</w:t>
            </w:r>
          </w:p>
          <w:p w14:paraId="6DFFCB59" w14:textId="77777777" w:rsidR="00A84B93" w:rsidRPr="00623A2B" w:rsidRDefault="00A84B93" w:rsidP="002F1F49">
            <w:pPr>
              <w:rPr>
                <w:rFonts w:ascii="Times New Roman" w:hAnsi="Times New Roman"/>
                <w:i/>
                <w:sz w:val="19"/>
                <w:szCs w:val="19"/>
                <w:lang w:val="fr-CA"/>
              </w:rPr>
            </w:pPr>
          </w:p>
          <w:p w14:paraId="09290248" w14:textId="77777777" w:rsidR="00A84B93" w:rsidRPr="00623A2B" w:rsidRDefault="00A84B93" w:rsidP="002F1F49">
            <w:pPr>
              <w:ind w:left="270" w:right="14"/>
              <w:rPr>
                <w:rFonts w:ascii="Times New Roman" w:hAnsi="Times New Roman"/>
                <w:sz w:val="19"/>
                <w:szCs w:val="19"/>
                <w:lang w:val="fr-CA"/>
              </w:rPr>
            </w:pPr>
          </w:p>
        </w:tc>
        <w:tc>
          <w:tcPr>
            <w:tcW w:w="1519"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05493BD5" w14:textId="77777777" w:rsidR="00A84B93" w:rsidRPr="00623A2B" w:rsidRDefault="00A84B93" w:rsidP="002F1F49">
            <w:pPr>
              <w:rPr>
                <w:rFonts w:ascii="Times New Roman" w:hAnsi="Times New Roman"/>
                <w:sz w:val="19"/>
                <w:szCs w:val="19"/>
                <w:lang w:val="fr-CA"/>
              </w:rPr>
            </w:pPr>
          </w:p>
          <w:p w14:paraId="65890C47" w14:textId="77777777" w:rsidR="00A84B93" w:rsidRPr="00623A2B" w:rsidRDefault="00A84B93" w:rsidP="002F1F49">
            <w:pPr>
              <w:rPr>
                <w:rFonts w:ascii="Times New Roman" w:hAnsi="Times New Roman"/>
                <w:sz w:val="19"/>
                <w:szCs w:val="19"/>
                <w:lang w:val="fr-CA"/>
              </w:rPr>
            </w:pPr>
          </w:p>
        </w:tc>
      </w:tr>
      <w:tr w:rsidR="00A84B93" w:rsidRPr="00213B6A" w14:paraId="2DE49722" w14:textId="77777777" w:rsidTr="002F1F49">
        <w:trPr>
          <w:trHeight w:val="1497"/>
          <w:jc w:val="center"/>
        </w:trPr>
        <w:tc>
          <w:tcPr>
            <w:tcW w:w="10954"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4F496D1E" w14:textId="77777777" w:rsidR="00A84B93" w:rsidRPr="00623A2B" w:rsidRDefault="00A84B93" w:rsidP="002F1F49">
            <w:pPr>
              <w:ind w:left="-28" w:right="14" w:firstLine="28"/>
              <w:rPr>
                <w:rFonts w:ascii="Times New Roman" w:hAnsi="Times New Roman"/>
                <w:sz w:val="19"/>
                <w:szCs w:val="19"/>
                <w:lang w:val="fr-CA"/>
              </w:rPr>
            </w:pPr>
          </w:p>
          <w:tbl>
            <w:tblPr>
              <w:tblW w:w="13624" w:type="dxa"/>
              <w:tblLayout w:type="fixed"/>
              <w:tblLook w:val="0400" w:firstRow="0" w:lastRow="0" w:firstColumn="0" w:lastColumn="0" w:noHBand="0" w:noVBand="1"/>
            </w:tblPr>
            <w:tblGrid>
              <w:gridCol w:w="13624"/>
            </w:tblGrid>
            <w:tr w:rsidR="00A84B93" w:rsidRPr="00213B6A" w14:paraId="673E7CC5" w14:textId="77777777" w:rsidTr="002F1F49">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4EEC049E" w14:textId="77777777" w:rsidR="00A84B93" w:rsidRPr="00623A2B" w:rsidRDefault="00A84B93" w:rsidP="002F1F49">
                  <w:pPr>
                    <w:ind w:left="-28" w:right="14" w:firstLine="28"/>
                    <w:rPr>
                      <w:rFonts w:ascii="Times New Roman" w:hAnsi="Times New Roman"/>
                      <w:sz w:val="19"/>
                      <w:szCs w:val="19"/>
                      <w:lang w:val="fr-CA"/>
                    </w:rPr>
                  </w:pPr>
                  <w:r w:rsidRPr="00623A2B">
                    <w:rPr>
                      <w:rFonts w:ascii="Times New Roman" w:hAnsi="Times New Roman"/>
                      <w:sz w:val="19"/>
                      <w:szCs w:val="19"/>
                      <w:lang w:val="fr-CA"/>
                    </w:rPr>
                    <w:t xml:space="preserve">* Autres réunions de processus sectoriels qui appuient les priorités du CIDI mais qui, au moment de l’adoption de la présente résolution, </w:t>
                  </w:r>
                  <w:r w:rsidRPr="00623A2B">
                    <w:rPr>
                      <w:rFonts w:ascii="Times New Roman" w:hAnsi="Times New Roman"/>
                      <w:sz w:val="19"/>
                      <w:szCs w:val="19"/>
                      <w:lang w:val="fr-CA"/>
                    </w:rPr>
                    <w:br/>
                    <w:t xml:space="preserve">ne sont pas considérées des processus ministériels officiels relevant du cycle ministériel triennal et ne reçoivent pas de ressources </w:t>
                  </w:r>
                  <w:r w:rsidRPr="00623A2B">
                    <w:rPr>
                      <w:rFonts w:ascii="Times New Roman" w:hAnsi="Times New Roman"/>
                      <w:sz w:val="19"/>
                      <w:szCs w:val="19"/>
                      <w:lang w:val="fr-CA"/>
                    </w:rPr>
                    <w:br/>
                    <w:t>du Fonds ordinaire de l’OEA.</w:t>
                  </w:r>
                </w:p>
                <w:p w14:paraId="4F7A10BE" w14:textId="77777777" w:rsidR="00A84B93" w:rsidRPr="00623A2B" w:rsidRDefault="00A84B93" w:rsidP="002F1F49">
                  <w:pPr>
                    <w:ind w:left="-28" w:right="14" w:firstLine="28"/>
                    <w:rPr>
                      <w:rFonts w:ascii="Times New Roman" w:hAnsi="Times New Roman"/>
                      <w:sz w:val="19"/>
                      <w:szCs w:val="19"/>
                      <w:lang w:val="fr-CA"/>
                    </w:rPr>
                  </w:pPr>
                </w:p>
                <w:p w14:paraId="18E11FB8" w14:textId="77777777" w:rsidR="00A84B93" w:rsidRPr="00623A2B" w:rsidRDefault="00A84B93" w:rsidP="002F1F49">
                  <w:pPr>
                    <w:ind w:left="-28" w:right="14" w:firstLine="28"/>
                    <w:rPr>
                      <w:rFonts w:ascii="Times New Roman" w:hAnsi="Times New Roman"/>
                      <w:sz w:val="19"/>
                      <w:szCs w:val="19"/>
                      <w:lang w:val="fr-CA"/>
                    </w:rPr>
                  </w:pPr>
                  <w:r w:rsidRPr="00623A2B">
                    <w:rPr>
                      <w:rFonts w:ascii="Times New Roman" w:hAnsi="Times New Roman"/>
                      <w:sz w:val="19"/>
                      <w:szCs w:val="19"/>
                      <w:lang w:val="fr-CA"/>
                    </w:rPr>
                    <w:t>Sigles et acronymes :</w:t>
                  </w:r>
                </w:p>
                <w:p w14:paraId="0F8A8F64" w14:textId="77777777" w:rsidR="00A84B93" w:rsidRPr="00623A2B" w:rsidRDefault="00A84B93" w:rsidP="002F1F49">
                  <w:pPr>
                    <w:ind w:left="-28" w:right="14" w:firstLine="28"/>
                    <w:rPr>
                      <w:rFonts w:ascii="Times New Roman" w:hAnsi="Times New Roman"/>
                      <w:sz w:val="19"/>
                      <w:szCs w:val="19"/>
                      <w:lang w:val="fr-CA"/>
                    </w:rPr>
                  </w:pPr>
                  <w:r w:rsidRPr="00623A2B">
                    <w:rPr>
                      <w:rFonts w:ascii="Times New Roman" w:hAnsi="Times New Roman"/>
                      <w:sz w:val="19"/>
                      <w:szCs w:val="19"/>
                      <w:lang w:val="fr-CA"/>
                    </w:rPr>
                    <w:t>CIC : Commission interaméricaine de la culture</w:t>
                  </w:r>
                </w:p>
                <w:p w14:paraId="51ABB5FC" w14:textId="77777777" w:rsidR="00A84B93" w:rsidRPr="00623A2B" w:rsidRDefault="00A84B93" w:rsidP="002F1F49">
                  <w:pPr>
                    <w:ind w:left="-28" w:right="14" w:firstLine="28"/>
                    <w:rPr>
                      <w:rFonts w:ascii="Times New Roman" w:hAnsi="Times New Roman"/>
                      <w:sz w:val="19"/>
                      <w:szCs w:val="19"/>
                      <w:lang w:val="fr-CA"/>
                    </w:rPr>
                  </w:pPr>
                  <w:r w:rsidRPr="00623A2B">
                    <w:rPr>
                      <w:rFonts w:ascii="Times New Roman" w:hAnsi="Times New Roman"/>
                      <w:sz w:val="19"/>
                      <w:szCs w:val="19"/>
                      <w:lang w:val="fr-CA"/>
                    </w:rPr>
                    <w:t>CIDES : Commission interaméricaine de développement social</w:t>
                  </w:r>
                </w:p>
                <w:p w14:paraId="43716967" w14:textId="77777777" w:rsidR="00A84B93" w:rsidRPr="00623A2B" w:rsidRDefault="00A84B93" w:rsidP="002F1F49">
                  <w:pPr>
                    <w:ind w:left="-28" w:right="14" w:firstLine="28"/>
                    <w:rPr>
                      <w:rFonts w:ascii="Times New Roman" w:hAnsi="Times New Roman"/>
                      <w:sz w:val="19"/>
                      <w:szCs w:val="19"/>
                      <w:lang w:val="fr-CA"/>
                    </w:rPr>
                  </w:pPr>
                  <w:r w:rsidRPr="00623A2B">
                    <w:rPr>
                      <w:rFonts w:ascii="Times New Roman" w:hAnsi="Times New Roman"/>
                      <w:sz w:val="19"/>
                      <w:szCs w:val="19"/>
                      <w:lang w:val="fr-CA"/>
                    </w:rPr>
                    <w:t>CIDS : Commission interaméricaine pour le développement durable</w:t>
                  </w:r>
                </w:p>
                <w:p w14:paraId="70E55AA0" w14:textId="77777777" w:rsidR="00A84B93" w:rsidRPr="00623A2B" w:rsidRDefault="00A84B93" w:rsidP="002F1F49">
                  <w:pPr>
                    <w:ind w:left="-28" w:right="14" w:firstLine="28"/>
                    <w:rPr>
                      <w:rFonts w:ascii="Times New Roman" w:hAnsi="Times New Roman"/>
                      <w:sz w:val="19"/>
                      <w:szCs w:val="19"/>
                      <w:lang w:val="fr-CA"/>
                    </w:rPr>
                  </w:pPr>
                  <w:r w:rsidRPr="00623A2B">
                    <w:rPr>
                      <w:rFonts w:ascii="Times New Roman" w:hAnsi="Times New Roman"/>
                      <w:sz w:val="19"/>
                      <w:szCs w:val="19"/>
                      <w:lang w:val="fr-CA"/>
                    </w:rPr>
                    <w:t>CIE : Commission interaméricaine de l’éducation</w:t>
                  </w:r>
                </w:p>
                <w:p w14:paraId="29D28D89" w14:textId="77777777" w:rsidR="00A84B93" w:rsidRPr="00623A2B" w:rsidRDefault="00A84B93" w:rsidP="002F1F49">
                  <w:pPr>
                    <w:ind w:left="-28" w:right="14" w:firstLine="28"/>
                    <w:rPr>
                      <w:rFonts w:ascii="Times New Roman" w:hAnsi="Times New Roman"/>
                      <w:sz w:val="19"/>
                      <w:szCs w:val="19"/>
                      <w:lang w:val="fr-CA"/>
                    </w:rPr>
                  </w:pPr>
                  <w:r w:rsidRPr="00623A2B">
                    <w:rPr>
                      <w:rFonts w:ascii="Times New Roman" w:hAnsi="Times New Roman"/>
                      <w:sz w:val="19"/>
                      <w:szCs w:val="19"/>
                      <w:lang w:val="fr-CA"/>
                    </w:rPr>
                    <w:t>CIP : Commission interaméricaine des ports</w:t>
                  </w:r>
                </w:p>
                <w:p w14:paraId="0D8C7958" w14:textId="77777777" w:rsidR="00A84B93" w:rsidRPr="00623A2B" w:rsidRDefault="00A84B93" w:rsidP="002F1F49">
                  <w:pPr>
                    <w:ind w:left="-28" w:right="14" w:firstLine="28"/>
                    <w:rPr>
                      <w:rFonts w:ascii="Times New Roman" w:hAnsi="Times New Roman"/>
                      <w:sz w:val="19"/>
                      <w:szCs w:val="19"/>
                      <w:lang w:val="fr-CA"/>
                    </w:rPr>
                  </w:pPr>
                  <w:r w:rsidRPr="00623A2B">
                    <w:rPr>
                      <w:rFonts w:ascii="Times New Roman" w:hAnsi="Times New Roman"/>
                      <w:sz w:val="19"/>
                      <w:szCs w:val="19"/>
                      <w:lang w:val="fr-CA"/>
                    </w:rPr>
                    <w:t>CITUR : Commission interaméricaine du tourisme</w:t>
                  </w:r>
                </w:p>
                <w:p w14:paraId="6117DDC3" w14:textId="77777777" w:rsidR="00A84B93" w:rsidRPr="00623A2B" w:rsidRDefault="00A84B93" w:rsidP="002F1F49">
                  <w:pPr>
                    <w:ind w:left="-28" w:right="14" w:firstLine="28"/>
                    <w:rPr>
                      <w:rFonts w:ascii="Times New Roman" w:hAnsi="Times New Roman"/>
                      <w:sz w:val="19"/>
                      <w:szCs w:val="19"/>
                      <w:lang w:val="fr-CA"/>
                    </w:rPr>
                  </w:pPr>
                  <w:proofErr w:type="spellStart"/>
                  <w:r w:rsidRPr="00623A2B">
                    <w:rPr>
                      <w:rFonts w:ascii="Times New Roman" w:hAnsi="Times New Roman"/>
                      <w:sz w:val="19"/>
                      <w:szCs w:val="19"/>
                      <w:lang w:val="fr-CA"/>
                    </w:rPr>
                    <w:t>COMCyT</w:t>
                  </w:r>
                  <w:proofErr w:type="spellEnd"/>
                  <w:r w:rsidRPr="00623A2B">
                    <w:rPr>
                      <w:rFonts w:ascii="Times New Roman" w:hAnsi="Times New Roman"/>
                      <w:sz w:val="19"/>
                      <w:szCs w:val="19"/>
                      <w:lang w:val="fr-CA"/>
                    </w:rPr>
                    <w:t xml:space="preserve"> : Commission interaméricaine de la science et de la technologie</w:t>
                  </w:r>
                </w:p>
                <w:p w14:paraId="6BA375E7" w14:textId="77777777" w:rsidR="00A84B93" w:rsidRPr="00623A2B" w:rsidRDefault="00A84B93" w:rsidP="002F1F49">
                  <w:pPr>
                    <w:ind w:left="-28" w:right="14" w:firstLine="28"/>
                    <w:rPr>
                      <w:rFonts w:ascii="Times New Roman" w:hAnsi="Times New Roman"/>
                      <w:sz w:val="19"/>
                      <w:szCs w:val="19"/>
                      <w:lang w:val="fr-CA"/>
                    </w:rPr>
                  </w:pPr>
                  <w:r w:rsidRPr="00623A2B">
                    <w:rPr>
                      <w:rFonts w:ascii="Times New Roman" w:hAnsi="Times New Roman"/>
                      <w:sz w:val="19"/>
                      <w:szCs w:val="19"/>
                      <w:lang w:val="fr-CA"/>
                    </w:rPr>
                    <w:t>ECPA : Partenariat des Amériques pour l’énergie et le climat</w:t>
                  </w:r>
                </w:p>
                <w:p w14:paraId="78EF069E" w14:textId="77777777" w:rsidR="00A84B93" w:rsidRPr="00623A2B" w:rsidRDefault="00A84B93" w:rsidP="002F1F49">
                  <w:pPr>
                    <w:ind w:left="-28" w:right="14" w:firstLine="28"/>
                    <w:rPr>
                      <w:rFonts w:ascii="Times New Roman" w:hAnsi="Times New Roman"/>
                      <w:sz w:val="19"/>
                      <w:szCs w:val="19"/>
                      <w:lang w:val="fr-CA"/>
                    </w:rPr>
                  </w:pPr>
                  <w:r w:rsidRPr="00623A2B">
                    <w:rPr>
                      <w:rFonts w:ascii="Times New Roman" w:hAnsi="Times New Roman"/>
                      <w:sz w:val="19"/>
                      <w:szCs w:val="19"/>
                      <w:lang w:val="fr-CA"/>
                    </w:rPr>
                    <w:t>RIAC : Réseau interaméricain de compétitivité</w:t>
                  </w:r>
                </w:p>
                <w:p w14:paraId="04DDC43A" w14:textId="77777777" w:rsidR="00A84B93" w:rsidRPr="00623A2B" w:rsidRDefault="00A84B93" w:rsidP="002F1F49">
                  <w:pPr>
                    <w:ind w:left="-28" w:right="14" w:firstLine="28"/>
                    <w:rPr>
                      <w:rFonts w:ascii="Times New Roman" w:hAnsi="Times New Roman"/>
                      <w:sz w:val="19"/>
                      <w:szCs w:val="19"/>
                      <w:lang w:val="fr-CA"/>
                    </w:rPr>
                  </w:pPr>
                  <w:r w:rsidRPr="00623A2B">
                    <w:rPr>
                      <w:rFonts w:ascii="Times New Roman" w:hAnsi="Times New Roman"/>
                      <w:caps/>
                      <w:sz w:val="19"/>
                      <w:szCs w:val="19"/>
                      <w:lang w:val="fr-CA"/>
                    </w:rPr>
                    <w:t>MPME : Microentreprises et petites et moyennes entreprises</w:t>
                  </w:r>
                </w:p>
                <w:p w14:paraId="4ABD9D0B" w14:textId="77777777" w:rsidR="00A84B93" w:rsidRPr="00623A2B" w:rsidRDefault="00A84B93" w:rsidP="002F1F49">
                  <w:pPr>
                    <w:ind w:left="-28" w:right="14" w:firstLine="28"/>
                    <w:rPr>
                      <w:rFonts w:ascii="Times New Roman" w:hAnsi="Times New Roman"/>
                      <w:sz w:val="19"/>
                      <w:szCs w:val="19"/>
                      <w:lang w:val="fr-CA"/>
                    </w:rPr>
                  </w:pPr>
                  <w:r w:rsidRPr="00623A2B">
                    <w:rPr>
                      <w:rFonts w:ascii="Times New Roman" w:hAnsi="Times New Roman"/>
                      <w:sz w:val="19"/>
                      <w:szCs w:val="19"/>
                      <w:lang w:val="fr-CA"/>
                    </w:rPr>
                    <w:t>ACE : Échange pour la compétitivité des Amériques</w:t>
                  </w:r>
                </w:p>
              </w:tc>
            </w:tr>
            <w:tr w:rsidR="00A84B93" w:rsidRPr="00213B6A" w14:paraId="7C55627F" w14:textId="77777777" w:rsidTr="002F1F49">
              <w:trPr>
                <w:trHeight w:val="326"/>
              </w:trPr>
              <w:tc>
                <w:tcPr>
                  <w:tcW w:w="13624" w:type="dxa"/>
                  <w:tcBorders>
                    <w:top w:val="single" w:sz="8" w:space="0" w:color="FFFFFF"/>
                    <w:left w:val="single" w:sz="8" w:space="0" w:color="FFFFFF"/>
                    <w:right w:val="single" w:sz="8" w:space="0" w:color="FFFFFF"/>
                  </w:tcBorders>
                  <w:shd w:val="clear" w:color="auto" w:fill="EAF1DD"/>
                  <w:tcMar>
                    <w:top w:w="0" w:type="dxa"/>
                    <w:left w:w="108" w:type="dxa"/>
                    <w:bottom w:w="0" w:type="dxa"/>
                    <w:right w:w="108" w:type="dxa"/>
                  </w:tcMar>
                  <w:vAlign w:val="center"/>
                </w:tcPr>
                <w:p w14:paraId="6345803C" w14:textId="77777777" w:rsidR="00A84B93" w:rsidRPr="00623A2B" w:rsidRDefault="00A84B93" w:rsidP="002F1F49">
                  <w:pPr>
                    <w:ind w:left="-28" w:right="14" w:firstLine="28"/>
                    <w:rPr>
                      <w:rFonts w:ascii="Times New Roman" w:hAnsi="Times New Roman"/>
                      <w:sz w:val="19"/>
                      <w:szCs w:val="19"/>
                      <w:lang w:val="fr-CA"/>
                    </w:rPr>
                  </w:pPr>
                </w:p>
              </w:tc>
            </w:tr>
          </w:tbl>
          <w:p w14:paraId="72B0A722" w14:textId="77777777" w:rsidR="00A84B93" w:rsidRPr="00623A2B" w:rsidRDefault="00A84B93" w:rsidP="002F1F49">
            <w:pPr>
              <w:ind w:left="-28" w:right="14" w:firstLine="28"/>
              <w:rPr>
                <w:rFonts w:ascii="Times New Roman" w:hAnsi="Times New Roman"/>
                <w:sz w:val="19"/>
                <w:szCs w:val="19"/>
                <w:lang w:val="fr-CA"/>
              </w:rPr>
            </w:pPr>
          </w:p>
        </w:tc>
        <w:tc>
          <w:tcPr>
            <w:tcW w:w="236" w:type="dxa"/>
            <w:tcBorders>
              <w:top w:val="single" w:sz="8" w:space="0" w:color="FFFFFF"/>
              <w:left w:val="single" w:sz="8" w:space="0" w:color="FFFFFF"/>
              <w:bottom w:val="single" w:sz="8" w:space="0" w:color="FFFFFF"/>
              <w:right w:val="single" w:sz="8" w:space="0" w:color="FFFFFF"/>
            </w:tcBorders>
            <w:shd w:val="clear" w:color="auto" w:fill="EAF1DD"/>
          </w:tcPr>
          <w:p w14:paraId="7E08AD12" w14:textId="77777777" w:rsidR="00A84B93" w:rsidRPr="00623A2B" w:rsidRDefault="00A84B93" w:rsidP="002F1F49">
            <w:pPr>
              <w:ind w:left="270" w:right="14"/>
              <w:rPr>
                <w:rFonts w:ascii="Times New Roman" w:hAnsi="Times New Roman"/>
                <w:sz w:val="19"/>
                <w:szCs w:val="19"/>
                <w:lang w:val="fr-CA"/>
              </w:rPr>
            </w:pPr>
          </w:p>
        </w:tc>
      </w:tr>
    </w:tbl>
    <w:p w14:paraId="3586B61D" w14:textId="77777777" w:rsidR="00A84B93" w:rsidRPr="00623A2B" w:rsidRDefault="00A84B93" w:rsidP="00A84B93">
      <w:pPr>
        <w:pBdr>
          <w:top w:val="nil"/>
          <w:left w:val="nil"/>
          <w:bottom w:val="nil"/>
          <w:right w:val="nil"/>
          <w:between w:val="nil"/>
        </w:pBdr>
        <w:ind w:right="-29"/>
        <w:rPr>
          <w:rFonts w:ascii="Times New Roman" w:hAnsi="Times New Roman"/>
          <w:color w:val="000000" w:themeColor="text1"/>
          <w:szCs w:val="22"/>
          <w:lang w:val="fr-CA"/>
        </w:rPr>
      </w:pPr>
    </w:p>
    <w:bookmarkEnd w:id="21"/>
    <w:p w14:paraId="0C054A4F" w14:textId="77777777" w:rsidR="00A84B93" w:rsidRPr="00623A2B" w:rsidRDefault="00A84B93" w:rsidP="00A84B93">
      <w:pPr>
        <w:widowControl/>
        <w:numPr>
          <w:ilvl w:val="1"/>
          <w:numId w:val="2"/>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color w:val="000000" w:themeColor="text1"/>
          <w:szCs w:val="22"/>
          <w:lang w:val="fr-CA"/>
        </w:rPr>
      </w:pPr>
      <w:r w:rsidRPr="00623A2B">
        <w:rPr>
          <w:rFonts w:ascii="Times New Roman" w:hAnsi="Times New Roman"/>
          <w:color w:val="000000" w:themeColor="text1"/>
          <w:szCs w:val="22"/>
          <w:lang w:val="fr-CA"/>
        </w:rPr>
        <w:t>SUIVI DES PROGRÈS, CONTRIBUTIONS ET RESSOURCES</w:t>
      </w:r>
    </w:p>
    <w:p w14:paraId="42006F06" w14:textId="77777777" w:rsidR="00A84B93" w:rsidRPr="00623A2B" w:rsidRDefault="00A84B93" w:rsidP="00A84B93">
      <w:pPr>
        <w:ind w:left="720" w:right="-29" w:hanging="720"/>
        <w:rPr>
          <w:rFonts w:ascii="Times New Roman" w:hAnsi="Times New Roman"/>
          <w:color w:val="000000" w:themeColor="text1"/>
          <w:szCs w:val="22"/>
          <w:lang w:val="fr-CA"/>
        </w:rPr>
      </w:pPr>
    </w:p>
    <w:p w14:paraId="25B0071B" w14:textId="3EC649B1" w:rsidR="00A84B93"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De demander au Conseil interaméricain pour le développement intégré (CIDI) de faire rapport à l’Assemblée générale, lors de sa cinquantième-et-deuxième session ordinaire, sur les progrès réalisés dans la mise en œuvre de la présente résolution. </w:t>
      </w:r>
    </w:p>
    <w:p w14:paraId="5805D614" w14:textId="77777777" w:rsidR="008B476B" w:rsidRPr="00623A2B" w:rsidRDefault="008B476B" w:rsidP="008B476B">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color w:val="000000" w:themeColor="text1"/>
          <w:szCs w:val="22"/>
          <w:lang w:val="fr-CA"/>
        </w:rPr>
      </w:pPr>
    </w:p>
    <w:p w14:paraId="371D682F"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fr-CA"/>
        </w:rPr>
      </w:pPr>
      <w:r w:rsidRPr="00623A2B">
        <w:rPr>
          <w:rFonts w:ascii="Times New Roman" w:hAnsi="Times New Roman"/>
          <w:color w:val="000000" w:themeColor="text1"/>
          <w:szCs w:val="22"/>
          <w:lang w:val="fr-CA"/>
        </w:rPr>
        <w:t>De remercier les États membres et les observateurs permanents qui ont contribué par des ressources financières, un appui en logistique et des ressources humaines aux programmes et activités du SEDI, et de demander au Secrétariat général de continuer à renforcer les partenariats en place et à forger de nouveaux partenariats avec des acteurs pertinents, y compris le secteur privé et les organisations de la société civile.</w:t>
      </w:r>
      <w:r w:rsidRPr="00623A2B">
        <w:rPr>
          <w:rFonts w:ascii="Times New Roman" w:hAnsi="Times New Roman"/>
          <w:b/>
          <w:color w:val="000000" w:themeColor="text1"/>
          <w:szCs w:val="22"/>
          <w:lang w:val="fr-CA"/>
        </w:rPr>
        <w:t xml:space="preserve"> </w:t>
      </w:r>
    </w:p>
    <w:p w14:paraId="7E32B29B" w14:textId="77777777" w:rsidR="00A84B93" w:rsidRPr="00623A2B" w:rsidRDefault="00A84B93" w:rsidP="00A84B93">
      <w:pPr>
        <w:ind w:left="720" w:right="-29" w:hanging="720"/>
        <w:rPr>
          <w:rFonts w:ascii="Times New Roman" w:hAnsi="Times New Roman"/>
          <w:color w:val="000000" w:themeColor="text1"/>
          <w:szCs w:val="22"/>
          <w:lang w:val="fr-CA"/>
        </w:rPr>
      </w:pPr>
    </w:p>
    <w:p w14:paraId="79FAD4D9"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De remercier également les autorités des États membres pour leur participation active et leur leadership au sein des commissions et groupes de travail différents.</w:t>
      </w:r>
      <w:bookmarkStart w:id="22" w:name="_heading=h.17dp8vu"/>
      <w:bookmarkEnd w:id="22"/>
    </w:p>
    <w:p w14:paraId="26C48271" w14:textId="77777777" w:rsidR="00A84B93" w:rsidRPr="00623A2B" w:rsidRDefault="00A84B93" w:rsidP="00A84B93">
      <w:pPr>
        <w:ind w:left="720" w:right="-29" w:hanging="720"/>
        <w:rPr>
          <w:rFonts w:ascii="Times New Roman" w:hAnsi="Times New Roman"/>
          <w:color w:val="000000" w:themeColor="text1"/>
          <w:szCs w:val="22"/>
          <w:lang w:val="fr-CA"/>
        </w:rPr>
      </w:pPr>
    </w:p>
    <w:p w14:paraId="5BCCFB65" w14:textId="77777777" w:rsidR="00A84B93" w:rsidRPr="00623A2B" w:rsidRDefault="00A84B93" w:rsidP="00A84B93">
      <w:pPr>
        <w:widowControl/>
        <w:numPr>
          <w:ilvl w:val="0"/>
          <w:numId w:val="9"/>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fr-CA"/>
        </w:rPr>
      </w:pPr>
      <w:r w:rsidRPr="00623A2B">
        <w:rPr>
          <w:rFonts w:ascii="Times New Roman" w:hAnsi="Times New Roman"/>
          <w:color w:val="000000" w:themeColor="text1"/>
          <w:szCs w:val="22"/>
          <w:lang w:val="fr-CA"/>
        </w:rPr>
        <w:t xml:space="preserve">De réitérer que l’exécution des initiatives prévues dans la présente résolution dépendra de la disponibilité des ressources financières inscrites à ce titre dans le programme-budget de l’Organisation, ainsi que d’autres ressources. </w:t>
      </w:r>
      <w:r w:rsidRPr="00623A2B">
        <w:rPr>
          <w:rFonts w:ascii="Times New Roman" w:hAnsi="Times New Roman"/>
          <w:color w:val="000000" w:themeColor="text1"/>
          <w:szCs w:val="22"/>
          <w:lang w:val="fr-CA"/>
        </w:rPr>
        <w:br w:type="page"/>
      </w:r>
    </w:p>
    <w:p w14:paraId="61D5436E" w14:textId="77777777" w:rsidR="00A84B93" w:rsidRPr="00623A2B" w:rsidRDefault="00A84B93" w:rsidP="00EC0BAC">
      <w:pPr>
        <w:jc w:val="center"/>
        <w:rPr>
          <w:rFonts w:ascii="Times New Roman" w:hAnsi="Times New Roman"/>
          <w:sz w:val="20"/>
          <w:lang w:val="fr-FR"/>
        </w:rPr>
      </w:pPr>
      <w:r w:rsidRPr="00623A2B">
        <w:rPr>
          <w:rFonts w:ascii="Times New Roman" w:hAnsi="Times New Roman"/>
          <w:sz w:val="20"/>
          <w:lang w:val="fr-FR"/>
        </w:rPr>
        <w:lastRenderedPageBreak/>
        <w:t>NOTES DE BAS DE PAGE</w:t>
      </w:r>
    </w:p>
    <w:p w14:paraId="4D88C8D3" w14:textId="77777777" w:rsidR="00A84B93" w:rsidRPr="00623A2B" w:rsidRDefault="00A84B93" w:rsidP="00B04CFA">
      <w:pPr>
        <w:ind w:firstLine="810"/>
        <w:rPr>
          <w:rFonts w:ascii="Times New Roman" w:hAnsi="Times New Roman"/>
          <w:sz w:val="20"/>
          <w:lang w:val="fr-FR"/>
        </w:rPr>
      </w:pPr>
    </w:p>
    <w:p w14:paraId="138D15C8" w14:textId="77777777" w:rsidR="00A84B93" w:rsidRPr="00623A2B" w:rsidRDefault="00A84B93" w:rsidP="00B04CFA">
      <w:pPr>
        <w:ind w:firstLine="810"/>
        <w:rPr>
          <w:rFonts w:ascii="Times New Roman" w:hAnsi="Times New Roman"/>
          <w:sz w:val="20"/>
          <w:lang w:val="fr-CA"/>
        </w:rPr>
      </w:pPr>
    </w:p>
    <w:p w14:paraId="268945F1" w14:textId="7A44E8B2" w:rsidR="00A84B93" w:rsidRPr="00623A2B" w:rsidRDefault="00A84B93" w:rsidP="00EC0BAC">
      <w:pPr>
        <w:pStyle w:val="FootnoteText"/>
        <w:ind w:left="0" w:firstLine="720"/>
        <w:rPr>
          <w:rFonts w:ascii="Times New Roman" w:hAnsi="Times New Roman"/>
          <w:sz w:val="20"/>
          <w:lang w:val="fr-CA"/>
        </w:rPr>
      </w:pPr>
      <w:r w:rsidRPr="00623A2B">
        <w:rPr>
          <w:rFonts w:ascii="Times New Roman" w:hAnsi="Times New Roman"/>
          <w:sz w:val="20"/>
          <w:lang w:val="fr-CA"/>
        </w:rPr>
        <w:t>1.</w:t>
      </w:r>
      <w:r w:rsidRPr="00623A2B">
        <w:rPr>
          <w:rFonts w:ascii="Times New Roman" w:hAnsi="Times New Roman"/>
          <w:sz w:val="20"/>
          <w:lang w:val="fr-CA"/>
        </w:rPr>
        <w:tab/>
        <w:t>… Cinquante-et-unième Session ordinaire de l’Assemblée générale de l’Organisation des États Américains (OEA), lesquelles constituent des actes contraires au droit international.</w:t>
      </w:r>
    </w:p>
    <w:p w14:paraId="7B4CEF6F" w14:textId="77777777" w:rsidR="00A84B93" w:rsidRPr="00623A2B" w:rsidRDefault="00A84B93" w:rsidP="00B04CFA">
      <w:pPr>
        <w:pStyle w:val="FootnoteText"/>
        <w:ind w:left="0" w:firstLine="810"/>
        <w:rPr>
          <w:rFonts w:ascii="Times New Roman" w:hAnsi="Times New Roman"/>
          <w:sz w:val="20"/>
          <w:lang w:val="fr-CA"/>
        </w:rPr>
      </w:pPr>
    </w:p>
    <w:p w14:paraId="518A8111" w14:textId="77777777" w:rsidR="00A84B93" w:rsidRPr="00623A2B" w:rsidRDefault="00A84B93" w:rsidP="00B04CFA">
      <w:pPr>
        <w:pStyle w:val="FootnoteText"/>
        <w:ind w:left="0" w:firstLine="810"/>
        <w:rPr>
          <w:rFonts w:ascii="Times New Roman" w:hAnsi="Times New Roman"/>
          <w:sz w:val="20"/>
          <w:lang w:val="fr-CA"/>
        </w:rPr>
      </w:pPr>
      <w:r w:rsidRPr="00623A2B">
        <w:rPr>
          <w:rFonts w:ascii="Times New Roman" w:hAnsi="Times New Roman"/>
          <w:sz w:val="20"/>
          <w:lang w:val="fr-CA"/>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498639E0" w14:textId="77777777" w:rsidR="00A84B93" w:rsidRPr="00623A2B" w:rsidRDefault="00A84B93" w:rsidP="00B04CFA">
      <w:pPr>
        <w:pStyle w:val="FootnoteText"/>
        <w:ind w:left="0" w:firstLine="810"/>
        <w:rPr>
          <w:rFonts w:ascii="Times New Roman" w:hAnsi="Times New Roman"/>
          <w:sz w:val="20"/>
          <w:lang w:val="fr-CA"/>
        </w:rPr>
      </w:pPr>
    </w:p>
    <w:p w14:paraId="3D6711E7" w14:textId="77777777" w:rsidR="00A84B93" w:rsidRPr="00623A2B" w:rsidRDefault="00A84B93" w:rsidP="00B04CFA">
      <w:pPr>
        <w:pStyle w:val="FootnoteText"/>
        <w:ind w:left="0" w:firstLine="810"/>
        <w:rPr>
          <w:rFonts w:ascii="Times New Roman" w:hAnsi="Times New Roman"/>
          <w:sz w:val="20"/>
          <w:lang w:val="fr-CA"/>
        </w:rPr>
      </w:pPr>
      <w:r w:rsidRPr="00623A2B">
        <w:rPr>
          <w:rFonts w:ascii="Times New Roman" w:hAnsi="Times New Roman"/>
          <w:sz w:val="20"/>
          <w:lang w:val="fr-CA"/>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3626A85B" w14:textId="77777777" w:rsidR="00A84B93" w:rsidRPr="00623A2B" w:rsidRDefault="00A84B93" w:rsidP="00B04CFA">
      <w:pPr>
        <w:pStyle w:val="FootnoteText"/>
        <w:ind w:left="0" w:firstLine="810"/>
        <w:rPr>
          <w:rFonts w:ascii="Times New Roman" w:hAnsi="Times New Roman"/>
          <w:sz w:val="20"/>
          <w:lang w:val="fr-CA"/>
        </w:rPr>
      </w:pPr>
    </w:p>
    <w:p w14:paraId="041571F2" w14:textId="77777777" w:rsidR="00A84B93" w:rsidRPr="00623A2B" w:rsidRDefault="00A84B93" w:rsidP="00B04CFA">
      <w:pPr>
        <w:pStyle w:val="FootnoteText"/>
        <w:ind w:left="0" w:firstLine="810"/>
        <w:rPr>
          <w:rFonts w:ascii="Times New Roman" w:hAnsi="Times New Roman"/>
          <w:sz w:val="20"/>
          <w:lang w:val="fr-CA"/>
        </w:rPr>
      </w:pPr>
      <w:r w:rsidRPr="00623A2B">
        <w:rPr>
          <w:rFonts w:ascii="Times New Roman" w:hAnsi="Times New Roman"/>
          <w:sz w:val="20"/>
          <w:lang w:val="fr-CA"/>
        </w:rPr>
        <w:t>La reconnaissance d’un gouvernement est un acte souverain des États, et non des institutions internationales. L’OEA ne possède ni ne peut s’arroger des facultés de reconnaissance collective opposable à la qualité de membre; c’est pourquoi tout acte visant à atteindre cet objectif tombe en dehors de sa compétence et est matériellement nul.</w:t>
      </w:r>
    </w:p>
    <w:p w14:paraId="45C0FDF2" w14:textId="77777777" w:rsidR="00A84B93" w:rsidRPr="00623A2B" w:rsidRDefault="00A84B93" w:rsidP="00B04CFA">
      <w:pPr>
        <w:pStyle w:val="FootnoteText"/>
        <w:ind w:left="0" w:firstLine="810"/>
        <w:rPr>
          <w:rFonts w:ascii="Times New Roman" w:hAnsi="Times New Roman"/>
          <w:sz w:val="20"/>
          <w:lang w:val="fr-CA"/>
        </w:rPr>
      </w:pPr>
    </w:p>
    <w:p w14:paraId="17DB0D20" w14:textId="77777777" w:rsidR="00A84B93" w:rsidRPr="00623A2B" w:rsidRDefault="00A84B93" w:rsidP="00B04CFA">
      <w:pPr>
        <w:pStyle w:val="FootnoteText"/>
        <w:ind w:left="0" w:firstLine="810"/>
        <w:rPr>
          <w:rFonts w:ascii="Times New Roman" w:hAnsi="Times New Roman"/>
          <w:sz w:val="20"/>
          <w:lang w:val="fr-CA"/>
        </w:rPr>
      </w:pPr>
      <w:r w:rsidRPr="00623A2B">
        <w:rPr>
          <w:rFonts w:ascii="Times New Roman" w:hAnsi="Times New Roman"/>
          <w:sz w:val="20"/>
          <w:lang w:val="fr-CA"/>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499340CB" w14:textId="77777777" w:rsidR="00A84B93" w:rsidRPr="00623A2B" w:rsidRDefault="00A84B93" w:rsidP="00B04CFA">
      <w:pPr>
        <w:pStyle w:val="FootnoteText"/>
        <w:ind w:left="0" w:firstLine="810"/>
        <w:rPr>
          <w:rFonts w:ascii="Times New Roman" w:hAnsi="Times New Roman"/>
          <w:sz w:val="20"/>
          <w:lang w:val="fr-CA"/>
        </w:rPr>
      </w:pPr>
    </w:p>
    <w:p w14:paraId="3129801E" w14:textId="77777777" w:rsidR="00A84B93" w:rsidRPr="00623A2B" w:rsidRDefault="00A84B93" w:rsidP="00B04CFA">
      <w:pPr>
        <w:pStyle w:val="FootnoteText"/>
        <w:ind w:left="0" w:firstLine="810"/>
        <w:rPr>
          <w:rFonts w:ascii="Times New Roman" w:hAnsi="Times New Roman"/>
          <w:sz w:val="20"/>
          <w:lang w:val="fr-CA"/>
        </w:rPr>
      </w:pPr>
      <w:r w:rsidRPr="00623A2B">
        <w:rPr>
          <w:rFonts w:ascii="Times New Roman" w:hAnsi="Times New Roman"/>
          <w:sz w:val="20"/>
          <w:lang w:val="fr-CA"/>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2024C69B" w14:textId="77777777" w:rsidR="00A84B93" w:rsidRPr="00623A2B" w:rsidRDefault="00A84B93" w:rsidP="00B04CFA">
      <w:pPr>
        <w:pStyle w:val="FootnoteText"/>
        <w:ind w:left="0" w:firstLine="810"/>
        <w:rPr>
          <w:rFonts w:ascii="Times New Roman" w:hAnsi="Times New Roman"/>
          <w:sz w:val="20"/>
          <w:lang w:val="fr-CA"/>
        </w:rPr>
      </w:pPr>
    </w:p>
    <w:p w14:paraId="3DE3FBA1" w14:textId="77777777" w:rsidR="00A84B93" w:rsidRPr="00623A2B" w:rsidRDefault="00A84B93" w:rsidP="00B04CFA">
      <w:pPr>
        <w:pStyle w:val="FootnoteText"/>
        <w:ind w:left="0" w:firstLine="810"/>
        <w:rPr>
          <w:rFonts w:ascii="Times New Roman" w:hAnsi="Times New Roman"/>
          <w:sz w:val="20"/>
          <w:lang w:val="fr-CA"/>
        </w:rPr>
      </w:pPr>
      <w:r w:rsidRPr="00623A2B">
        <w:rPr>
          <w:rFonts w:ascii="Times New Roman" w:hAnsi="Times New Roman"/>
          <w:sz w:val="20"/>
          <w:lang w:val="fr-CA"/>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6E3928BA" w14:textId="77777777" w:rsidR="00A84B93" w:rsidRPr="00623A2B" w:rsidRDefault="00A84B93" w:rsidP="00B04CFA">
      <w:pPr>
        <w:pStyle w:val="FootnoteText"/>
        <w:ind w:left="0" w:firstLine="810"/>
        <w:rPr>
          <w:rFonts w:ascii="Times New Roman" w:hAnsi="Times New Roman"/>
          <w:sz w:val="20"/>
          <w:lang w:val="fr-CA"/>
        </w:rPr>
      </w:pPr>
    </w:p>
    <w:p w14:paraId="21DC4E39" w14:textId="77777777" w:rsidR="00A84B93" w:rsidRPr="00623A2B" w:rsidRDefault="00A84B93" w:rsidP="00EC0BAC">
      <w:pPr>
        <w:pStyle w:val="FootnoteText"/>
        <w:ind w:left="0" w:firstLine="720"/>
        <w:rPr>
          <w:rFonts w:ascii="Times New Roman" w:hAnsi="Times New Roman"/>
          <w:sz w:val="20"/>
          <w:lang w:val="fr-CA"/>
        </w:rPr>
      </w:pPr>
      <w:r w:rsidRPr="00623A2B">
        <w:rPr>
          <w:rFonts w:ascii="Times New Roman" w:hAnsi="Times New Roman"/>
          <w:sz w:val="20"/>
          <w:lang w:val="fr-CA"/>
        </w:rPr>
        <w:t>2.</w:t>
      </w:r>
      <w:r w:rsidRPr="00623A2B">
        <w:rPr>
          <w:rFonts w:ascii="Times New Roman" w:hAnsi="Times New Roman"/>
          <w:sz w:val="20"/>
          <w:lang w:val="fr-CA"/>
        </w:rPr>
        <w:tab/>
        <w:t xml:space="preserve">… de personnes qui prétendent usurper la représentation légale de la République bolivarienne du Venezuela et du Gouvernement légitime du Président </w:t>
      </w:r>
      <w:proofErr w:type="spellStart"/>
      <w:r w:rsidRPr="00623A2B">
        <w:rPr>
          <w:rFonts w:ascii="Times New Roman" w:hAnsi="Times New Roman"/>
          <w:sz w:val="20"/>
          <w:lang w:val="fr-CA"/>
        </w:rPr>
        <w:t>Nicolás</w:t>
      </w:r>
      <w:proofErr w:type="spellEnd"/>
      <w:r w:rsidRPr="00623A2B">
        <w:rPr>
          <w:rFonts w:ascii="Times New Roman" w:hAnsi="Times New Roman"/>
          <w:sz w:val="20"/>
          <w:lang w:val="fr-CA"/>
        </w:rPr>
        <w:t xml:space="preserve"> </w:t>
      </w:r>
      <w:proofErr w:type="spellStart"/>
      <w:r w:rsidRPr="00623A2B">
        <w:rPr>
          <w:rFonts w:ascii="Times New Roman" w:hAnsi="Times New Roman"/>
          <w:sz w:val="20"/>
          <w:lang w:val="fr-CA"/>
        </w:rPr>
        <w:t>Maduro</w:t>
      </w:r>
      <w:proofErr w:type="spellEnd"/>
      <w:r w:rsidRPr="00623A2B">
        <w:rPr>
          <w:rFonts w:ascii="Times New Roman" w:hAnsi="Times New Roman"/>
          <w:sz w:val="20"/>
          <w:lang w:val="fr-CA"/>
        </w:rPr>
        <w:t xml:space="preserve"> Moros. Nous demandons que notre refus soit consigné dans tous les documents qui seront traités lors de la présente Cinquante-et-unième Session de l’Assemblée générale de l’OEA.</w:t>
      </w:r>
    </w:p>
    <w:p w14:paraId="1BB1B4DB" w14:textId="77777777" w:rsidR="00A84B93" w:rsidRPr="00623A2B" w:rsidRDefault="00A84B93" w:rsidP="00EC0BAC">
      <w:pPr>
        <w:pStyle w:val="FootnoteText"/>
        <w:ind w:left="0" w:firstLine="720"/>
        <w:rPr>
          <w:rFonts w:ascii="Times New Roman" w:hAnsi="Times New Roman"/>
          <w:sz w:val="20"/>
          <w:lang w:val="fr-CA"/>
        </w:rPr>
      </w:pPr>
    </w:p>
    <w:p w14:paraId="0B73E85D" w14:textId="77777777" w:rsidR="00A84B93" w:rsidRPr="00623A2B" w:rsidRDefault="00A84B93" w:rsidP="00EC0BAC">
      <w:pPr>
        <w:pStyle w:val="FootnoteText"/>
        <w:ind w:left="0" w:firstLine="720"/>
        <w:rPr>
          <w:rFonts w:ascii="Times New Roman" w:hAnsi="Times New Roman"/>
          <w:sz w:val="20"/>
          <w:lang w:val="fr-CA"/>
        </w:rPr>
      </w:pPr>
      <w:r w:rsidRPr="00623A2B">
        <w:rPr>
          <w:rFonts w:ascii="Times New Roman" w:hAnsi="Times New Roman"/>
          <w:sz w:val="20"/>
          <w:lang w:val="fr-CA"/>
        </w:rPr>
        <w:t>3.</w:t>
      </w:r>
      <w:r w:rsidRPr="00623A2B">
        <w:rPr>
          <w:rFonts w:ascii="Times New Roman" w:hAnsi="Times New Roman"/>
          <w:sz w:val="20"/>
          <w:lang w:val="fr-CA"/>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78A5F11A" w14:textId="77777777" w:rsidR="00A84B93" w:rsidRPr="00623A2B" w:rsidRDefault="00A84B93" w:rsidP="00B04CFA">
      <w:pPr>
        <w:pStyle w:val="FootnoteText"/>
        <w:ind w:left="0" w:firstLine="810"/>
        <w:rPr>
          <w:rFonts w:ascii="Times New Roman" w:hAnsi="Times New Roman"/>
          <w:sz w:val="20"/>
          <w:lang w:val="fr-CA"/>
        </w:rPr>
      </w:pPr>
    </w:p>
    <w:p w14:paraId="111F70ED" w14:textId="77777777" w:rsidR="00A84B93" w:rsidRPr="00623A2B" w:rsidRDefault="00A84B93" w:rsidP="00B04CFA">
      <w:pPr>
        <w:pStyle w:val="FootnoteText"/>
        <w:ind w:left="0" w:firstLine="810"/>
        <w:rPr>
          <w:rFonts w:ascii="Times New Roman" w:hAnsi="Times New Roman"/>
          <w:sz w:val="20"/>
          <w:lang w:val="fr-CA"/>
        </w:rPr>
      </w:pPr>
      <w:r w:rsidRPr="00623A2B">
        <w:rPr>
          <w:rFonts w:ascii="Times New Roman" w:hAnsi="Times New Roman"/>
          <w:sz w:val="20"/>
          <w:lang w:val="fr-CA"/>
        </w:rPr>
        <w:t xml:space="preserve">Antigua-et-Barbuda n'a pas soutenu la résolution CP/RES. 1124 (2217/19) du 9 avril 2019 qui visait à nommer M. Gustavo </w:t>
      </w:r>
      <w:proofErr w:type="spellStart"/>
      <w:r w:rsidRPr="00623A2B">
        <w:rPr>
          <w:rFonts w:ascii="Times New Roman" w:hAnsi="Times New Roman"/>
          <w:sz w:val="20"/>
          <w:lang w:val="fr-CA"/>
        </w:rPr>
        <w:t>Tarre</w:t>
      </w:r>
      <w:proofErr w:type="spellEnd"/>
      <w:r w:rsidRPr="00623A2B">
        <w:rPr>
          <w:rFonts w:ascii="Times New Roman" w:hAnsi="Times New Roman"/>
          <w:sz w:val="20"/>
          <w:lang w:val="fr-CA"/>
        </w:rPr>
        <w:t xml:space="preserve"> comme représentant de l'Assemblée nationale auprès de l'OEA et n'a pas accepté les </w:t>
      </w:r>
      <w:r w:rsidRPr="00623A2B">
        <w:rPr>
          <w:rFonts w:ascii="Times New Roman" w:hAnsi="Times New Roman"/>
          <w:sz w:val="20"/>
          <w:lang w:val="fr-CA"/>
        </w:rPr>
        <w:lastRenderedPageBreak/>
        <w:t xml:space="preserve">pouvoirs des fonctionnaires ayant l'intention de représenter la République bolivarienne du Venezuela aux quarante-neuvième, cinquantième et cinquante-et-unième sessions ordinaires de l'Assemblée générale. </w:t>
      </w:r>
    </w:p>
    <w:p w14:paraId="7E3BFEF3" w14:textId="77777777" w:rsidR="00A84B93" w:rsidRPr="00623A2B" w:rsidRDefault="00A84B93" w:rsidP="00B04CFA">
      <w:pPr>
        <w:pStyle w:val="FootnoteText"/>
        <w:ind w:left="0" w:firstLine="810"/>
        <w:rPr>
          <w:rFonts w:ascii="Times New Roman" w:hAnsi="Times New Roman"/>
          <w:sz w:val="20"/>
          <w:lang w:val="fr-CA"/>
        </w:rPr>
      </w:pPr>
    </w:p>
    <w:p w14:paraId="5EB09BB9" w14:textId="77777777" w:rsidR="00A84B93" w:rsidRPr="00623A2B" w:rsidRDefault="00A84B93" w:rsidP="00B04CFA">
      <w:pPr>
        <w:ind w:firstLine="810"/>
        <w:rPr>
          <w:rFonts w:ascii="Times New Roman" w:hAnsi="Times New Roman"/>
          <w:sz w:val="20"/>
          <w:lang w:val="fr-FR"/>
        </w:rPr>
      </w:pPr>
      <w:r w:rsidRPr="00623A2B">
        <w:rPr>
          <w:rFonts w:ascii="Times New Roman" w:hAnsi="Times New Roman"/>
          <w:sz w:val="20"/>
          <w:lang w:val="fr-CA"/>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3852F454" w14:textId="77777777" w:rsidR="00A84B93" w:rsidRPr="00623A2B" w:rsidRDefault="00A84B93" w:rsidP="00A84B93">
      <w:pPr>
        <w:ind w:right="-29" w:firstLine="720"/>
        <w:rPr>
          <w:rFonts w:ascii="Times New Roman" w:hAnsi="Times New Roman"/>
          <w:color w:val="000000" w:themeColor="text1"/>
          <w:sz w:val="20"/>
          <w:lang w:val="fr-CA"/>
        </w:rPr>
      </w:pPr>
    </w:p>
    <w:p w14:paraId="61741879" w14:textId="77777777" w:rsidR="00A84B93" w:rsidRPr="00623A2B" w:rsidRDefault="00A84B93" w:rsidP="00A84B93">
      <w:pPr>
        <w:pStyle w:val="FootnoteText"/>
        <w:ind w:left="0" w:firstLine="720"/>
        <w:rPr>
          <w:rFonts w:ascii="Times New Roman" w:hAnsi="Times New Roman"/>
          <w:sz w:val="20"/>
          <w:lang w:val="fr-CA"/>
        </w:rPr>
      </w:pPr>
      <w:r w:rsidRPr="00623A2B">
        <w:rPr>
          <w:rFonts w:ascii="Times New Roman" w:hAnsi="Times New Roman"/>
          <w:sz w:val="20"/>
          <w:lang w:val="fr-CA"/>
        </w:rPr>
        <w:t>4.</w:t>
      </w:r>
      <w:r w:rsidRPr="00623A2B">
        <w:rPr>
          <w:rFonts w:ascii="Times New Roman" w:hAnsi="Times New Roman"/>
          <w:sz w:val="20"/>
          <w:lang w:val="fr-CA"/>
        </w:rPr>
        <w:tab/>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3DDBD19E" w14:textId="77777777" w:rsidR="00A84B93" w:rsidRPr="00623A2B" w:rsidRDefault="00A84B93" w:rsidP="00A84B93">
      <w:pPr>
        <w:pStyle w:val="FootnoteText"/>
        <w:ind w:left="0" w:firstLine="720"/>
        <w:rPr>
          <w:rFonts w:ascii="Times New Roman" w:hAnsi="Times New Roman"/>
          <w:sz w:val="20"/>
          <w:lang w:val="fr-CA"/>
        </w:rPr>
      </w:pPr>
    </w:p>
    <w:p w14:paraId="3505774F" w14:textId="77777777" w:rsidR="00A84B93" w:rsidRPr="00623A2B" w:rsidRDefault="00A84B93" w:rsidP="00A84B93">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p>
    <w:p w14:paraId="2DBEF488" w14:textId="77777777" w:rsidR="00A84B93" w:rsidRPr="00623A2B" w:rsidRDefault="00A84B93" w:rsidP="00A84B93">
      <w:pPr>
        <w:ind w:right="-29" w:firstLine="720"/>
        <w:rPr>
          <w:rFonts w:ascii="Times New Roman" w:hAnsi="Times New Roman"/>
          <w:color w:val="000000" w:themeColor="text1"/>
          <w:sz w:val="20"/>
          <w:lang w:val="fr-CA"/>
        </w:rPr>
      </w:pPr>
    </w:p>
    <w:p w14:paraId="11B7CF4A" w14:textId="77777777" w:rsidR="00A84B93" w:rsidRPr="00623A2B" w:rsidRDefault="00A84B93" w:rsidP="00A84B93">
      <w:pPr>
        <w:ind w:firstLine="720"/>
        <w:rPr>
          <w:rFonts w:ascii="Times New Roman" w:hAnsi="Times New Roman"/>
          <w:sz w:val="20"/>
          <w:lang w:val="fr-CA"/>
        </w:rPr>
      </w:pPr>
      <w:r w:rsidRPr="00623A2B">
        <w:rPr>
          <w:rFonts w:ascii="Times New Roman" w:hAnsi="Times New Roman"/>
          <w:sz w:val="20"/>
          <w:lang w:val="fr-CA"/>
        </w:rPr>
        <w:t xml:space="preserve">5. </w:t>
      </w:r>
      <w:r w:rsidRPr="00623A2B">
        <w:rPr>
          <w:rFonts w:ascii="Times New Roman" w:hAnsi="Times New Roman"/>
          <w:sz w:val="20"/>
          <w:lang w:val="fr-CA"/>
        </w:rPr>
        <w:tab/>
        <w:t>… discrimination et à condamner et combattre les expressions, les manifestations et les actes de racisme, de discrimination raciale, de violence et de xénophobie visant tous les migrants et l’intolérance qui y est associée, conformément au droit international des droits de l’homme », l'État du Guatemala ne reconnaît pas le terme « supériorité raciale » dans le domaine de la migration ; conformément à la Déclaration de New York, il prend des mesures pour contrer les attitudes et les comportements de discrimination raciale et les infractions motivées par des préjugés liés aux discours de haine et à la violence raciale.</w:t>
      </w:r>
    </w:p>
    <w:p w14:paraId="5398011B" w14:textId="77777777" w:rsidR="00A84B93" w:rsidRPr="00623A2B" w:rsidRDefault="00A84B93" w:rsidP="00A84B93">
      <w:pPr>
        <w:ind w:firstLine="720"/>
        <w:rPr>
          <w:rFonts w:ascii="Times New Roman" w:hAnsi="Times New Roman"/>
          <w:sz w:val="20"/>
          <w:lang w:val="fr-CA"/>
        </w:rPr>
      </w:pPr>
    </w:p>
    <w:p w14:paraId="096F3DA2" w14:textId="77777777" w:rsidR="00A84B93" w:rsidRPr="00623A2B" w:rsidRDefault="00A84B93" w:rsidP="00A84B93">
      <w:pPr>
        <w:ind w:firstLine="720"/>
        <w:rPr>
          <w:rFonts w:ascii="Times New Roman" w:eastAsia="Calibri" w:hAnsi="Times New Roman"/>
          <w:sz w:val="20"/>
          <w:lang w:val="fr-CA"/>
        </w:rPr>
      </w:pPr>
      <w:r w:rsidRPr="00623A2B">
        <w:rPr>
          <w:rFonts w:ascii="Times New Roman" w:hAnsi="Times New Roman"/>
          <w:sz w:val="20"/>
          <w:lang w:val="fr-CA"/>
        </w:rPr>
        <w:t>6.</w:t>
      </w:r>
      <w:r w:rsidRPr="00623A2B">
        <w:rPr>
          <w:rFonts w:ascii="Times New Roman" w:hAnsi="Times New Roman"/>
          <w:sz w:val="20"/>
          <w:lang w:val="fr-CA"/>
        </w:rPr>
        <w:tab/>
        <w:t xml:space="preserve">…l'admission ou l'entrée sur leur territoire et de réglementer l'admission et l'expulsion ou l'éloignement des non-ressortissants, nous reconnaissons que les États doivent respecter les droits humains des migrants, enfants et adultes, conformément à leurs obligations en vertu droit international, y compris le droit international relatif aux droits humains. Nous reconnaissons que l'article 3 de la Convention relative aux droits de l'enfant (CDE) prévoit que « l'intérêt supérieur de l'enfant doit être une considération primordiale » dans toutes les actions concernant les enfants. Bien que les États-Unis ne soient pas </w:t>
      </w:r>
      <w:proofErr w:type="gramStart"/>
      <w:r w:rsidRPr="00623A2B">
        <w:rPr>
          <w:rFonts w:ascii="Times New Roman" w:hAnsi="Times New Roman"/>
          <w:sz w:val="20"/>
          <w:lang w:val="fr-CA"/>
        </w:rPr>
        <w:t>partie</w:t>
      </w:r>
      <w:proofErr w:type="gramEnd"/>
      <w:r w:rsidRPr="00623A2B">
        <w:rPr>
          <w:rFonts w:ascii="Times New Roman" w:hAnsi="Times New Roman"/>
          <w:sz w:val="20"/>
          <w:lang w:val="fr-CA"/>
        </w:rPr>
        <w:t xml:space="preserve"> à la CDE et ne soient donc pas liés par les obligations qui y sont énoncées, nous prenons en compte l'intérêt supérieur de l'enfant dans divers contextes, y compris dans le domaine de la migration. Cependant, l'intérêt supérieur d'un enfant est un facteur - pas le seul - dans les décisions des juges et des arbitres de l'immigration.</w:t>
      </w:r>
    </w:p>
    <w:p w14:paraId="75BE2727" w14:textId="05B24F4F" w:rsidR="009A129C" w:rsidRPr="00623A2B" w:rsidRDefault="009A129C" w:rsidP="009A129C">
      <w:pPr>
        <w:pStyle w:val="FootnoteText"/>
        <w:tabs>
          <w:tab w:val="clear" w:pos="360"/>
        </w:tabs>
        <w:rPr>
          <w:rFonts w:ascii="Times New Roman" w:hAnsi="Times New Roman"/>
          <w:sz w:val="22"/>
          <w:szCs w:val="22"/>
          <w:lang w:val="fr-CA"/>
        </w:rPr>
      </w:pPr>
    </w:p>
    <w:p w14:paraId="67B4D515" w14:textId="77777777" w:rsidR="00EC0BAC" w:rsidRPr="00623A2B" w:rsidRDefault="00EC0BAC" w:rsidP="009A129C">
      <w:pPr>
        <w:pStyle w:val="FootnoteText"/>
        <w:tabs>
          <w:tab w:val="clear" w:pos="360"/>
        </w:tabs>
        <w:rPr>
          <w:rFonts w:ascii="Times New Roman" w:hAnsi="Times New Roman"/>
          <w:sz w:val="22"/>
          <w:szCs w:val="22"/>
          <w:lang w:val="fr-CA"/>
        </w:rPr>
        <w:sectPr w:rsidR="00EC0BAC" w:rsidRPr="00623A2B" w:rsidSect="00623A2B">
          <w:headerReference w:type="first" r:id="rId63"/>
          <w:footnotePr>
            <w:numRestart w:val="eachSect"/>
          </w:footnotePr>
          <w:type w:val="oddPage"/>
          <w:pgSz w:w="12240" w:h="15840" w:code="1"/>
          <w:pgMar w:top="2160" w:right="1570" w:bottom="1296" w:left="1699" w:header="720" w:footer="720" w:gutter="0"/>
          <w:cols w:space="720"/>
          <w:titlePg/>
          <w:docGrid w:linePitch="272"/>
        </w:sectPr>
      </w:pPr>
    </w:p>
    <w:p w14:paraId="18B6942E" w14:textId="3D80D1D8" w:rsidR="009073D5" w:rsidRPr="00623A2B" w:rsidRDefault="009073D5" w:rsidP="00963998">
      <w:pPr>
        <w:pStyle w:val="Heading1"/>
        <w:spacing w:before="0"/>
        <w:jc w:val="center"/>
        <w:rPr>
          <w:rFonts w:ascii="Times New Roman" w:hAnsi="Times New Roman" w:cs="Times New Roman"/>
          <w:color w:val="auto"/>
          <w:sz w:val="22"/>
          <w:szCs w:val="22"/>
          <w:lang w:val="fr-FR"/>
        </w:rPr>
      </w:pPr>
      <w:bookmarkStart w:id="23" w:name="_Toc389251706"/>
      <w:bookmarkStart w:id="24" w:name="_Toc515731397"/>
      <w:bookmarkStart w:id="25" w:name="_Toc516679324"/>
      <w:bookmarkStart w:id="26" w:name="_Toc398801812"/>
      <w:bookmarkStart w:id="27" w:name="_Toc89177458"/>
      <w:r w:rsidRPr="00623A2B">
        <w:rPr>
          <w:rFonts w:ascii="Times New Roman" w:hAnsi="Times New Roman" w:cs="Times New Roman"/>
          <w:color w:val="auto"/>
          <w:sz w:val="22"/>
          <w:szCs w:val="22"/>
          <w:lang w:val="fr-FR"/>
        </w:rPr>
        <w:lastRenderedPageBreak/>
        <w:t>AG/RES. 2968 (LI-O/21)</w:t>
      </w:r>
      <w:r w:rsidR="00442EF8" w:rsidRPr="00623A2B">
        <w:rPr>
          <w:rFonts w:ascii="Times New Roman" w:hAnsi="Times New Roman" w:cs="Times New Roman"/>
          <w:color w:val="auto"/>
          <w:sz w:val="22"/>
          <w:szCs w:val="22"/>
          <w:lang w:val="fr-FR"/>
        </w:rPr>
        <w:br/>
      </w:r>
      <w:r w:rsidR="00442EF8" w:rsidRPr="00623A2B">
        <w:rPr>
          <w:rFonts w:ascii="Times New Roman" w:hAnsi="Times New Roman" w:cs="Times New Roman"/>
          <w:color w:val="auto"/>
          <w:sz w:val="22"/>
          <w:szCs w:val="22"/>
          <w:lang w:val="fr-FR"/>
        </w:rPr>
        <w:br/>
      </w:r>
      <w:r w:rsidRPr="00623A2B">
        <w:rPr>
          <w:rFonts w:ascii="Times New Roman" w:hAnsi="Times New Roman" w:cs="Times New Roman"/>
          <w:color w:val="auto"/>
          <w:sz w:val="22"/>
          <w:szCs w:val="22"/>
          <w:lang w:val="fr-FR"/>
        </w:rPr>
        <w:t>COORDINATION DU VOLONTARIAT DANS LE CONTINENT AMÉRICAIN AU TITRE DES INTERVENTIONS EN CAS DE CATASTROPHE NATURELLE ET DANS LA LUTTE CONTRE LA FAIM ET LA PAUVRETÉ − INITIATIVE CASQUES BLANCS</w:t>
      </w:r>
      <w:bookmarkEnd w:id="23"/>
      <w:bookmarkEnd w:id="24"/>
      <w:bookmarkEnd w:id="25"/>
      <w:bookmarkEnd w:id="26"/>
      <w:r w:rsidRPr="00623A2B">
        <w:rPr>
          <w:rStyle w:val="FootnoteReference"/>
          <w:rFonts w:ascii="Times New Roman" w:hAnsi="Times New Roman" w:cs="Times New Roman"/>
          <w:sz w:val="22"/>
          <w:szCs w:val="22"/>
          <w:u w:val="single"/>
          <w:vertAlign w:val="superscript"/>
          <w:lang w:val="pt-BR"/>
        </w:rPr>
        <w:footnoteReference w:id="30"/>
      </w:r>
      <w:r w:rsidRPr="00623A2B">
        <w:rPr>
          <w:rFonts w:ascii="Times New Roman" w:hAnsi="Times New Roman" w:cs="Times New Roman"/>
          <w:color w:val="auto"/>
          <w:sz w:val="22"/>
          <w:szCs w:val="22"/>
          <w:vertAlign w:val="superscript"/>
          <w:lang w:val="fr-FR"/>
        </w:rPr>
        <w:t>/</w:t>
      </w:r>
      <w:r w:rsidRPr="00623A2B">
        <w:rPr>
          <w:rStyle w:val="FootnoteReference"/>
          <w:rFonts w:ascii="Times New Roman" w:hAnsi="Times New Roman" w:cs="Times New Roman"/>
          <w:sz w:val="22"/>
          <w:szCs w:val="22"/>
          <w:u w:val="single"/>
          <w:vertAlign w:val="superscript"/>
          <w:lang w:val="pt-BR"/>
        </w:rPr>
        <w:footnoteReference w:id="31"/>
      </w:r>
      <w:r w:rsidRPr="00623A2B">
        <w:rPr>
          <w:rFonts w:ascii="Times New Roman" w:hAnsi="Times New Roman" w:cs="Times New Roman"/>
          <w:color w:val="auto"/>
          <w:sz w:val="22"/>
          <w:szCs w:val="22"/>
          <w:vertAlign w:val="superscript"/>
          <w:lang w:val="fr-FR"/>
        </w:rPr>
        <w:t>/</w:t>
      </w:r>
      <w:r w:rsidRPr="00623A2B">
        <w:rPr>
          <w:rStyle w:val="FootnoteReference"/>
          <w:rFonts w:ascii="Times New Roman" w:hAnsi="Times New Roman" w:cs="Times New Roman"/>
          <w:sz w:val="22"/>
          <w:szCs w:val="22"/>
          <w:u w:val="single"/>
          <w:vertAlign w:val="superscript"/>
          <w:lang w:val="pt-BR"/>
        </w:rPr>
        <w:footnoteReference w:id="32"/>
      </w:r>
      <w:r w:rsidRPr="00623A2B">
        <w:rPr>
          <w:rFonts w:ascii="Times New Roman" w:hAnsi="Times New Roman" w:cs="Times New Roman"/>
          <w:color w:val="auto"/>
          <w:sz w:val="22"/>
          <w:szCs w:val="22"/>
          <w:vertAlign w:val="superscript"/>
          <w:lang w:val="fr-FR"/>
        </w:rPr>
        <w:t>/</w:t>
      </w:r>
      <w:r w:rsidRPr="00623A2B">
        <w:rPr>
          <w:rStyle w:val="FootnoteReference"/>
          <w:rFonts w:ascii="Times New Roman" w:hAnsi="Times New Roman" w:cs="Times New Roman"/>
          <w:sz w:val="22"/>
          <w:szCs w:val="22"/>
          <w:u w:val="single"/>
          <w:vertAlign w:val="superscript"/>
          <w:lang w:val="pt-BR"/>
        </w:rPr>
        <w:footnoteReference w:id="33"/>
      </w:r>
      <w:r w:rsidRPr="00623A2B">
        <w:rPr>
          <w:rFonts w:ascii="Times New Roman" w:hAnsi="Times New Roman" w:cs="Times New Roman"/>
          <w:color w:val="auto"/>
          <w:sz w:val="22"/>
          <w:szCs w:val="22"/>
          <w:vertAlign w:val="superscript"/>
          <w:lang w:val="fr-CA"/>
        </w:rPr>
        <w:t>/</w:t>
      </w:r>
      <w:bookmarkEnd w:id="27"/>
    </w:p>
    <w:p w14:paraId="2F5F6DB9" w14:textId="77777777" w:rsidR="009073D5" w:rsidRPr="00623A2B" w:rsidRDefault="009073D5" w:rsidP="009073D5">
      <w:pPr>
        <w:jc w:val="center"/>
        <w:rPr>
          <w:rFonts w:ascii="Times New Roman" w:hAnsi="Times New Roman"/>
          <w:szCs w:val="22"/>
          <w:lang w:val="fr-FR"/>
        </w:rPr>
      </w:pPr>
    </w:p>
    <w:p w14:paraId="7B0110D8" w14:textId="56C1BBF4" w:rsidR="009073D5" w:rsidRPr="00623A2B" w:rsidRDefault="009073D5" w:rsidP="009073D5">
      <w:pPr>
        <w:jc w:val="center"/>
        <w:rPr>
          <w:rFonts w:ascii="Times New Roman" w:hAnsi="Times New Roman"/>
          <w:szCs w:val="22"/>
          <w:lang w:val="fr-FR"/>
        </w:rPr>
      </w:pPr>
      <w:r w:rsidRPr="00623A2B">
        <w:rPr>
          <w:rFonts w:ascii="Times New Roman" w:hAnsi="Times New Roman"/>
          <w:szCs w:val="22"/>
          <w:lang w:val="fr-FR"/>
        </w:rPr>
        <w:t xml:space="preserve">(Résolution adoptée à la </w:t>
      </w:r>
      <w:r w:rsidR="001B5A48" w:rsidRPr="00623A2B">
        <w:rPr>
          <w:rFonts w:ascii="Times New Roman" w:hAnsi="Times New Roman"/>
          <w:szCs w:val="22"/>
          <w:lang w:val="fr-FR"/>
        </w:rPr>
        <w:t>deuxième</w:t>
      </w:r>
      <w:r w:rsidRPr="00623A2B">
        <w:rPr>
          <w:rFonts w:ascii="Times New Roman" w:hAnsi="Times New Roman"/>
          <w:szCs w:val="22"/>
          <w:lang w:val="fr-FR"/>
        </w:rPr>
        <w:t xml:space="preserve"> séance plénière, le 11 novembre 2021)</w:t>
      </w:r>
    </w:p>
    <w:p w14:paraId="72F028F9" w14:textId="77777777" w:rsidR="009073D5" w:rsidRPr="00623A2B" w:rsidRDefault="009073D5" w:rsidP="009073D5">
      <w:pPr>
        <w:rPr>
          <w:rFonts w:ascii="Times New Roman" w:hAnsi="Times New Roman"/>
          <w:szCs w:val="22"/>
          <w:lang w:val="fr-FR" w:eastAsia="ar-SA"/>
        </w:rPr>
      </w:pPr>
    </w:p>
    <w:p w14:paraId="0260D810" w14:textId="77777777" w:rsidR="009073D5" w:rsidRPr="00623A2B" w:rsidRDefault="009073D5" w:rsidP="009073D5">
      <w:pPr>
        <w:suppressAutoHyphens/>
        <w:kinsoku w:val="0"/>
        <w:contextualSpacing/>
        <w:rPr>
          <w:rFonts w:ascii="Times New Roman" w:hAnsi="Times New Roman"/>
          <w:szCs w:val="22"/>
          <w:lang w:val="fr-FR"/>
        </w:rPr>
      </w:pPr>
    </w:p>
    <w:p w14:paraId="584D9E2D" w14:textId="77777777" w:rsidR="009073D5" w:rsidRPr="00623A2B" w:rsidRDefault="009073D5" w:rsidP="009073D5">
      <w:pPr>
        <w:suppressAutoHyphens/>
        <w:kinsoku w:val="0"/>
        <w:ind w:firstLine="706"/>
        <w:contextualSpacing/>
        <w:rPr>
          <w:rFonts w:ascii="Times New Roman" w:hAnsi="Times New Roman"/>
          <w:szCs w:val="22"/>
          <w:lang w:val="fr-FR"/>
        </w:rPr>
      </w:pPr>
      <w:r w:rsidRPr="00623A2B">
        <w:rPr>
          <w:rFonts w:ascii="Times New Roman" w:hAnsi="Times New Roman"/>
          <w:szCs w:val="22"/>
          <w:lang w:val="fr-FR"/>
        </w:rPr>
        <w:t>L'ASSEMBLÉE GÉNÉRALE,</w:t>
      </w:r>
    </w:p>
    <w:p w14:paraId="34B9FF50" w14:textId="77777777" w:rsidR="009073D5" w:rsidRPr="00623A2B" w:rsidRDefault="009073D5" w:rsidP="009073D5">
      <w:pPr>
        <w:suppressAutoHyphens/>
        <w:kinsoku w:val="0"/>
        <w:contextualSpacing/>
        <w:rPr>
          <w:rFonts w:ascii="Times New Roman" w:hAnsi="Times New Roman"/>
          <w:szCs w:val="22"/>
          <w:lang w:val="fr-FR" w:eastAsia="ar-SA"/>
        </w:rPr>
      </w:pPr>
    </w:p>
    <w:p w14:paraId="5E847E2C" w14:textId="77777777" w:rsidR="009073D5" w:rsidRPr="00623A2B" w:rsidRDefault="009073D5" w:rsidP="009073D5">
      <w:pPr>
        <w:suppressAutoHyphens/>
        <w:kinsoku w:val="0"/>
        <w:contextualSpacing/>
        <w:rPr>
          <w:rFonts w:ascii="Times New Roman" w:hAnsi="Times New Roman"/>
          <w:szCs w:val="22"/>
          <w:lang w:val="fr-FR"/>
        </w:rPr>
      </w:pPr>
      <w:r w:rsidRPr="00623A2B">
        <w:rPr>
          <w:rFonts w:ascii="Times New Roman" w:hAnsi="Times New Roman"/>
          <w:szCs w:val="22"/>
          <w:lang w:val="fr-FR"/>
        </w:rPr>
        <w:tab/>
        <w:t>AYANT VU les rapports du Secrétariat général sur l’initiative Casques blancs, les résolutions AG/RES. 1351 (XXV-O/95), AG/RES. 1403 (XXVI-O/96), AG/RES. 1463 (XXVII-O/97), AG/RES. 2018 (XXXIV-O/04), AG/RES. 2165 (XXXVI-O/06), AG/RES. 2372 (XXXVIII-O/08), AG/RES. 2558 (XL-O/10), AG/RES. 2704 (XLII-O/12), AG/RES. 2827 (XLIV-O/14), AG/RES. 2881 (XLVI-O/16), AG/RES. 2904 (XLVII-O/17), CIDI/RES. 322 (LXXIII-O/17) et AG/RES. 2915 (XLVIII-O/18), de même que les déclarations AG/DEC. 45 (XXXV-O/05) et AG/DEC. 55 (XXXVII-O/07),</w:t>
      </w:r>
    </w:p>
    <w:p w14:paraId="1BE93D39" w14:textId="77777777" w:rsidR="009073D5" w:rsidRPr="00623A2B" w:rsidRDefault="009073D5" w:rsidP="009073D5">
      <w:pPr>
        <w:suppressAutoHyphens/>
        <w:kinsoku w:val="0"/>
        <w:contextualSpacing/>
        <w:rPr>
          <w:rFonts w:ascii="Times New Roman" w:hAnsi="Times New Roman"/>
          <w:szCs w:val="22"/>
          <w:lang w:val="fr-FR" w:eastAsia="ar-SA"/>
        </w:rPr>
      </w:pPr>
    </w:p>
    <w:p w14:paraId="5DDE6203" w14:textId="77777777" w:rsidR="009073D5" w:rsidRPr="00623A2B" w:rsidRDefault="009073D5" w:rsidP="009073D5">
      <w:pPr>
        <w:suppressAutoHyphens/>
        <w:kinsoku w:val="0"/>
        <w:ind w:firstLine="706"/>
        <w:contextualSpacing/>
        <w:rPr>
          <w:rFonts w:ascii="Times New Roman" w:hAnsi="Times New Roman"/>
          <w:szCs w:val="22"/>
          <w:lang w:val="fr-FR"/>
        </w:rPr>
      </w:pPr>
      <w:r w:rsidRPr="00623A2B">
        <w:rPr>
          <w:rFonts w:ascii="Times New Roman" w:hAnsi="Times New Roman"/>
          <w:szCs w:val="22"/>
          <w:lang w:val="fr-FR"/>
        </w:rPr>
        <w:t>RÉAFFIRMANT l’engagement envers les principes directeurs de l’aide humanitaire internationale qui sont l’humanité, la neutralité, l’impartialité et l’indépendance d’action ainsi que la responsabilité primordiale et principale qui incombe à l’État de prévenir et réduire le risque face aux catastrophes, de même que de prendre en charge et protéger les victimes des catastrophes,</w:t>
      </w:r>
    </w:p>
    <w:p w14:paraId="3762F0AC" w14:textId="77777777" w:rsidR="009073D5" w:rsidRPr="00623A2B" w:rsidRDefault="009073D5" w:rsidP="009073D5">
      <w:pPr>
        <w:suppressAutoHyphens/>
        <w:kinsoku w:val="0"/>
        <w:contextualSpacing/>
        <w:rPr>
          <w:rFonts w:ascii="Times New Roman" w:hAnsi="Times New Roman"/>
          <w:szCs w:val="22"/>
          <w:lang w:val="fr-FR" w:eastAsia="ar-SA"/>
        </w:rPr>
      </w:pPr>
    </w:p>
    <w:p w14:paraId="69B7B951" w14:textId="77777777" w:rsidR="009073D5" w:rsidRPr="00623A2B" w:rsidRDefault="009073D5" w:rsidP="009073D5">
      <w:pPr>
        <w:suppressAutoHyphens/>
        <w:kinsoku w:val="0"/>
        <w:ind w:firstLine="706"/>
        <w:contextualSpacing/>
        <w:rPr>
          <w:rFonts w:ascii="Times New Roman" w:hAnsi="Times New Roman"/>
          <w:szCs w:val="22"/>
          <w:lang w:val="fr-FR"/>
        </w:rPr>
      </w:pPr>
      <w:r w:rsidRPr="00623A2B">
        <w:rPr>
          <w:rFonts w:ascii="Times New Roman" w:hAnsi="Times New Roman"/>
          <w:szCs w:val="22"/>
          <w:lang w:val="fr-FR"/>
        </w:rPr>
        <w:t>AYANT À L’ESPRIT que le Cadre de Sendai pour la réduction des risques de catastrophe 2015-2030 reconnaît la nécessité d’adopter une approche préventive des risques de catastrophe, large et axée sur les personnes et que la gestion des risques de catastrophe contribue au développement durable,</w:t>
      </w:r>
    </w:p>
    <w:p w14:paraId="484D5987" w14:textId="77777777" w:rsidR="009073D5" w:rsidRPr="00623A2B" w:rsidRDefault="009073D5" w:rsidP="009073D5">
      <w:pPr>
        <w:suppressAutoHyphens/>
        <w:kinsoku w:val="0"/>
        <w:contextualSpacing/>
        <w:rPr>
          <w:rFonts w:ascii="Times New Roman" w:hAnsi="Times New Roman"/>
          <w:szCs w:val="22"/>
          <w:lang w:val="fr-FR" w:eastAsia="ar-SA"/>
        </w:rPr>
      </w:pPr>
    </w:p>
    <w:p w14:paraId="5A70689B" w14:textId="77777777" w:rsidR="009073D5" w:rsidRPr="00623A2B" w:rsidRDefault="009073D5" w:rsidP="009073D5">
      <w:pPr>
        <w:suppressAutoHyphens/>
        <w:kinsoku w:val="0"/>
        <w:ind w:firstLine="706"/>
        <w:contextualSpacing/>
        <w:rPr>
          <w:rFonts w:ascii="Times New Roman" w:hAnsi="Times New Roman"/>
          <w:szCs w:val="22"/>
          <w:lang w:val="fr-FR"/>
        </w:rPr>
      </w:pPr>
      <w:r w:rsidRPr="00623A2B">
        <w:rPr>
          <w:rFonts w:ascii="Times New Roman" w:hAnsi="Times New Roman"/>
          <w:szCs w:val="22"/>
          <w:lang w:val="fr-FR"/>
        </w:rPr>
        <w:t>PRENANT EN COMPTE la Convention-cadre des Nations Unies sur les changements climatiques, l’Accord de Paris, le Programme d'action d’Addis-Abeba issu de la Troisième Conférence internationale sur le financement du développement ainsi que les objectifs de développement durable énoncés dans le Programme de développement durable à l’horizon 2030, adopté par l’Assemblée générale des Nations Unies en septembre 2015,</w:t>
      </w:r>
    </w:p>
    <w:p w14:paraId="2569F6F9" w14:textId="77777777" w:rsidR="009073D5" w:rsidRPr="00623A2B" w:rsidRDefault="009073D5" w:rsidP="009073D5">
      <w:pPr>
        <w:suppressAutoHyphens/>
        <w:kinsoku w:val="0"/>
        <w:contextualSpacing/>
        <w:rPr>
          <w:rFonts w:ascii="Times New Roman" w:hAnsi="Times New Roman"/>
          <w:szCs w:val="22"/>
          <w:lang w:val="fr-FR" w:eastAsia="ar-SA"/>
        </w:rPr>
      </w:pPr>
    </w:p>
    <w:p w14:paraId="3CC46CD6" w14:textId="77777777" w:rsidR="00BE02EB" w:rsidRPr="00623A2B" w:rsidRDefault="009073D5" w:rsidP="009073D5">
      <w:pPr>
        <w:suppressAutoHyphens/>
        <w:kinsoku w:val="0"/>
        <w:ind w:firstLine="706"/>
        <w:contextualSpacing/>
        <w:rPr>
          <w:rFonts w:ascii="Times New Roman" w:hAnsi="Times New Roman"/>
          <w:szCs w:val="22"/>
          <w:lang w:val="fr-FR"/>
        </w:rPr>
      </w:pPr>
      <w:r w:rsidRPr="00623A2B">
        <w:rPr>
          <w:rFonts w:ascii="Times New Roman" w:hAnsi="Times New Roman"/>
          <w:szCs w:val="22"/>
          <w:lang w:val="fr-FR"/>
        </w:rPr>
        <w:t>AYANT À L’ESPRIT le Programme interaméricain de développement durable 2016-2021 (PIDS), adopté au moyen de la résolution AG/RES. 2882 (XLVI-O/16), ainsi que le Plan interaméricain pour la prévention, la riposte aux catastrophes et la coordination de l'aide humanitaire, adopté au moyen de la résolution AG/RES. 2750 (XLII-O/12),</w:t>
      </w:r>
    </w:p>
    <w:p w14:paraId="6D34812D" w14:textId="569033F1" w:rsidR="009073D5" w:rsidRPr="00623A2B" w:rsidRDefault="009073D5" w:rsidP="009073D5">
      <w:pPr>
        <w:suppressAutoHyphens/>
        <w:kinsoku w:val="0"/>
        <w:ind w:firstLine="706"/>
        <w:contextualSpacing/>
        <w:rPr>
          <w:rFonts w:ascii="Times New Roman" w:hAnsi="Times New Roman"/>
          <w:szCs w:val="22"/>
          <w:lang w:val="fr-FR"/>
        </w:rPr>
      </w:pPr>
    </w:p>
    <w:p w14:paraId="124C8992" w14:textId="77777777" w:rsidR="009073D5" w:rsidRPr="00623A2B" w:rsidRDefault="009073D5" w:rsidP="003F35B7">
      <w:pPr>
        <w:widowControl/>
        <w:suppressAutoHyphens/>
        <w:kinsoku w:val="0"/>
        <w:ind w:firstLine="706"/>
        <w:contextualSpacing/>
        <w:rPr>
          <w:rFonts w:ascii="Times New Roman" w:hAnsi="Times New Roman"/>
          <w:szCs w:val="22"/>
          <w:lang w:val="fr-FR"/>
        </w:rPr>
      </w:pPr>
      <w:r w:rsidRPr="00623A2B">
        <w:rPr>
          <w:rFonts w:ascii="Times New Roman" w:hAnsi="Times New Roman"/>
          <w:szCs w:val="22"/>
          <w:lang w:val="fr-FR"/>
        </w:rPr>
        <w:lastRenderedPageBreak/>
        <w:t>RAPPELANT la tenue de la Plateforme mondiale pour la réduction des risques de catastrophe en mai 2019 à Genève (Suisse),</w:t>
      </w:r>
    </w:p>
    <w:p w14:paraId="1D466103" w14:textId="77777777" w:rsidR="009073D5" w:rsidRPr="00623A2B" w:rsidRDefault="009073D5" w:rsidP="009073D5">
      <w:pPr>
        <w:suppressAutoHyphens/>
        <w:kinsoku w:val="0"/>
        <w:contextualSpacing/>
        <w:rPr>
          <w:rFonts w:ascii="Times New Roman" w:hAnsi="Times New Roman"/>
          <w:szCs w:val="22"/>
          <w:lang w:val="fr-FR" w:eastAsia="ar-SA"/>
        </w:rPr>
      </w:pPr>
    </w:p>
    <w:p w14:paraId="300461B2" w14:textId="77777777" w:rsidR="009073D5" w:rsidRPr="00623A2B" w:rsidRDefault="009073D5" w:rsidP="009073D5">
      <w:pPr>
        <w:suppressAutoHyphens/>
        <w:kinsoku w:val="0"/>
        <w:ind w:firstLine="706"/>
        <w:contextualSpacing/>
        <w:rPr>
          <w:rFonts w:ascii="Times New Roman" w:hAnsi="Times New Roman"/>
          <w:szCs w:val="22"/>
          <w:lang w:val="fr-FR"/>
        </w:rPr>
      </w:pPr>
      <w:r w:rsidRPr="00623A2B">
        <w:rPr>
          <w:rFonts w:ascii="Times New Roman" w:hAnsi="Times New Roman"/>
          <w:szCs w:val="22"/>
          <w:lang w:val="fr-FR"/>
        </w:rPr>
        <w:t>SOULIGNANT les progrès accomplis par les États membres, les agences internationales, les organisations et organismes internationaux, régionaux et sous-régionaux en matière de réduction du risque de catastrophe et de coordination de l'aide humanitaire,</w:t>
      </w:r>
    </w:p>
    <w:p w14:paraId="3324A695" w14:textId="77777777" w:rsidR="009073D5" w:rsidRPr="00623A2B" w:rsidRDefault="009073D5" w:rsidP="009073D5">
      <w:pPr>
        <w:suppressAutoHyphens/>
        <w:kinsoku w:val="0"/>
        <w:contextualSpacing/>
        <w:rPr>
          <w:rFonts w:ascii="Times New Roman" w:hAnsi="Times New Roman"/>
          <w:szCs w:val="22"/>
          <w:lang w:val="fr-FR" w:eastAsia="ar-SA"/>
        </w:rPr>
      </w:pPr>
    </w:p>
    <w:p w14:paraId="20176F75" w14:textId="77777777" w:rsidR="009073D5" w:rsidRPr="00623A2B" w:rsidRDefault="009073D5" w:rsidP="009073D5">
      <w:pPr>
        <w:suppressAutoHyphens/>
        <w:kinsoku w:val="0"/>
        <w:ind w:firstLine="706"/>
        <w:contextualSpacing/>
        <w:rPr>
          <w:rFonts w:ascii="Times New Roman" w:hAnsi="Times New Roman"/>
          <w:szCs w:val="22"/>
          <w:lang w:val="fr-FR"/>
        </w:rPr>
      </w:pPr>
      <w:r w:rsidRPr="00623A2B">
        <w:rPr>
          <w:rFonts w:ascii="Times New Roman" w:hAnsi="Times New Roman"/>
          <w:szCs w:val="22"/>
          <w:lang w:val="fr-FR"/>
        </w:rPr>
        <w:t>SOULIGNANT la multiplication des risques multi-causaux, notamment ceux liés au changement climatique, et la nécessité pour l'action humanitaire et de développement d'inclure l'adaptation au changement climatique dans le cadre d'une approche intégrée de la réduction du risque de catastrophe et de la résilience,</w:t>
      </w:r>
    </w:p>
    <w:p w14:paraId="3E1BA05D" w14:textId="77777777" w:rsidR="009073D5" w:rsidRPr="00623A2B" w:rsidRDefault="009073D5" w:rsidP="009073D5">
      <w:pPr>
        <w:suppressAutoHyphens/>
        <w:kinsoku w:val="0"/>
        <w:contextualSpacing/>
        <w:rPr>
          <w:rFonts w:ascii="Times New Roman" w:hAnsi="Times New Roman"/>
          <w:szCs w:val="22"/>
          <w:lang w:val="fr-FR" w:eastAsia="ar-SA"/>
        </w:rPr>
      </w:pPr>
    </w:p>
    <w:p w14:paraId="44E3E6DA" w14:textId="77777777" w:rsidR="009073D5" w:rsidRPr="00623A2B" w:rsidRDefault="009073D5" w:rsidP="009073D5">
      <w:pPr>
        <w:suppressAutoHyphens/>
        <w:kinsoku w:val="0"/>
        <w:ind w:firstLine="706"/>
        <w:contextualSpacing/>
        <w:rPr>
          <w:rFonts w:ascii="Times New Roman" w:hAnsi="Times New Roman"/>
          <w:szCs w:val="22"/>
          <w:lang w:val="fr-FR"/>
        </w:rPr>
      </w:pPr>
      <w:r w:rsidRPr="00623A2B">
        <w:rPr>
          <w:rFonts w:ascii="Times New Roman" w:hAnsi="Times New Roman"/>
          <w:szCs w:val="22"/>
          <w:lang w:val="fr-FR"/>
        </w:rPr>
        <w:t>EXPRIMANT sa préoccupation quant au contexte actuel de la région où les phénomènes aggravés par le changement climatique, notamment la sécheresse récurrente et la saison annuelle des ouragans, s'ajoutent aux conséquences aggravées de la dégradation de l'environnement, rendant désormais plus que jamais nécessaire une assistance humanitaire pour les groupes en situation de vulnérabilité selon une perspective de genre et une approche de droits,</w:t>
      </w:r>
    </w:p>
    <w:p w14:paraId="761C1594" w14:textId="77777777" w:rsidR="009073D5" w:rsidRPr="00623A2B" w:rsidRDefault="009073D5" w:rsidP="009073D5">
      <w:pPr>
        <w:suppressAutoHyphens/>
        <w:kinsoku w:val="0"/>
        <w:contextualSpacing/>
        <w:rPr>
          <w:rFonts w:ascii="Times New Roman" w:hAnsi="Times New Roman"/>
          <w:szCs w:val="22"/>
          <w:lang w:val="fr-FR" w:eastAsia="ar-SA"/>
        </w:rPr>
      </w:pPr>
    </w:p>
    <w:p w14:paraId="2E74CD8C" w14:textId="77777777" w:rsidR="009073D5" w:rsidRPr="00623A2B" w:rsidRDefault="009073D5" w:rsidP="009073D5">
      <w:pPr>
        <w:suppressAutoHyphens/>
        <w:kinsoku w:val="0"/>
        <w:ind w:firstLine="706"/>
        <w:contextualSpacing/>
        <w:rPr>
          <w:rFonts w:ascii="Times New Roman" w:hAnsi="Times New Roman"/>
          <w:szCs w:val="22"/>
          <w:lang w:val="fr-FR"/>
        </w:rPr>
      </w:pPr>
      <w:r w:rsidRPr="00623A2B">
        <w:rPr>
          <w:rFonts w:ascii="Times New Roman" w:hAnsi="Times New Roman"/>
          <w:szCs w:val="22"/>
          <w:lang w:val="fr-FR"/>
        </w:rPr>
        <w:t>SOULIGNANT que l'urgence sanitaire mondiale causée par la pandémie de COVID-19 provoque actuellement un impact énorme sur les populations les plus vulnérables, ce qui rend plus fondamental que jamais de renforcer les valeurs de solidarité, de multilatéralisme, d'égalité, d’équité, d’inclusion et de non-discrimination dans le but que personne ne soit laissé pour compte,</w:t>
      </w:r>
    </w:p>
    <w:p w14:paraId="51FE3439" w14:textId="77777777" w:rsidR="009073D5" w:rsidRPr="00623A2B" w:rsidRDefault="009073D5" w:rsidP="009073D5">
      <w:pPr>
        <w:suppressAutoHyphens/>
        <w:kinsoku w:val="0"/>
        <w:contextualSpacing/>
        <w:rPr>
          <w:rFonts w:ascii="Times New Roman" w:hAnsi="Times New Roman"/>
          <w:szCs w:val="22"/>
          <w:lang w:val="fr-FR" w:eastAsia="ar-SA"/>
        </w:rPr>
      </w:pPr>
    </w:p>
    <w:p w14:paraId="202649AC" w14:textId="77777777" w:rsidR="009073D5" w:rsidRPr="00623A2B" w:rsidRDefault="009073D5" w:rsidP="009073D5">
      <w:pPr>
        <w:suppressAutoHyphens/>
        <w:kinsoku w:val="0"/>
        <w:ind w:firstLine="706"/>
        <w:contextualSpacing/>
        <w:rPr>
          <w:rFonts w:ascii="Times New Roman" w:hAnsi="Times New Roman"/>
          <w:szCs w:val="22"/>
          <w:lang w:val="fr-FR"/>
        </w:rPr>
      </w:pPr>
      <w:r w:rsidRPr="00623A2B">
        <w:rPr>
          <w:rFonts w:ascii="Times New Roman" w:hAnsi="Times New Roman"/>
          <w:szCs w:val="22"/>
          <w:lang w:val="fr-FR"/>
        </w:rPr>
        <w:t>CHARGEANT les États membres, les agences du système interaméricain, les organisations internationales, régionales et sous-régionales et les autres acteurs du continent américain de continuer de favoriser la promotion et la protection de tous les droits de la personne et de prévenir toutes les formes de violence, en particulier la violence sexuelle et fondée sur le genre, dans le cadre des actions humanitaires, en accordant une attention équitable et inclusive, en particulier aux personnes déplacées ou aux groupes en situation de vulnérabilité, entre autres, en renforçant le rôle actif des communautés touchées ainsi que la responsabilité pour assurer la qualité de la réponse,</w:t>
      </w:r>
    </w:p>
    <w:p w14:paraId="77E51297" w14:textId="77777777" w:rsidR="009073D5" w:rsidRPr="00623A2B" w:rsidRDefault="009073D5" w:rsidP="009073D5">
      <w:pPr>
        <w:suppressAutoHyphens/>
        <w:kinsoku w:val="0"/>
        <w:contextualSpacing/>
        <w:rPr>
          <w:rFonts w:ascii="Times New Roman" w:hAnsi="Times New Roman"/>
          <w:szCs w:val="22"/>
          <w:lang w:val="fr-FR" w:eastAsia="ar-SA"/>
        </w:rPr>
      </w:pPr>
    </w:p>
    <w:p w14:paraId="2A071328" w14:textId="77777777" w:rsidR="009073D5" w:rsidRPr="00623A2B" w:rsidRDefault="009073D5" w:rsidP="009073D5">
      <w:pPr>
        <w:suppressAutoHyphens/>
        <w:kinsoku w:val="0"/>
        <w:ind w:firstLine="706"/>
        <w:contextualSpacing/>
        <w:rPr>
          <w:rFonts w:ascii="Times New Roman" w:hAnsi="Times New Roman"/>
          <w:szCs w:val="22"/>
          <w:lang w:val="fr-FR"/>
        </w:rPr>
      </w:pPr>
      <w:r w:rsidRPr="00623A2B">
        <w:rPr>
          <w:rFonts w:ascii="Times New Roman" w:hAnsi="Times New Roman"/>
          <w:szCs w:val="22"/>
          <w:lang w:val="fr-FR"/>
        </w:rPr>
        <w:t xml:space="preserve">RECONNAISSANT qu'une condition indispensable à l'efficacité des réponses humanitaires </w:t>
      </w:r>
      <w:proofErr w:type="gramStart"/>
      <w:r w:rsidRPr="00623A2B">
        <w:rPr>
          <w:rFonts w:ascii="Times New Roman" w:hAnsi="Times New Roman"/>
          <w:szCs w:val="22"/>
          <w:lang w:val="fr-FR"/>
        </w:rPr>
        <w:t>est</w:t>
      </w:r>
      <w:proofErr w:type="gramEnd"/>
      <w:r w:rsidRPr="00623A2B">
        <w:rPr>
          <w:rFonts w:ascii="Times New Roman" w:hAnsi="Times New Roman"/>
          <w:szCs w:val="22"/>
          <w:lang w:val="fr-FR"/>
        </w:rPr>
        <w:t xml:space="preserve"> qu'elles tiennent compte des caractéristiques spécifiques de tous les segments de population touchés, y compris les femmes et les filles en tant qu'agents de renforcement de la résilience face aux risques de catastrophe et au changement climatique,</w:t>
      </w:r>
    </w:p>
    <w:p w14:paraId="6C76B960" w14:textId="77777777" w:rsidR="009073D5" w:rsidRPr="00623A2B" w:rsidRDefault="009073D5" w:rsidP="009073D5">
      <w:pPr>
        <w:suppressAutoHyphens/>
        <w:kinsoku w:val="0"/>
        <w:contextualSpacing/>
        <w:rPr>
          <w:rFonts w:ascii="Times New Roman" w:hAnsi="Times New Roman"/>
          <w:szCs w:val="22"/>
          <w:lang w:val="fr-FR"/>
        </w:rPr>
      </w:pPr>
    </w:p>
    <w:p w14:paraId="21B27B88" w14:textId="77777777" w:rsidR="009073D5" w:rsidRPr="00623A2B" w:rsidRDefault="009073D5" w:rsidP="009073D5">
      <w:pPr>
        <w:suppressAutoHyphens/>
        <w:kinsoku w:val="0"/>
        <w:ind w:firstLine="706"/>
        <w:contextualSpacing/>
        <w:rPr>
          <w:rFonts w:ascii="Times New Roman" w:hAnsi="Times New Roman"/>
          <w:szCs w:val="22"/>
          <w:lang w:val="fr-FR"/>
        </w:rPr>
      </w:pPr>
      <w:r w:rsidRPr="00623A2B">
        <w:rPr>
          <w:rFonts w:ascii="Times New Roman" w:hAnsi="Times New Roman"/>
          <w:szCs w:val="22"/>
          <w:lang w:val="fr-FR"/>
        </w:rPr>
        <w:t>SOULIGNANT le rôle des volontaires et des travailleurs humanitaires dans les différentes étapes de la réduction du risque de catastrophe, en considérant ces acteurs comme importants pour prévenir, atténuer et répondre aux urgences et aux crises humanitaires au niveau régional,</w:t>
      </w:r>
    </w:p>
    <w:p w14:paraId="5739DA5C" w14:textId="77777777" w:rsidR="009073D5" w:rsidRPr="00623A2B" w:rsidRDefault="009073D5" w:rsidP="009073D5">
      <w:pPr>
        <w:suppressAutoHyphens/>
        <w:kinsoku w:val="0"/>
        <w:contextualSpacing/>
        <w:rPr>
          <w:rFonts w:ascii="Times New Roman" w:hAnsi="Times New Roman"/>
          <w:szCs w:val="22"/>
          <w:lang w:val="fr-FR" w:eastAsia="ar-SA"/>
        </w:rPr>
      </w:pPr>
    </w:p>
    <w:p w14:paraId="617ADFF9" w14:textId="77777777" w:rsidR="009073D5" w:rsidRPr="00623A2B" w:rsidRDefault="009073D5" w:rsidP="009073D5">
      <w:pPr>
        <w:suppressAutoHyphens/>
        <w:kinsoku w:val="0"/>
        <w:ind w:firstLine="706"/>
        <w:contextualSpacing/>
        <w:rPr>
          <w:rFonts w:ascii="Times New Roman" w:hAnsi="Times New Roman"/>
          <w:szCs w:val="22"/>
          <w:lang w:val="fr-FR"/>
        </w:rPr>
      </w:pPr>
      <w:r w:rsidRPr="00623A2B">
        <w:rPr>
          <w:rFonts w:ascii="Times New Roman" w:hAnsi="Times New Roman"/>
          <w:szCs w:val="22"/>
          <w:lang w:val="fr-FR"/>
        </w:rPr>
        <w:t>TENANT COMPTE de la nécessité d’envisager, dans le contexte des politiques publiques liées à la réduction du risque de catastrophe, les connaissances locales et autochtones, les pratiques et les formes d'organisation des peuples autochtones ainsi que des personnes d’ascendance africaine et d’autres groupes ethniques,</w:t>
      </w:r>
    </w:p>
    <w:p w14:paraId="41EF4A85" w14:textId="77777777" w:rsidR="009073D5" w:rsidRPr="00623A2B" w:rsidRDefault="009073D5" w:rsidP="009073D5">
      <w:pPr>
        <w:suppressAutoHyphens/>
        <w:kinsoku w:val="0"/>
        <w:contextualSpacing/>
        <w:rPr>
          <w:rFonts w:ascii="Times New Roman" w:hAnsi="Times New Roman"/>
          <w:szCs w:val="22"/>
          <w:lang w:val="fr-FR" w:eastAsia="ar-SA"/>
        </w:rPr>
      </w:pPr>
    </w:p>
    <w:p w14:paraId="140A9BD9" w14:textId="77777777" w:rsidR="009073D5" w:rsidRPr="00623A2B" w:rsidRDefault="009073D5" w:rsidP="003F35B7">
      <w:pPr>
        <w:widowControl/>
        <w:suppressAutoHyphens/>
        <w:kinsoku w:val="0"/>
        <w:ind w:firstLine="706"/>
        <w:contextualSpacing/>
        <w:rPr>
          <w:rFonts w:ascii="Times New Roman" w:hAnsi="Times New Roman"/>
          <w:szCs w:val="22"/>
          <w:lang w:val="fr-FR"/>
        </w:rPr>
      </w:pPr>
      <w:r w:rsidRPr="00623A2B">
        <w:rPr>
          <w:rFonts w:ascii="Times New Roman" w:hAnsi="Times New Roman"/>
          <w:szCs w:val="22"/>
          <w:lang w:val="fr-FR"/>
        </w:rPr>
        <w:t xml:space="preserve">SOULIGNANT que la promotion, le renforcement des capacités locales, la participation effective des organisations communautaires et l'intégration de la société civile sont primordiaux pour </w:t>
      </w:r>
      <w:r w:rsidRPr="00623A2B">
        <w:rPr>
          <w:rFonts w:ascii="Times New Roman" w:hAnsi="Times New Roman"/>
          <w:szCs w:val="22"/>
          <w:lang w:val="fr-FR"/>
        </w:rPr>
        <w:lastRenderedPageBreak/>
        <w:t>que les victimes potentielles deviennent des acteurs de la prévention, de la préparation et de la réponse aux catastrophes et, par conséquent, transforment leur propre réalité,</w:t>
      </w:r>
    </w:p>
    <w:p w14:paraId="3EC9E1D2" w14:textId="77777777" w:rsidR="00BE02EB" w:rsidRPr="00623A2B" w:rsidRDefault="00BE02EB" w:rsidP="009073D5">
      <w:pPr>
        <w:suppressAutoHyphens/>
        <w:kinsoku w:val="0"/>
        <w:ind w:firstLine="706"/>
        <w:contextualSpacing/>
        <w:rPr>
          <w:rFonts w:ascii="Times New Roman" w:hAnsi="Times New Roman"/>
          <w:szCs w:val="22"/>
          <w:lang w:val="fr-FR"/>
        </w:rPr>
      </w:pPr>
    </w:p>
    <w:p w14:paraId="76098AE7" w14:textId="75259B76" w:rsidR="009073D5" w:rsidRPr="00623A2B" w:rsidRDefault="009073D5" w:rsidP="00BE02EB">
      <w:pPr>
        <w:widowControl/>
        <w:suppressAutoHyphens/>
        <w:kinsoku w:val="0"/>
        <w:ind w:firstLine="706"/>
        <w:contextualSpacing/>
        <w:rPr>
          <w:rFonts w:ascii="Times New Roman" w:hAnsi="Times New Roman"/>
          <w:szCs w:val="22"/>
          <w:lang w:val="fr-FR"/>
        </w:rPr>
      </w:pPr>
      <w:r w:rsidRPr="00623A2B">
        <w:rPr>
          <w:rFonts w:ascii="Times New Roman" w:hAnsi="Times New Roman"/>
          <w:szCs w:val="22"/>
          <w:lang w:val="fr-FR"/>
        </w:rPr>
        <w:t>RECONNAISSANT la nécessité pour les secteurs public et privé, ainsi que pour les universités et les institutions scientifiques et de recherche, de travailler plus étroitement ensemble et de créer des opportunités de coopération dans le domaine humanitaire régional,</w:t>
      </w:r>
    </w:p>
    <w:p w14:paraId="6722AD29" w14:textId="77777777" w:rsidR="009073D5" w:rsidRPr="00623A2B" w:rsidRDefault="009073D5" w:rsidP="009073D5">
      <w:pPr>
        <w:suppressAutoHyphens/>
        <w:kinsoku w:val="0"/>
        <w:contextualSpacing/>
        <w:rPr>
          <w:rFonts w:ascii="Times New Roman" w:hAnsi="Times New Roman"/>
          <w:szCs w:val="22"/>
          <w:lang w:val="fr-FR" w:eastAsia="ar-SA"/>
        </w:rPr>
      </w:pPr>
    </w:p>
    <w:p w14:paraId="3859F7CE" w14:textId="77777777" w:rsidR="009073D5" w:rsidRPr="00623A2B" w:rsidRDefault="009073D5" w:rsidP="009073D5">
      <w:pPr>
        <w:suppressAutoHyphens/>
        <w:kinsoku w:val="0"/>
        <w:ind w:firstLine="706"/>
        <w:contextualSpacing/>
        <w:rPr>
          <w:rFonts w:ascii="Times New Roman" w:hAnsi="Times New Roman"/>
          <w:szCs w:val="22"/>
          <w:lang w:val="fr-FR"/>
        </w:rPr>
      </w:pPr>
      <w:r w:rsidRPr="00623A2B">
        <w:rPr>
          <w:rFonts w:ascii="Times New Roman" w:hAnsi="Times New Roman"/>
          <w:szCs w:val="22"/>
          <w:lang w:val="fr-FR"/>
        </w:rPr>
        <w:t>CONFIRMANT l'importance de continuer à promouvoir des mesures régionales, sous-régionales, nationales et locales pour la prévention et la réponse aux catastrophes, en donnant la priorité aux groupes en situation de vulnérabilité tels que, entre autres, les femmes, les enfants, les personnes âgées et les personnes handicapées,</w:t>
      </w:r>
    </w:p>
    <w:p w14:paraId="6E84619D" w14:textId="77777777" w:rsidR="009073D5" w:rsidRPr="00623A2B" w:rsidRDefault="009073D5" w:rsidP="009073D5">
      <w:pPr>
        <w:suppressAutoHyphens/>
        <w:kinsoku w:val="0"/>
        <w:contextualSpacing/>
        <w:rPr>
          <w:rFonts w:ascii="Times New Roman" w:hAnsi="Times New Roman"/>
          <w:szCs w:val="22"/>
          <w:lang w:val="fr-FR" w:eastAsia="ar-SA"/>
        </w:rPr>
      </w:pPr>
    </w:p>
    <w:p w14:paraId="67A1C4AF" w14:textId="77777777" w:rsidR="009073D5" w:rsidRPr="00623A2B" w:rsidRDefault="009073D5" w:rsidP="009073D5">
      <w:pPr>
        <w:suppressAutoHyphens/>
        <w:kinsoku w:val="0"/>
        <w:ind w:firstLine="706"/>
        <w:contextualSpacing/>
        <w:rPr>
          <w:rFonts w:ascii="Times New Roman" w:hAnsi="Times New Roman"/>
          <w:szCs w:val="22"/>
          <w:lang w:val="fr-FR"/>
        </w:rPr>
      </w:pPr>
      <w:r w:rsidRPr="00623A2B">
        <w:rPr>
          <w:rFonts w:ascii="Times New Roman" w:hAnsi="Times New Roman"/>
          <w:szCs w:val="22"/>
          <w:lang w:val="fr-FR"/>
        </w:rPr>
        <w:t>RÉITÉRANT la nécessité de continuer à mener des actions de réduction du risque de catastrophe en évitant la duplication des efforts, en encourageant l'optimisation des ressources par l'utilisation des outils de coordination existants et en favorisant la synergie des efforts humanitaires dans la région,</w:t>
      </w:r>
    </w:p>
    <w:p w14:paraId="44036922" w14:textId="77777777" w:rsidR="009073D5" w:rsidRPr="00623A2B" w:rsidRDefault="009073D5" w:rsidP="009073D5">
      <w:pPr>
        <w:suppressAutoHyphens/>
        <w:kinsoku w:val="0"/>
        <w:contextualSpacing/>
        <w:rPr>
          <w:rFonts w:ascii="Times New Roman" w:hAnsi="Times New Roman"/>
          <w:szCs w:val="22"/>
          <w:lang w:val="fr-FR" w:eastAsia="ar-SA"/>
        </w:rPr>
      </w:pPr>
    </w:p>
    <w:p w14:paraId="51E504FB" w14:textId="77777777" w:rsidR="009073D5" w:rsidRPr="00623A2B" w:rsidRDefault="009073D5" w:rsidP="009073D5">
      <w:pPr>
        <w:suppressAutoHyphens/>
        <w:kinsoku w:val="0"/>
        <w:contextualSpacing/>
        <w:rPr>
          <w:rFonts w:ascii="Times New Roman" w:hAnsi="Times New Roman"/>
          <w:szCs w:val="22"/>
          <w:lang w:val="fr-FR"/>
        </w:rPr>
      </w:pPr>
      <w:r w:rsidRPr="00623A2B">
        <w:rPr>
          <w:rFonts w:ascii="Times New Roman" w:hAnsi="Times New Roman"/>
          <w:szCs w:val="22"/>
          <w:lang w:val="fr-FR"/>
        </w:rPr>
        <w:tab/>
        <w:t>RAPPELANT À NOUVEAU que l’initiative Casques blancs fonctionne selon un modèle de travail fondé sur la coopération, la solidarité, la participation communautaire et la promotion de communautés durables ; qu'elle est entièrement civile et repose sur un corps de volontaires ; qu'elle agit à la demande du pays touché ou dans le cadre d'un appel international à l'aide humanitaire et fournit un soutien dans des contextes de réponse aux catastrophes et aux crises, de réhabilitation, de reconstruction et de développement et que, en outre, elle encourage la prévention, la gestion des risques de catastrophe et la résilience,</w:t>
      </w:r>
    </w:p>
    <w:p w14:paraId="59FD03E6" w14:textId="77777777" w:rsidR="009073D5" w:rsidRPr="00623A2B" w:rsidRDefault="009073D5" w:rsidP="009073D5">
      <w:pPr>
        <w:suppressAutoHyphens/>
        <w:kinsoku w:val="0"/>
        <w:contextualSpacing/>
        <w:rPr>
          <w:rFonts w:ascii="Times New Roman" w:hAnsi="Times New Roman"/>
          <w:szCs w:val="22"/>
          <w:lang w:val="fr-FR" w:eastAsia="ar-SA"/>
        </w:rPr>
      </w:pPr>
    </w:p>
    <w:p w14:paraId="5A8B6BEA" w14:textId="77777777" w:rsidR="009073D5" w:rsidRPr="00623A2B" w:rsidRDefault="009073D5" w:rsidP="009073D5">
      <w:pPr>
        <w:suppressAutoHyphens/>
        <w:kinsoku w:val="0"/>
        <w:contextualSpacing/>
        <w:rPr>
          <w:rFonts w:ascii="Times New Roman" w:hAnsi="Times New Roman"/>
          <w:szCs w:val="22"/>
          <w:lang w:val="fr-FR"/>
        </w:rPr>
      </w:pPr>
      <w:r w:rsidRPr="00623A2B">
        <w:rPr>
          <w:rFonts w:ascii="Times New Roman" w:hAnsi="Times New Roman"/>
          <w:szCs w:val="22"/>
          <w:lang w:val="fr-FR"/>
        </w:rPr>
        <w:tab/>
        <w:t>SOULIGNANT les accords et les protocoles d'entente que l’initiative Casques blancs a signés dans le domaine de l'aide humanitaire internationale entre 2018 et 2021 avec le gouvernement ministériel de la République du Panama en soutien au Centre logistique régional d'assistance humanitaire (CLRAH), l'Unité nationale de gestion des risques de catastrophes de la République de Colombie, le Centre d'opérations d'urgence de la République dominicaine et le Secrétariat aux relations extérieures du Mexique, entre autres,</w:t>
      </w:r>
    </w:p>
    <w:p w14:paraId="31B7D649" w14:textId="77777777" w:rsidR="009073D5" w:rsidRPr="00623A2B" w:rsidRDefault="009073D5" w:rsidP="009073D5">
      <w:pPr>
        <w:suppressAutoHyphens/>
        <w:kinsoku w:val="0"/>
        <w:contextualSpacing/>
        <w:rPr>
          <w:rFonts w:ascii="Times New Roman" w:hAnsi="Times New Roman"/>
          <w:szCs w:val="22"/>
          <w:lang w:val="fr-FR" w:eastAsia="ar-SA"/>
        </w:rPr>
      </w:pPr>
    </w:p>
    <w:p w14:paraId="74A48608" w14:textId="77777777" w:rsidR="009073D5" w:rsidRPr="00623A2B" w:rsidRDefault="009073D5" w:rsidP="009073D5">
      <w:pPr>
        <w:suppressAutoHyphens/>
        <w:kinsoku w:val="0"/>
        <w:contextualSpacing/>
        <w:rPr>
          <w:rFonts w:ascii="Times New Roman" w:hAnsi="Times New Roman"/>
          <w:szCs w:val="22"/>
          <w:lang w:val="fr-FR"/>
        </w:rPr>
      </w:pPr>
      <w:r w:rsidRPr="00623A2B">
        <w:rPr>
          <w:rFonts w:ascii="Times New Roman" w:hAnsi="Times New Roman"/>
          <w:szCs w:val="22"/>
          <w:lang w:val="fr-FR"/>
        </w:rPr>
        <w:tab/>
        <w:t>EXPRIMANT SA SATISFACTION quant à l’aide humanitaire fournie par l’initiative Casques blancs par le biais de missions de détachement de volontaires et/ou d’approvisionnement humanitaire à Antigua-et-Barbuda, à la Barbade, en Colombie, au Costa Rica, à la Dominique, à El Salvador, en Équateur, à la Grenade, au Guatemala, en Haïti, au Honduras, à la Jamaïque, au Mexique, au Panama, au Paraguay, au Pérou, en République dominicaine, à Sainte-Lucie, à Saint-Kitts-et-Nevis, à Saint-Vincent-et-les-Grenadines et à Trinité-et-Tobago au lendemain de crises humanitaires, du passage des ouragans Eta et Iota et de la pandémie de COVID-19,</w:t>
      </w:r>
    </w:p>
    <w:p w14:paraId="66B6E71A" w14:textId="77777777" w:rsidR="009073D5" w:rsidRPr="00623A2B" w:rsidRDefault="009073D5" w:rsidP="009073D5">
      <w:pPr>
        <w:suppressAutoHyphens/>
        <w:kinsoku w:val="0"/>
        <w:contextualSpacing/>
        <w:rPr>
          <w:rFonts w:ascii="Times New Roman" w:hAnsi="Times New Roman"/>
          <w:szCs w:val="22"/>
          <w:lang w:val="fr-FR" w:eastAsia="ar-SA"/>
        </w:rPr>
      </w:pPr>
    </w:p>
    <w:p w14:paraId="11CCB693" w14:textId="77777777" w:rsidR="009073D5" w:rsidRPr="00623A2B" w:rsidRDefault="009073D5" w:rsidP="009073D5">
      <w:pPr>
        <w:suppressAutoHyphens/>
        <w:kinsoku w:val="0"/>
        <w:contextualSpacing/>
        <w:rPr>
          <w:rFonts w:ascii="Times New Roman" w:hAnsi="Times New Roman"/>
          <w:szCs w:val="22"/>
          <w:lang w:val="fr-FR"/>
        </w:rPr>
      </w:pPr>
      <w:r w:rsidRPr="00623A2B">
        <w:rPr>
          <w:rFonts w:ascii="Times New Roman" w:hAnsi="Times New Roman"/>
          <w:szCs w:val="22"/>
          <w:lang w:val="fr-FR"/>
        </w:rPr>
        <w:tab/>
        <w:t>APPELANT à une collaboration accrue entre les Casques blancs et le Centre de coordination pour la prévention des catastrophes en Amérique centrale et en République dominicaine (CEPREDENAC), l'Agence de gestion des catastrophes des Caraïbes (CDEMA), la Commission andine de prévention et d'assistance en cas de catastrophes (CAPRADE) et la Réunion des ministres et hauts fonctionnaires chargés de la gestion intégrée des risques de catastrophe (RMAGIR), ainsi que d'autres organismes régionaux impliqués dans la réduction du risque de catastrophe et la coordination de l'aide humanitaire,</w:t>
      </w:r>
    </w:p>
    <w:p w14:paraId="7584EEFB" w14:textId="77777777" w:rsidR="009073D5" w:rsidRPr="00623A2B" w:rsidRDefault="009073D5" w:rsidP="009073D5">
      <w:pPr>
        <w:suppressAutoHyphens/>
        <w:kinsoku w:val="0"/>
        <w:contextualSpacing/>
        <w:rPr>
          <w:rFonts w:ascii="Times New Roman" w:hAnsi="Times New Roman"/>
          <w:szCs w:val="22"/>
          <w:lang w:val="fr-FR" w:eastAsia="ar-SA"/>
        </w:rPr>
      </w:pPr>
    </w:p>
    <w:p w14:paraId="07D0FB43" w14:textId="77777777" w:rsidR="009073D5" w:rsidRPr="00623A2B" w:rsidRDefault="009073D5" w:rsidP="009073D5">
      <w:pPr>
        <w:suppressAutoHyphens/>
        <w:kinsoku w:val="0"/>
        <w:contextualSpacing/>
        <w:rPr>
          <w:rFonts w:ascii="Times New Roman" w:hAnsi="Times New Roman"/>
          <w:szCs w:val="22"/>
          <w:lang w:val="fr-FR"/>
        </w:rPr>
      </w:pPr>
      <w:r w:rsidRPr="00623A2B">
        <w:rPr>
          <w:rFonts w:ascii="Times New Roman" w:hAnsi="Times New Roman"/>
          <w:szCs w:val="22"/>
          <w:lang w:val="fr-FR"/>
        </w:rPr>
        <w:lastRenderedPageBreak/>
        <w:tab/>
        <w:t>RECONNAISSANT que les activités réalisées par l’initiative Casques blancs sont conformes aux principes de la Charte de l’Organisation des États Américains, répondent à une demande formulée par l’État touché et sont exécutées en étroite collaboration avec ses autorités nationales compétentes ; reconnaissant de même qu’elles sont régies par les principes du droit international relatif aux droits de la personne et du droit international humanitaire,</w:t>
      </w:r>
    </w:p>
    <w:p w14:paraId="6133E61D" w14:textId="77777777" w:rsidR="008B476B" w:rsidRDefault="008B476B" w:rsidP="009073D5">
      <w:pPr>
        <w:suppressAutoHyphens/>
        <w:kinsoku w:val="0"/>
        <w:contextualSpacing/>
        <w:rPr>
          <w:rFonts w:ascii="Times New Roman" w:hAnsi="Times New Roman"/>
          <w:szCs w:val="22"/>
          <w:lang w:val="fr-FR"/>
        </w:rPr>
      </w:pPr>
    </w:p>
    <w:p w14:paraId="7743F85A" w14:textId="72F2A1BE" w:rsidR="009073D5" w:rsidRPr="00623A2B" w:rsidRDefault="009073D5" w:rsidP="009073D5">
      <w:pPr>
        <w:suppressAutoHyphens/>
        <w:kinsoku w:val="0"/>
        <w:contextualSpacing/>
        <w:rPr>
          <w:rFonts w:ascii="Times New Roman" w:hAnsi="Times New Roman"/>
          <w:szCs w:val="22"/>
          <w:lang w:val="fr-FR"/>
        </w:rPr>
      </w:pPr>
      <w:r w:rsidRPr="00623A2B">
        <w:rPr>
          <w:rFonts w:ascii="Times New Roman" w:hAnsi="Times New Roman"/>
          <w:szCs w:val="22"/>
          <w:lang w:val="fr-FR"/>
        </w:rPr>
        <w:t>DÉCIDE :</w:t>
      </w:r>
    </w:p>
    <w:p w14:paraId="059B8BAF" w14:textId="77777777" w:rsidR="009073D5" w:rsidRPr="00623A2B" w:rsidRDefault="009073D5" w:rsidP="009073D5">
      <w:pPr>
        <w:suppressAutoHyphens/>
        <w:kinsoku w:val="0"/>
        <w:contextualSpacing/>
        <w:rPr>
          <w:rFonts w:ascii="Times New Roman" w:hAnsi="Times New Roman"/>
          <w:szCs w:val="22"/>
          <w:lang w:val="fr-FR" w:eastAsia="ar-SA"/>
        </w:rPr>
      </w:pPr>
    </w:p>
    <w:p w14:paraId="3B4A7D22" w14:textId="77777777" w:rsidR="009073D5" w:rsidRPr="00623A2B" w:rsidRDefault="009073D5" w:rsidP="009073D5">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kinsoku w:val="0"/>
        <w:ind w:left="0" w:firstLine="720"/>
        <w:rPr>
          <w:rFonts w:ascii="Times New Roman" w:hAnsi="Times New Roman"/>
          <w:szCs w:val="22"/>
          <w:lang w:val="fr-FR"/>
        </w:rPr>
      </w:pPr>
      <w:r w:rsidRPr="00623A2B">
        <w:rPr>
          <w:rFonts w:ascii="Times New Roman" w:hAnsi="Times New Roman"/>
          <w:szCs w:val="22"/>
          <w:lang w:val="fr-FR"/>
        </w:rPr>
        <w:t>De renouveler son appui à l’initiative Casques blancs, qui offre un mécanisme précieux de prévention, de réduction et d’intervention dans le continent américain en cas de catastrophe et dans la lutte contre la faim et la pauvreté.</w:t>
      </w:r>
    </w:p>
    <w:p w14:paraId="33AF62E9" w14:textId="77777777" w:rsidR="009073D5" w:rsidRPr="00623A2B" w:rsidRDefault="009073D5" w:rsidP="009073D5">
      <w:pPr>
        <w:suppressAutoHyphens/>
        <w:kinsoku w:val="0"/>
        <w:ind w:firstLine="720"/>
        <w:contextualSpacing/>
        <w:rPr>
          <w:rFonts w:ascii="Times New Roman" w:hAnsi="Times New Roman"/>
          <w:szCs w:val="22"/>
          <w:lang w:val="fr-FR" w:eastAsia="ar-SA"/>
        </w:rPr>
      </w:pPr>
    </w:p>
    <w:p w14:paraId="6A724B26" w14:textId="77777777" w:rsidR="009073D5" w:rsidRPr="00623A2B" w:rsidRDefault="009073D5" w:rsidP="009073D5">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kinsoku w:val="0"/>
        <w:ind w:left="0" w:firstLine="720"/>
        <w:rPr>
          <w:rFonts w:ascii="Times New Roman" w:hAnsi="Times New Roman"/>
          <w:szCs w:val="22"/>
          <w:lang w:val="fr-FR"/>
        </w:rPr>
      </w:pPr>
      <w:r w:rsidRPr="00623A2B">
        <w:rPr>
          <w:rFonts w:ascii="Times New Roman" w:hAnsi="Times New Roman"/>
          <w:szCs w:val="22"/>
          <w:lang w:val="fr-FR"/>
        </w:rPr>
        <w:t>D’encourager l’initiative Casques blancs à continuer de favoriser la collaboration humanitaire régionale croissante et, dans ce cadre, à continuer de mettre en commun ses données d'expériences, enseignements tirés et pratiques optimales en matière de prévention, de préparation et d’intervention face aux catastrophes, de résilience et de promotion de communautés durables.</w:t>
      </w:r>
    </w:p>
    <w:p w14:paraId="3DB9EE16" w14:textId="77777777" w:rsidR="009073D5" w:rsidRPr="00623A2B" w:rsidRDefault="009073D5" w:rsidP="009073D5">
      <w:pPr>
        <w:suppressAutoHyphens/>
        <w:kinsoku w:val="0"/>
        <w:ind w:firstLine="720"/>
        <w:contextualSpacing/>
        <w:rPr>
          <w:rFonts w:ascii="Times New Roman" w:hAnsi="Times New Roman"/>
          <w:szCs w:val="22"/>
          <w:lang w:val="fr-FR" w:eastAsia="ar-SA"/>
        </w:rPr>
      </w:pPr>
    </w:p>
    <w:p w14:paraId="20EF9072" w14:textId="77777777" w:rsidR="009073D5" w:rsidRPr="00623A2B" w:rsidRDefault="009073D5" w:rsidP="009073D5">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kinsoku w:val="0"/>
        <w:ind w:left="0" w:firstLine="720"/>
        <w:rPr>
          <w:rFonts w:ascii="Times New Roman" w:hAnsi="Times New Roman"/>
          <w:szCs w:val="22"/>
          <w:lang w:val="fr-FR"/>
        </w:rPr>
      </w:pPr>
      <w:r w:rsidRPr="00623A2B">
        <w:rPr>
          <w:rFonts w:ascii="Times New Roman" w:hAnsi="Times New Roman"/>
          <w:szCs w:val="22"/>
          <w:lang w:val="fr-FR"/>
        </w:rPr>
        <w:t>D’encourager le Secrétariat général à continuer de renforcer et de coordonner les activités entre l’initiative Casques blancs et le Secrétariat exécutif au développement intégré ainsi qu’avec d’autres organes et mécanismes de l’Organisation des États Américains, en encourageant d’autres organismes et institutions de la région à forger des partenariats et à conclure des accords d’exécution avec l’initiative Casques blancs.</w:t>
      </w:r>
    </w:p>
    <w:p w14:paraId="21851FB6" w14:textId="77777777" w:rsidR="009073D5" w:rsidRPr="00623A2B" w:rsidRDefault="009073D5" w:rsidP="009073D5">
      <w:pPr>
        <w:suppressAutoHyphens/>
        <w:kinsoku w:val="0"/>
        <w:ind w:firstLine="720"/>
        <w:contextualSpacing/>
        <w:rPr>
          <w:rFonts w:ascii="Times New Roman" w:hAnsi="Times New Roman"/>
          <w:szCs w:val="22"/>
          <w:lang w:val="fr-FR" w:eastAsia="ar-SA"/>
        </w:rPr>
      </w:pPr>
    </w:p>
    <w:p w14:paraId="0B1E48BC" w14:textId="77777777" w:rsidR="009073D5" w:rsidRPr="00623A2B" w:rsidRDefault="009073D5" w:rsidP="009073D5">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kinsoku w:val="0"/>
        <w:ind w:left="0" w:firstLine="720"/>
        <w:rPr>
          <w:rFonts w:ascii="Times New Roman" w:hAnsi="Times New Roman"/>
          <w:szCs w:val="22"/>
          <w:lang w:val="fr-FR"/>
        </w:rPr>
      </w:pPr>
      <w:r w:rsidRPr="00623A2B">
        <w:rPr>
          <w:rFonts w:ascii="Times New Roman" w:hAnsi="Times New Roman"/>
          <w:szCs w:val="22"/>
          <w:lang w:val="fr-FR"/>
        </w:rPr>
        <w:t>De charger le Secrétariat général et l’initiative Casques blancs de continuer d’envisager la réalisation d'activités communes d’aide humanitaire dans les États membres qui en font la demande.</w:t>
      </w:r>
    </w:p>
    <w:p w14:paraId="23D90FF1" w14:textId="77777777" w:rsidR="009073D5" w:rsidRPr="00623A2B" w:rsidRDefault="009073D5" w:rsidP="009073D5">
      <w:pPr>
        <w:suppressAutoHyphens/>
        <w:kinsoku w:val="0"/>
        <w:ind w:firstLine="720"/>
        <w:contextualSpacing/>
        <w:rPr>
          <w:rFonts w:ascii="Times New Roman" w:hAnsi="Times New Roman"/>
          <w:szCs w:val="22"/>
          <w:lang w:val="fr-FR" w:eastAsia="ar-SA"/>
        </w:rPr>
      </w:pPr>
    </w:p>
    <w:p w14:paraId="59455A81" w14:textId="77777777" w:rsidR="009073D5" w:rsidRPr="00623A2B" w:rsidRDefault="009073D5" w:rsidP="009073D5">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kinsoku w:val="0"/>
        <w:ind w:left="0" w:firstLine="720"/>
        <w:rPr>
          <w:rFonts w:ascii="Times New Roman" w:hAnsi="Times New Roman"/>
          <w:szCs w:val="22"/>
          <w:lang w:val="fr-FR"/>
        </w:rPr>
      </w:pPr>
      <w:r w:rsidRPr="00623A2B">
        <w:rPr>
          <w:rFonts w:ascii="Times New Roman" w:hAnsi="Times New Roman"/>
          <w:szCs w:val="22"/>
          <w:lang w:val="fr-FR"/>
        </w:rPr>
        <w:t>De réitérer l’invitation aux États membres qui envisagent de le faire à verser des contributions au Fonds humanitaire OEA-Casques blancs pour assurer la réalisation continue des séminaires et des ateliers de formation à la réduction des risques de catastrophe et à l’exécution de projets de renforcement des capacités sur des thèmes liés à la résilience, la prévention et l’atténuation des risques de catastrophe, la promotion de communautés durables et l’aide humanitaire internationale.</w:t>
      </w:r>
    </w:p>
    <w:p w14:paraId="54ADEB6B" w14:textId="77777777" w:rsidR="009073D5" w:rsidRPr="00623A2B" w:rsidRDefault="009073D5" w:rsidP="009073D5">
      <w:pPr>
        <w:pStyle w:val="ListParagraph"/>
        <w:rPr>
          <w:rFonts w:ascii="Times New Roman" w:hAnsi="Times New Roman"/>
          <w:szCs w:val="22"/>
          <w:lang w:val="fr-FR"/>
        </w:rPr>
      </w:pPr>
    </w:p>
    <w:p w14:paraId="2F2D3892" w14:textId="77777777" w:rsidR="009073D5" w:rsidRPr="00623A2B" w:rsidRDefault="009073D5" w:rsidP="009073D5">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kinsoku w:val="0"/>
        <w:ind w:left="0" w:firstLine="720"/>
        <w:rPr>
          <w:rFonts w:ascii="Times New Roman" w:hAnsi="Times New Roman"/>
          <w:szCs w:val="22"/>
          <w:lang w:val="fr-FR"/>
        </w:rPr>
      </w:pPr>
      <w:r w:rsidRPr="00623A2B">
        <w:rPr>
          <w:rFonts w:ascii="Times New Roman" w:hAnsi="Times New Roman"/>
          <w:szCs w:val="22"/>
          <w:lang w:val="fr-FR"/>
        </w:rPr>
        <w:t>De demander au Secrétariat général de soumettre un rapport à l’Assemblée générale, lors de sa cinquante-troisième session ordinaire, sur l’exécution de la présente résolution, et d’établir que la mise en œuvre des activités qui y sont prévues dépendra de la disponibilité des ressources financières inscrites dans le programme-budget de l’Organisation, ainsi que d’autres ressources.</w:t>
      </w:r>
    </w:p>
    <w:p w14:paraId="74E00490" w14:textId="77777777" w:rsidR="009073D5" w:rsidRPr="00623A2B" w:rsidRDefault="009073D5" w:rsidP="009073D5">
      <w:pPr>
        <w:rPr>
          <w:rFonts w:ascii="Times New Roman" w:hAnsi="Times New Roman"/>
          <w:szCs w:val="22"/>
          <w:lang w:val="fr-FR"/>
        </w:rPr>
      </w:pPr>
      <w:r w:rsidRPr="00623A2B">
        <w:rPr>
          <w:rFonts w:ascii="Times New Roman" w:hAnsi="Times New Roman"/>
          <w:szCs w:val="22"/>
          <w:lang w:val="fr-FR"/>
        </w:rPr>
        <w:br w:type="page"/>
      </w:r>
    </w:p>
    <w:p w14:paraId="511C0C1C" w14:textId="77777777" w:rsidR="009073D5" w:rsidRPr="00623A2B" w:rsidRDefault="009073D5" w:rsidP="009073D5">
      <w:pPr>
        <w:jc w:val="center"/>
        <w:rPr>
          <w:rFonts w:ascii="Times New Roman" w:hAnsi="Times New Roman"/>
          <w:sz w:val="20"/>
          <w:lang w:val="fr-FR"/>
        </w:rPr>
      </w:pPr>
      <w:r w:rsidRPr="00623A2B">
        <w:rPr>
          <w:rFonts w:ascii="Times New Roman" w:hAnsi="Times New Roman"/>
          <w:sz w:val="20"/>
          <w:lang w:val="fr-FR"/>
        </w:rPr>
        <w:lastRenderedPageBreak/>
        <w:t>NOTES DE BAS DE PAGE</w:t>
      </w:r>
    </w:p>
    <w:p w14:paraId="3C097B7E" w14:textId="77777777" w:rsidR="009073D5" w:rsidRPr="00623A2B" w:rsidRDefault="009073D5" w:rsidP="009073D5">
      <w:pPr>
        <w:rPr>
          <w:rFonts w:ascii="Times New Roman" w:hAnsi="Times New Roman"/>
          <w:sz w:val="20"/>
          <w:lang w:val="fr-FR"/>
        </w:rPr>
      </w:pPr>
    </w:p>
    <w:p w14:paraId="52D36B23" w14:textId="77777777" w:rsidR="009073D5" w:rsidRPr="00623A2B" w:rsidRDefault="009073D5" w:rsidP="009073D5">
      <w:pPr>
        <w:rPr>
          <w:rFonts w:ascii="Times New Roman" w:hAnsi="Times New Roman"/>
          <w:sz w:val="20"/>
          <w:lang w:val="fr-FR"/>
        </w:rPr>
      </w:pPr>
    </w:p>
    <w:p w14:paraId="13C1F9CE" w14:textId="1E9A240C" w:rsidR="009073D5" w:rsidRPr="00623A2B" w:rsidRDefault="009073D5" w:rsidP="009073D5">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1.</w:t>
      </w:r>
      <w:r w:rsidRPr="00623A2B">
        <w:rPr>
          <w:rFonts w:ascii="Times New Roman" w:hAnsi="Times New Roman"/>
          <w:sz w:val="20"/>
          <w:lang w:val="fr-FR"/>
        </w:rPr>
        <w:tab/>
        <w:t>… Cinquante-et-unième Session ordinaire de l’Assemblée générale de l’Organisation des États Américains (OEA), lesquelles constituent des actes contraires au droit international.</w:t>
      </w:r>
    </w:p>
    <w:p w14:paraId="13991062" w14:textId="77777777" w:rsidR="009073D5" w:rsidRPr="00623A2B" w:rsidRDefault="009073D5" w:rsidP="009073D5">
      <w:pPr>
        <w:pStyle w:val="FootnoteText"/>
        <w:tabs>
          <w:tab w:val="clear" w:pos="360"/>
        </w:tabs>
        <w:ind w:left="0" w:firstLine="720"/>
        <w:rPr>
          <w:rFonts w:ascii="Times New Roman" w:hAnsi="Times New Roman"/>
          <w:sz w:val="20"/>
          <w:lang w:val="fr-FR"/>
        </w:rPr>
      </w:pPr>
    </w:p>
    <w:p w14:paraId="72162A15" w14:textId="77777777" w:rsidR="009073D5" w:rsidRPr="00623A2B" w:rsidRDefault="009073D5" w:rsidP="009073D5">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57596775" w14:textId="77777777" w:rsidR="009073D5" w:rsidRPr="00623A2B" w:rsidRDefault="009073D5" w:rsidP="009073D5">
      <w:pPr>
        <w:pStyle w:val="FootnoteText"/>
        <w:tabs>
          <w:tab w:val="clear" w:pos="360"/>
        </w:tabs>
        <w:ind w:left="0" w:firstLine="720"/>
        <w:rPr>
          <w:rFonts w:ascii="Times New Roman" w:hAnsi="Times New Roman"/>
          <w:sz w:val="20"/>
          <w:lang w:val="fr-FR"/>
        </w:rPr>
      </w:pPr>
    </w:p>
    <w:p w14:paraId="1BE2C8DA" w14:textId="77777777" w:rsidR="009073D5" w:rsidRPr="00623A2B" w:rsidRDefault="009073D5" w:rsidP="009073D5">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66400266" w14:textId="77777777" w:rsidR="009073D5" w:rsidRPr="00623A2B" w:rsidRDefault="009073D5" w:rsidP="009073D5">
      <w:pPr>
        <w:pStyle w:val="FootnoteText"/>
        <w:tabs>
          <w:tab w:val="clear" w:pos="360"/>
        </w:tabs>
        <w:ind w:left="0" w:firstLine="720"/>
        <w:rPr>
          <w:rFonts w:ascii="Times New Roman" w:hAnsi="Times New Roman"/>
          <w:sz w:val="20"/>
          <w:lang w:val="fr-FR"/>
        </w:rPr>
      </w:pPr>
    </w:p>
    <w:p w14:paraId="40A8ED87" w14:textId="77777777" w:rsidR="009073D5" w:rsidRPr="00623A2B" w:rsidRDefault="009073D5" w:rsidP="009073D5">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 xml:space="preserve">La reconnaissance d’un gouvernement est un acte souverain des États, et non des institutions internationales. L’OEA ne possède ni ne peut s’arroger des facultés de reconnaissance collective opposable à la qualité de </w:t>
      </w:r>
      <w:proofErr w:type="gramStart"/>
      <w:r w:rsidRPr="00623A2B">
        <w:rPr>
          <w:rFonts w:ascii="Times New Roman" w:hAnsi="Times New Roman"/>
          <w:sz w:val="20"/>
          <w:lang w:val="fr-FR"/>
        </w:rPr>
        <w:t>membre;</w:t>
      </w:r>
      <w:proofErr w:type="gramEnd"/>
      <w:r w:rsidRPr="00623A2B">
        <w:rPr>
          <w:rFonts w:ascii="Times New Roman" w:hAnsi="Times New Roman"/>
          <w:sz w:val="20"/>
          <w:lang w:val="fr-FR"/>
        </w:rPr>
        <w:t xml:space="preserve"> c’est pourquoi tout acte visant à atteindre cet objectif tombe en dehors de sa compétence et est matériellement nul.</w:t>
      </w:r>
    </w:p>
    <w:p w14:paraId="2BAD3228" w14:textId="77777777" w:rsidR="009073D5" w:rsidRPr="00623A2B" w:rsidRDefault="009073D5" w:rsidP="009073D5">
      <w:pPr>
        <w:pStyle w:val="FootnoteText"/>
        <w:tabs>
          <w:tab w:val="clear" w:pos="360"/>
        </w:tabs>
        <w:ind w:left="0" w:firstLine="720"/>
        <w:rPr>
          <w:rFonts w:ascii="Times New Roman" w:hAnsi="Times New Roman"/>
          <w:sz w:val="20"/>
          <w:lang w:val="fr-FR"/>
        </w:rPr>
      </w:pPr>
    </w:p>
    <w:p w14:paraId="2E69E167" w14:textId="77777777" w:rsidR="009073D5" w:rsidRPr="00623A2B" w:rsidRDefault="009073D5" w:rsidP="009073D5">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2EF90117" w14:textId="77777777" w:rsidR="009073D5" w:rsidRPr="00623A2B" w:rsidRDefault="009073D5" w:rsidP="009073D5">
      <w:pPr>
        <w:pStyle w:val="FootnoteText"/>
        <w:tabs>
          <w:tab w:val="clear" w:pos="360"/>
        </w:tabs>
        <w:ind w:left="0" w:firstLine="720"/>
        <w:rPr>
          <w:rFonts w:ascii="Times New Roman" w:hAnsi="Times New Roman"/>
          <w:sz w:val="20"/>
          <w:lang w:val="fr-FR"/>
        </w:rPr>
      </w:pPr>
    </w:p>
    <w:p w14:paraId="21AB8C93" w14:textId="77777777" w:rsidR="009073D5" w:rsidRPr="00623A2B" w:rsidRDefault="009073D5" w:rsidP="009073D5">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4D3CA63D" w14:textId="77777777" w:rsidR="009073D5" w:rsidRPr="00623A2B" w:rsidRDefault="009073D5" w:rsidP="009073D5">
      <w:pPr>
        <w:pStyle w:val="FootnoteText"/>
        <w:tabs>
          <w:tab w:val="clear" w:pos="360"/>
        </w:tabs>
        <w:ind w:left="0" w:firstLine="720"/>
        <w:rPr>
          <w:rFonts w:ascii="Times New Roman" w:hAnsi="Times New Roman"/>
          <w:sz w:val="20"/>
          <w:lang w:val="fr-FR"/>
        </w:rPr>
      </w:pPr>
    </w:p>
    <w:p w14:paraId="2AC24CE6" w14:textId="77777777" w:rsidR="009073D5" w:rsidRPr="00623A2B" w:rsidRDefault="009073D5" w:rsidP="009073D5">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7B0CEC1E" w14:textId="77777777" w:rsidR="009073D5" w:rsidRPr="00623A2B" w:rsidRDefault="009073D5" w:rsidP="009073D5">
      <w:pPr>
        <w:pStyle w:val="FootnoteText"/>
        <w:tabs>
          <w:tab w:val="clear" w:pos="360"/>
        </w:tabs>
        <w:ind w:left="0" w:firstLine="720"/>
        <w:rPr>
          <w:rFonts w:ascii="Times New Roman" w:hAnsi="Times New Roman"/>
          <w:sz w:val="20"/>
          <w:lang w:val="fr-FR"/>
        </w:rPr>
      </w:pPr>
    </w:p>
    <w:p w14:paraId="39CB2F90" w14:textId="77777777" w:rsidR="009073D5" w:rsidRPr="00623A2B" w:rsidRDefault="009073D5" w:rsidP="009073D5">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2.</w:t>
      </w:r>
      <w:r w:rsidRPr="00623A2B">
        <w:rPr>
          <w:rFonts w:ascii="Times New Roman" w:hAnsi="Times New Roman"/>
          <w:sz w:val="20"/>
          <w:lang w:val="fr-FR"/>
        </w:rPr>
        <w:tab/>
        <w:t xml:space="preserve">… de personnes qui prétendent usurper la représentation légale de la République bolivarienne du Venezuela et du Gouvernement légitime du Président </w:t>
      </w:r>
      <w:proofErr w:type="spellStart"/>
      <w:r w:rsidRPr="00623A2B">
        <w:rPr>
          <w:rFonts w:ascii="Times New Roman" w:hAnsi="Times New Roman"/>
          <w:sz w:val="20"/>
          <w:lang w:val="fr-FR"/>
        </w:rPr>
        <w:t>Nicolás</w:t>
      </w:r>
      <w:proofErr w:type="spellEnd"/>
      <w:r w:rsidRPr="00623A2B">
        <w:rPr>
          <w:rFonts w:ascii="Times New Roman" w:hAnsi="Times New Roman"/>
          <w:sz w:val="20"/>
          <w:lang w:val="fr-FR"/>
        </w:rPr>
        <w:t xml:space="preserve"> </w:t>
      </w:r>
      <w:proofErr w:type="spellStart"/>
      <w:r w:rsidRPr="00623A2B">
        <w:rPr>
          <w:rFonts w:ascii="Times New Roman" w:hAnsi="Times New Roman"/>
          <w:sz w:val="20"/>
          <w:lang w:val="fr-FR"/>
        </w:rPr>
        <w:t>Maduro</w:t>
      </w:r>
      <w:proofErr w:type="spellEnd"/>
      <w:r w:rsidRPr="00623A2B">
        <w:rPr>
          <w:rFonts w:ascii="Times New Roman" w:hAnsi="Times New Roman"/>
          <w:sz w:val="20"/>
          <w:lang w:val="fr-FR"/>
        </w:rPr>
        <w:t xml:space="preserve"> Moros. Nous demandons que notre refus soit consigné dans tous les documents qui seront traités lors de la présente Cinquante-et-unième Session de l’Assemblée générale de l’OEA.</w:t>
      </w:r>
    </w:p>
    <w:p w14:paraId="42EC7A1C" w14:textId="77777777" w:rsidR="009073D5" w:rsidRPr="00623A2B" w:rsidRDefault="009073D5" w:rsidP="009073D5">
      <w:pPr>
        <w:pStyle w:val="FootnoteText"/>
        <w:tabs>
          <w:tab w:val="clear" w:pos="360"/>
        </w:tabs>
        <w:ind w:left="0" w:firstLine="720"/>
        <w:rPr>
          <w:rFonts w:ascii="Times New Roman" w:hAnsi="Times New Roman"/>
          <w:sz w:val="20"/>
          <w:lang w:val="fr-FR"/>
        </w:rPr>
      </w:pPr>
    </w:p>
    <w:p w14:paraId="05155300" w14:textId="77777777" w:rsidR="009073D5" w:rsidRPr="00623A2B" w:rsidRDefault="009073D5" w:rsidP="009073D5">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3.</w:t>
      </w:r>
      <w:r w:rsidRPr="00623A2B">
        <w:rPr>
          <w:rFonts w:ascii="Times New Roman" w:hAnsi="Times New Roman"/>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1E1DDDC6" w14:textId="77777777" w:rsidR="009073D5" w:rsidRPr="00623A2B" w:rsidRDefault="009073D5" w:rsidP="009073D5">
      <w:pPr>
        <w:pStyle w:val="FootnoteText"/>
        <w:tabs>
          <w:tab w:val="clear" w:pos="360"/>
        </w:tabs>
        <w:ind w:left="0" w:firstLine="720"/>
        <w:rPr>
          <w:rFonts w:ascii="Times New Roman" w:hAnsi="Times New Roman"/>
          <w:sz w:val="20"/>
          <w:lang w:val="fr-FR"/>
        </w:rPr>
      </w:pPr>
    </w:p>
    <w:p w14:paraId="7AD1C64C" w14:textId="7629034F" w:rsidR="009073D5" w:rsidRPr="00623A2B" w:rsidRDefault="009073D5" w:rsidP="009073D5">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 xml:space="preserve">Antigua-et-Barbuda n'a pas soutenu la résolution CP/RES. 1124 (2217/19) du 9 avril 2019 qui visait à nommer M. Gustavo </w:t>
      </w:r>
      <w:proofErr w:type="spellStart"/>
      <w:r w:rsidRPr="00623A2B">
        <w:rPr>
          <w:rFonts w:ascii="Times New Roman" w:hAnsi="Times New Roman"/>
          <w:sz w:val="20"/>
          <w:lang w:val="fr-FR"/>
        </w:rPr>
        <w:t>Tarre</w:t>
      </w:r>
      <w:proofErr w:type="spellEnd"/>
      <w:r w:rsidRPr="00623A2B">
        <w:rPr>
          <w:rFonts w:ascii="Times New Roman" w:hAnsi="Times New Roman"/>
          <w:sz w:val="20"/>
          <w:lang w:val="fr-FR"/>
        </w:rPr>
        <w:t xml:space="preserve"> comme représentant de l'Assemblée nationale auprès de l'OEA et n'a pas accepté les </w:t>
      </w:r>
      <w:r w:rsidRPr="00623A2B">
        <w:rPr>
          <w:rFonts w:ascii="Times New Roman" w:hAnsi="Times New Roman"/>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1E70EA4F" w14:textId="77777777" w:rsidR="003F35B7" w:rsidRPr="00623A2B" w:rsidRDefault="003F35B7" w:rsidP="009073D5">
      <w:pPr>
        <w:pStyle w:val="FootnoteText"/>
        <w:tabs>
          <w:tab w:val="clear" w:pos="360"/>
        </w:tabs>
        <w:ind w:left="0" w:firstLine="720"/>
        <w:rPr>
          <w:rFonts w:ascii="Times New Roman" w:hAnsi="Times New Roman"/>
          <w:sz w:val="20"/>
          <w:lang w:val="fr-FR"/>
        </w:rPr>
      </w:pPr>
    </w:p>
    <w:p w14:paraId="5CB15BDA" w14:textId="77777777" w:rsidR="009073D5" w:rsidRPr="00623A2B" w:rsidRDefault="009073D5" w:rsidP="009073D5">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1B1D98FB" w14:textId="77777777" w:rsidR="009073D5" w:rsidRPr="00623A2B" w:rsidRDefault="009073D5" w:rsidP="009073D5">
      <w:pPr>
        <w:pStyle w:val="FootnoteText"/>
        <w:tabs>
          <w:tab w:val="clear" w:pos="360"/>
        </w:tabs>
        <w:ind w:left="0" w:firstLine="720"/>
        <w:rPr>
          <w:rFonts w:ascii="Times New Roman" w:hAnsi="Times New Roman"/>
          <w:sz w:val="20"/>
          <w:lang w:val="fr-FR"/>
        </w:rPr>
      </w:pPr>
    </w:p>
    <w:p w14:paraId="5982A668" w14:textId="77777777" w:rsidR="009073D5" w:rsidRPr="00623A2B" w:rsidRDefault="009073D5" w:rsidP="009073D5">
      <w:pPr>
        <w:pStyle w:val="FootnoteText"/>
        <w:ind w:left="0" w:firstLine="720"/>
        <w:rPr>
          <w:rFonts w:ascii="Times New Roman" w:hAnsi="Times New Roman"/>
          <w:sz w:val="20"/>
          <w:lang w:val="fr-CA"/>
        </w:rPr>
      </w:pPr>
      <w:r w:rsidRPr="00623A2B">
        <w:rPr>
          <w:rFonts w:ascii="Times New Roman" w:hAnsi="Times New Roman"/>
          <w:sz w:val="20"/>
          <w:lang w:val="fr-FR"/>
        </w:rPr>
        <w:t>4.</w:t>
      </w:r>
      <w:r w:rsidRPr="00623A2B">
        <w:rPr>
          <w:rFonts w:ascii="Times New Roman" w:hAnsi="Times New Roman"/>
          <w:sz w:val="20"/>
          <w:lang w:val="fr-FR"/>
        </w:rPr>
        <w:tab/>
      </w:r>
      <w:r w:rsidRPr="00623A2B">
        <w:rPr>
          <w:rFonts w:ascii="Times New Roman" w:hAnsi="Times New Roman"/>
          <w:sz w:val="20"/>
          <w:lang w:val="fr-CA"/>
        </w:rPr>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0436B9BA" w14:textId="77777777" w:rsidR="009073D5" w:rsidRPr="00623A2B" w:rsidRDefault="009073D5" w:rsidP="009073D5">
      <w:pPr>
        <w:pStyle w:val="FootnoteText"/>
        <w:ind w:left="0" w:firstLine="720"/>
        <w:rPr>
          <w:rFonts w:ascii="Times New Roman" w:hAnsi="Times New Roman"/>
          <w:sz w:val="20"/>
          <w:lang w:val="fr-CA"/>
        </w:rPr>
      </w:pPr>
    </w:p>
    <w:p w14:paraId="427FD529" w14:textId="77777777" w:rsidR="009073D5" w:rsidRPr="00623A2B" w:rsidRDefault="009073D5" w:rsidP="009073D5">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CA"/>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p>
    <w:p w14:paraId="2499383B" w14:textId="1A65A572" w:rsidR="00EC0BAC" w:rsidRPr="00623A2B" w:rsidRDefault="00EC0BAC" w:rsidP="009A129C">
      <w:pPr>
        <w:pStyle w:val="FootnoteText"/>
        <w:tabs>
          <w:tab w:val="clear" w:pos="360"/>
        </w:tabs>
        <w:rPr>
          <w:rFonts w:ascii="Times New Roman" w:hAnsi="Times New Roman"/>
          <w:sz w:val="20"/>
          <w:lang w:val="fr-FR"/>
        </w:rPr>
      </w:pPr>
    </w:p>
    <w:p w14:paraId="1E17EE6F" w14:textId="77777777" w:rsidR="00C63356" w:rsidRPr="00623A2B" w:rsidRDefault="00C63356" w:rsidP="009A129C">
      <w:pPr>
        <w:pStyle w:val="FootnoteText"/>
        <w:tabs>
          <w:tab w:val="clear" w:pos="360"/>
        </w:tabs>
        <w:rPr>
          <w:rFonts w:ascii="Times New Roman" w:hAnsi="Times New Roman"/>
          <w:sz w:val="20"/>
          <w:lang w:val="fr-FR"/>
        </w:rPr>
        <w:sectPr w:rsidR="00C63356" w:rsidRPr="00623A2B" w:rsidSect="00623A2B">
          <w:headerReference w:type="even" r:id="rId64"/>
          <w:footnotePr>
            <w:numRestart w:val="eachSect"/>
          </w:footnotePr>
          <w:type w:val="oddPage"/>
          <w:pgSz w:w="12240" w:h="15840" w:code="1"/>
          <w:pgMar w:top="2160" w:right="1570" w:bottom="1296" w:left="1699" w:header="720" w:footer="720" w:gutter="0"/>
          <w:cols w:space="720"/>
          <w:titlePg/>
          <w:docGrid w:linePitch="360"/>
        </w:sectPr>
      </w:pPr>
    </w:p>
    <w:p w14:paraId="7A9CFEB8" w14:textId="35DB303B" w:rsidR="00236661" w:rsidRPr="00623A2B" w:rsidRDefault="00236661" w:rsidP="006A2E22">
      <w:pPr>
        <w:pStyle w:val="Heading1"/>
        <w:spacing w:before="0"/>
        <w:jc w:val="center"/>
        <w:rPr>
          <w:rFonts w:ascii="Times New Roman" w:hAnsi="Times New Roman" w:cs="Times New Roman"/>
          <w:color w:val="auto"/>
          <w:position w:val="-1"/>
          <w:sz w:val="22"/>
          <w:szCs w:val="22"/>
          <w:lang w:val="fr-FR"/>
        </w:rPr>
      </w:pPr>
      <w:bookmarkStart w:id="28" w:name="_Toc89177459"/>
      <w:r w:rsidRPr="00623A2B">
        <w:rPr>
          <w:rFonts w:ascii="Times New Roman" w:hAnsi="Times New Roman" w:cs="Times New Roman"/>
          <w:color w:val="auto"/>
          <w:sz w:val="22"/>
          <w:szCs w:val="22"/>
          <w:lang w:val="fr-CA"/>
        </w:rPr>
        <w:lastRenderedPageBreak/>
        <w:t>AG/RES. 2969 (LI-O/21)</w:t>
      </w:r>
      <w:r w:rsidR="00A221F9" w:rsidRPr="00623A2B">
        <w:rPr>
          <w:rFonts w:ascii="Times New Roman" w:hAnsi="Times New Roman" w:cs="Times New Roman"/>
          <w:color w:val="auto"/>
          <w:sz w:val="22"/>
          <w:szCs w:val="22"/>
          <w:lang w:val="fr-CA"/>
        </w:rPr>
        <w:br/>
      </w:r>
      <w:r w:rsidR="00A221F9" w:rsidRPr="00623A2B">
        <w:rPr>
          <w:rFonts w:ascii="Times New Roman" w:hAnsi="Times New Roman" w:cs="Times New Roman"/>
          <w:color w:val="auto"/>
          <w:sz w:val="22"/>
          <w:szCs w:val="22"/>
          <w:lang w:val="fr-CA"/>
        </w:rPr>
        <w:br/>
      </w:r>
      <w:r w:rsidRPr="00623A2B">
        <w:rPr>
          <w:rFonts w:ascii="Times New Roman" w:eastAsia="CG Times" w:hAnsi="Times New Roman" w:cs="Times New Roman"/>
          <w:color w:val="auto"/>
          <w:position w:val="-1"/>
          <w:sz w:val="22"/>
          <w:szCs w:val="22"/>
          <w:lang w:val="fr-FR"/>
        </w:rPr>
        <w:t>CHARTE INTERAMÉRICAINE DES ENTREPRISES</w:t>
      </w:r>
      <w:r w:rsidRPr="00623A2B">
        <w:rPr>
          <w:rStyle w:val="FootnoteReference"/>
          <w:rFonts w:ascii="Times New Roman" w:hAnsi="Times New Roman" w:cs="Times New Roman"/>
          <w:sz w:val="22"/>
          <w:szCs w:val="22"/>
          <w:u w:val="single"/>
          <w:vertAlign w:val="superscript"/>
          <w:lang w:val="pt-BR"/>
        </w:rPr>
        <w:footnoteReference w:id="34"/>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35"/>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36"/>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37"/>
      </w:r>
      <w:r w:rsidRPr="00623A2B">
        <w:rPr>
          <w:rFonts w:ascii="Times New Roman" w:hAnsi="Times New Roman" w:cs="Times New Roman"/>
          <w:color w:val="auto"/>
          <w:sz w:val="22"/>
          <w:szCs w:val="22"/>
          <w:vertAlign w:val="superscript"/>
          <w:lang w:val="fr-CA"/>
        </w:rPr>
        <w:t>/</w:t>
      </w:r>
      <w:bookmarkEnd w:id="28"/>
    </w:p>
    <w:p w14:paraId="73E4D90B" w14:textId="77777777" w:rsidR="00236661" w:rsidRPr="00623A2B" w:rsidRDefault="00236661" w:rsidP="006A2E22">
      <w:pPr>
        <w:suppressAutoHyphens/>
        <w:ind w:left="2" w:hangingChars="1" w:hanging="2"/>
        <w:jc w:val="center"/>
        <w:outlineLvl w:val="0"/>
        <w:rPr>
          <w:rFonts w:ascii="Times New Roman" w:hAnsi="Times New Roman"/>
          <w:position w:val="-1"/>
          <w:szCs w:val="22"/>
          <w:lang w:val="fr-FR"/>
        </w:rPr>
      </w:pPr>
    </w:p>
    <w:p w14:paraId="2D67731C" w14:textId="7CBA2CB0" w:rsidR="00236661" w:rsidRPr="00623A2B" w:rsidRDefault="00236661" w:rsidP="00236661">
      <w:pPr>
        <w:jc w:val="center"/>
        <w:rPr>
          <w:rFonts w:ascii="Times New Roman" w:hAnsi="Times New Roman"/>
          <w:szCs w:val="22"/>
          <w:lang w:val="fr-FR"/>
        </w:rPr>
      </w:pPr>
      <w:r w:rsidRPr="00623A2B">
        <w:rPr>
          <w:rFonts w:ascii="Times New Roman" w:hAnsi="Times New Roman"/>
          <w:szCs w:val="22"/>
          <w:lang w:val="fr-CA"/>
        </w:rPr>
        <w:t>(</w:t>
      </w:r>
      <w:r w:rsidRPr="00623A2B">
        <w:rPr>
          <w:rFonts w:ascii="Times New Roman" w:hAnsi="Times New Roman"/>
          <w:szCs w:val="22"/>
          <w:lang w:val="fr-FR"/>
        </w:rPr>
        <w:t xml:space="preserve">Résolution adoptée à la </w:t>
      </w:r>
      <w:r w:rsidR="001B5A48" w:rsidRPr="00623A2B">
        <w:rPr>
          <w:rFonts w:ascii="Times New Roman" w:hAnsi="Times New Roman"/>
          <w:szCs w:val="22"/>
          <w:lang w:val="fr-FR"/>
        </w:rPr>
        <w:t>deuxième</w:t>
      </w:r>
      <w:r w:rsidRPr="00623A2B">
        <w:rPr>
          <w:rFonts w:ascii="Times New Roman" w:hAnsi="Times New Roman"/>
          <w:szCs w:val="22"/>
          <w:lang w:val="fr-FR"/>
        </w:rPr>
        <w:t xml:space="preserve"> séance plénière, </w:t>
      </w:r>
      <w:r w:rsidRPr="00623A2B">
        <w:rPr>
          <w:rFonts w:ascii="Times New Roman" w:hAnsi="Times New Roman"/>
          <w:szCs w:val="22"/>
          <w:lang w:val="fr-CA"/>
        </w:rPr>
        <w:t>le 11 novembre 2021)</w:t>
      </w:r>
    </w:p>
    <w:p w14:paraId="74B7B33D" w14:textId="77777777" w:rsidR="00236661" w:rsidRPr="00623A2B" w:rsidRDefault="00236661" w:rsidP="00FD29B0">
      <w:pPr>
        <w:rPr>
          <w:rFonts w:ascii="Times New Roman" w:hAnsi="Times New Roman"/>
          <w:position w:val="-1"/>
          <w:szCs w:val="22"/>
          <w:lang w:val="fr-CA"/>
        </w:rPr>
      </w:pPr>
    </w:p>
    <w:p w14:paraId="46642299" w14:textId="77777777" w:rsidR="00236661" w:rsidRPr="00623A2B" w:rsidRDefault="00236661" w:rsidP="00FD29B0">
      <w:pPr>
        <w:rPr>
          <w:rFonts w:ascii="Times New Roman" w:hAnsi="Times New Roman"/>
          <w:position w:val="-1"/>
          <w:szCs w:val="22"/>
          <w:lang w:val="fr-FR"/>
        </w:rPr>
      </w:pPr>
    </w:p>
    <w:p w14:paraId="0A900FBE" w14:textId="7E74FF1D" w:rsidR="00236661" w:rsidRPr="00623A2B" w:rsidRDefault="00236661" w:rsidP="00FD29B0">
      <w:pPr>
        <w:rPr>
          <w:rFonts w:ascii="Times New Roman" w:hAnsi="Times New Roman"/>
          <w:position w:val="-1"/>
          <w:szCs w:val="22"/>
          <w:lang w:val="fr-FR"/>
        </w:rPr>
      </w:pPr>
      <w:r w:rsidRPr="00623A2B">
        <w:rPr>
          <w:rFonts w:ascii="Times New Roman" w:eastAsia="CG Times" w:hAnsi="Times New Roman"/>
          <w:position w:val="-1"/>
          <w:szCs w:val="22"/>
          <w:lang w:val="fr-FR"/>
        </w:rPr>
        <w:tab/>
        <w:t>L'ASSEMBLÉE GÉNÉRALE</w:t>
      </w:r>
      <w:r w:rsidRPr="00623A2B">
        <w:rPr>
          <w:rFonts w:ascii="Times New Roman" w:hAnsi="Times New Roman"/>
          <w:position w:val="-1"/>
          <w:szCs w:val="22"/>
          <w:lang w:val="fr-FR"/>
        </w:rPr>
        <w:t>,</w:t>
      </w:r>
    </w:p>
    <w:p w14:paraId="53B89C6D" w14:textId="77777777" w:rsidR="00236661" w:rsidRPr="00623A2B" w:rsidRDefault="00236661" w:rsidP="00FD29B0">
      <w:pPr>
        <w:rPr>
          <w:rFonts w:ascii="Times New Roman" w:hAnsi="Times New Roman"/>
          <w:position w:val="-1"/>
          <w:szCs w:val="22"/>
          <w:lang w:val="fr-FR"/>
        </w:rPr>
      </w:pPr>
    </w:p>
    <w:p w14:paraId="6C55E879" w14:textId="3FA63F12" w:rsidR="00236661" w:rsidRPr="00623A2B" w:rsidRDefault="00236661" w:rsidP="009874E5">
      <w:pPr>
        <w:suppressAutoHyphens/>
        <w:ind w:right="281"/>
        <w:rPr>
          <w:rFonts w:ascii="Times New Roman" w:hAnsi="Times New Roman"/>
          <w:position w:val="-1"/>
          <w:szCs w:val="22"/>
          <w:lang w:val="fr-FR"/>
        </w:rPr>
      </w:pPr>
      <w:r w:rsidRPr="00623A2B">
        <w:rPr>
          <w:rFonts w:ascii="Times New Roman" w:eastAsia="CG Times" w:hAnsi="Times New Roman"/>
          <w:position w:val="-1"/>
          <w:szCs w:val="22"/>
          <w:lang w:val="fr-FR"/>
        </w:rPr>
        <w:t xml:space="preserve">AYANT VU </w:t>
      </w:r>
      <w:r w:rsidRPr="00623A2B">
        <w:rPr>
          <w:rFonts w:ascii="Times New Roman" w:hAnsi="Times New Roman"/>
          <w:position w:val="-1"/>
          <w:szCs w:val="22"/>
          <w:lang w:val="fr-FR"/>
        </w:rPr>
        <w:t>:</w:t>
      </w:r>
    </w:p>
    <w:p w14:paraId="36C452DC" w14:textId="77777777" w:rsidR="00236661" w:rsidRPr="00623A2B" w:rsidRDefault="00236661" w:rsidP="00FD29B0">
      <w:pPr>
        <w:rPr>
          <w:rFonts w:ascii="Times New Roman" w:hAnsi="Times New Roman"/>
          <w:position w:val="-1"/>
          <w:szCs w:val="22"/>
          <w:lang w:val="fr-FR"/>
        </w:rPr>
      </w:pPr>
    </w:p>
    <w:p w14:paraId="24AB80CA" w14:textId="7BAEA08E" w:rsidR="00236661" w:rsidRPr="00623A2B" w:rsidRDefault="00236661" w:rsidP="00FD29B0">
      <w:pPr>
        <w:rPr>
          <w:rFonts w:ascii="Times New Roman" w:hAnsi="Times New Roman"/>
          <w:position w:val="-1"/>
          <w:szCs w:val="22"/>
          <w:lang w:val="fr-FR"/>
        </w:rPr>
      </w:pPr>
      <w:r w:rsidRPr="00623A2B">
        <w:rPr>
          <w:rFonts w:ascii="Times New Roman" w:eastAsia="CG Times" w:hAnsi="Times New Roman"/>
          <w:position w:val="-1"/>
          <w:szCs w:val="22"/>
          <w:lang w:val="fr-FR"/>
        </w:rPr>
        <w:tab/>
        <w:t>La résolution A</w:t>
      </w:r>
      <w:r w:rsidRPr="00623A2B">
        <w:rPr>
          <w:rFonts w:ascii="Times New Roman" w:hAnsi="Times New Roman"/>
          <w:position w:val="-1"/>
          <w:szCs w:val="22"/>
          <w:lang w:val="fr-FR"/>
        </w:rPr>
        <w:t xml:space="preserve">G/RES. 2954 (L-O/20) </w:t>
      </w:r>
      <w:r w:rsidRPr="00623A2B">
        <w:rPr>
          <w:rFonts w:ascii="Times New Roman" w:eastAsia="CG Times" w:hAnsi="Times New Roman"/>
          <w:position w:val="-1"/>
          <w:szCs w:val="22"/>
          <w:lang w:val="fr-FR"/>
        </w:rPr>
        <w:t>« Vers une Charte interaméricaine des entreprises »</w:t>
      </w:r>
      <w:r w:rsidRPr="00623A2B">
        <w:rPr>
          <w:rFonts w:ascii="Times New Roman" w:hAnsi="Times New Roman"/>
          <w:position w:val="-1"/>
          <w:szCs w:val="22"/>
          <w:lang w:val="fr-FR"/>
        </w:rPr>
        <w:t>,</w:t>
      </w:r>
    </w:p>
    <w:p w14:paraId="62788811" w14:textId="77777777" w:rsidR="00236661" w:rsidRPr="00623A2B" w:rsidRDefault="00236661" w:rsidP="00FD29B0">
      <w:pPr>
        <w:rPr>
          <w:rFonts w:ascii="Times New Roman" w:hAnsi="Times New Roman"/>
          <w:position w:val="-1"/>
          <w:szCs w:val="22"/>
          <w:lang w:val="fr-FR"/>
        </w:rPr>
      </w:pPr>
    </w:p>
    <w:p w14:paraId="4508E757" w14:textId="77777777" w:rsidR="00236661" w:rsidRPr="00623A2B" w:rsidRDefault="00236661" w:rsidP="00FD29B0">
      <w:pPr>
        <w:rPr>
          <w:rFonts w:ascii="Times New Roman" w:hAnsi="Times New Roman"/>
          <w:position w:val="-1"/>
          <w:szCs w:val="22"/>
          <w:lang w:val="fr-FR"/>
        </w:rPr>
      </w:pPr>
      <w:r w:rsidRPr="00623A2B">
        <w:rPr>
          <w:rFonts w:ascii="Times New Roman" w:eastAsia="CG Times" w:hAnsi="Times New Roman"/>
          <w:position w:val="-1"/>
          <w:szCs w:val="22"/>
          <w:lang w:val="fr-FR"/>
        </w:rPr>
        <w:tab/>
        <w:t xml:space="preserve">Le rapport du Conseil interaméricain pour le développement intégré (CIDI) </w:t>
      </w:r>
      <w:r w:rsidRPr="00623A2B">
        <w:rPr>
          <w:rFonts w:ascii="Times New Roman" w:hAnsi="Times New Roman"/>
          <w:position w:val="-1"/>
          <w:szCs w:val="22"/>
          <w:lang w:val="fr-FR"/>
        </w:rPr>
        <w:t xml:space="preserve">; </w:t>
      </w:r>
    </w:p>
    <w:p w14:paraId="019FD56B" w14:textId="77777777" w:rsidR="00236661" w:rsidRPr="00623A2B" w:rsidRDefault="00236661" w:rsidP="00FD29B0">
      <w:pPr>
        <w:rPr>
          <w:rFonts w:ascii="Times New Roman" w:hAnsi="Times New Roman"/>
          <w:position w:val="-1"/>
          <w:szCs w:val="22"/>
          <w:lang w:val="fr-FR"/>
        </w:rPr>
      </w:pPr>
    </w:p>
    <w:p w14:paraId="6BCB110E" w14:textId="77777777" w:rsidR="00236661" w:rsidRPr="00623A2B" w:rsidRDefault="00236661" w:rsidP="00236661">
      <w:pPr>
        <w:suppressAutoHyphens/>
        <w:ind w:right="281"/>
        <w:rPr>
          <w:rFonts w:ascii="Times New Roman" w:hAnsi="Times New Roman"/>
          <w:position w:val="-1"/>
          <w:szCs w:val="22"/>
          <w:lang w:val="fr-FR"/>
        </w:rPr>
      </w:pPr>
      <w:r w:rsidRPr="00623A2B">
        <w:rPr>
          <w:rFonts w:ascii="Times New Roman" w:eastAsia="CG Times" w:hAnsi="Times New Roman"/>
          <w:position w:val="-1"/>
          <w:szCs w:val="22"/>
          <w:lang w:val="fr-FR"/>
        </w:rPr>
        <w:t>CONSIDÉRANT :</w:t>
      </w:r>
    </w:p>
    <w:p w14:paraId="685A4636" w14:textId="77777777" w:rsidR="00236661" w:rsidRPr="00623A2B" w:rsidRDefault="00236661" w:rsidP="00FD29B0">
      <w:pPr>
        <w:rPr>
          <w:rFonts w:ascii="Times New Roman" w:hAnsi="Times New Roman"/>
          <w:position w:val="-1"/>
          <w:szCs w:val="22"/>
          <w:lang w:val="fr-FR"/>
        </w:rPr>
      </w:pPr>
    </w:p>
    <w:p w14:paraId="6A448238" w14:textId="7EEA52BC" w:rsidR="00236661" w:rsidRPr="00623A2B" w:rsidRDefault="00236661" w:rsidP="00FD29B0">
      <w:pPr>
        <w:rPr>
          <w:rFonts w:ascii="Times New Roman" w:hAnsi="Times New Roman"/>
          <w:position w:val="-1"/>
          <w:szCs w:val="22"/>
          <w:lang w:val="fr-FR"/>
        </w:rPr>
      </w:pPr>
      <w:r w:rsidRPr="00623A2B">
        <w:rPr>
          <w:rFonts w:ascii="Times New Roman" w:hAnsi="Times New Roman"/>
          <w:position w:val="-1"/>
          <w:szCs w:val="22"/>
          <w:lang w:val="fr-FR"/>
        </w:rPr>
        <w:tab/>
      </w:r>
      <w:r w:rsidRPr="00623A2B">
        <w:rPr>
          <w:rFonts w:ascii="Times New Roman" w:eastAsia="CG Times" w:hAnsi="Times New Roman"/>
          <w:color w:val="000000"/>
          <w:position w:val="-1"/>
          <w:szCs w:val="22"/>
          <w:lang w:val="fr-FR"/>
        </w:rPr>
        <w:t xml:space="preserve">Que, </w:t>
      </w:r>
      <w:r w:rsidRPr="00623A2B">
        <w:rPr>
          <w:rFonts w:ascii="Times New Roman" w:eastAsia="CG Times" w:hAnsi="Times New Roman"/>
          <w:position w:val="-1"/>
          <w:szCs w:val="22"/>
          <w:lang w:val="fr-FR"/>
        </w:rPr>
        <w:t>au nombre de ses attributions,</w:t>
      </w:r>
      <w:r w:rsidRPr="00623A2B">
        <w:rPr>
          <w:rFonts w:ascii="Times New Roman" w:eastAsia="CG Times" w:hAnsi="Times New Roman"/>
          <w:color w:val="000000"/>
          <w:position w:val="-1"/>
          <w:szCs w:val="22"/>
          <w:lang w:val="fr-FR"/>
        </w:rPr>
        <w:t xml:space="preserve"> le </w:t>
      </w:r>
      <w:r w:rsidRPr="00623A2B">
        <w:rPr>
          <w:rFonts w:ascii="Times New Roman" w:eastAsia="CG Times" w:hAnsi="Times New Roman"/>
          <w:position w:val="-1"/>
          <w:szCs w:val="22"/>
          <w:lang w:val="fr-FR"/>
        </w:rPr>
        <w:t>Conseil interaméricain pour le développement intégré</w:t>
      </w:r>
      <w:r w:rsidRPr="00623A2B">
        <w:rPr>
          <w:rFonts w:ascii="Times New Roman" w:hAnsi="Times New Roman"/>
          <w:position w:val="-1"/>
          <w:szCs w:val="22"/>
          <w:lang w:val="fr-FR"/>
        </w:rPr>
        <w:t xml:space="preserve"> </w:t>
      </w:r>
      <w:r w:rsidRPr="00623A2B">
        <w:rPr>
          <w:rFonts w:ascii="Times New Roman" w:eastAsia="CG Times" w:hAnsi="Times New Roman"/>
          <w:color w:val="000000"/>
          <w:position w:val="-1"/>
          <w:szCs w:val="22"/>
          <w:lang w:val="fr-FR"/>
        </w:rPr>
        <w:t xml:space="preserve">(CIDI) tient des </w:t>
      </w:r>
      <w:r w:rsidRPr="00623A2B">
        <w:rPr>
          <w:rFonts w:ascii="Times New Roman" w:eastAsia="CG Times" w:hAnsi="Times New Roman"/>
          <w:position w:val="-1"/>
          <w:szCs w:val="22"/>
          <w:lang w:val="fr-FR"/>
        </w:rPr>
        <w:t xml:space="preserve">réunions ministérielles et de hauts fonctionnaires couvrant les différents secteurs de développement décrits dans la Charte interaméricaine des entreprises, et que ces réunions ministérielles donnent des mandats au Secrétariat exécutif au développement intégré </w:t>
      </w:r>
      <w:r w:rsidRPr="00623A2B">
        <w:rPr>
          <w:rFonts w:ascii="Times New Roman" w:eastAsia="CG Times" w:hAnsi="Times New Roman"/>
          <w:color w:val="000000"/>
          <w:position w:val="-1"/>
          <w:szCs w:val="22"/>
          <w:lang w:val="fr-FR"/>
        </w:rPr>
        <w:t>(SEDI),</w:t>
      </w:r>
    </w:p>
    <w:p w14:paraId="6144A12B" w14:textId="77777777" w:rsidR="00236661" w:rsidRPr="00623A2B" w:rsidRDefault="00236661" w:rsidP="00FD29B0">
      <w:pPr>
        <w:rPr>
          <w:rFonts w:ascii="Times New Roman" w:hAnsi="Times New Roman"/>
          <w:position w:val="-1"/>
          <w:szCs w:val="22"/>
          <w:lang w:val="fr-FR"/>
        </w:rPr>
      </w:pPr>
    </w:p>
    <w:p w14:paraId="20E7CE02" w14:textId="5D2C1339" w:rsidR="00236661" w:rsidRPr="00623A2B" w:rsidRDefault="00236661" w:rsidP="00FD29B0">
      <w:pPr>
        <w:rPr>
          <w:rFonts w:ascii="Times New Roman" w:hAnsi="Times New Roman"/>
          <w:position w:val="-1"/>
          <w:szCs w:val="22"/>
          <w:lang w:val="fr-FR"/>
        </w:rPr>
      </w:pPr>
      <w:r w:rsidRPr="00623A2B">
        <w:rPr>
          <w:rFonts w:ascii="Times New Roman" w:hAnsi="Times New Roman"/>
          <w:position w:val="-1"/>
          <w:szCs w:val="22"/>
          <w:lang w:val="fr-FR"/>
        </w:rPr>
        <w:tab/>
      </w:r>
      <w:r w:rsidRPr="00623A2B">
        <w:rPr>
          <w:rFonts w:ascii="Times New Roman" w:eastAsia="CG Times" w:hAnsi="Times New Roman"/>
          <w:position w:val="-1"/>
          <w:szCs w:val="22"/>
          <w:lang w:val="fr-FR"/>
        </w:rPr>
        <w:t>Que l’Assemblée générale a adopté la résolution AG/RES. 2954 (L-O/20) « Vers une Charte interaméricaine des entreprises » afin de renforcer les instruments de l'OEA visant à promouvoir le rôle du secteur privé dans le développement intégré du continent américain et d'entamer des discussions dès que possible en vue d'envisager l’adoption de cette charte lors de sa cinquante-et-unième session,</w:t>
      </w:r>
    </w:p>
    <w:p w14:paraId="77D6DEF7" w14:textId="77777777" w:rsidR="00236661" w:rsidRPr="00623A2B" w:rsidRDefault="00236661" w:rsidP="00FD29B0">
      <w:pPr>
        <w:rPr>
          <w:rFonts w:ascii="Times New Roman" w:hAnsi="Times New Roman"/>
          <w:position w:val="-1"/>
          <w:szCs w:val="22"/>
          <w:lang w:val="fr-FR"/>
        </w:rPr>
      </w:pPr>
    </w:p>
    <w:p w14:paraId="0934AB6F" w14:textId="1A237429" w:rsidR="00236661" w:rsidRPr="00623A2B" w:rsidRDefault="00236661" w:rsidP="00FD29B0">
      <w:pPr>
        <w:rPr>
          <w:rFonts w:ascii="Times New Roman" w:hAnsi="Times New Roman"/>
          <w:position w:val="-1"/>
          <w:szCs w:val="22"/>
          <w:lang w:val="fr-FR"/>
        </w:rPr>
      </w:pPr>
      <w:r w:rsidRPr="00623A2B">
        <w:rPr>
          <w:rFonts w:ascii="Times New Roman" w:hAnsi="Times New Roman"/>
          <w:position w:val="-1"/>
          <w:szCs w:val="22"/>
          <w:lang w:val="fr-FR"/>
        </w:rPr>
        <w:tab/>
      </w:r>
      <w:r w:rsidRPr="00623A2B">
        <w:rPr>
          <w:rFonts w:ascii="Times New Roman" w:eastAsia="CG Times" w:hAnsi="Times New Roman"/>
          <w:position w:val="-1"/>
          <w:szCs w:val="22"/>
          <w:lang w:val="fr-FR"/>
        </w:rPr>
        <w:t>Que le 26 janvier 2021, le Conseil interaméricain pour le développement intégré</w:t>
      </w:r>
      <w:r w:rsidRPr="00623A2B">
        <w:rPr>
          <w:rFonts w:ascii="Times New Roman" w:hAnsi="Times New Roman"/>
          <w:position w:val="-1"/>
          <w:szCs w:val="22"/>
          <w:lang w:val="fr-FR"/>
        </w:rPr>
        <w:t xml:space="preserve"> (CIDI) </w:t>
      </w:r>
      <w:r w:rsidRPr="00623A2B">
        <w:rPr>
          <w:rFonts w:ascii="Times New Roman" w:eastAsia="CG Times" w:hAnsi="Times New Roman"/>
          <w:position w:val="-1"/>
          <w:szCs w:val="22"/>
          <w:lang w:val="fr-FR"/>
        </w:rPr>
        <w:t>a adopté la structure des délibérations sur la Charte interaméricaine des entreprises et établi le « Groupe de travail chargé d’élaborer le Projet de Charte interaméricaine des entreprises »</w:t>
      </w:r>
      <w:r w:rsidRPr="00623A2B">
        <w:rPr>
          <w:rFonts w:ascii="Times New Roman" w:hAnsi="Times New Roman"/>
          <w:position w:val="-1"/>
          <w:szCs w:val="22"/>
          <w:lang w:val="fr-FR"/>
        </w:rPr>
        <w:t xml:space="preserve"> (CIDI/doc.306/21 rev.2), </w:t>
      </w:r>
    </w:p>
    <w:p w14:paraId="44A184FC" w14:textId="77777777" w:rsidR="00236661" w:rsidRPr="00623A2B" w:rsidRDefault="00236661" w:rsidP="00FD29B0">
      <w:pPr>
        <w:rPr>
          <w:rFonts w:ascii="Times New Roman" w:hAnsi="Times New Roman"/>
          <w:position w:val="-1"/>
          <w:szCs w:val="22"/>
          <w:lang w:val="fr-FR"/>
        </w:rPr>
      </w:pPr>
    </w:p>
    <w:p w14:paraId="03779237" w14:textId="65DE3EFE" w:rsidR="00236661" w:rsidRPr="00623A2B" w:rsidRDefault="00236661" w:rsidP="00FD29B0">
      <w:pPr>
        <w:rPr>
          <w:rFonts w:ascii="Times New Roman" w:hAnsi="Times New Roman"/>
          <w:position w:val="-1"/>
          <w:szCs w:val="22"/>
          <w:lang w:val="fr-FR"/>
        </w:rPr>
      </w:pPr>
      <w:r w:rsidRPr="00623A2B">
        <w:rPr>
          <w:rFonts w:ascii="Times New Roman" w:hAnsi="Times New Roman"/>
          <w:position w:val="-1"/>
          <w:szCs w:val="22"/>
          <w:lang w:val="fr-FR"/>
        </w:rPr>
        <w:tab/>
        <w:t xml:space="preserve">Que le 22 </w:t>
      </w:r>
      <w:r w:rsidRPr="00623A2B">
        <w:rPr>
          <w:rFonts w:ascii="Times New Roman" w:eastAsia="CG Times" w:hAnsi="Times New Roman"/>
          <w:position w:val="-1"/>
          <w:szCs w:val="22"/>
          <w:lang w:val="fr-FR"/>
        </w:rPr>
        <w:t>octobre 2021, le Groupe de travail a achevé ses délibérations sur le projet de Charte interaméricaine des entreprises</w:t>
      </w:r>
      <w:r w:rsidRPr="00623A2B">
        <w:rPr>
          <w:rFonts w:ascii="Times New Roman" w:hAnsi="Times New Roman"/>
          <w:position w:val="-1"/>
          <w:szCs w:val="22"/>
          <w:lang w:val="fr-FR"/>
        </w:rPr>
        <w:t xml:space="preserve"> (</w:t>
      </w:r>
      <w:r w:rsidRPr="00623A2B">
        <w:rPr>
          <w:rFonts w:ascii="Times New Roman" w:hAnsi="Times New Roman"/>
          <w:position w:val="-1"/>
          <w:szCs w:val="22"/>
          <w:lang w:val="fr-CA"/>
        </w:rPr>
        <w:t>CIDI/GT/CEI-19/21 rev.7</w:t>
      </w:r>
      <w:r w:rsidRPr="00623A2B">
        <w:rPr>
          <w:rFonts w:ascii="Times New Roman" w:hAnsi="Times New Roman"/>
          <w:position w:val="-1"/>
          <w:szCs w:val="22"/>
          <w:lang w:val="fr-FR"/>
        </w:rPr>
        <w:t xml:space="preserve">) et </w:t>
      </w:r>
      <w:r w:rsidRPr="00623A2B">
        <w:rPr>
          <w:rFonts w:ascii="Times New Roman" w:eastAsia="CG Times" w:hAnsi="Times New Roman"/>
          <w:position w:val="-1"/>
          <w:szCs w:val="22"/>
          <w:lang w:val="fr-FR"/>
        </w:rPr>
        <w:t>a présenté son rapport au Conseil interaméricain pour le développement intégré</w:t>
      </w:r>
      <w:r w:rsidRPr="00623A2B">
        <w:rPr>
          <w:rFonts w:ascii="Times New Roman" w:hAnsi="Times New Roman"/>
          <w:position w:val="-1"/>
          <w:szCs w:val="22"/>
          <w:lang w:val="fr-FR"/>
        </w:rPr>
        <w:t xml:space="preserve"> 26 octobre 2021, lequel a </w:t>
      </w:r>
      <w:r w:rsidRPr="00623A2B">
        <w:rPr>
          <w:rFonts w:ascii="Times New Roman" w:eastAsia="CG Times" w:hAnsi="Times New Roman"/>
          <w:position w:val="-1"/>
          <w:szCs w:val="22"/>
          <w:lang w:val="fr-FR"/>
        </w:rPr>
        <w:t>salué la clôture des négociations, a approuvé le projet à caractère juridique non contraignant et a convenu de le transmettre à l'Assemblée générale en recommandant son adoption,</w:t>
      </w:r>
    </w:p>
    <w:p w14:paraId="1D30F337" w14:textId="77777777" w:rsidR="00236661" w:rsidRPr="00623A2B" w:rsidRDefault="00236661" w:rsidP="00236661">
      <w:pPr>
        <w:suppressAutoHyphens/>
        <w:ind w:left="2" w:hangingChars="1" w:hanging="2"/>
        <w:outlineLvl w:val="0"/>
        <w:rPr>
          <w:rFonts w:ascii="Times New Roman" w:hAnsi="Times New Roman"/>
          <w:position w:val="-1"/>
          <w:szCs w:val="22"/>
          <w:lang w:val="fr-FR"/>
        </w:rPr>
      </w:pPr>
    </w:p>
    <w:p w14:paraId="3E8CC3EC" w14:textId="77777777" w:rsidR="008B476B" w:rsidRDefault="008B476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G Times" w:hAnsi="Times New Roman"/>
          <w:position w:val="-1"/>
          <w:szCs w:val="22"/>
          <w:lang w:val="fr-FR"/>
        </w:rPr>
      </w:pPr>
      <w:r>
        <w:rPr>
          <w:rFonts w:ascii="Times New Roman" w:eastAsia="CG Times" w:hAnsi="Times New Roman"/>
          <w:position w:val="-1"/>
          <w:szCs w:val="22"/>
          <w:lang w:val="fr-FR"/>
        </w:rPr>
        <w:br w:type="page"/>
      </w:r>
    </w:p>
    <w:p w14:paraId="79EF5766" w14:textId="1F0FDC8D" w:rsidR="00236661" w:rsidRPr="00623A2B" w:rsidRDefault="00236661" w:rsidP="00FD29B0">
      <w:pPr>
        <w:rPr>
          <w:rFonts w:ascii="Times New Roman" w:hAnsi="Times New Roman"/>
          <w:position w:val="-1"/>
          <w:szCs w:val="22"/>
          <w:lang w:val="fr-FR"/>
        </w:rPr>
      </w:pPr>
      <w:r w:rsidRPr="00623A2B">
        <w:rPr>
          <w:rFonts w:ascii="Times New Roman" w:eastAsia="CG Times" w:hAnsi="Times New Roman"/>
          <w:position w:val="-1"/>
          <w:szCs w:val="22"/>
          <w:lang w:val="fr-FR"/>
        </w:rPr>
        <w:lastRenderedPageBreak/>
        <w:t xml:space="preserve">DÉCIDE </w:t>
      </w:r>
      <w:r w:rsidRPr="00623A2B">
        <w:rPr>
          <w:rFonts w:ascii="Times New Roman" w:hAnsi="Times New Roman"/>
          <w:position w:val="-1"/>
          <w:szCs w:val="22"/>
          <w:lang w:val="fr-FR"/>
        </w:rPr>
        <w:t>:</w:t>
      </w:r>
    </w:p>
    <w:p w14:paraId="6DF8DCC3" w14:textId="77777777" w:rsidR="00236661" w:rsidRPr="00623A2B" w:rsidRDefault="00236661" w:rsidP="00236661">
      <w:pPr>
        <w:keepNext/>
        <w:suppressAutoHyphens/>
        <w:ind w:left="2" w:hangingChars="1" w:hanging="2"/>
        <w:outlineLvl w:val="0"/>
        <w:rPr>
          <w:rFonts w:ascii="Times New Roman" w:hAnsi="Times New Roman"/>
          <w:position w:val="-1"/>
          <w:szCs w:val="22"/>
          <w:lang w:val="fr-FR"/>
        </w:rPr>
      </w:pPr>
    </w:p>
    <w:p w14:paraId="7F3A16A7" w14:textId="3944FF24" w:rsidR="00236661" w:rsidRDefault="00236661" w:rsidP="001B5A48">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position w:val="-1"/>
          <w:szCs w:val="22"/>
          <w:lang w:val="fr-FR"/>
        </w:rPr>
      </w:pPr>
      <w:r w:rsidRPr="00623A2B">
        <w:rPr>
          <w:rFonts w:ascii="Times New Roman" w:eastAsia="CG Times" w:hAnsi="Times New Roman"/>
          <w:position w:val="-1"/>
          <w:szCs w:val="22"/>
          <w:lang w:val="fr-FR"/>
        </w:rPr>
        <w:t>D’adopter la Charte interaméricaine des entreprises, annexée à la présente résolution</w:t>
      </w:r>
      <w:r w:rsidRPr="00623A2B">
        <w:rPr>
          <w:rFonts w:ascii="Times New Roman" w:hAnsi="Times New Roman"/>
          <w:position w:val="-1"/>
          <w:szCs w:val="22"/>
          <w:lang w:val="fr-FR"/>
        </w:rPr>
        <w:t>.</w:t>
      </w:r>
    </w:p>
    <w:p w14:paraId="26FCC9B8" w14:textId="77777777" w:rsidR="008B476B" w:rsidRPr="00623A2B" w:rsidRDefault="008B476B" w:rsidP="008B476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position w:val="-1"/>
          <w:szCs w:val="22"/>
          <w:lang w:val="fr-FR"/>
        </w:rPr>
      </w:pPr>
    </w:p>
    <w:p w14:paraId="72840192" w14:textId="77777777" w:rsidR="00236661" w:rsidRPr="00623A2B" w:rsidRDefault="00236661" w:rsidP="001B5A48">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position w:val="-1"/>
          <w:szCs w:val="22"/>
          <w:lang w:val="fr-FR"/>
        </w:rPr>
      </w:pPr>
      <w:r w:rsidRPr="00623A2B">
        <w:rPr>
          <w:rFonts w:ascii="Times New Roman" w:eastAsia="CG Times" w:hAnsi="Times New Roman"/>
          <w:position w:val="-1"/>
          <w:szCs w:val="22"/>
          <w:lang w:val="fr-FR"/>
        </w:rPr>
        <w:t xml:space="preserve">De charger le Secrétariat exécutif au développement intégré </w:t>
      </w:r>
      <w:r w:rsidRPr="00623A2B">
        <w:rPr>
          <w:rFonts w:ascii="Times New Roman" w:hAnsi="Times New Roman"/>
          <w:position w:val="-1"/>
          <w:szCs w:val="22"/>
          <w:lang w:val="fr-FR"/>
        </w:rPr>
        <w:t xml:space="preserve">(SEDI), </w:t>
      </w:r>
      <w:r w:rsidRPr="00623A2B">
        <w:rPr>
          <w:rFonts w:ascii="Times New Roman" w:eastAsia="CG Times" w:hAnsi="Times New Roman"/>
          <w:position w:val="-1"/>
          <w:szCs w:val="22"/>
          <w:lang w:val="fr-FR"/>
        </w:rPr>
        <w:t xml:space="preserve">par le biais des </w:t>
      </w:r>
      <w:r w:rsidRPr="00623A2B">
        <w:rPr>
          <w:rFonts w:ascii="Times New Roman" w:hAnsi="Times New Roman"/>
          <w:position w:val="-1"/>
          <w:szCs w:val="22"/>
          <w:lang w:val="fr-FR"/>
        </w:rPr>
        <w:t xml:space="preserve">réunions ministérielles </w:t>
      </w:r>
      <w:r w:rsidRPr="00623A2B">
        <w:rPr>
          <w:rFonts w:ascii="Times New Roman" w:eastAsia="CG Times" w:hAnsi="Times New Roman"/>
          <w:position w:val="-1"/>
          <w:szCs w:val="22"/>
          <w:lang w:val="fr-FR"/>
        </w:rPr>
        <w:t xml:space="preserve">et des hautes autorités du </w:t>
      </w:r>
      <w:r w:rsidRPr="00623A2B">
        <w:rPr>
          <w:rFonts w:ascii="Times New Roman" w:hAnsi="Times New Roman"/>
          <w:position w:val="-1"/>
          <w:szCs w:val="22"/>
          <w:lang w:val="fr-FR"/>
        </w:rPr>
        <w:t xml:space="preserve">CIDI, </w:t>
      </w:r>
      <w:r w:rsidRPr="00623A2B">
        <w:rPr>
          <w:rFonts w:ascii="Times New Roman" w:eastAsia="CG Times" w:hAnsi="Times New Roman"/>
          <w:position w:val="-1"/>
          <w:szCs w:val="22"/>
          <w:lang w:val="fr-FR"/>
        </w:rPr>
        <w:t xml:space="preserve">et en collaboration avec les autres secrétariats pertinents, de soutenir les États membres, qui en font la demande, dans </w:t>
      </w:r>
      <w:r w:rsidRPr="00623A2B">
        <w:rPr>
          <w:rFonts w:ascii="Times New Roman" w:hAnsi="Times New Roman"/>
          <w:position w:val="-1"/>
          <w:szCs w:val="22"/>
          <w:lang w:val="fr-FR"/>
        </w:rPr>
        <w:t xml:space="preserve">l’identification des objectifs et débouchés découlant de ces processus </w:t>
      </w:r>
      <w:r w:rsidRPr="00623A2B">
        <w:rPr>
          <w:rFonts w:ascii="Times New Roman" w:eastAsia="CG Times" w:hAnsi="Times New Roman"/>
          <w:position w:val="-1"/>
          <w:szCs w:val="22"/>
          <w:lang w:val="fr-FR"/>
        </w:rPr>
        <w:t>liés aux questions abordées dans la Charte interaméricaine des entreprises</w:t>
      </w:r>
      <w:r w:rsidRPr="00623A2B">
        <w:rPr>
          <w:rFonts w:ascii="Times New Roman" w:hAnsi="Times New Roman"/>
          <w:position w:val="-1"/>
          <w:szCs w:val="22"/>
          <w:lang w:val="fr-FR"/>
        </w:rPr>
        <w:t>.</w:t>
      </w:r>
    </w:p>
    <w:p w14:paraId="4D3D3673" w14:textId="77777777" w:rsidR="00236661" w:rsidRPr="00623A2B" w:rsidRDefault="00236661" w:rsidP="00236661">
      <w:pPr>
        <w:suppressAutoHyphens/>
        <w:ind w:left="2" w:hangingChars="1" w:hanging="2"/>
        <w:contextualSpacing/>
        <w:outlineLvl w:val="0"/>
        <w:rPr>
          <w:rFonts w:ascii="Times New Roman" w:hAnsi="Times New Roman"/>
          <w:position w:val="-1"/>
          <w:szCs w:val="22"/>
          <w:lang w:val="fr-FR"/>
        </w:rPr>
      </w:pPr>
    </w:p>
    <w:p w14:paraId="405EAFB8" w14:textId="77777777" w:rsidR="00236661" w:rsidRPr="00623A2B" w:rsidRDefault="00236661" w:rsidP="001B5A48">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position w:val="-1"/>
          <w:szCs w:val="22"/>
          <w:lang w:val="fr-FR"/>
        </w:rPr>
      </w:pPr>
      <w:r w:rsidRPr="00623A2B">
        <w:rPr>
          <w:rFonts w:ascii="Times New Roman" w:eastAsia="CG Times" w:hAnsi="Times New Roman"/>
          <w:position w:val="-1"/>
          <w:szCs w:val="22"/>
          <w:lang w:val="fr-FR"/>
        </w:rPr>
        <w:t>D’encourager les États membres</w:t>
      </w:r>
      <w:r w:rsidRPr="00623A2B">
        <w:rPr>
          <w:rFonts w:ascii="Times New Roman" w:hAnsi="Times New Roman"/>
          <w:position w:val="-1"/>
          <w:szCs w:val="22"/>
          <w:lang w:val="fr-FR"/>
        </w:rPr>
        <w:t xml:space="preserve">, lorsqu’elle souhaitera discuter des thèmes liés à la Charte interaméricaine des entreprises lors </w:t>
      </w:r>
      <w:r w:rsidRPr="00623A2B">
        <w:rPr>
          <w:rFonts w:ascii="Times New Roman" w:eastAsia="CG Times" w:hAnsi="Times New Roman"/>
          <w:position w:val="-1"/>
          <w:szCs w:val="22"/>
          <w:lang w:val="fr-FR"/>
        </w:rPr>
        <w:t>des</w:t>
      </w:r>
      <w:r w:rsidRPr="00623A2B">
        <w:rPr>
          <w:rFonts w:ascii="Times New Roman" w:hAnsi="Times New Roman"/>
          <w:position w:val="-1"/>
          <w:szCs w:val="22"/>
          <w:lang w:val="fr-FR"/>
        </w:rPr>
        <w:t xml:space="preserve"> réunions ministérielles pertinentes et des autres forums de haut niveau de </w:t>
      </w:r>
      <w:r w:rsidRPr="00623A2B">
        <w:rPr>
          <w:rFonts w:ascii="Times New Roman" w:eastAsia="CG Times" w:hAnsi="Times New Roman"/>
          <w:position w:val="-1"/>
          <w:szCs w:val="22"/>
          <w:lang w:val="fr-FR"/>
        </w:rPr>
        <w:t>l’Organisation</w:t>
      </w:r>
      <w:r w:rsidRPr="00623A2B">
        <w:rPr>
          <w:rFonts w:ascii="Times New Roman" w:hAnsi="Times New Roman"/>
          <w:position w:val="-1"/>
          <w:szCs w:val="22"/>
          <w:lang w:val="fr-FR"/>
        </w:rPr>
        <w:t xml:space="preserve"> des États Américains, à continuer de promouvoir le dialogue </w:t>
      </w:r>
      <w:r w:rsidRPr="00623A2B">
        <w:rPr>
          <w:rFonts w:ascii="Times New Roman" w:eastAsia="CG Times" w:hAnsi="Times New Roman"/>
          <w:position w:val="-1"/>
          <w:szCs w:val="22"/>
          <w:lang w:val="fr-FR"/>
        </w:rPr>
        <w:t xml:space="preserve">avec des représentants du secteur des affaires </w:t>
      </w:r>
      <w:r w:rsidRPr="00623A2B">
        <w:rPr>
          <w:rFonts w:ascii="Times New Roman" w:hAnsi="Times New Roman"/>
          <w:position w:val="-1"/>
          <w:szCs w:val="22"/>
          <w:lang w:val="fr-FR"/>
        </w:rPr>
        <w:t xml:space="preserve">afin de renforcer son rôle dans le développement intégré.  </w:t>
      </w:r>
    </w:p>
    <w:p w14:paraId="0B880CCC" w14:textId="77777777" w:rsidR="00236661" w:rsidRPr="00623A2B" w:rsidRDefault="00236661" w:rsidP="00236661">
      <w:pPr>
        <w:suppressAutoHyphens/>
        <w:ind w:left="2" w:hangingChars="1" w:hanging="2"/>
        <w:outlineLvl w:val="0"/>
        <w:rPr>
          <w:rFonts w:ascii="Times New Roman" w:hAnsi="Times New Roman"/>
          <w:position w:val="-1"/>
          <w:szCs w:val="22"/>
          <w:lang w:val="fr-FR"/>
        </w:rPr>
      </w:pPr>
    </w:p>
    <w:p w14:paraId="7D5FB79C" w14:textId="77777777" w:rsidR="00236661" w:rsidRPr="00623A2B" w:rsidRDefault="00236661" w:rsidP="001B5A48">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position w:val="-1"/>
          <w:szCs w:val="22"/>
          <w:lang w:val="fr-FR"/>
        </w:rPr>
      </w:pPr>
      <w:r w:rsidRPr="00623A2B">
        <w:rPr>
          <w:rFonts w:ascii="Times New Roman" w:eastAsia="CG Times" w:hAnsi="Times New Roman"/>
          <w:position w:val="-1"/>
          <w:szCs w:val="22"/>
          <w:lang w:val="fr-FR"/>
        </w:rPr>
        <w:t>D'inviter instamment le Conseil interaméricain pour le développement intégré</w:t>
      </w:r>
      <w:r w:rsidRPr="00623A2B">
        <w:rPr>
          <w:rFonts w:ascii="Times New Roman" w:hAnsi="Times New Roman"/>
          <w:position w:val="-1"/>
          <w:szCs w:val="22"/>
          <w:lang w:val="fr-FR"/>
        </w:rPr>
        <w:t xml:space="preserve"> (CIDI) à inclure tous les deux ans dans son </w:t>
      </w:r>
      <w:r w:rsidRPr="00623A2B">
        <w:rPr>
          <w:rFonts w:ascii="Times New Roman" w:eastAsia="CG Times" w:hAnsi="Times New Roman"/>
          <w:position w:val="-1"/>
          <w:szCs w:val="22"/>
          <w:lang w:val="fr-FR"/>
        </w:rPr>
        <w:t>programme</w:t>
      </w:r>
      <w:r w:rsidRPr="00623A2B">
        <w:rPr>
          <w:rFonts w:ascii="Times New Roman" w:hAnsi="Times New Roman"/>
          <w:position w:val="-1"/>
          <w:szCs w:val="22"/>
          <w:lang w:val="fr-FR"/>
        </w:rPr>
        <w:t xml:space="preserve"> de travail une session conjointe avec le Conseil permanent, </w:t>
      </w:r>
      <w:r w:rsidRPr="00623A2B">
        <w:rPr>
          <w:rFonts w:ascii="Times New Roman" w:eastAsia="CG Times" w:hAnsi="Times New Roman"/>
          <w:position w:val="-1"/>
          <w:szCs w:val="22"/>
          <w:lang w:val="fr-FR"/>
        </w:rPr>
        <w:t>durant laquelle les États membres auront l'occasion de</w:t>
      </w:r>
      <w:r w:rsidRPr="00623A2B">
        <w:rPr>
          <w:rFonts w:ascii="Times New Roman" w:hAnsi="Times New Roman"/>
          <w:position w:val="-1"/>
          <w:szCs w:val="22"/>
          <w:lang w:val="fr-FR"/>
        </w:rPr>
        <w:t xml:space="preserve"> réfléchir sur les thèmes de la Charte interaméricaine des entreprises ; et, de charger le SEDI </w:t>
      </w:r>
      <w:r w:rsidRPr="00623A2B">
        <w:rPr>
          <w:rFonts w:ascii="Times New Roman" w:eastAsia="CG Times" w:hAnsi="Times New Roman"/>
          <w:position w:val="-1"/>
          <w:szCs w:val="22"/>
          <w:lang w:val="fr-FR"/>
        </w:rPr>
        <w:t xml:space="preserve">d’élaborer à l’issue </w:t>
      </w:r>
      <w:r w:rsidRPr="00623A2B">
        <w:rPr>
          <w:rFonts w:ascii="Times New Roman" w:hAnsi="Times New Roman"/>
          <w:position w:val="-1"/>
          <w:szCs w:val="22"/>
          <w:lang w:val="fr-FR"/>
        </w:rPr>
        <w:t xml:space="preserve">un </w:t>
      </w:r>
      <w:r w:rsidRPr="00623A2B">
        <w:rPr>
          <w:rFonts w:ascii="Times New Roman" w:eastAsia="CG Times" w:hAnsi="Times New Roman"/>
          <w:position w:val="-1"/>
          <w:szCs w:val="22"/>
          <w:lang w:val="fr-FR"/>
        </w:rPr>
        <w:t xml:space="preserve">rapport </w:t>
      </w:r>
      <w:r w:rsidRPr="00623A2B">
        <w:rPr>
          <w:rFonts w:ascii="Times New Roman" w:hAnsi="Times New Roman"/>
          <w:position w:val="-1"/>
          <w:szCs w:val="22"/>
          <w:lang w:val="fr-FR"/>
        </w:rPr>
        <w:t>en coordination avec les autres Secrétariats pertinents,</w:t>
      </w:r>
      <w:r w:rsidRPr="00623A2B">
        <w:rPr>
          <w:rFonts w:ascii="Times New Roman" w:eastAsia="CG Times" w:hAnsi="Times New Roman"/>
          <w:position w:val="-1"/>
          <w:szCs w:val="22"/>
          <w:lang w:val="fr-FR"/>
        </w:rPr>
        <w:t xml:space="preserve"> lequel devra être transmis à l'Assemblée générale</w:t>
      </w:r>
      <w:r w:rsidRPr="00623A2B">
        <w:rPr>
          <w:rFonts w:ascii="Times New Roman" w:hAnsi="Times New Roman"/>
          <w:position w:val="-1"/>
          <w:szCs w:val="22"/>
          <w:lang w:val="fr-FR"/>
        </w:rPr>
        <w:t>, avec un ensemble de propositions générales sur la manière dont les États membres peuvent faire avancer les différents thèmes de la Charte interaméricaine des entreprises.</w:t>
      </w:r>
    </w:p>
    <w:p w14:paraId="5C13E324" w14:textId="77777777" w:rsidR="00236661" w:rsidRPr="00623A2B" w:rsidRDefault="00236661" w:rsidP="00236661">
      <w:pPr>
        <w:pStyle w:val="ListParagraph"/>
        <w:rPr>
          <w:rFonts w:ascii="Times New Roman" w:hAnsi="Times New Roman"/>
          <w:position w:val="-1"/>
          <w:szCs w:val="22"/>
          <w:lang w:val="fr-FR"/>
        </w:rPr>
      </w:pPr>
    </w:p>
    <w:p w14:paraId="01FDC582" w14:textId="77777777" w:rsidR="00236661" w:rsidRPr="00623A2B" w:rsidRDefault="00236661" w:rsidP="001B5A48">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napToGrid w:val="0"/>
          <w:szCs w:val="22"/>
          <w:lang w:val="fr-FR"/>
        </w:rPr>
      </w:pPr>
      <w:r w:rsidRPr="00623A2B">
        <w:rPr>
          <w:rFonts w:ascii="Times New Roman" w:eastAsia="CG Times" w:hAnsi="Times New Roman"/>
          <w:position w:val="-1"/>
          <w:szCs w:val="22"/>
          <w:lang w:val="fr-FR"/>
        </w:rPr>
        <w:t>Etablir que la mise en œuvre des activités prévues dans la présente résolution dépendra de la disponibilité de ressources financières.</w:t>
      </w:r>
      <w:r w:rsidRPr="00623A2B">
        <w:rPr>
          <w:rFonts w:ascii="Times New Roman" w:hAnsi="Times New Roman"/>
          <w:snapToGrid w:val="0"/>
          <w:szCs w:val="22"/>
          <w:lang w:val="fr-FR"/>
        </w:rPr>
        <w:tab/>
      </w:r>
    </w:p>
    <w:p w14:paraId="7F8EAF24" w14:textId="77777777" w:rsidR="00236661" w:rsidRPr="00623A2B" w:rsidRDefault="00236661" w:rsidP="00236661">
      <w:pPr>
        <w:tabs>
          <w:tab w:val="center" w:pos="2880"/>
        </w:tabs>
        <w:snapToGrid w:val="0"/>
        <w:ind w:right="-1559"/>
        <w:rPr>
          <w:rFonts w:ascii="Times New Roman" w:hAnsi="Times New Roman"/>
          <w:szCs w:val="22"/>
          <w:lang w:val="fr-FR"/>
        </w:rPr>
      </w:pPr>
      <w:r w:rsidRPr="00623A2B">
        <w:rPr>
          <w:rFonts w:ascii="Times New Roman" w:hAnsi="Times New Roman"/>
          <w:szCs w:val="22"/>
          <w:lang w:val="fr-FR"/>
        </w:rPr>
        <w:tab/>
      </w:r>
    </w:p>
    <w:p w14:paraId="1FE1EAA6" w14:textId="77777777" w:rsidR="00236661" w:rsidRPr="00623A2B" w:rsidRDefault="00236661" w:rsidP="00236661">
      <w:pPr>
        <w:tabs>
          <w:tab w:val="center" w:pos="2880"/>
        </w:tabs>
        <w:snapToGrid w:val="0"/>
        <w:ind w:right="-1559"/>
        <w:rPr>
          <w:rFonts w:ascii="Times New Roman" w:hAnsi="Times New Roman"/>
          <w:snapToGrid w:val="0"/>
          <w:szCs w:val="22"/>
          <w:lang w:val="fr-FR"/>
        </w:rPr>
      </w:pPr>
      <w:r w:rsidRPr="00623A2B">
        <w:rPr>
          <w:rFonts w:ascii="Times New Roman" w:hAnsi="Times New Roman"/>
          <w:szCs w:val="22"/>
          <w:lang w:val="fr-FR"/>
        </w:rPr>
        <w:tab/>
      </w:r>
    </w:p>
    <w:p w14:paraId="38F3A25E" w14:textId="77777777" w:rsidR="00236661" w:rsidRPr="00623A2B" w:rsidRDefault="00236661" w:rsidP="00236661">
      <w:pPr>
        <w:snapToGrid w:val="0"/>
        <w:jc w:val="center"/>
        <w:rPr>
          <w:rFonts w:ascii="Times New Roman" w:hAnsi="Times New Roman"/>
          <w:snapToGrid w:val="0"/>
          <w:szCs w:val="22"/>
          <w:lang w:val="fr-FR"/>
        </w:rPr>
      </w:pPr>
      <w:r w:rsidRPr="00623A2B">
        <w:rPr>
          <w:rFonts w:ascii="Times New Roman" w:hAnsi="Times New Roman"/>
          <w:snapToGrid w:val="0"/>
          <w:szCs w:val="22"/>
          <w:lang w:val="fr-FR"/>
        </w:rPr>
        <w:br w:type="page"/>
      </w:r>
    </w:p>
    <w:p w14:paraId="75A8D599" w14:textId="77777777" w:rsidR="00236661" w:rsidRPr="00623A2B" w:rsidRDefault="00236661" w:rsidP="00236661">
      <w:pPr>
        <w:snapToGrid w:val="0"/>
        <w:jc w:val="right"/>
        <w:rPr>
          <w:rFonts w:ascii="Times New Roman" w:hAnsi="Times New Roman"/>
          <w:caps/>
          <w:snapToGrid w:val="0"/>
          <w:szCs w:val="22"/>
          <w:lang w:val="fr-FR"/>
        </w:rPr>
      </w:pPr>
      <w:r w:rsidRPr="00623A2B">
        <w:rPr>
          <w:rFonts w:ascii="Times New Roman" w:eastAsia="CG Times" w:hAnsi="Times New Roman"/>
          <w:caps/>
          <w:position w:val="-1"/>
          <w:szCs w:val="22"/>
          <w:lang w:val="fr-FR"/>
        </w:rPr>
        <w:lastRenderedPageBreak/>
        <w:t>annexé</w:t>
      </w:r>
    </w:p>
    <w:p w14:paraId="69174C89" w14:textId="77777777" w:rsidR="00236661" w:rsidRPr="00623A2B" w:rsidRDefault="00236661" w:rsidP="00236661">
      <w:pPr>
        <w:snapToGrid w:val="0"/>
        <w:jc w:val="center"/>
        <w:rPr>
          <w:rFonts w:ascii="Times New Roman" w:hAnsi="Times New Roman"/>
          <w:snapToGrid w:val="0"/>
          <w:szCs w:val="22"/>
          <w:lang w:val="fr-FR"/>
        </w:rPr>
      </w:pPr>
    </w:p>
    <w:p w14:paraId="3DE00AA6" w14:textId="77777777" w:rsidR="00236661" w:rsidRPr="00623A2B" w:rsidRDefault="00236661" w:rsidP="00236661">
      <w:pPr>
        <w:snapToGrid w:val="0"/>
        <w:jc w:val="center"/>
        <w:rPr>
          <w:rFonts w:ascii="Times New Roman" w:hAnsi="Times New Roman"/>
          <w:snapToGrid w:val="0"/>
          <w:szCs w:val="22"/>
          <w:lang w:val="fr-FR"/>
        </w:rPr>
      </w:pPr>
      <w:r w:rsidRPr="00623A2B">
        <w:rPr>
          <w:rFonts w:ascii="Times New Roman" w:hAnsi="Times New Roman"/>
          <w:snapToGrid w:val="0"/>
          <w:szCs w:val="22"/>
          <w:lang w:val="fr-FR"/>
        </w:rPr>
        <w:t xml:space="preserve">CHARTE INTERAMÉRICAINE DES ENTREPRISES </w:t>
      </w:r>
    </w:p>
    <w:p w14:paraId="570544D7" w14:textId="77777777" w:rsidR="00236661" w:rsidRPr="00623A2B" w:rsidRDefault="00236661" w:rsidP="00236661">
      <w:pPr>
        <w:snapToGrid w:val="0"/>
        <w:jc w:val="center"/>
        <w:rPr>
          <w:rFonts w:ascii="Times New Roman" w:hAnsi="Times New Roman"/>
          <w:snapToGrid w:val="0"/>
          <w:szCs w:val="22"/>
          <w:lang w:val="fr-FR"/>
        </w:rPr>
      </w:pPr>
    </w:p>
    <w:p w14:paraId="002ED156" w14:textId="77777777" w:rsidR="00236661" w:rsidRPr="00623A2B" w:rsidRDefault="00236661" w:rsidP="00236661">
      <w:pPr>
        <w:pBdr>
          <w:top w:val="nil"/>
          <w:left w:val="nil"/>
          <w:bottom w:val="nil"/>
          <w:right w:val="nil"/>
          <w:between w:val="nil"/>
        </w:pBdr>
        <w:snapToGrid w:val="0"/>
        <w:rPr>
          <w:rFonts w:ascii="Times New Roman" w:hAnsi="Times New Roman"/>
          <w:snapToGrid w:val="0"/>
          <w:szCs w:val="22"/>
          <w:lang w:val="fr-FR"/>
        </w:rPr>
      </w:pPr>
    </w:p>
    <w:p w14:paraId="1F2192EE" w14:textId="77777777" w:rsidR="00236661" w:rsidRPr="00623A2B" w:rsidRDefault="00236661" w:rsidP="00236661">
      <w:pPr>
        <w:ind w:firstLine="720"/>
        <w:rPr>
          <w:rFonts w:ascii="Times New Roman" w:hAnsi="Times New Roman"/>
          <w:szCs w:val="22"/>
          <w:lang w:val="fr-FR"/>
        </w:rPr>
      </w:pPr>
      <w:r w:rsidRPr="00623A2B">
        <w:rPr>
          <w:rFonts w:ascii="Times New Roman" w:hAnsi="Times New Roman"/>
          <w:szCs w:val="22"/>
          <w:lang w:val="fr-FR"/>
        </w:rPr>
        <w:t>L'ASSEMBLÉE GÉNÉRALE,</w:t>
      </w:r>
    </w:p>
    <w:p w14:paraId="660E8143" w14:textId="77777777" w:rsidR="00236661" w:rsidRPr="00623A2B" w:rsidRDefault="00236661" w:rsidP="00236661">
      <w:pPr>
        <w:ind w:firstLine="720"/>
        <w:rPr>
          <w:rFonts w:ascii="Times New Roman" w:hAnsi="Times New Roman"/>
          <w:szCs w:val="22"/>
          <w:lang w:val="fr-FR"/>
        </w:rPr>
      </w:pPr>
    </w:p>
    <w:p w14:paraId="5581D688" w14:textId="77777777" w:rsidR="00236661" w:rsidRPr="00623A2B" w:rsidRDefault="00236661" w:rsidP="00236661">
      <w:pPr>
        <w:ind w:firstLine="720"/>
        <w:rPr>
          <w:rFonts w:ascii="Times New Roman" w:hAnsi="Times New Roman"/>
          <w:position w:val="-1"/>
          <w:szCs w:val="22"/>
          <w:lang w:val="fr-FR"/>
        </w:rPr>
      </w:pPr>
      <w:r w:rsidRPr="00623A2B">
        <w:rPr>
          <w:rFonts w:ascii="Times New Roman" w:hAnsi="Times New Roman"/>
          <w:bCs/>
          <w:iCs/>
          <w:position w:val="-1"/>
          <w:szCs w:val="22"/>
          <w:lang w:val="fr-FR"/>
        </w:rPr>
        <w:t>CONSIDÉRANT</w:t>
      </w:r>
      <w:r w:rsidRPr="00623A2B">
        <w:rPr>
          <w:rFonts w:ascii="Times New Roman" w:hAnsi="Times New Roman"/>
          <w:position w:val="-1"/>
          <w:szCs w:val="22"/>
          <w:lang w:val="fr-FR"/>
        </w:rPr>
        <w:t xml:space="preserve"> que les personnes devraient être au cœur des politiques publiques et que la Charte de l’Organisation des États Américains établit que le développement intégré englobe les domaines économique, social, éducatif, culturel, scientifique et technologique, par le biais desquels les États membres s’efforcent d’atteindre les objectifs propres à assurer ce développement,</w:t>
      </w:r>
    </w:p>
    <w:p w14:paraId="71100E86" w14:textId="77777777" w:rsidR="00236661" w:rsidRPr="00623A2B" w:rsidRDefault="00236661" w:rsidP="00236661">
      <w:pPr>
        <w:ind w:firstLine="720"/>
        <w:rPr>
          <w:rFonts w:ascii="Times New Roman" w:hAnsi="Times New Roman"/>
          <w:szCs w:val="22"/>
          <w:lang w:val="fr-FR"/>
        </w:rPr>
      </w:pPr>
    </w:p>
    <w:p w14:paraId="100A12D5" w14:textId="77777777" w:rsidR="00236661" w:rsidRPr="00623A2B" w:rsidRDefault="00236661" w:rsidP="00236661">
      <w:pPr>
        <w:ind w:firstLine="720"/>
        <w:rPr>
          <w:rFonts w:ascii="Times New Roman" w:hAnsi="Times New Roman"/>
          <w:bCs/>
          <w:iCs/>
          <w:position w:val="-1"/>
          <w:szCs w:val="22"/>
          <w:lang w:val="fr-FR"/>
        </w:rPr>
      </w:pPr>
      <w:r w:rsidRPr="00623A2B">
        <w:rPr>
          <w:rFonts w:ascii="Times New Roman" w:hAnsi="Times New Roman"/>
          <w:bCs/>
          <w:iCs/>
          <w:position w:val="-1"/>
          <w:szCs w:val="22"/>
          <w:lang w:val="fr-FR"/>
        </w:rPr>
        <w:t>RAPPELANT que la Charte démocratique interaméricaine reconnaît l’importance de l’état de droit et que la croissance économique et le développement social fondés sur la justice et l’équité ainsi que la démocratie sont interdépendants et se renforcent mutuellement</w:t>
      </w:r>
      <w:r w:rsidRPr="00623A2B">
        <w:rPr>
          <w:rFonts w:ascii="Times New Roman" w:hAnsi="Times New Roman"/>
          <w:szCs w:val="22"/>
          <w:lang w:val="fr-FR"/>
        </w:rPr>
        <w:t>,</w:t>
      </w:r>
    </w:p>
    <w:p w14:paraId="6D813B6F" w14:textId="77777777" w:rsidR="00236661" w:rsidRPr="00623A2B" w:rsidRDefault="00236661" w:rsidP="00236661">
      <w:pPr>
        <w:ind w:firstLine="720"/>
        <w:rPr>
          <w:rFonts w:ascii="Times New Roman" w:hAnsi="Times New Roman"/>
          <w:bCs/>
          <w:iCs/>
          <w:position w:val="-1"/>
          <w:szCs w:val="22"/>
          <w:lang w:val="fr-FR"/>
        </w:rPr>
      </w:pPr>
    </w:p>
    <w:p w14:paraId="11D20B29" w14:textId="77777777" w:rsidR="00236661" w:rsidRPr="00623A2B" w:rsidRDefault="00236661" w:rsidP="00236661">
      <w:pPr>
        <w:ind w:firstLine="720"/>
        <w:rPr>
          <w:rFonts w:ascii="Times New Roman" w:hAnsi="Times New Roman"/>
          <w:bCs/>
          <w:iCs/>
          <w:position w:val="-1"/>
          <w:szCs w:val="22"/>
          <w:lang w:val="fr-FR"/>
        </w:rPr>
      </w:pPr>
      <w:r w:rsidRPr="00623A2B">
        <w:rPr>
          <w:rFonts w:ascii="Times New Roman" w:hAnsi="Times New Roman"/>
          <w:bCs/>
          <w:iCs/>
          <w:position w:val="-1"/>
          <w:szCs w:val="22"/>
          <w:lang w:val="fr-FR"/>
        </w:rPr>
        <w:t xml:space="preserve">RAPPELANT AUSSI les résolutions sur la promotion de la </w:t>
      </w:r>
      <w:r w:rsidRPr="00623A2B">
        <w:rPr>
          <w:rFonts w:ascii="Times New Roman" w:hAnsi="Times New Roman"/>
          <w:position w:val="-1"/>
          <w:szCs w:val="22"/>
          <w:lang w:val="fr-FR"/>
        </w:rPr>
        <w:t>responsabilité sociale</w:t>
      </w:r>
      <w:r w:rsidRPr="00623A2B">
        <w:rPr>
          <w:rFonts w:ascii="Times New Roman" w:hAnsi="Times New Roman"/>
          <w:bCs/>
          <w:iCs/>
          <w:position w:val="-1"/>
          <w:szCs w:val="22"/>
          <w:lang w:val="fr-FR"/>
        </w:rPr>
        <w:t xml:space="preserve"> de l'entreprise dans le continent américain et sur la promotion et la protection des droits de la personne en milieu d’entreprise ainsi que les Principes directeurs des Nations Unies relatifs aux entreprises et aux droits de l'homme qui ont établi un cadre de référence pour aider à prévenir et traiter les effets négatifs des activités commerciales sur les droits de la personne,</w:t>
      </w:r>
    </w:p>
    <w:p w14:paraId="4202E4DC" w14:textId="77777777" w:rsidR="00236661" w:rsidRPr="00623A2B" w:rsidRDefault="00236661" w:rsidP="00236661">
      <w:pPr>
        <w:ind w:firstLine="720"/>
        <w:rPr>
          <w:rFonts w:ascii="Times New Roman" w:hAnsi="Times New Roman"/>
          <w:bCs/>
          <w:iCs/>
          <w:position w:val="-1"/>
          <w:szCs w:val="22"/>
          <w:lang w:val="fr-FR"/>
        </w:rPr>
      </w:pPr>
    </w:p>
    <w:p w14:paraId="041291E9" w14:textId="77777777" w:rsidR="00236661" w:rsidRPr="00623A2B" w:rsidRDefault="00236661" w:rsidP="00236661">
      <w:pPr>
        <w:ind w:firstLine="720"/>
        <w:rPr>
          <w:rFonts w:ascii="Times New Roman" w:hAnsi="Times New Roman"/>
          <w:bCs/>
          <w:iCs/>
          <w:position w:val="-1"/>
          <w:szCs w:val="22"/>
          <w:lang w:val="fr-FR"/>
        </w:rPr>
      </w:pPr>
      <w:r w:rsidRPr="00623A2B">
        <w:rPr>
          <w:rFonts w:ascii="Times New Roman" w:hAnsi="Times New Roman"/>
          <w:bCs/>
          <w:iCs/>
          <w:position w:val="-1"/>
          <w:szCs w:val="22"/>
          <w:lang w:val="fr-FR"/>
        </w:rPr>
        <w:t xml:space="preserve">RAPPELANT EN OUTRE la Déclaration de Mar del </w:t>
      </w:r>
      <w:proofErr w:type="spellStart"/>
      <w:r w:rsidRPr="00623A2B">
        <w:rPr>
          <w:rFonts w:ascii="Times New Roman" w:hAnsi="Times New Roman"/>
          <w:bCs/>
          <w:iCs/>
          <w:position w:val="-1"/>
          <w:szCs w:val="22"/>
          <w:lang w:val="fr-FR"/>
        </w:rPr>
        <w:t>Plata</w:t>
      </w:r>
      <w:proofErr w:type="spellEnd"/>
      <w:r w:rsidRPr="00623A2B">
        <w:rPr>
          <w:rFonts w:ascii="Times New Roman" w:hAnsi="Times New Roman"/>
          <w:bCs/>
          <w:iCs/>
          <w:position w:val="-1"/>
          <w:szCs w:val="22"/>
          <w:lang w:val="fr-FR"/>
        </w:rPr>
        <w:t xml:space="preserve"> de 2005, la Déclaration d'engagement de Port of Spain de 2009, le Protocole de San Salvador de 1988, la Déclaration de l'Organisation internationale du Travail relative aux principes et droits fondamentaux au travail de 1998, ainsi que les accords ratifiés de l’OIT, la Déclaration universelle des droits de l’homme, le Pacte international relatif aux droits économiques, sociaux et culturels et la Déclaration </w:t>
      </w:r>
      <w:r w:rsidRPr="00623A2B">
        <w:rPr>
          <w:rFonts w:ascii="Times New Roman" w:hAnsi="Times New Roman"/>
          <w:bCs/>
          <w:position w:val="-1"/>
          <w:szCs w:val="22"/>
          <w:lang w:val="fr-FR"/>
        </w:rPr>
        <w:t>de</w:t>
      </w:r>
      <w:r w:rsidRPr="00623A2B">
        <w:rPr>
          <w:rFonts w:ascii="Times New Roman" w:hAnsi="Times New Roman"/>
          <w:bCs/>
          <w:iCs/>
          <w:position w:val="-1"/>
          <w:szCs w:val="22"/>
          <w:lang w:val="fr-FR"/>
        </w:rPr>
        <w:t xml:space="preserve"> Philadelphie de 1944,</w:t>
      </w:r>
    </w:p>
    <w:p w14:paraId="57743DC8" w14:textId="77777777" w:rsidR="00236661" w:rsidRPr="00623A2B" w:rsidRDefault="00236661" w:rsidP="00236661">
      <w:pPr>
        <w:ind w:firstLine="720"/>
        <w:rPr>
          <w:rFonts w:ascii="Times New Roman" w:hAnsi="Times New Roman"/>
          <w:b/>
          <w:iCs/>
          <w:position w:val="-1"/>
          <w:szCs w:val="22"/>
          <w:lang w:val="fr-FR"/>
        </w:rPr>
      </w:pPr>
    </w:p>
    <w:p w14:paraId="21730CF5" w14:textId="77777777" w:rsidR="00236661" w:rsidRPr="00623A2B" w:rsidRDefault="00236661" w:rsidP="00236661">
      <w:pPr>
        <w:ind w:firstLine="720"/>
        <w:rPr>
          <w:rFonts w:ascii="Times New Roman" w:hAnsi="Times New Roman"/>
          <w:bCs/>
          <w:iCs/>
          <w:position w:val="-1"/>
          <w:szCs w:val="22"/>
          <w:lang w:val="fr-FR"/>
        </w:rPr>
      </w:pPr>
      <w:r w:rsidRPr="00623A2B">
        <w:rPr>
          <w:rFonts w:ascii="Times New Roman" w:hAnsi="Times New Roman"/>
          <w:bCs/>
          <w:iCs/>
          <w:position w:val="-1"/>
          <w:szCs w:val="22"/>
          <w:lang w:val="fr-FR"/>
        </w:rPr>
        <w:t>RAPPELANT ENFIN que la Charte sociale des Amériques reconnaît que le secteur des entreprises remplit un rôle important dans la création d’emplois et l’expansion des débouchés, ce qui contribue à la réduction de la pauvreté et facilite la mise en œuvre du Programme de développement durable à l'horizon 2030 et de ses Objectifs,</w:t>
      </w:r>
    </w:p>
    <w:p w14:paraId="55C4CAAD" w14:textId="77777777" w:rsidR="00236661" w:rsidRPr="00623A2B" w:rsidRDefault="00236661" w:rsidP="00236661">
      <w:pPr>
        <w:ind w:firstLine="720"/>
        <w:rPr>
          <w:rFonts w:ascii="Times New Roman" w:hAnsi="Times New Roman"/>
          <w:bCs/>
          <w:iCs/>
          <w:position w:val="-1"/>
          <w:szCs w:val="22"/>
          <w:lang w:val="fr-FR"/>
        </w:rPr>
      </w:pPr>
    </w:p>
    <w:p w14:paraId="79A0271C" w14:textId="77777777" w:rsidR="00236661" w:rsidRPr="00623A2B" w:rsidRDefault="00236661" w:rsidP="00236661">
      <w:pPr>
        <w:ind w:firstLine="720"/>
        <w:rPr>
          <w:rFonts w:ascii="Times New Roman" w:hAnsi="Times New Roman"/>
          <w:bCs/>
          <w:iCs/>
          <w:position w:val="-1"/>
          <w:szCs w:val="22"/>
          <w:lang w:val="fr-FR"/>
        </w:rPr>
      </w:pPr>
      <w:r w:rsidRPr="00623A2B">
        <w:rPr>
          <w:rFonts w:ascii="Times New Roman" w:hAnsi="Times New Roman"/>
          <w:szCs w:val="22"/>
          <w:lang w:val="fr-FR"/>
        </w:rPr>
        <w:t>GARDANT À L’ESPRIT l’autonomisation de toutes les femmes comme moyen de parvenir à la parité hommes-femmes et la nécessité de mettre fin aux pratiques discriminatoires et d’éliminer les barrières qui empêchent l’intégration des femmes dans le marché du travail, et ce, grâce à la répartition équitable des tâches non rémunérées, au plein accès aux ressources productives, à l’accès à des services de garde d’enfants abordables et de qualité, au développement des compétences entrepreneuriales des femmes et à la création d’opportunités de leadership qui encouragent leur participation de manière active et égalitaire, en favorisant la croissance et le développement économiques de la région,</w:t>
      </w:r>
    </w:p>
    <w:p w14:paraId="10095C54" w14:textId="77777777" w:rsidR="00236661" w:rsidRPr="00623A2B" w:rsidRDefault="00236661" w:rsidP="00236661">
      <w:pPr>
        <w:ind w:firstLine="720"/>
        <w:rPr>
          <w:rFonts w:ascii="Times New Roman" w:hAnsi="Times New Roman"/>
          <w:b/>
          <w:i/>
          <w:position w:val="-1"/>
          <w:szCs w:val="22"/>
          <w:lang w:val="fr-FR"/>
        </w:rPr>
      </w:pPr>
    </w:p>
    <w:p w14:paraId="5227BF6E" w14:textId="77777777" w:rsidR="00236661" w:rsidRPr="00623A2B" w:rsidRDefault="00236661" w:rsidP="00236661">
      <w:pPr>
        <w:ind w:firstLine="720"/>
        <w:rPr>
          <w:rFonts w:ascii="Times New Roman" w:hAnsi="Times New Roman"/>
          <w:bCs/>
          <w:iCs/>
          <w:position w:val="-1"/>
          <w:szCs w:val="22"/>
          <w:lang w:val="fr-FR"/>
        </w:rPr>
      </w:pPr>
      <w:r w:rsidRPr="00623A2B">
        <w:rPr>
          <w:rFonts w:ascii="Times New Roman" w:hAnsi="Times New Roman"/>
          <w:bCs/>
          <w:iCs/>
          <w:position w:val="-1"/>
          <w:szCs w:val="22"/>
          <w:lang w:val="fr-FR"/>
        </w:rPr>
        <w:t xml:space="preserve">RÉAFFIRMANT que l’élimination de la pauvreté est indispensable pour parvenir au développement durable et au plein développement démocratique des peuples du continent américain et constitue une composante essentielle ainsi qu’une responsabilité commune et partagée des États membres,  </w:t>
      </w:r>
    </w:p>
    <w:p w14:paraId="59E7D2A6" w14:textId="77777777" w:rsidR="00236661" w:rsidRPr="00623A2B" w:rsidRDefault="00236661" w:rsidP="00236661">
      <w:pPr>
        <w:ind w:firstLine="720"/>
        <w:rPr>
          <w:rFonts w:ascii="Times New Roman" w:hAnsi="Times New Roman"/>
          <w:b/>
          <w:i/>
          <w:position w:val="-1"/>
          <w:szCs w:val="22"/>
          <w:lang w:val="fr-FR"/>
        </w:rPr>
      </w:pPr>
    </w:p>
    <w:p w14:paraId="2D891587" w14:textId="77777777" w:rsidR="00236661" w:rsidRPr="00623A2B" w:rsidRDefault="00236661" w:rsidP="00A221F9">
      <w:pPr>
        <w:widowControl/>
        <w:ind w:firstLine="720"/>
        <w:rPr>
          <w:rFonts w:ascii="Times New Roman" w:hAnsi="Times New Roman"/>
          <w:bCs/>
          <w:iCs/>
          <w:position w:val="-1"/>
          <w:szCs w:val="22"/>
          <w:lang w:val="fr-FR"/>
        </w:rPr>
      </w:pPr>
      <w:r w:rsidRPr="00623A2B">
        <w:rPr>
          <w:rFonts w:ascii="Times New Roman" w:hAnsi="Times New Roman"/>
          <w:bCs/>
          <w:iCs/>
          <w:position w:val="-1"/>
          <w:szCs w:val="22"/>
          <w:lang w:val="fr-FR"/>
        </w:rPr>
        <w:lastRenderedPageBreak/>
        <w:t>RECONNAISSANT l’importance de renforcer les mécanismes de coopération régionale et les partenariats multi-acteurs axés sur la promotion des environnements économiques qui soutiennent la collaboration, favorisent l’innovation, accélèrent le développement d’initiatives commerciales, facilitent l’accès aux biens et services essentiels et contribuent au développement durable,</w:t>
      </w:r>
    </w:p>
    <w:p w14:paraId="7F0BB31B" w14:textId="77777777" w:rsidR="00236661" w:rsidRPr="00623A2B" w:rsidRDefault="00236661" w:rsidP="00236661">
      <w:pPr>
        <w:ind w:firstLine="720"/>
        <w:rPr>
          <w:rFonts w:ascii="Times New Roman" w:hAnsi="Times New Roman"/>
          <w:bCs/>
          <w:iCs/>
          <w:position w:val="-1"/>
          <w:szCs w:val="22"/>
          <w:lang w:val="fr-FR"/>
        </w:rPr>
      </w:pPr>
    </w:p>
    <w:p w14:paraId="7EE3158E" w14:textId="77777777" w:rsidR="00236661" w:rsidRPr="00623A2B" w:rsidRDefault="00236661" w:rsidP="00236661">
      <w:pPr>
        <w:ind w:firstLine="720"/>
        <w:rPr>
          <w:rFonts w:ascii="Times New Roman" w:hAnsi="Times New Roman"/>
          <w:bCs/>
          <w:iCs/>
          <w:color w:val="000000" w:themeColor="text1"/>
          <w:position w:val="-1"/>
          <w:szCs w:val="22"/>
          <w:lang w:val="fr-FR"/>
        </w:rPr>
      </w:pPr>
      <w:r w:rsidRPr="00623A2B">
        <w:rPr>
          <w:rFonts w:ascii="Times New Roman" w:hAnsi="Times New Roman"/>
          <w:bCs/>
          <w:iCs/>
          <w:color w:val="000000" w:themeColor="text1"/>
          <w:position w:val="-1"/>
          <w:szCs w:val="22"/>
          <w:lang w:val="fr-FR"/>
        </w:rPr>
        <w:t xml:space="preserve">RAPPELANT que la Charte de l'OEA établit que les entreprises transnationales et les investisseurs privés étrangers sont soumis à la législation et à la juridiction des tribunaux nationaux compétents des pays </w:t>
      </w:r>
      <w:r w:rsidRPr="00623A2B">
        <w:rPr>
          <w:rFonts w:ascii="Times New Roman" w:hAnsi="Times New Roman"/>
          <w:color w:val="000000" w:themeColor="text1"/>
          <w:position w:val="-1"/>
          <w:szCs w:val="22"/>
          <w:lang w:val="fr-FR"/>
        </w:rPr>
        <w:t>d’accueil</w:t>
      </w:r>
      <w:r w:rsidRPr="00623A2B">
        <w:rPr>
          <w:rFonts w:ascii="Times New Roman" w:hAnsi="Times New Roman"/>
          <w:bCs/>
          <w:iCs/>
          <w:color w:val="000000" w:themeColor="text1"/>
          <w:position w:val="-1"/>
          <w:szCs w:val="22"/>
          <w:lang w:val="fr-FR"/>
        </w:rPr>
        <w:t xml:space="preserve"> ainsi qu'aux traités et accords internationaux auxquels ces pays sont </w:t>
      </w:r>
      <w:proofErr w:type="gramStart"/>
      <w:r w:rsidRPr="00623A2B">
        <w:rPr>
          <w:rFonts w:ascii="Times New Roman" w:hAnsi="Times New Roman"/>
          <w:bCs/>
          <w:iCs/>
          <w:color w:val="000000" w:themeColor="text1"/>
          <w:position w:val="-1"/>
          <w:szCs w:val="22"/>
          <w:lang w:val="fr-FR"/>
        </w:rPr>
        <w:t>parties</w:t>
      </w:r>
      <w:proofErr w:type="gramEnd"/>
      <w:r w:rsidRPr="00623A2B">
        <w:rPr>
          <w:rFonts w:ascii="Times New Roman" w:hAnsi="Times New Roman"/>
          <w:bCs/>
          <w:iCs/>
          <w:color w:val="000000" w:themeColor="text1"/>
          <w:position w:val="-1"/>
          <w:szCs w:val="22"/>
          <w:lang w:val="fr-FR"/>
        </w:rPr>
        <w:t xml:space="preserve"> et doivent en outre</w:t>
      </w:r>
      <w:r w:rsidRPr="00623A2B">
        <w:rPr>
          <w:rFonts w:ascii="Times New Roman" w:hAnsi="Times New Roman"/>
          <w:color w:val="000000" w:themeColor="text1"/>
          <w:position w:val="-1"/>
          <w:szCs w:val="22"/>
          <w:lang w:val="fr-FR"/>
        </w:rPr>
        <w:t xml:space="preserve"> s’adapter à la politique de développement de ces</w:t>
      </w:r>
      <w:r w:rsidRPr="00623A2B">
        <w:rPr>
          <w:rFonts w:ascii="Times New Roman" w:hAnsi="Times New Roman"/>
          <w:b/>
          <w:color w:val="000000" w:themeColor="text1"/>
          <w:position w:val="-1"/>
          <w:szCs w:val="22"/>
          <w:lang w:val="fr-FR"/>
        </w:rPr>
        <w:t xml:space="preserve"> </w:t>
      </w:r>
      <w:r w:rsidRPr="00623A2B">
        <w:rPr>
          <w:rFonts w:ascii="Times New Roman" w:hAnsi="Times New Roman"/>
          <w:color w:val="000000" w:themeColor="text1"/>
          <w:position w:val="-1"/>
          <w:szCs w:val="22"/>
          <w:lang w:val="fr-FR"/>
        </w:rPr>
        <w:t>pays</w:t>
      </w:r>
      <w:r w:rsidRPr="00623A2B">
        <w:rPr>
          <w:rFonts w:ascii="Times New Roman" w:hAnsi="Times New Roman"/>
          <w:bCs/>
          <w:iCs/>
          <w:color w:val="000000" w:themeColor="text1"/>
          <w:position w:val="-1"/>
          <w:szCs w:val="22"/>
          <w:lang w:val="fr-FR"/>
        </w:rPr>
        <w:t>,</w:t>
      </w:r>
    </w:p>
    <w:p w14:paraId="68BEE770" w14:textId="77777777" w:rsidR="00236661" w:rsidRPr="00623A2B" w:rsidRDefault="00236661" w:rsidP="00236661">
      <w:pPr>
        <w:ind w:firstLine="720"/>
        <w:rPr>
          <w:rFonts w:ascii="Times New Roman" w:hAnsi="Times New Roman"/>
          <w:bCs/>
          <w:iCs/>
          <w:color w:val="000000" w:themeColor="text1"/>
          <w:position w:val="-1"/>
          <w:szCs w:val="22"/>
          <w:lang w:val="fr-FR"/>
        </w:rPr>
      </w:pPr>
    </w:p>
    <w:p w14:paraId="7EC1A174" w14:textId="77777777" w:rsidR="00236661" w:rsidRPr="00623A2B" w:rsidRDefault="00236661" w:rsidP="00236661">
      <w:pPr>
        <w:ind w:firstLine="720"/>
        <w:rPr>
          <w:rFonts w:ascii="Times New Roman" w:hAnsi="Times New Roman"/>
          <w:bCs/>
          <w:iCs/>
          <w:color w:val="000000" w:themeColor="text1"/>
          <w:position w:val="-1"/>
          <w:szCs w:val="22"/>
          <w:lang w:val="fr-FR"/>
        </w:rPr>
      </w:pPr>
      <w:r w:rsidRPr="00623A2B">
        <w:rPr>
          <w:rFonts w:ascii="Times New Roman" w:hAnsi="Times New Roman"/>
          <w:bCs/>
          <w:iCs/>
          <w:color w:val="000000" w:themeColor="text1"/>
          <w:position w:val="-1"/>
          <w:szCs w:val="22"/>
          <w:lang w:val="fr-FR"/>
        </w:rPr>
        <w:t>CONSIDÉRANT que, dans le contexte des défis posés par la numérisation de l'économie mondiale, les efforts pour parvenir à un consensus international sur une répartition plus juste des droits de taxation auraient un effet positif sur les pays où opèrent les sociétés transnationales,</w:t>
      </w:r>
    </w:p>
    <w:p w14:paraId="655BE350" w14:textId="77777777" w:rsidR="00236661" w:rsidRPr="00623A2B" w:rsidRDefault="00236661" w:rsidP="00236661">
      <w:pPr>
        <w:ind w:firstLine="720"/>
        <w:rPr>
          <w:rFonts w:ascii="Times New Roman" w:hAnsi="Times New Roman"/>
          <w:bCs/>
          <w:iCs/>
          <w:position w:val="-1"/>
          <w:szCs w:val="22"/>
          <w:lang w:val="fr-FR"/>
        </w:rPr>
      </w:pPr>
    </w:p>
    <w:p w14:paraId="112C5DCA" w14:textId="77777777" w:rsidR="00236661" w:rsidRPr="00623A2B" w:rsidRDefault="00236661" w:rsidP="00236661">
      <w:pPr>
        <w:ind w:firstLine="720"/>
        <w:rPr>
          <w:rFonts w:ascii="Times New Roman" w:hAnsi="Times New Roman"/>
          <w:bCs/>
          <w:iCs/>
          <w:position w:val="-1"/>
          <w:szCs w:val="22"/>
          <w:lang w:val="fr-FR"/>
        </w:rPr>
      </w:pPr>
      <w:r w:rsidRPr="00623A2B">
        <w:rPr>
          <w:rFonts w:ascii="Times New Roman" w:hAnsi="Times New Roman"/>
          <w:bCs/>
          <w:iCs/>
          <w:position w:val="-1"/>
          <w:szCs w:val="22"/>
          <w:lang w:val="fr-FR"/>
        </w:rPr>
        <w:t>RAPPELANT que, dans la Charte sociale des Amériques, les États membres reconnaissent les contributions des peuples autochtones, des personnes d’ascendance africaine et des communautés de migrants au processus historique continental et insulaire et favoriseront la mise en valeur de ceux-ci et que les États membres reconnaissent également la nécessité d’adopter des politiques conçues pour promouvoir l’inclusion et pour prévenir, combattre et éliminer tout type d’intolérance et de discrimination, en particulier fondée sur le genre, l’ethnie et la race, afin de préserver l’égalité des droits et des chances et de renforcer les valeurs démocratiques,</w:t>
      </w:r>
    </w:p>
    <w:p w14:paraId="6E16CD2C" w14:textId="77777777" w:rsidR="00236661" w:rsidRPr="00623A2B" w:rsidRDefault="00236661" w:rsidP="00236661">
      <w:pPr>
        <w:ind w:firstLine="720"/>
        <w:rPr>
          <w:rFonts w:ascii="Times New Roman" w:hAnsi="Times New Roman"/>
          <w:bCs/>
          <w:iCs/>
          <w:position w:val="-1"/>
          <w:szCs w:val="22"/>
          <w:lang w:val="fr-FR"/>
        </w:rPr>
      </w:pPr>
    </w:p>
    <w:p w14:paraId="7BC9F310" w14:textId="77777777" w:rsidR="00236661" w:rsidRPr="00623A2B" w:rsidRDefault="00236661" w:rsidP="00236661">
      <w:pPr>
        <w:ind w:firstLine="720"/>
        <w:rPr>
          <w:rFonts w:ascii="Times New Roman" w:hAnsi="Times New Roman"/>
          <w:bCs/>
          <w:iCs/>
          <w:position w:val="-1"/>
          <w:szCs w:val="22"/>
          <w:lang w:val="fr-FR"/>
        </w:rPr>
      </w:pPr>
      <w:r w:rsidRPr="00623A2B">
        <w:rPr>
          <w:rFonts w:ascii="Times New Roman" w:hAnsi="Times New Roman"/>
          <w:bCs/>
          <w:iCs/>
          <w:position w:val="-1"/>
          <w:szCs w:val="22"/>
          <w:lang w:val="fr-FR"/>
        </w:rPr>
        <w:t xml:space="preserve">RECONNAISSANT ÉGALEMENT le rôle important que remplissent </w:t>
      </w:r>
      <w:proofErr w:type="gramStart"/>
      <w:r w:rsidRPr="00623A2B">
        <w:rPr>
          <w:rFonts w:ascii="Times New Roman" w:hAnsi="Times New Roman"/>
          <w:bCs/>
          <w:iCs/>
          <w:position w:val="-1"/>
          <w:szCs w:val="22"/>
          <w:lang w:val="fr-FR"/>
        </w:rPr>
        <w:t>les micro</w:t>
      </w:r>
      <w:proofErr w:type="gramEnd"/>
      <w:r w:rsidRPr="00623A2B">
        <w:rPr>
          <w:rFonts w:ascii="Times New Roman" w:hAnsi="Times New Roman"/>
          <w:bCs/>
          <w:iCs/>
          <w:position w:val="-1"/>
          <w:szCs w:val="22"/>
          <w:lang w:val="fr-FR"/>
        </w:rPr>
        <w:t>, petites et moyennes entreprises, ainsi que les entreprises de l’économie sociale en tant que moteurs du développement et de la croissance économiques,</w:t>
      </w:r>
    </w:p>
    <w:p w14:paraId="0D7EA42D" w14:textId="77777777" w:rsidR="00236661" w:rsidRPr="00623A2B" w:rsidRDefault="00236661" w:rsidP="00236661">
      <w:pPr>
        <w:ind w:firstLine="720"/>
        <w:rPr>
          <w:rFonts w:ascii="Times New Roman" w:hAnsi="Times New Roman"/>
          <w:bCs/>
          <w:iCs/>
          <w:position w:val="-1"/>
          <w:szCs w:val="22"/>
          <w:lang w:val="fr-FR"/>
        </w:rPr>
      </w:pPr>
    </w:p>
    <w:p w14:paraId="4E6D1376" w14:textId="77777777" w:rsidR="00236661" w:rsidRPr="00623A2B" w:rsidRDefault="00236661" w:rsidP="00236661">
      <w:pPr>
        <w:ind w:firstLine="720"/>
        <w:rPr>
          <w:rFonts w:ascii="Times New Roman" w:hAnsi="Times New Roman"/>
          <w:bCs/>
          <w:iCs/>
          <w:position w:val="-1"/>
          <w:szCs w:val="22"/>
          <w:lang w:val="fr-FR"/>
        </w:rPr>
      </w:pPr>
      <w:r w:rsidRPr="00623A2B">
        <w:rPr>
          <w:rFonts w:ascii="Times New Roman" w:hAnsi="Times New Roman"/>
          <w:bCs/>
          <w:iCs/>
          <w:position w:val="-1"/>
          <w:szCs w:val="22"/>
          <w:lang w:val="fr-FR"/>
        </w:rPr>
        <w:t xml:space="preserve">RAPPELANT les « Mandats émanant du Sixième Sommet des Amériques », concernant la promotion de la croissance économique assortie d’équité et d’inclusion sociale, grâce au renforcement des coopératives et </w:t>
      </w:r>
      <w:proofErr w:type="gramStart"/>
      <w:r w:rsidRPr="00623A2B">
        <w:rPr>
          <w:rFonts w:ascii="Times New Roman" w:hAnsi="Times New Roman"/>
          <w:bCs/>
          <w:iCs/>
          <w:position w:val="-1"/>
          <w:szCs w:val="22"/>
          <w:lang w:val="fr-FR"/>
        </w:rPr>
        <w:t>des micro</w:t>
      </w:r>
      <w:proofErr w:type="gramEnd"/>
      <w:r w:rsidRPr="00623A2B">
        <w:rPr>
          <w:rFonts w:ascii="Times New Roman" w:hAnsi="Times New Roman"/>
          <w:bCs/>
          <w:iCs/>
          <w:position w:val="-1"/>
          <w:szCs w:val="22"/>
          <w:lang w:val="fr-FR"/>
        </w:rPr>
        <w:t>, petites et moyennes entreprises (PME) et à la contribution des technologies de l’information et de la communication (TIC) à leur émergence,</w:t>
      </w:r>
    </w:p>
    <w:p w14:paraId="499069C9" w14:textId="77777777" w:rsidR="00236661" w:rsidRPr="00623A2B" w:rsidRDefault="00236661" w:rsidP="00236661">
      <w:pPr>
        <w:ind w:firstLine="720"/>
        <w:rPr>
          <w:rFonts w:ascii="Times New Roman" w:hAnsi="Times New Roman"/>
          <w:bCs/>
          <w:iCs/>
          <w:position w:val="-1"/>
          <w:szCs w:val="22"/>
          <w:lang w:val="fr-FR"/>
        </w:rPr>
      </w:pPr>
    </w:p>
    <w:p w14:paraId="44372EA4" w14:textId="77777777" w:rsidR="00236661" w:rsidRPr="00623A2B" w:rsidRDefault="00236661" w:rsidP="00236661">
      <w:pPr>
        <w:ind w:firstLine="720"/>
        <w:rPr>
          <w:rFonts w:ascii="Times New Roman" w:hAnsi="Times New Roman"/>
          <w:bCs/>
          <w:iCs/>
          <w:position w:val="-1"/>
          <w:szCs w:val="22"/>
          <w:lang w:val="fr-FR"/>
        </w:rPr>
      </w:pPr>
      <w:r w:rsidRPr="00623A2B">
        <w:rPr>
          <w:rFonts w:ascii="Times New Roman" w:hAnsi="Times New Roman"/>
          <w:bCs/>
          <w:iCs/>
          <w:position w:val="-1"/>
          <w:szCs w:val="22"/>
          <w:lang w:val="fr-FR"/>
        </w:rPr>
        <w:t>SOULIGNANT l’importance de promouvoir des politiques fondées sur le respect des principes et des droits fondamentaux du travail, qui contribuent à la formalisation de l’emploi comme mesure pour assurer des emplois dignes, combattre l’inégalité et stimuler la croissance économique,</w:t>
      </w:r>
    </w:p>
    <w:p w14:paraId="140535A1" w14:textId="77777777" w:rsidR="00236661" w:rsidRPr="00623A2B" w:rsidRDefault="00236661" w:rsidP="00236661">
      <w:pPr>
        <w:ind w:firstLine="720"/>
        <w:rPr>
          <w:rFonts w:ascii="Times New Roman" w:hAnsi="Times New Roman"/>
          <w:bCs/>
          <w:iCs/>
          <w:position w:val="-1"/>
          <w:szCs w:val="22"/>
          <w:lang w:val="fr-FR"/>
        </w:rPr>
      </w:pPr>
    </w:p>
    <w:p w14:paraId="26E7121E" w14:textId="77777777" w:rsidR="00236661" w:rsidRPr="00623A2B" w:rsidRDefault="00236661" w:rsidP="00236661">
      <w:pPr>
        <w:ind w:firstLine="720"/>
        <w:rPr>
          <w:rFonts w:ascii="Times New Roman" w:hAnsi="Times New Roman"/>
          <w:bCs/>
          <w:iCs/>
          <w:position w:val="-1"/>
          <w:szCs w:val="22"/>
          <w:lang w:val="fr-FR"/>
        </w:rPr>
      </w:pPr>
      <w:r w:rsidRPr="00623A2B">
        <w:rPr>
          <w:rFonts w:ascii="Times New Roman" w:hAnsi="Times New Roman"/>
          <w:bCs/>
          <w:iCs/>
          <w:position w:val="-1"/>
          <w:szCs w:val="22"/>
          <w:lang w:val="fr-FR"/>
        </w:rPr>
        <w:t>SOULIGNANT ÉGALEMENT la nécessité de politiques destinées à offrir un accès équitable à une éducation continue, inclusive et de qualité et à une formation promouvant des possibilités d’apprentissage tout au long de la vie, et qui fournissent une main d’œuvre hautement qualifiée et, parallèlement, renforcent les valeurs démocratiques, le respect des droits de la personne et l’avancée vers la paix,</w:t>
      </w:r>
    </w:p>
    <w:p w14:paraId="09AEDE52" w14:textId="77777777" w:rsidR="00236661" w:rsidRPr="00623A2B" w:rsidRDefault="00236661" w:rsidP="00236661">
      <w:pPr>
        <w:ind w:firstLine="720"/>
        <w:rPr>
          <w:rFonts w:ascii="Times New Roman" w:hAnsi="Times New Roman"/>
          <w:bCs/>
          <w:iCs/>
          <w:position w:val="-1"/>
          <w:szCs w:val="22"/>
          <w:lang w:val="fr-FR"/>
        </w:rPr>
      </w:pPr>
    </w:p>
    <w:p w14:paraId="1493A5F7" w14:textId="77777777" w:rsidR="00236661" w:rsidRPr="00623A2B" w:rsidRDefault="00236661" w:rsidP="00236661">
      <w:pPr>
        <w:ind w:firstLine="720"/>
        <w:rPr>
          <w:rFonts w:ascii="Times New Roman" w:hAnsi="Times New Roman"/>
          <w:bCs/>
          <w:iCs/>
          <w:position w:val="-1"/>
          <w:szCs w:val="22"/>
          <w:lang w:val="fr-FR"/>
        </w:rPr>
      </w:pPr>
      <w:r w:rsidRPr="00623A2B">
        <w:rPr>
          <w:rFonts w:ascii="Times New Roman" w:hAnsi="Times New Roman"/>
          <w:bCs/>
          <w:iCs/>
          <w:position w:val="-1"/>
          <w:szCs w:val="22"/>
          <w:lang w:val="fr-FR"/>
        </w:rPr>
        <w:t>CONSIDÉRANT l’intention des États membres de promouvoir des politiques publiques qui intègrent l’innovation comme moteur de la transformation structurelle pour parvenir au développement inclusif et durable, en favorisant un environnement économique où le respect des droits de la personne constituerait une priorité, ainsi que de mettre en œuvre des initiatives visant à soutenir et encourager l’économie créative dans le continent américain comme source de croissance économique et de développement durable,</w:t>
      </w:r>
    </w:p>
    <w:p w14:paraId="7F52B4B7" w14:textId="77777777" w:rsidR="00236661" w:rsidRPr="00623A2B" w:rsidRDefault="00236661" w:rsidP="00236661">
      <w:pPr>
        <w:ind w:firstLine="720"/>
        <w:rPr>
          <w:rFonts w:ascii="Times New Roman" w:hAnsi="Times New Roman"/>
          <w:bCs/>
          <w:iCs/>
          <w:position w:val="-1"/>
          <w:szCs w:val="22"/>
          <w:lang w:val="fr-FR"/>
        </w:rPr>
      </w:pPr>
    </w:p>
    <w:p w14:paraId="22EBD555" w14:textId="77777777" w:rsidR="00236661" w:rsidRPr="00623A2B" w:rsidRDefault="00236661" w:rsidP="00B92074">
      <w:pPr>
        <w:widowControl/>
        <w:ind w:firstLine="720"/>
        <w:rPr>
          <w:rFonts w:ascii="Times New Roman" w:hAnsi="Times New Roman"/>
          <w:bCs/>
          <w:iCs/>
          <w:position w:val="-1"/>
          <w:szCs w:val="22"/>
          <w:lang w:val="fr-FR"/>
        </w:rPr>
      </w:pPr>
      <w:r w:rsidRPr="00623A2B">
        <w:rPr>
          <w:rFonts w:ascii="Times New Roman" w:hAnsi="Times New Roman"/>
          <w:bCs/>
          <w:iCs/>
          <w:position w:val="-1"/>
          <w:szCs w:val="22"/>
          <w:lang w:val="fr-FR"/>
        </w:rPr>
        <w:lastRenderedPageBreak/>
        <w:t>TENANT COMPTE des capacités budgétaires diverses des États membres ainsi que de leurs stratégies spécifiques de résilience et leurs conditions particulières d’adaptation, de reconstruction et de reprise économique face aux crises,</w:t>
      </w:r>
    </w:p>
    <w:p w14:paraId="7AE2A68E" w14:textId="77777777" w:rsidR="00B92074" w:rsidRPr="00623A2B" w:rsidRDefault="00B92074" w:rsidP="00236661">
      <w:pPr>
        <w:ind w:firstLine="720"/>
        <w:rPr>
          <w:rFonts w:ascii="Times New Roman" w:hAnsi="Times New Roman"/>
          <w:bCs/>
          <w:iCs/>
          <w:position w:val="-1"/>
          <w:szCs w:val="22"/>
          <w:lang w:val="fr-FR"/>
        </w:rPr>
      </w:pPr>
    </w:p>
    <w:p w14:paraId="2CAE1E5F" w14:textId="66342E57" w:rsidR="00236661" w:rsidRPr="00623A2B" w:rsidRDefault="00236661" w:rsidP="00236661">
      <w:pPr>
        <w:ind w:firstLine="720"/>
        <w:rPr>
          <w:rFonts w:ascii="Times New Roman" w:hAnsi="Times New Roman"/>
          <w:bCs/>
          <w:iCs/>
          <w:position w:val="-1"/>
          <w:szCs w:val="22"/>
          <w:lang w:val="fr-FR"/>
        </w:rPr>
      </w:pPr>
      <w:r w:rsidRPr="00623A2B">
        <w:rPr>
          <w:rFonts w:ascii="Times New Roman" w:hAnsi="Times New Roman"/>
          <w:bCs/>
          <w:iCs/>
          <w:position w:val="-1"/>
          <w:szCs w:val="22"/>
          <w:lang w:val="fr-FR"/>
        </w:rPr>
        <w:t>RECONNAISSANT que la corruption constitue l’un des principaux obstacles communs auxquels est confronté le continent américain concernant le développement durable et rappelant que, dans l’Engagement de Lima, adopté lors du VIII</w:t>
      </w:r>
      <w:r w:rsidRPr="00623A2B">
        <w:rPr>
          <w:rFonts w:ascii="Times New Roman" w:hAnsi="Times New Roman"/>
          <w:bCs/>
          <w:iCs/>
          <w:position w:val="-1"/>
          <w:szCs w:val="22"/>
          <w:vertAlign w:val="superscript"/>
          <w:lang w:val="fr-FR"/>
        </w:rPr>
        <w:t>e</w:t>
      </w:r>
      <w:r w:rsidRPr="00623A2B">
        <w:rPr>
          <w:rFonts w:ascii="Times New Roman" w:hAnsi="Times New Roman"/>
          <w:bCs/>
          <w:iCs/>
          <w:position w:val="-1"/>
          <w:szCs w:val="22"/>
          <w:lang w:val="fr-FR"/>
        </w:rPr>
        <w:t xml:space="preserve"> Sommet des Amériques, les États membres ont convenu de continuer à œuvrer pour la prévention et la lutte contre la corruption,</w:t>
      </w:r>
    </w:p>
    <w:p w14:paraId="2ECFDD7B" w14:textId="77777777" w:rsidR="00236661" w:rsidRPr="00623A2B" w:rsidRDefault="00236661" w:rsidP="00236661">
      <w:pPr>
        <w:ind w:firstLine="720"/>
        <w:rPr>
          <w:rFonts w:ascii="Times New Roman" w:hAnsi="Times New Roman"/>
          <w:bCs/>
          <w:iCs/>
          <w:position w:val="-1"/>
          <w:szCs w:val="22"/>
          <w:lang w:val="fr-FR"/>
        </w:rPr>
      </w:pPr>
    </w:p>
    <w:p w14:paraId="77708FA5" w14:textId="77777777" w:rsidR="00236661" w:rsidRPr="00623A2B" w:rsidRDefault="00236661" w:rsidP="00236661">
      <w:pPr>
        <w:ind w:firstLine="720"/>
        <w:rPr>
          <w:rFonts w:ascii="Times New Roman" w:hAnsi="Times New Roman"/>
          <w:bCs/>
          <w:iCs/>
          <w:position w:val="-1"/>
          <w:szCs w:val="22"/>
          <w:lang w:val="fr-FR"/>
        </w:rPr>
      </w:pPr>
      <w:r w:rsidRPr="00623A2B">
        <w:rPr>
          <w:rFonts w:ascii="Times New Roman" w:hAnsi="Times New Roman"/>
          <w:bCs/>
          <w:iCs/>
          <w:position w:val="-1"/>
          <w:szCs w:val="22"/>
          <w:lang w:val="fr-FR"/>
        </w:rPr>
        <w:t>CONSCIENTS que le respect de la propriété privée, dans le cadre de l’état de droit, est essentiel pour promouvoir l’esprit d’entreprise, accroître la formalisation de l’économie, encourager les investissements étrangers, stimuler l’innovation technologique et augmenter la productivité,</w:t>
      </w:r>
    </w:p>
    <w:p w14:paraId="3443B696" w14:textId="77777777" w:rsidR="00236661" w:rsidRPr="00623A2B" w:rsidRDefault="00236661" w:rsidP="00236661">
      <w:pPr>
        <w:ind w:firstLine="720"/>
        <w:rPr>
          <w:rFonts w:ascii="Times New Roman" w:hAnsi="Times New Roman"/>
          <w:bCs/>
          <w:iCs/>
          <w:position w:val="-1"/>
          <w:szCs w:val="22"/>
          <w:lang w:val="fr-FR"/>
        </w:rPr>
      </w:pPr>
    </w:p>
    <w:p w14:paraId="24C065E5" w14:textId="77777777" w:rsidR="00236661" w:rsidRPr="00623A2B" w:rsidRDefault="00236661" w:rsidP="00236661">
      <w:pPr>
        <w:rPr>
          <w:rFonts w:ascii="Times New Roman" w:hAnsi="Times New Roman"/>
          <w:bCs/>
          <w:iCs/>
          <w:position w:val="-1"/>
          <w:szCs w:val="22"/>
          <w:lang w:val="fr-FR"/>
        </w:rPr>
      </w:pPr>
      <w:r w:rsidRPr="00623A2B">
        <w:rPr>
          <w:rFonts w:ascii="Times New Roman" w:hAnsi="Times New Roman"/>
          <w:bCs/>
          <w:iCs/>
          <w:position w:val="-1"/>
          <w:szCs w:val="22"/>
          <w:lang w:val="fr-FR"/>
        </w:rPr>
        <w:t>DÉCIDE d'approuver les points suivants,</w:t>
      </w:r>
    </w:p>
    <w:p w14:paraId="0411CE06" w14:textId="77777777" w:rsidR="00236661" w:rsidRPr="00623A2B" w:rsidRDefault="00236661" w:rsidP="00236661">
      <w:pPr>
        <w:suppressAutoHyphens/>
        <w:textDirection w:val="btLr"/>
        <w:textAlignment w:val="top"/>
        <w:outlineLvl w:val="0"/>
        <w:rPr>
          <w:rFonts w:ascii="Times New Roman" w:hAnsi="Times New Roman"/>
          <w:bCs/>
          <w:iCs/>
          <w:position w:val="-1"/>
          <w:szCs w:val="22"/>
          <w:lang w:val="fr-FR"/>
        </w:rPr>
      </w:pPr>
    </w:p>
    <w:p w14:paraId="3A1968C3" w14:textId="77777777" w:rsidR="00236661" w:rsidRPr="00623A2B" w:rsidRDefault="00236661" w:rsidP="00236661">
      <w:pPr>
        <w:jc w:val="center"/>
        <w:rPr>
          <w:rFonts w:ascii="Times New Roman" w:hAnsi="Times New Roman"/>
          <w:iCs/>
          <w:position w:val="-1"/>
          <w:szCs w:val="22"/>
          <w:lang w:val="fr-FR"/>
        </w:rPr>
      </w:pPr>
      <w:r w:rsidRPr="00623A2B">
        <w:rPr>
          <w:rFonts w:ascii="Times New Roman" w:hAnsi="Times New Roman"/>
          <w:snapToGrid w:val="0"/>
          <w:szCs w:val="22"/>
          <w:lang w:val="fr-FR"/>
        </w:rPr>
        <w:t>CHARTE INTERAMÉRICAINE DES ENTREPRISES</w:t>
      </w:r>
    </w:p>
    <w:p w14:paraId="7BD4DD99" w14:textId="77777777" w:rsidR="00236661" w:rsidRPr="00623A2B" w:rsidRDefault="00236661" w:rsidP="00236661">
      <w:pPr>
        <w:jc w:val="center"/>
        <w:rPr>
          <w:rFonts w:ascii="Times New Roman" w:hAnsi="Times New Roman"/>
          <w:iCs/>
          <w:position w:val="-1"/>
          <w:szCs w:val="22"/>
          <w:lang w:val="fr-FR"/>
        </w:rPr>
      </w:pPr>
    </w:p>
    <w:p w14:paraId="304631D7" w14:textId="77777777" w:rsidR="00236661" w:rsidRPr="00623A2B" w:rsidRDefault="00236661" w:rsidP="00236661">
      <w:pPr>
        <w:jc w:val="center"/>
        <w:rPr>
          <w:rFonts w:ascii="Times New Roman" w:hAnsi="Times New Roman"/>
          <w:position w:val="-1"/>
          <w:szCs w:val="22"/>
          <w:lang w:val="fr-FR"/>
        </w:rPr>
      </w:pPr>
      <w:r w:rsidRPr="00623A2B">
        <w:rPr>
          <w:rFonts w:ascii="Times New Roman" w:hAnsi="Times New Roman"/>
          <w:position w:val="-1"/>
          <w:szCs w:val="22"/>
          <w:lang w:val="fr-FR"/>
        </w:rPr>
        <w:t>CHAPITRE I.</w:t>
      </w:r>
    </w:p>
    <w:p w14:paraId="0FF2D74E" w14:textId="77777777" w:rsidR="00236661" w:rsidRPr="00623A2B" w:rsidRDefault="00236661" w:rsidP="00236661">
      <w:pPr>
        <w:jc w:val="center"/>
        <w:rPr>
          <w:rFonts w:ascii="Times New Roman" w:hAnsi="Times New Roman"/>
          <w:iCs/>
          <w:position w:val="-1"/>
          <w:szCs w:val="22"/>
          <w:lang w:val="fr-FR"/>
        </w:rPr>
      </w:pPr>
      <w:r w:rsidRPr="00623A2B">
        <w:rPr>
          <w:rFonts w:ascii="Times New Roman" w:hAnsi="Times New Roman"/>
          <w:position w:val="-1"/>
          <w:szCs w:val="22"/>
          <w:lang w:val="fr-FR"/>
        </w:rPr>
        <w:t xml:space="preserve">RECONNAISSANCE DU RÔLE DES ENTREPRISES EN TANT </w:t>
      </w:r>
      <w:r w:rsidRPr="00623A2B">
        <w:rPr>
          <w:rFonts w:ascii="Times New Roman" w:hAnsi="Times New Roman"/>
          <w:position w:val="-1"/>
          <w:szCs w:val="22"/>
          <w:lang w:val="fr-FR"/>
        </w:rPr>
        <w:br/>
        <w:t>QUE CANALISATRICES DU DÉVELOPPEMENT DURABLE ET INTÉGRÉ</w:t>
      </w:r>
    </w:p>
    <w:p w14:paraId="723A88C6" w14:textId="77777777" w:rsidR="00236661" w:rsidRPr="00623A2B" w:rsidRDefault="00236661" w:rsidP="00236661">
      <w:pPr>
        <w:suppressAutoHyphens/>
        <w:jc w:val="center"/>
        <w:textDirection w:val="btLr"/>
        <w:textAlignment w:val="top"/>
        <w:outlineLvl w:val="0"/>
        <w:rPr>
          <w:rFonts w:ascii="Times New Roman" w:hAnsi="Times New Roman"/>
          <w:iCs/>
          <w:position w:val="-1"/>
          <w:szCs w:val="22"/>
          <w:lang w:val="fr-FR"/>
        </w:rPr>
      </w:pPr>
    </w:p>
    <w:p w14:paraId="4A9E1209"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iCs/>
          <w:position w:val="-1"/>
          <w:szCs w:val="22"/>
          <w:lang w:val="fr-FR"/>
        </w:rPr>
      </w:pPr>
      <w:r w:rsidRPr="00623A2B">
        <w:rPr>
          <w:rFonts w:ascii="Times New Roman" w:hAnsi="Times New Roman"/>
          <w:bCs/>
          <w:iCs/>
          <w:position w:val="-1"/>
          <w:szCs w:val="22"/>
          <w:lang w:val="fr-FR"/>
        </w:rPr>
        <w:t>Les peuples des Amériques ont une légitime aspiration au développement durable, inclusif et intégré et leurs gouvernements sont tenus de le promouvoir et de créer les conditions favorables à sa réalisation.</w:t>
      </w:r>
    </w:p>
    <w:p w14:paraId="2D26B1B9" w14:textId="77777777" w:rsidR="00236661" w:rsidRPr="00623A2B" w:rsidRDefault="00236661" w:rsidP="00236661">
      <w:pPr>
        <w:ind w:firstLine="720"/>
        <w:rPr>
          <w:rFonts w:ascii="Times New Roman" w:hAnsi="Times New Roman"/>
          <w:bCs/>
          <w:iCs/>
          <w:position w:val="-1"/>
          <w:szCs w:val="22"/>
          <w:lang w:val="fr-FR"/>
        </w:rPr>
      </w:pPr>
    </w:p>
    <w:p w14:paraId="407CC080" w14:textId="77777777" w:rsidR="00236661" w:rsidRPr="00623A2B" w:rsidRDefault="00236661" w:rsidP="00236661">
      <w:pPr>
        <w:pStyle w:val="ListParagraph"/>
        <w:ind w:left="0" w:firstLine="720"/>
        <w:rPr>
          <w:rFonts w:ascii="Times New Roman" w:hAnsi="Times New Roman"/>
          <w:bCs/>
          <w:iCs/>
          <w:position w:val="-1"/>
          <w:szCs w:val="22"/>
          <w:lang w:val="fr-FR"/>
        </w:rPr>
      </w:pPr>
      <w:r w:rsidRPr="00623A2B">
        <w:rPr>
          <w:rFonts w:ascii="Times New Roman" w:hAnsi="Times New Roman"/>
          <w:bCs/>
          <w:iCs/>
          <w:position w:val="-1"/>
          <w:szCs w:val="22"/>
          <w:lang w:val="fr-FR"/>
        </w:rPr>
        <w:t xml:space="preserve">Un secteur des entreprises compétitif, incluant les entreprises transnationales qui sont présentes dans les pays de la région, est fondamental pour assurer un environnement stable, démocratique et pacifique et pour contribuer à la croissance et au développement économiques des nations, et ce, sans négliger leurs fonctions sociales en termes de création d’emplois décents, de justice sociale et de réduction de la pauvreté. </w:t>
      </w:r>
    </w:p>
    <w:p w14:paraId="0CF1D47B" w14:textId="77777777" w:rsidR="00236661" w:rsidRPr="00623A2B" w:rsidRDefault="00236661" w:rsidP="00236661">
      <w:pPr>
        <w:ind w:firstLine="720"/>
        <w:rPr>
          <w:rFonts w:ascii="Times New Roman" w:hAnsi="Times New Roman"/>
          <w:b/>
          <w:i/>
          <w:position w:val="-1"/>
          <w:szCs w:val="22"/>
          <w:lang w:val="fr-FR"/>
        </w:rPr>
      </w:pPr>
    </w:p>
    <w:p w14:paraId="34712E54"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iCs/>
          <w:position w:val="-1"/>
          <w:szCs w:val="22"/>
          <w:lang w:val="fr-FR"/>
        </w:rPr>
      </w:pPr>
      <w:r w:rsidRPr="00623A2B">
        <w:rPr>
          <w:rFonts w:ascii="Times New Roman" w:hAnsi="Times New Roman"/>
          <w:bCs/>
          <w:iCs/>
          <w:position w:val="-1"/>
          <w:szCs w:val="22"/>
          <w:lang w:val="fr-FR"/>
        </w:rPr>
        <w:t xml:space="preserve">Les États membres reconnaissent l’importance d’encourager et d’accroître la capacité du secteur des entreprises à contribuer au développement durable, inclusif et intégré et à la stabilité économique de la région, à la sécurité multidimensionnelle, au renforcement de la démocratie ainsi qu’à la promotion et la protection des droits de la personne. </w:t>
      </w:r>
    </w:p>
    <w:p w14:paraId="750B1678" w14:textId="77777777" w:rsidR="00236661" w:rsidRPr="00623A2B" w:rsidRDefault="00236661" w:rsidP="00236661">
      <w:pPr>
        <w:ind w:firstLine="720"/>
        <w:rPr>
          <w:rFonts w:ascii="Times New Roman" w:hAnsi="Times New Roman"/>
          <w:b/>
          <w:i/>
          <w:position w:val="-1"/>
          <w:szCs w:val="22"/>
          <w:lang w:val="fr-FR"/>
        </w:rPr>
      </w:pPr>
    </w:p>
    <w:p w14:paraId="4569DE26"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iCs/>
          <w:position w:val="-1"/>
          <w:szCs w:val="22"/>
          <w:lang w:val="fr-FR"/>
        </w:rPr>
      </w:pPr>
      <w:r w:rsidRPr="00623A2B">
        <w:rPr>
          <w:rFonts w:ascii="Times New Roman" w:hAnsi="Times New Roman"/>
          <w:bCs/>
          <w:iCs/>
          <w:position w:val="-1"/>
          <w:szCs w:val="22"/>
          <w:lang w:val="fr-FR"/>
        </w:rPr>
        <w:t xml:space="preserve">Les États membres, en accord avec les instruments interaméricains, ont l’intention d’encourager le développement d’un environnement favorable et inclusif afin de renforcer la croissance d’un secteur des entreprises compétitif, au moyen de politiques favorisant la création, la formalisation, le renforcement et l’intégration des chaînes de valeur et d’approvisionnement mondiales et régionales, ainsi que d’un plus grand nombre d’entreprises privées dans le continent américain, en portant une attention spéciale aux micro, petites et moyennes entreprises (PME) et aux coopératives et entreprises de l’économie sociale, y compris celles qui appartiennent à des personnes faisant partie de groupes traditionnellement sous-représentés ou en situation de vulnérabilité. </w:t>
      </w:r>
    </w:p>
    <w:p w14:paraId="097C28A8" w14:textId="77777777" w:rsidR="00236661" w:rsidRPr="00623A2B" w:rsidRDefault="00236661" w:rsidP="00236661">
      <w:pPr>
        <w:ind w:firstLine="720"/>
        <w:rPr>
          <w:rFonts w:ascii="Times New Roman" w:hAnsi="Times New Roman"/>
          <w:b/>
          <w:i/>
          <w:position w:val="-1"/>
          <w:szCs w:val="22"/>
          <w:lang w:val="fr-FR"/>
        </w:rPr>
      </w:pPr>
    </w:p>
    <w:p w14:paraId="7B306821"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position w:val="-1"/>
          <w:szCs w:val="22"/>
          <w:lang w:val="fr-FR"/>
        </w:rPr>
      </w:pPr>
      <w:r w:rsidRPr="00623A2B">
        <w:rPr>
          <w:rFonts w:ascii="Times New Roman" w:hAnsi="Times New Roman"/>
          <w:bCs/>
          <w:iCs/>
          <w:position w:val="-1"/>
          <w:szCs w:val="22"/>
          <w:lang w:val="fr-FR"/>
        </w:rPr>
        <w:t>Les États membres</w:t>
      </w:r>
      <w:r w:rsidRPr="00623A2B">
        <w:rPr>
          <w:rFonts w:ascii="Times New Roman" w:hAnsi="Times New Roman"/>
          <w:position w:val="-1"/>
          <w:szCs w:val="22"/>
          <w:lang w:val="fr-FR"/>
        </w:rPr>
        <w:t xml:space="preserve"> </w:t>
      </w:r>
      <w:r w:rsidRPr="00623A2B">
        <w:rPr>
          <w:rFonts w:ascii="Times New Roman" w:hAnsi="Times New Roman"/>
          <w:bCs/>
          <w:iCs/>
          <w:position w:val="-1"/>
          <w:szCs w:val="22"/>
          <w:lang w:val="fr-FR"/>
        </w:rPr>
        <w:t xml:space="preserve">ont l’intention d’encourager l’élaboration et la mise en œuvre de politiques et de cadres réglementaires, destinés à renforcer l’égalité et l’équité entre les sexes ainsi que l’autonomisation et l’autonomie économique de </w:t>
      </w:r>
      <w:r w:rsidRPr="00623A2B">
        <w:rPr>
          <w:rFonts w:ascii="Times New Roman" w:hAnsi="Times New Roman"/>
          <w:bCs/>
          <w:position w:val="-1"/>
          <w:szCs w:val="22"/>
          <w:lang w:val="fr-FR"/>
        </w:rPr>
        <w:t xml:space="preserve">toutes les </w:t>
      </w:r>
      <w:r w:rsidRPr="00623A2B">
        <w:rPr>
          <w:rFonts w:ascii="Times New Roman" w:hAnsi="Times New Roman"/>
          <w:bCs/>
          <w:iCs/>
          <w:position w:val="-1"/>
          <w:szCs w:val="22"/>
          <w:lang w:val="fr-FR"/>
        </w:rPr>
        <w:t xml:space="preserve">femmes, en respectant et en valorisant la </w:t>
      </w:r>
      <w:r w:rsidRPr="00623A2B">
        <w:rPr>
          <w:rFonts w:ascii="Times New Roman" w:hAnsi="Times New Roman"/>
          <w:bCs/>
          <w:iCs/>
          <w:position w:val="-1"/>
          <w:szCs w:val="22"/>
          <w:lang w:val="fr-FR"/>
        </w:rPr>
        <w:lastRenderedPageBreak/>
        <w:t xml:space="preserve">pleine diversité des situations et des conditions dans lesquelles elles se trouvent </w:t>
      </w:r>
      <w:r w:rsidRPr="00623A2B">
        <w:rPr>
          <w:rFonts w:ascii="Times New Roman" w:hAnsi="Times New Roman"/>
          <w:bCs/>
          <w:position w:val="-1"/>
          <w:szCs w:val="22"/>
          <w:lang w:val="fr-FR"/>
        </w:rPr>
        <w:t>;</w:t>
      </w:r>
      <w:r w:rsidRPr="00623A2B">
        <w:rPr>
          <w:rFonts w:ascii="Times New Roman" w:hAnsi="Times New Roman"/>
          <w:position w:val="-1"/>
          <w:szCs w:val="22"/>
          <w:lang w:val="fr-FR"/>
        </w:rPr>
        <w:t xml:space="preserve"> en favorisant la création de débouchés et les compétences entrepreneuriales grâce au financement, à la mise en place de réseaux et à la promotion de leur talent et leur expertise ; les États membres ont l’intention d’encourager aussi la création d’un climat propice afin d’accroître le nombre des entrepreneuses ainsi que le développement et la taille de leurs entreprises et de favoriser une plus grande participation des femmes dans les espaces de décision et d’encadrement. La réalisation de cet objectif peut s’effectuer conjointement avec le secteur des entreprises.</w:t>
      </w:r>
    </w:p>
    <w:p w14:paraId="0B17B58C" w14:textId="77777777" w:rsidR="00236661" w:rsidRPr="00623A2B" w:rsidRDefault="00236661" w:rsidP="00236661">
      <w:pPr>
        <w:ind w:firstLine="720"/>
        <w:rPr>
          <w:rFonts w:ascii="Times New Roman" w:hAnsi="Times New Roman"/>
          <w:b/>
          <w:bCs/>
          <w:iCs/>
          <w:position w:val="-1"/>
          <w:szCs w:val="22"/>
          <w:lang w:val="fr-FR"/>
        </w:rPr>
      </w:pPr>
    </w:p>
    <w:p w14:paraId="279C8391"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iCs/>
          <w:position w:val="-1"/>
          <w:szCs w:val="22"/>
          <w:lang w:val="fr-FR"/>
        </w:rPr>
      </w:pPr>
      <w:r w:rsidRPr="00623A2B">
        <w:rPr>
          <w:rFonts w:ascii="Times New Roman" w:hAnsi="Times New Roman"/>
          <w:bCs/>
          <w:iCs/>
          <w:position w:val="-1"/>
          <w:szCs w:val="22"/>
          <w:lang w:val="fr-FR"/>
        </w:rPr>
        <w:t xml:space="preserve">Les États membres visent à promouvoir l’entrepreneuriat des femmes, l’accès aux ressources productives, l’accès aux marchés et la participation des entreprises dirigées par des femmes, en particulier </w:t>
      </w:r>
      <w:proofErr w:type="gramStart"/>
      <w:r w:rsidRPr="00623A2B">
        <w:rPr>
          <w:rFonts w:ascii="Times New Roman" w:hAnsi="Times New Roman"/>
          <w:bCs/>
          <w:iCs/>
          <w:position w:val="-1"/>
          <w:szCs w:val="22"/>
          <w:lang w:val="fr-FR"/>
        </w:rPr>
        <w:t>les micro</w:t>
      </w:r>
      <w:proofErr w:type="gramEnd"/>
      <w:r w:rsidRPr="00623A2B">
        <w:rPr>
          <w:rFonts w:ascii="Times New Roman" w:hAnsi="Times New Roman"/>
          <w:bCs/>
          <w:iCs/>
          <w:position w:val="-1"/>
          <w:szCs w:val="22"/>
          <w:lang w:val="fr-FR"/>
        </w:rPr>
        <w:t xml:space="preserve">, petites et moyennes entreprises (PME), aux chaînes de valeur mondiales et régionales ainsi que l’accès à des services financiers abordables et à une éducation de qualité. </w:t>
      </w:r>
    </w:p>
    <w:p w14:paraId="3A7024FF" w14:textId="77777777" w:rsidR="00236661" w:rsidRPr="00623A2B" w:rsidRDefault="00236661" w:rsidP="00236661">
      <w:pPr>
        <w:ind w:firstLine="720"/>
        <w:rPr>
          <w:rFonts w:ascii="Times New Roman" w:hAnsi="Times New Roman"/>
          <w:b/>
          <w:i/>
          <w:position w:val="-1"/>
          <w:szCs w:val="22"/>
          <w:lang w:val="fr-FR"/>
        </w:rPr>
      </w:pPr>
    </w:p>
    <w:p w14:paraId="7B4823DF"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iCs/>
          <w:position w:val="-1"/>
          <w:szCs w:val="22"/>
          <w:lang w:val="fr-FR"/>
        </w:rPr>
      </w:pPr>
      <w:r w:rsidRPr="00623A2B">
        <w:rPr>
          <w:rFonts w:ascii="Times New Roman" w:hAnsi="Times New Roman"/>
          <w:bCs/>
          <w:iCs/>
          <w:position w:val="-1"/>
          <w:szCs w:val="22"/>
          <w:lang w:val="fr-FR"/>
        </w:rPr>
        <w:t>Les États membres, dans le but de prévenir toutes les formes de discrimination fondée sur le genre dans le milieu des entreprises, entre autres, ont l’intention de promouvoir les politiques et les cadres réglementaires visant à éliminer les barrières dans les relations de travail et à créer un environnement favorable à l’employabilité, à l’insertion et au maintien en poste de toutes les femmes, grâce à la répartition équitable des tâches de garde non rémunérées, à l’accès à des services de garde de qualité, à la conciliation de la vie professionnelle et familiale ainsi qu’à l’égalité de rémunération entre les hommes et les femmes pour un même travail ou un travail de valeur égale.</w:t>
      </w:r>
    </w:p>
    <w:p w14:paraId="19952F08" w14:textId="77777777" w:rsidR="00236661" w:rsidRPr="00623A2B" w:rsidRDefault="00236661" w:rsidP="00236661">
      <w:pPr>
        <w:ind w:firstLine="720"/>
        <w:rPr>
          <w:rFonts w:ascii="Times New Roman" w:hAnsi="Times New Roman"/>
          <w:bCs/>
          <w:iCs/>
          <w:position w:val="-1"/>
          <w:szCs w:val="22"/>
          <w:lang w:val="fr-FR"/>
        </w:rPr>
      </w:pPr>
    </w:p>
    <w:p w14:paraId="0B39F3B1"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iCs/>
          <w:position w:val="-1"/>
          <w:szCs w:val="22"/>
          <w:lang w:val="fr-FR"/>
        </w:rPr>
      </w:pPr>
      <w:r w:rsidRPr="00623A2B">
        <w:rPr>
          <w:rFonts w:ascii="Times New Roman" w:hAnsi="Times New Roman"/>
          <w:bCs/>
          <w:iCs/>
          <w:position w:val="-1"/>
          <w:szCs w:val="22"/>
          <w:lang w:val="fr-FR"/>
        </w:rPr>
        <w:t>Les États membres visent à soutenir les efforts déployés pour lutter contre la discrimination fondée sur le handicap et doivent envisager des mesures pour favoriser des politiques de l’entreprise qui garantissent l’accès à l’emploi des personnes handicapées, ouvrant ainsi la voie à l’inclusion, l’accessibilité et la promotion de la lutte contre l’exclusion sociale.</w:t>
      </w:r>
    </w:p>
    <w:p w14:paraId="4946801A" w14:textId="77777777" w:rsidR="00236661" w:rsidRPr="00623A2B" w:rsidRDefault="00236661" w:rsidP="00236661">
      <w:pPr>
        <w:suppressAutoHyphens/>
        <w:ind w:leftChars="-1" w:hangingChars="1" w:hanging="2"/>
        <w:jc w:val="center"/>
        <w:textDirection w:val="btLr"/>
        <w:textAlignment w:val="top"/>
        <w:outlineLvl w:val="0"/>
        <w:rPr>
          <w:rFonts w:ascii="Times New Roman" w:hAnsi="Times New Roman"/>
          <w:position w:val="-1"/>
          <w:szCs w:val="22"/>
          <w:lang w:val="fr-FR"/>
        </w:rPr>
      </w:pPr>
    </w:p>
    <w:p w14:paraId="30AD4521" w14:textId="77777777" w:rsidR="00236661" w:rsidRPr="00623A2B" w:rsidRDefault="00236661" w:rsidP="00236661">
      <w:pPr>
        <w:tabs>
          <w:tab w:val="clear" w:pos="720"/>
        </w:tabs>
        <w:jc w:val="center"/>
        <w:textDirection w:val="btLr"/>
        <w:rPr>
          <w:rFonts w:ascii="Times New Roman" w:hAnsi="Times New Roman"/>
          <w:position w:val="-1"/>
          <w:szCs w:val="22"/>
          <w:lang w:val="fr-FR"/>
        </w:rPr>
      </w:pPr>
      <w:r w:rsidRPr="00623A2B">
        <w:rPr>
          <w:rFonts w:ascii="Times New Roman" w:hAnsi="Times New Roman"/>
          <w:position w:val="-1"/>
          <w:szCs w:val="22"/>
          <w:lang w:val="fr-FR"/>
        </w:rPr>
        <w:t>CHAPITRE II.</w:t>
      </w:r>
    </w:p>
    <w:p w14:paraId="0241DB1C" w14:textId="77777777" w:rsidR="00236661" w:rsidRPr="00623A2B" w:rsidRDefault="00236661" w:rsidP="00236661">
      <w:pPr>
        <w:jc w:val="center"/>
        <w:textDirection w:val="btLr"/>
        <w:rPr>
          <w:rFonts w:ascii="Times New Roman" w:hAnsi="Times New Roman"/>
          <w:position w:val="-1"/>
          <w:szCs w:val="22"/>
          <w:lang w:val="fr-FR"/>
        </w:rPr>
      </w:pPr>
      <w:r w:rsidRPr="00623A2B">
        <w:rPr>
          <w:rFonts w:ascii="Times New Roman" w:hAnsi="Times New Roman"/>
          <w:position w:val="-1"/>
          <w:szCs w:val="22"/>
          <w:lang w:val="fr-FR"/>
        </w:rPr>
        <w:t>RENFORCEMENT DES CADRES JURIDIQUES ET INSTITUTIONNELS</w:t>
      </w:r>
    </w:p>
    <w:p w14:paraId="337F65AA" w14:textId="77777777" w:rsidR="00236661" w:rsidRPr="00623A2B" w:rsidRDefault="00236661" w:rsidP="00236661">
      <w:pPr>
        <w:suppressAutoHyphens/>
        <w:jc w:val="center"/>
        <w:textDirection w:val="btLr"/>
        <w:textAlignment w:val="top"/>
        <w:outlineLvl w:val="0"/>
        <w:rPr>
          <w:rFonts w:ascii="Times New Roman" w:hAnsi="Times New Roman"/>
          <w:position w:val="-1"/>
          <w:szCs w:val="22"/>
          <w:lang w:val="fr-FR"/>
        </w:rPr>
      </w:pPr>
    </w:p>
    <w:p w14:paraId="396BEFD8"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bCs/>
          <w:iCs/>
          <w:position w:val="-1"/>
          <w:szCs w:val="22"/>
          <w:lang w:val="fr-FR"/>
        </w:rPr>
      </w:pPr>
      <w:r w:rsidRPr="00623A2B">
        <w:rPr>
          <w:rFonts w:ascii="Times New Roman" w:hAnsi="Times New Roman"/>
          <w:bCs/>
          <w:iCs/>
          <w:position w:val="-1"/>
          <w:szCs w:val="22"/>
          <w:lang w:val="fr-FR"/>
        </w:rPr>
        <w:t>Les États membres ont l’intention d’adopter des pratiques réglementaires exemplaires concernant la planification, l’élaboration, la diffusion, la mise en œuvre et la révision des normes qui améliorent la qualité des règlementations et favorisent la création d’un environnement de l’entreprise stable et propice au commerce, aux investissements et à la croissance économique des pays de la région, tout en reconnaissant la souveraineté des États membres, conformément à leurs systèmes et institutions juridiques, pour l’atteinte des objectifs légitimes.</w:t>
      </w:r>
    </w:p>
    <w:p w14:paraId="7CDD0E14" w14:textId="77777777" w:rsidR="00236661" w:rsidRPr="00623A2B" w:rsidRDefault="00236661" w:rsidP="00236661">
      <w:pPr>
        <w:ind w:firstLine="720"/>
        <w:textDirection w:val="btLr"/>
        <w:rPr>
          <w:rFonts w:ascii="Times New Roman" w:hAnsi="Times New Roman"/>
          <w:bCs/>
          <w:iCs/>
          <w:position w:val="-1"/>
          <w:szCs w:val="22"/>
          <w:lang w:val="fr-FR"/>
        </w:rPr>
      </w:pPr>
    </w:p>
    <w:p w14:paraId="47720296"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bCs/>
          <w:iCs/>
          <w:position w:val="-1"/>
          <w:szCs w:val="22"/>
          <w:lang w:val="fr-FR"/>
        </w:rPr>
      </w:pPr>
      <w:r w:rsidRPr="00623A2B">
        <w:rPr>
          <w:rFonts w:ascii="Times New Roman" w:hAnsi="Times New Roman"/>
          <w:bCs/>
          <w:iCs/>
          <w:position w:val="-1"/>
          <w:szCs w:val="22"/>
          <w:lang w:val="fr-FR"/>
        </w:rPr>
        <w:t>Les États membres, dans leur détermination et leur engagement en faveur du développement des entreprises, ont l’intention d’encourager les politiques publiques et les cadres réglementaires qui promeuvent la libre concurrence, empêchent la constitution de monopoles, visent à éliminer les contraintes administratives et bureaucratiques superflues entravant la création de nouvelles entreprises ou participant à la disparition des entreprises existantes, d’une manière compatible avec la réglementation internationale applicable en la matière.</w:t>
      </w:r>
    </w:p>
    <w:p w14:paraId="7BDA0EED" w14:textId="77777777" w:rsidR="00236661" w:rsidRPr="00623A2B" w:rsidRDefault="00236661" w:rsidP="00236661">
      <w:pPr>
        <w:ind w:firstLine="720"/>
        <w:textDirection w:val="btLr"/>
        <w:rPr>
          <w:rFonts w:ascii="Times New Roman" w:hAnsi="Times New Roman"/>
          <w:iCs/>
          <w:position w:val="-1"/>
          <w:szCs w:val="22"/>
          <w:lang w:val="fr-FR"/>
        </w:rPr>
      </w:pPr>
    </w:p>
    <w:p w14:paraId="777BA383"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bCs/>
          <w:iCs/>
          <w:position w:val="-1"/>
          <w:szCs w:val="22"/>
          <w:lang w:val="fr-FR"/>
        </w:rPr>
      </w:pPr>
      <w:r w:rsidRPr="00623A2B">
        <w:rPr>
          <w:rFonts w:ascii="Times New Roman" w:hAnsi="Times New Roman"/>
          <w:bCs/>
          <w:iCs/>
          <w:position w:val="-1"/>
          <w:szCs w:val="22"/>
          <w:lang w:val="fr-FR"/>
        </w:rPr>
        <w:t xml:space="preserve">Les États membres ont l’intention d’encourager l’élaboration de politiques et de cadres réglementaires qui facilitent et diversifient les possibilités qu’ont les entrepreneurs, en particulier les femmes, d’accéder aux services financiers et d’adopter de nouvelles connaissances et technologies qui permettent aux entreprises d’innover, de produire des biens ou des services à plus forte valeur ajoutée </w:t>
      </w:r>
      <w:r w:rsidRPr="00623A2B">
        <w:rPr>
          <w:rFonts w:ascii="Times New Roman" w:hAnsi="Times New Roman"/>
          <w:bCs/>
          <w:iCs/>
          <w:position w:val="-1"/>
          <w:szCs w:val="22"/>
          <w:lang w:val="fr-FR"/>
        </w:rPr>
        <w:lastRenderedPageBreak/>
        <w:t>et qui favorisent leur institutionnalisation de manière à renforcer la formalisation, l’accès aux marchés et l’efficacité de gestion.</w:t>
      </w:r>
    </w:p>
    <w:p w14:paraId="5D3CDDE3" w14:textId="77777777" w:rsidR="00236661" w:rsidRPr="00623A2B" w:rsidRDefault="00236661" w:rsidP="00236661">
      <w:pPr>
        <w:suppressAutoHyphens/>
        <w:ind w:leftChars="-1" w:hangingChars="1" w:hanging="2"/>
        <w:jc w:val="center"/>
        <w:textDirection w:val="btLr"/>
        <w:textAlignment w:val="top"/>
        <w:outlineLvl w:val="0"/>
        <w:rPr>
          <w:rFonts w:ascii="Times New Roman" w:hAnsi="Times New Roman"/>
          <w:position w:val="-1"/>
          <w:szCs w:val="22"/>
          <w:lang w:val="fr-FR"/>
        </w:rPr>
      </w:pPr>
    </w:p>
    <w:p w14:paraId="03192CB4" w14:textId="594F0D75" w:rsidR="00236661" w:rsidRPr="00623A2B" w:rsidRDefault="00236661" w:rsidP="00236661">
      <w:pPr>
        <w:jc w:val="center"/>
        <w:textDirection w:val="btLr"/>
        <w:rPr>
          <w:rFonts w:ascii="Times New Roman" w:hAnsi="Times New Roman"/>
          <w:position w:val="-1"/>
          <w:szCs w:val="22"/>
          <w:lang w:val="fr-FR"/>
        </w:rPr>
      </w:pPr>
      <w:r w:rsidRPr="00623A2B">
        <w:rPr>
          <w:rFonts w:ascii="Times New Roman" w:hAnsi="Times New Roman"/>
          <w:position w:val="-1"/>
          <w:szCs w:val="22"/>
          <w:lang w:val="fr-FR"/>
        </w:rPr>
        <w:t>CHAPITRE III.</w:t>
      </w:r>
    </w:p>
    <w:p w14:paraId="77D4A3B1" w14:textId="77777777" w:rsidR="00236661" w:rsidRPr="00623A2B" w:rsidRDefault="00236661" w:rsidP="00236661">
      <w:pPr>
        <w:jc w:val="center"/>
        <w:textDirection w:val="btLr"/>
        <w:rPr>
          <w:rFonts w:ascii="Times New Roman" w:hAnsi="Times New Roman"/>
          <w:position w:val="-1"/>
          <w:szCs w:val="22"/>
          <w:lang w:val="fr-FR"/>
        </w:rPr>
      </w:pPr>
      <w:r w:rsidRPr="00623A2B">
        <w:rPr>
          <w:rFonts w:ascii="Times New Roman" w:hAnsi="Times New Roman"/>
          <w:position w:val="-1"/>
          <w:szCs w:val="22"/>
          <w:lang w:val="fr-FR"/>
        </w:rPr>
        <w:t>COOPÉRATION INTERNATIONALE ET PARTENARIATS STRATÉGIQUES</w:t>
      </w:r>
    </w:p>
    <w:p w14:paraId="3398C73F" w14:textId="77777777" w:rsidR="00236661" w:rsidRPr="00623A2B" w:rsidRDefault="00236661" w:rsidP="00236661">
      <w:pPr>
        <w:ind w:firstLine="720"/>
        <w:textDirection w:val="btLr"/>
        <w:rPr>
          <w:rFonts w:ascii="Times New Roman" w:hAnsi="Times New Roman"/>
          <w:bCs/>
          <w:iCs/>
          <w:position w:val="-1"/>
          <w:szCs w:val="22"/>
          <w:lang w:val="fr-FR"/>
        </w:rPr>
      </w:pPr>
    </w:p>
    <w:p w14:paraId="072095BB"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bCs/>
          <w:iCs/>
          <w:position w:val="-1"/>
          <w:szCs w:val="22"/>
          <w:lang w:val="fr-FR"/>
        </w:rPr>
      </w:pPr>
      <w:r w:rsidRPr="00623A2B">
        <w:rPr>
          <w:rFonts w:ascii="Times New Roman" w:hAnsi="Times New Roman"/>
          <w:bCs/>
          <w:iCs/>
          <w:position w:val="-1"/>
          <w:szCs w:val="22"/>
          <w:lang w:val="fr-FR"/>
        </w:rPr>
        <w:t xml:space="preserve">Les États membres ont l’intention de promouvoir, d’une manière compatible avec l’Accord sur la facilitation des échanges (AFE) de l’Organisation mondiale du Commerce (OMC), les mécanismes de coopération internationale pour le développement, ainsi que les partenariats stratégiques, en vue de renforcer les infrastructures de production, technologiques, logistiques et de transport, le transfert volontaire de connaissances dans des conditions convenues d’un commun accord et, de manière continue, les agences frontalières afin de créer un écosystème favorable à la génération et à l’augmentation d’initiatives commerciales nouvelles et diversifiées et d’encourager l’emploi productif et le travail décent. </w:t>
      </w:r>
    </w:p>
    <w:p w14:paraId="081CD23F" w14:textId="77777777" w:rsidR="00236661" w:rsidRPr="00623A2B" w:rsidRDefault="00236661" w:rsidP="00236661">
      <w:pPr>
        <w:ind w:firstLine="720"/>
        <w:textDirection w:val="btLr"/>
        <w:rPr>
          <w:rFonts w:ascii="Times New Roman" w:hAnsi="Times New Roman"/>
          <w:bCs/>
          <w:iCs/>
          <w:position w:val="-1"/>
          <w:szCs w:val="22"/>
          <w:lang w:val="fr-FR"/>
        </w:rPr>
      </w:pPr>
    </w:p>
    <w:p w14:paraId="54BA6DE9"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bCs/>
          <w:iCs/>
          <w:position w:val="-1"/>
          <w:szCs w:val="22"/>
          <w:lang w:val="fr-FR"/>
        </w:rPr>
      </w:pPr>
      <w:r w:rsidRPr="00623A2B">
        <w:rPr>
          <w:rFonts w:ascii="Times New Roman" w:hAnsi="Times New Roman"/>
          <w:bCs/>
          <w:iCs/>
          <w:position w:val="-1"/>
          <w:szCs w:val="22"/>
          <w:lang w:val="fr-FR"/>
        </w:rPr>
        <w:t xml:space="preserve">Les États membres ont l’intention d’encourager la coopération au niveau continental afin de promouvoir la collaboration, la production durable et l’accès aux produits et services essentiels ainsi que d’encourager les écosystèmes d’innovation, où l’amélioration des activités, des processus et des technologies vise à générer de la valeur ajoutée économique, sociale et environnementale pour tous les acteurs de la société. </w:t>
      </w:r>
    </w:p>
    <w:p w14:paraId="0F17783C" w14:textId="77777777" w:rsidR="00236661" w:rsidRPr="00623A2B" w:rsidRDefault="00236661" w:rsidP="00236661">
      <w:pPr>
        <w:ind w:firstLine="720"/>
        <w:textDirection w:val="btLr"/>
        <w:rPr>
          <w:rFonts w:ascii="Times New Roman" w:hAnsi="Times New Roman"/>
          <w:bCs/>
          <w:iCs/>
          <w:position w:val="-1"/>
          <w:szCs w:val="22"/>
          <w:lang w:val="fr-FR"/>
        </w:rPr>
      </w:pPr>
    </w:p>
    <w:p w14:paraId="126C618D" w14:textId="77777777" w:rsidR="00236661" w:rsidRPr="00623A2B" w:rsidRDefault="00236661" w:rsidP="00236661">
      <w:pPr>
        <w:jc w:val="center"/>
        <w:textDirection w:val="btLr"/>
        <w:rPr>
          <w:rFonts w:ascii="Times New Roman" w:hAnsi="Times New Roman"/>
          <w:position w:val="-1"/>
          <w:szCs w:val="22"/>
          <w:lang w:val="fr-FR"/>
        </w:rPr>
      </w:pPr>
      <w:r w:rsidRPr="00623A2B">
        <w:rPr>
          <w:rFonts w:ascii="Times New Roman" w:hAnsi="Times New Roman"/>
          <w:position w:val="-1"/>
          <w:szCs w:val="22"/>
          <w:lang w:val="fr-FR"/>
        </w:rPr>
        <w:t xml:space="preserve">CHAPITRE IV. </w:t>
      </w:r>
    </w:p>
    <w:p w14:paraId="62E72A33" w14:textId="77777777" w:rsidR="00236661" w:rsidRPr="00623A2B" w:rsidRDefault="00236661" w:rsidP="00236661">
      <w:pPr>
        <w:jc w:val="center"/>
        <w:textDirection w:val="btLr"/>
        <w:rPr>
          <w:rFonts w:ascii="Times New Roman" w:hAnsi="Times New Roman"/>
          <w:position w:val="-1"/>
          <w:szCs w:val="22"/>
          <w:lang w:val="fr-FR"/>
        </w:rPr>
      </w:pPr>
      <w:bookmarkStart w:id="29" w:name="_heading=h.t0z9r8tytjdx" w:colFirst="0" w:colLast="0"/>
      <w:bookmarkEnd w:id="29"/>
      <w:r w:rsidRPr="00623A2B">
        <w:rPr>
          <w:rFonts w:ascii="Times New Roman" w:hAnsi="Times New Roman"/>
          <w:position w:val="-1"/>
          <w:szCs w:val="22"/>
          <w:lang w:val="fr-FR"/>
        </w:rPr>
        <w:t xml:space="preserve">RÔLE DES MICRO, PETITES ET MOYENNES ENTREPRISES (MPME) </w:t>
      </w:r>
    </w:p>
    <w:p w14:paraId="594AC769" w14:textId="77777777" w:rsidR="00236661" w:rsidRPr="00623A2B" w:rsidRDefault="00236661" w:rsidP="00236661">
      <w:pPr>
        <w:ind w:firstLine="720"/>
        <w:textDirection w:val="btLr"/>
        <w:rPr>
          <w:rFonts w:ascii="Times New Roman" w:hAnsi="Times New Roman"/>
          <w:bCs/>
          <w:iCs/>
          <w:position w:val="-1"/>
          <w:szCs w:val="22"/>
          <w:lang w:val="fr-FR"/>
        </w:rPr>
      </w:pPr>
    </w:p>
    <w:p w14:paraId="24D0DBAA"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bCs/>
          <w:iCs/>
          <w:position w:val="-1"/>
          <w:szCs w:val="22"/>
          <w:lang w:val="fr-FR"/>
        </w:rPr>
      </w:pPr>
      <w:r w:rsidRPr="00623A2B">
        <w:rPr>
          <w:rFonts w:ascii="Times New Roman" w:hAnsi="Times New Roman"/>
          <w:bCs/>
          <w:iCs/>
          <w:position w:val="-1"/>
          <w:szCs w:val="22"/>
          <w:lang w:val="fr-FR"/>
        </w:rPr>
        <w:t>Les États membres reconnaissent le rôle des micro, petites et moyennes entreprises (MPME) ainsi que des coopératives et entreprises de l’économie sociale en tant que moteurs du développement et de la croissance économiques et facteurs clés de la réduction de la pauvreté, de la création et la formalisation d’emplois ainsi que de la prise de mesures pour lutter contre le changement climatique et promouvoir l’inclusion sociale, en particulier la participation économique et l’autonomisation des femmes.</w:t>
      </w:r>
    </w:p>
    <w:p w14:paraId="7B87DE66" w14:textId="77777777" w:rsidR="00236661" w:rsidRPr="00623A2B" w:rsidRDefault="00236661" w:rsidP="00236661">
      <w:pPr>
        <w:ind w:firstLine="720"/>
        <w:textDirection w:val="btLr"/>
        <w:rPr>
          <w:rFonts w:ascii="Times New Roman" w:hAnsi="Times New Roman"/>
          <w:b/>
          <w:i/>
          <w:position w:val="-1"/>
          <w:szCs w:val="22"/>
          <w:lang w:val="fr-FR"/>
        </w:rPr>
      </w:pPr>
    </w:p>
    <w:p w14:paraId="266BE07F"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bCs/>
          <w:iCs/>
          <w:position w:val="-1"/>
          <w:szCs w:val="22"/>
          <w:lang w:val="fr-FR"/>
        </w:rPr>
      </w:pPr>
      <w:r w:rsidRPr="00623A2B">
        <w:rPr>
          <w:rFonts w:ascii="Times New Roman" w:hAnsi="Times New Roman"/>
          <w:bCs/>
          <w:iCs/>
          <w:position w:val="-1"/>
          <w:szCs w:val="22"/>
          <w:lang w:val="fr-FR"/>
        </w:rPr>
        <w:t>Les États membres ont l’intention d’encourager les politiques visant à accroître la productivité et la compétitivité ainsi que l’accès des MPME au financement, notamment celles qui appartiennent et/ou sont dirigées par des personnes faisant partie de groupes traditionnellement sous-représentés ou en situation de vulnérabilité, en favorisant la transformation numérique, l’innovation, le renouvellement de la production, l’accès aux marchés, l’amélioration des processus et l’émergence de nouveaux modèles d’affaires.</w:t>
      </w:r>
    </w:p>
    <w:p w14:paraId="13904247" w14:textId="77777777" w:rsidR="00236661" w:rsidRPr="00623A2B" w:rsidRDefault="00236661" w:rsidP="00236661">
      <w:pPr>
        <w:ind w:firstLine="720"/>
        <w:textDirection w:val="btLr"/>
        <w:rPr>
          <w:rFonts w:ascii="Times New Roman" w:hAnsi="Times New Roman"/>
          <w:b/>
          <w:i/>
          <w:position w:val="-1"/>
          <w:szCs w:val="22"/>
          <w:lang w:val="fr-FR"/>
        </w:rPr>
      </w:pPr>
    </w:p>
    <w:p w14:paraId="204B64FA"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bCs/>
          <w:iCs/>
          <w:position w:val="-1"/>
          <w:szCs w:val="22"/>
          <w:lang w:val="fr-FR"/>
        </w:rPr>
      </w:pPr>
      <w:r w:rsidRPr="00623A2B">
        <w:rPr>
          <w:rFonts w:ascii="Times New Roman" w:hAnsi="Times New Roman"/>
          <w:bCs/>
          <w:iCs/>
          <w:position w:val="-1"/>
          <w:szCs w:val="22"/>
          <w:lang w:val="fr-FR"/>
        </w:rPr>
        <w:t>Les États membres doivent promouvoir l’éducation financière des entrepreneurs à la tête de micro, petites et moyennes entreprises et le partage d’expériences et de connaissances entre les grandes sociétés et les MPME.</w:t>
      </w:r>
    </w:p>
    <w:p w14:paraId="076D93BB" w14:textId="77777777" w:rsidR="00236661" w:rsidRPr="00623A2B" w:rsidRDefault="00236661" w:rsidP="00236661">
      <w:pPr>
        <w:ind w:firstLine="720"/>
        <w:textDirection w:val="btLr"/>
        <w:rPr>
          <w:rFonts w:ascii="Times New Roman" w:hAnsi="Times New Roman"/>
          <w:b/>
          <w:i/>
          <w:position w:val="-1"/>
          <w:szCs w:val="22"/>
          <w:lang w:val="fr-FR"/>
        </w:rPr>
      </w:pPr>
    </w:p>
    <w:p w14:paraId="11C9164C"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bCs/>
          <w:iCs/>
          <w:position w:val="-1"/>
          <w:szCs w:val="22"/>
          <w:lang w:val="fr-FR"/>
        </w:rPr>
      </w:pPr>
      <w:r w:rsidRPr="00623A2B">
        <w:rPr>
          <w:rFonts w:ascii="Times New Roman" w:hAnsi="Times New Roman"/>
          <w:bCs/>
          <w:iCs/>
          <w:position w:val="-1"/>
          <w:szCs w:val="22"/>
          <w:lang w:val="fr-FR"/>
        </w:rPr>
        <w:t xml:space="preserve">Les États membres ont également l’intention de promouvoir au sein des MPME l’application de normes comme fondement de la compétitivité, qui pourrait leur permettre de participer aux marchés mondiaux ainsi que d’améliorer les performances des entreprises. </w:t>
      </w:r>
    </w:p>
    <w:p w14:paraId="6A691F46" w14:textId="77777777" w:rsidR="00236661" w:rsidRPr="00623A2B" w:rsidRDefault="00236661" w:rsidP="00236661">
      <w:pPr>
        <w:ind w:firstLine="720"/>
        <w:textDirection w:val="btLr"/>
        <w:rPr>
          <w:rFonts w:ascii="Times New Roman" w:hAnsi="Times New Roman"/>
          <w:bCs/>
          <w:iCs/>
          <w:position w:val="-1"/>
          <w:szCs w:val="22"/>
          <w:lang w:val="fr-FR"/>
        </w:rPr>
      </w:pPr>
    </w:p>
    <w:p w14:paraId="714AE75C" w14:textId="77777777" w:rsidR="003F35B7" w:rsidRPr="00623A2B" w:rsidRDefault="003F35B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position w:val="-1"/>
          <w:szCs w:val="22"/>
          <w:lang w:val="fr-FR"/>
        </w:rPr>
      </w:pPr>
      <w:r w:rsidRPr="00623A2B">
        <w:rPr>
          <w:rFonts w:ascii="Times New Roman" w:hAnsi="Times New Roman"/>
          <w:position w:val="-1"/>
          <w:szCs w:val="22"/>
          <w:lang w:val="fr-FR"/>
        </w:rPr>
        <w:br w:type="page"/>
      </w:r>
    </w:p>
    <w:p w14:paraId="5DE1AD13" w14:textId="6CD98EDF" w:rsidR="00236661" w:rsidRPr="00623A2B" w:rsidRDefault="00236661" w:rsidP="00236661">
      <w:pPr>
        <w:jc w:val="center"/>
        <w:textDirection w:val="btLr"/>
        <w:rPr>
          <w:rFonts w:ascii="Times New Roman" w:hAnsi="Times New Roman"/>
          <w:position w:val="-1"/>
          <w:szCs w:val="22"/>
          <w:lang w:val="fr-FR"/>
        </w:rPr>
      </w:pPr>
      <w:r w:rsidRPr="00623A2B">
        <w:rPr>
          <w:rFonts w:ascii="Times New Roman" w:hAnsi="Times New Roman"/>
          <w:position w:val="-1"/>
          <w:szCs w:val="22"/>
          <w:lang w:val="fr-FR"/>
        </w:rPr>
        <w:lastRenderedPageBreak/>
        <w:t>CHAPITRE</w:t>
      </w:r>
      <w:r w:rsidRPr="00623A2B">
        <w:rPr>
          <w:rFonts w:ascii="Times New Roman" w:hAnsi="Times New Roman"/>
          <w:smallCaps/>
          <w:position w:val="-1"/>
          <w:szCs w:val="22"/>
          <w:lang w:val="fr-FR"/>
        </w:rPr>
        <w:t xml:space="preserve"> V.</w:t>
      </w:r>
    </w:p>
    <w:p w14:paraId="35B99A47" w14:textId="77777777" w:rsidR="00236661" w:rsidRPr="00623A2B" w:rsidRDefault="00236661" w:rsidP="00236661">
      <w:pPr>
        <w:jc w:val="center"/>
        <w:textDirection w:val="btLr"/>
        <w:rPr>
          <w:rFonts w:ascii="Times New Roman" w:hAnsi="Times New Roman"/>
          <w:bCs/>
          <w:iCs/>
          <w:position w:val="-1"/>
          <w:szCs w:val="22"/>
          <w:lang w:val="fr-FR"/>
        </w:rPr>
      </w:pPr>
      <w:r w:rsidRPr="00623A2B">
        <w:rPr>
          <w:rFonts w:ascii="Times New Roman" w:hAnsi="Times New Roman"/>
          <w:smallCaps/>
          <w:position w:val="-1"/>
          <w:szCs w:val="22"/>
          <w:lang w:val="fr-FR"/>
        </w:rPr>
        <w:t xml:space="preserve">FORMALISATION, </w:t>
      </w:r>
      <w:r w:rsidRPr="00623A2B">
        <w:rPr>
          <w:rFonts w:ascii="Times New Roman" w:hAnsi="Times New Roman"/>
          <w:position w:val="-1"/>
          <w:szCs w:val="22"/>
          <w:lang w:val="fr-FR"/>
        </w:rPr>
        <w:t>EMPLOI</w:t>
      </w:r>
      <w:r w:rsidRPr="00623A2B">
        <w:rPr>
          <w:rFonts w:ascii="Times New Roman" w:hAnsi="Times New Roman"/>
          <w:smallCaps/>
          <w:position w:val="-1"/>
          <w:szCs w:val="22"/>
          <w:lang w:val="fr-FR"/>
        </w:rPr>
        <w:t xml:space="preserve"> ET ÉDUCATION</w:t>
      </w:r>
    </w:p>
    <w:p w14:paraId="2C60709C" w14:textId="77777777" w:rsidR="00236661" w:rsidRPr="00623A2B" w:rsidRDefault="00236661" w:rsidP="00236661">
      <w:pPr>
        <w:ind w:firstLine="720"/>
        <w:textDirection w:val="btLr"/>
        <w:rPr>
          <w:rFonts w:ascii="Times New Roman" w:hAnsi="Times New Roman"/>
          <w:iCs/>
          <w:position w:val="-1"/>
          <w:szCs w:val="22"/>
          <w:lang w:val="fr-FR"/>
        </w:rPr>
      </w:pPr>
    </w:p>
    <w:p w14:paraId="0ACCC9D9"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bCs/>
          <w:iCs/>
          <w:position w:val="-1"/>
          <w:szCs w:val="22"/>
          <w:lang w:val="fr-FR"/>
        </w:rPr>
      </w:pPr>
      <w:r w:rsidRPr="00623A2B">
        <w:rPr>
          <w:rFonts w:ascii="Times New Roman" w:hAnsi="Times New Roman"/>
          <w:bCs/>
          <w:iCs/>
          <w:position w:val="-1"/>
          <w:szCs w:val="22"/>
          <w:lang w:val="fr-FR"/>
        </w:rPr>
        <w:t>Les États membres doivent encourager l’élaboration et la mise en œuvre de politiques fondées sur le respect des normes internationales du travail et des principes et droits fondamentaux au travail, qui contribuent à la formalisation des emplois et des entreprises, à l’accroissement des possibilités de travail décent, à la lutte contre les inégalités, à l’amélioration de la production, à la génération de recettes publiques et à la stimulation du développement économique.</w:t>
      </w:r>
    </w:p>
    <w:p w14:paraId="6D682DA5" w14:textId="77777777" w:rsidR="00236661" w:rsidRPr="00623A2B" w:rsidRDefault="00236661" w:rsidP="00236661">
      <w:pPr>
        <w:ind w:firstLine="720"/>
        <w:textDirection w:val="btLr"/>
        <w:rPr>
          <w:rFonts w:ascii="Times New Roman" w:hAnsi="Times New Roman"/>
          <w:b/>
          <w:i/>
          <w:position w:val="-1"/>
          <w:szCs w:val="22"/>
          <w:lang w:val="fr-FR"/>
        </w:rPr>
      </w:pPr>
    </w:p>
    <w:p w14:paraId="50AC0C66"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position w:val="-1"/>
          <w:szCs w:val="22"/>
          <w:lang w:val="fr-FR"/>
        </w:rPr>
      </w:pPr>
      <w:r w:rsidRPr="00623A2B">
        <w:rPr>
          <w:rFonts w:ascii="Times New Roman" w:hAnsi="Times New Roman"/>
          <w:position w:val="-1"/>
          <w:szCs w:val="22"/>
          <w:lang w:val="fr-FR"/>
        </w:rPr>
        <w:t xml:space="preserve">Les États membres ont l’intention de soutenir le rôle du secteur privé afin de contribuer à une meilleure </w:t>
      </w:r>
      <w:r w:rsidRPr="00623A2B">
        <w:rPr>
          <w:rFonts w:ascii="Times New Roman" w:hAnsi="Times New Roman"/>
          <w:bCs/>
          <w:iCs/>
          <w:position w:val="-1"/>
          <w:szCs w:val="22"/>
          <w:lang w:val="fr-FR"/>
        </w:rPr>
        <w:t>qualité</w:t>
      </w:r>
      <w:r w:rsidRPr="00623A2B">
        <w:rPr>
          <w:rFonts w:ascii="Times New Roman" w:hAnsi="Times New Roman"/>
          <w:position w:val="-1"/>
          <w:szCs w:val="22"/>
          <w:lang w:val="fr-FR"/>
        </w:rPr>
        <w:t xml:space="preserve"> de l’emploi</w:t>
      </w:r>
      <w:r w:rsidRPr="00623A2B">
        <w:rPr>
          <w:rFonts w:ascii="Times New Roman" w:hAnsi="Times New Roman"/>
          <w:i/>
          <w:position w:val="-1"/>
          <w:szCs w:val="22"/>
          <w:lang w:val="fr-FR"/>
        </w:rPr>
        <w:t xml:space="preserve">, </w:t>
      </w:r>
      <w:r w:rsidRPr="00623A2B">
        <w:rPr>
          <w:rFonts w:ascii="Times New Roman" w:hAnsi="Times New Roman"/>
          <w:position w:val="-1"/>
          <w:szCs w:val="22"/>
          <w:lang w:val="fr-FR"/>
        </w:rPr>
        <w:t>y compris pour toutes les femmes, en respectant et en valorisant la pleine diversité des situations et conditions dans lesquelles elles se trouvent,</w:t>
      </w:r>
      <w:r w:rsidRPr="00623A2B">
        <w:rPr>
          <w:rFonts w:ascii="Times New Roman" w:hAnsi="Times New Roman"/>
          <w:b/>
          <w:position w:val="-1"/>
          <w:szCs w:val="22"/>
          <w:lang w:val="fr-FR"/>
        </w:rPr>
        <w:t xml:space="preserve"> </w:t>
      </w:r>
      <w:r w:rsidRPr="00623A2B">
        <w:rPr>
          <w:rFonts w:ascii="Times New Roman" w:hAnsi="Times New Roman"/>
          <w:position w:val="-1"/>
          <w:szCs w:val="22"/>
          <w:lang w:val="fr-FR"/>
        </w:rPr>
        <w:t>conscients que, grâce à la formalisation, il est possible de générer des salaires plus élevés, d’accroître la sécurité de l’emploi et de créer de meilleures conditions de travail pour tous.</w:t>
      </w:r>
    </w:p>
    <w:p w14:paraId="73648FD3" w14:textId="77777777" w:rsidR="00236661" w:rsidRPr="00623A2B" w:rsidRDefault="00236661" w:rsidP="00236661">
      <w:pPr>
        <w:ind w:firstLine="720"/>
        <w:textDirection w:val="btLr"/>
        <w:rPr>
          <w:rFonts w:ascii="Times New Roman" w:hAnsi="Times New Roman"/>
          <w:position w:val="-1"/>
          <w:szCs w:val="22"/>
          <w:lang w:val="fr-FR"/>
        </w:rPr>
      </w:pPr>
    </w:p>
    <w:p w14:paraId="73EE8BA2"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bCs/>
          <w:iCs/>
          <w:position w:val="-1"/>
          <w:szCs w:val="22"/>
          <w:lang w:val="fr-FR"/>
        </w:rPr>
      </w:pPr>
      <w:r w:rsidRPr="00623A2B">
        <w:rPr>
          <w:rFonts w:ascii="Times New Roman" w:hAnsi="Times New Roman"/>
          <w:bCs/>
          <w:iCs/>
          <w:position w:val="-1"/>
          <w:szCs w:val="22"/>
          <w:lang w:val="fr-FR"/>
        </w:rPr>
        <w:t>Les États membres ont l’intention d’encourager l’adoption de mesures qui visent à offrir une éducation équitable, inclusive et de qualité, reflètent les besoins de la société et les mutations du monde du travail, facilitent l’accès au travail décent, promeuvent l’entrepreneuriat, le mouvement coopératif et les entreprises de l’économie sociale et renforcent les valeurs démocratiques, le respect des droits de la personne et la paix. Ils ont l’intention en particulier de soutenir le dialogue social et les autres initiatives favorisant les partenariats stratégiques avec le secteur des entreprises, les travailleurs et les autres secteurs concernés, tels que le monde universitaire.</w:t>
      </w:r>
    </w:p>
    <w:p w14:paraId="216FBAF7" w14:textId="77777777" w:rsidR="00236661" w:rsidRPr="00623A2B" w:rsidRDefault="00236661" w:rsidP="00236661">
      <w:pPr>
        <w:ind w:firstLine="720"/>
        <w:textDirection w:val="btLr"/>
        <w:rPr>
          <w:rFonts w:ascii="Times New Roman" w:hAnsi="Times New Roman"/>
          <w:b/>
          <w:i/>
          <w:position w:val="-1"/>
          <w:szCs w:val="22"/>
          <w:lang w:val="fr-FR"/>
        </w:rPr>
      </w:pPr>
    </w:p>
    <w:p w14:paraId="56646BF9"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bCs/>
          <w:iCs/>
          <w:position w:val="-1"/>
          <w:szCs w:val="22"/>
          <w:lang w:val="fr-FR"/>
        </w:rPr>
      </w:pPr>
      <w:r w:rsidRPr="00623A2B">
        <w:rPr>
          <w:rFonts w:ascii="Times New Roman" w:hAnsi="Times New Roman"/>
          <w:bCs/>
          <w:iCs/>
          <w:position w:val="-1"/>
          <w:szCs w:val="22"/>
          <w:lang w:val="fr-FR"/>
        </w:rPr>
        <w:t>Les États membres ont l’intention de mettre en œuvre des programmes de formation, de mentorat et de reconversion productive qui soutiennent la transition juste de la main-d’œuvre vers les secteurs écologiquement durables.</w:t>
      </w:r>
    </w:p>
    <w:p w14:paraId="658F0BEB" w14:textId="77777777" w:rsidR="00236661" w:rsidRPr="00623A2B" w:rsidRDefault="00236661" w:rsidP="00236661">
      <w:pPr>
        <w:ind w:firstLine="720"/>
        <w:textDirection w:val="btLr"/>
        <w:rPr>
          <w:rFonts w:ascii="Times New Roman" w:hAnsi="Times New Roman"/>
          <w:bCs/>
          <w:iCs/>
          <w:position w:val="-1"/>
          <w:szCs w:val="22"/>
          <w:lang w:val="fr-FR"/>
        </w:rPr>
      </w:pPr>
    </w:p>
    <w:p w14:paraId="3BC915C1" w14:textId="77777777" w:rsidR="00236661" w:rsidRPr="00623A2B" w:rsidRDefault="00236661" w:rsidP="00236661">
      <w:pPr>
        <w:jc w:val="center"/>
        <w:textDirection w:val="btLr"/>
        <w:rPr>
          <w:rFonts w:ascii="Times New Roman" w:hAnsi="Times New Roman"/>
          <w:smallCaps/>
          <w:position w:val="-1"/>
          <w:szCs w:val="22"/>
          <w:lang w:val="fr-FR"/>
        </w:rPr>
      </w:pPr>
      <w:proofErr w:type="gramStart"/>
      <w:r w:rsidRPr="00623A2B">
        <w:rPr>
          <w:rFonts w:ascii="Times New Roman" w:hAnsi="Times New Roman"/>
          <w:position w:val="-1"/>
          <w:szCs w:val="22"/>
          <w:lang w:val="fr-FR"/>
        </w:rPr>
        <w:t>CHAPITRE</w:t>
      </w:r>
      <w:r w:rsidRPr="00623A2B">
        <w:rPr>
          <w:rFonts w:ascii="Times New Roman" w:hAnsi="Times New Roman"/>
          <w:smallCaps/>
          <w:position w:val="-1"/>
          <w:szCs w:val="22"/>
          <w:lang w:val="fr-FR"/>
        </w:rPr>
        <w:t xml:space="preserve"> VI</w:t>
      </w:r>
      <w:proofErr w:type="gramEnd"/>
      <w:r w:rsidRPr="00623A2B">
        <w:rPr>
          <w:rFonts w:ascii="Times New Roman" w:hAnsi="Times New Roman"/>
          <w:smallCaps/>
          <w:position w:val="-1"/>
          <w:szCs w:val="22"/>
          <w:lang w:val="fr-FR"/>
        </w:rPr>
        <w:t xml:space="preserve">. </w:t>
      </w:r>
    </w:p>
    <w:p w14:paraId="2C546FB8" w14:textId="77777777" w:rsidR="00236661" w:rsidRPr="00623A2B" w:rsidRDefault="00236661" w:rsidP="00236661">
      <w:pPr>
        <w:jc w:val="center"/>
        <w:textDirection w:val="btLr"/>
        <w:rPr>
          <w:rFonts w:ascii="Times New Roman" w:hAnsi="Times New Roman"/>
          <w:smallCaps/>
          <w:position w:val="-1"/>
          <w:szCs w:val="22"/>
          <w:lang w:val="fr-FR"/>
        </w:rPr>
      </w:pPr>
      <w:r w:rsidRPr="00623A2B">
        <w:rPr>
          <w:rFonts w:ascii="Times New Roman" w:hAnsi="Times New Roman"/>
          <w:smallCaps/>
          <w:position w:val="-1"/>
          <w:szCs w:val="22"/>
          <w:lang w:val="fr-FR"/>
        </w:rPr>
        <w:t xml:space="preserve">INNOVATION DES </w:t>
      </w:r>
      <w:r w:rsidRPr="00623A2B">
        <w:rPr>
          <w:rFonts w:ascii="Times New Roman" w:hAnsi="Times New Roman"/>
          <w:position w:val="-1"/>
          <w:szCs w:val="22"/>
          <w:lang w:val="fr-FR"/>
        </w:rPr>
        <w:t>ENTREPRISES</w:t>
      </w:r>
      <w:r w:rsidRPr="00623A2B">
        <w:rPr>
          <w:rFonts w:ascii="Times New Roman" w:hAnsi="Times New Roman"/>
          <w:smallCaps/>
          <w:position w:val="-1"/>
          <w:szCs w:val="22"/>
          <w:lang w:val="fr-FR"/>
        </w:rPr>
        <w:t xml:space="preserve">, ADOPTION DE TECHNOLOGIES </w:t>
      </w:r>
      <w:r w:rsidRPr="00623A2B">
        <w:rPr>
          <w:rFonts w:ascii="Times New Roman" w:hAnsi="Times New Roman"/>
          <w:smallCaps/>
          <w:position w:val="-1"/>
          <w:szCs w:val="22"/>
          <w:lang w:val="fr-FR"/>
        </w:rPr>
        <w:br/>
        <w:t xml:space="preserve">ET </w:t>
      </w:r>
      <w:r w:rsidRPr="00623A2B">
        <w:rPr>
          <w:rFonts w:ascii="Times New Roman" w:hAnsi="Times New Roman"/>
          <w:position w:val="-1"/>
          <w:szCs w:val="22"/>
          <w:lang w:val="fr-FR"/>
        </w:rPr>
        <w:t>ÉCONOMIES</w:t>
      </w:r>
      <w:r w:rsidRPr="00623A2B">
        <w:rPr>
          <w:rFonts w:ascii="Times New Roman" w:hAnsi="Times New Roman"/>
          <w:smallCaps/>
          <w:position w:val="-1"/>
          <w:szCs w:val="22"/>
          <w:lang w:val="fr-FR"/>
        </w:rPr>
        <w:t xml:space="preserve"> CRÉATIVES</w:t>
      </w:r>
    </w:p>
    <w:p w14:paraId="3E4EC12F" w14:textId="77777777" w:rsidR="00236661" w:rsidRPr="00623A2B" w:rsidRDefault="00236661" w:rsidP="00236661">
      <w:pPr>
        <w:ind w:firstLine="720"/>
        <w:textDirection w:val="btLr"/>
        <w:rPr>
          <w:rFonts w:ascii="Times New Roman" w:hAnsi="Times New Roman"/>
          <w:bCs/>
          <w:iCs/>
          <w:position w:val="-1"/>
          <w:szCs w:val="22"/>
          <w:lang w:val="fr-FR"/>
        </w:rPr>
      </w:pPr>
    </w:p>
    <w:p w14:paraId="6E55EBA8"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bCs/>
          <w:iCs/>
          <w:position w:val="-1"/>
          <w:szCs w:val="22"/>
          <w:lang w:val="fr-FR"/>
        </w:rPr>
      </w:pPr>
      <w:r w:rsidRPr="00623A2B">
        <w:rPr>
          <w:rFonts w:ascii="Times New Roman" w:hAnsi="Times New Roman"/>
          <w:bCs/>
          <w:iCs/>
          <w:position w:val="-1"/>
          <w:szCs w:val="22"/>
          <w:lang w:val="fr-FR"/>
        </w:rPr>
        <w:t xml:space="preserve">Les États membres ont l’intention d’encourager les initiatives dans le domaine de l’innovation, qui favorisent la collaboration et l’interconnexion entre le monde universitaire et les entreprises, y compris les grandes sociétés et les entreprises nouvellement créées et, en particulier les MPME, les coopératives et les entreprises de l’économie sociale. </w:t>
      </w:r>
    </w:p>
    <w:p w14:paraId="713E8616" w14:textId="77777777" w:rsidR="00236661" w:rsidRPr="00623A2B" w:rsidRDefault="00236661" w:rsidP="00236661">
      <w:pPr>
        <w:ind w:firstLine="720"/>
        <w:textDirection w:val="btLr"/>
        <w:rPr>
          <w:rFonts w:ascii="Times New Roman" w:hAnsi="Times New Roman"/>
          <w:bCs/>
          <w:iCs/>
          <w:position w:val="-1"/>
          <w:szCs w:val="22"/>
          <w:lang w:val="fr-FR"/>
        </w:rPr>
      </w:pPr>
    </w:p>
    <w:p w14:paraId="06AAF627"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bCs/>
          <w:iCs/>
          <w:position w:val="-1"/>
          <w:szCs w:val="22"/>
          <w:lang w:val="fr-FR"/>
        </w:rPr>
      </w:pPr>
      <w:r w:rsidRPr="00623A2B">
        <w:rPr>
          <w:rFonts w:ascii="Times New Roman" w:hAnsi="Times New Roman"/>
          <w:bCs/>
          <w:iCs/>
          <w:position w:val="-1"/>
          <w:szCs w:val="22"/>
          <w:lang w:val="fr-FR"/>
        </w:rPr>
        <w:t>Les États membres doivent promouvoir l’esprit d’entreprise et la formation à l’entrepreneuriat. Ils doivent en particulier chercher à favoriser la promotion d’espaces d’apprentissage pour les jeunes, en stimulant leur recherche d’un premier emploi et leur formation professionnelle.</w:t>
      </w:r>
    </w:p>
    <w:p w14:paraId="67B1E8E4" w14:textId="77777777" w:rsidR="00236661" w:rsidRPr="00623A2B" w:rsidRDefault="00236661" w:rsidP="00236661">
      <w:pPr>
        <w:ind w:firstLine="720"/>
        <w:textDirection w:val="btLr"/>
        <w:rPr>
          <w:rFonts w:ascii="Times New Roman" w:hAnsi="Times New Roman"/>
          <w:bCs/>
          <w:iCs/>
          <w:position w:val="-1"/>
          <w:szCs w:val="22"/>
          <w:lang w:val="fr-FR"/>
        </w:rPr>
      </w:pPr>
    </w:p>
    <w:p w14:paraId="2F4071E8"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bCs/>
          <w:iCs/>
          <w:position w:val="-1"/>
          <w:szCs w:val="22"/>
          <w:lang w:val="fr-FR"/>
        </w:rPr>
      </w:pPr>
      <w:r w:rsidRPr="00623A2B">
        <w:rPr>
          <w:rFonts w:ascii="Times New Roman" w:hAnsi="Times New Roman"/>
          <w:position w:val="-1"/>
          <w:szCs w:val="22"/>
          <w:lang w:val="fr-FR"/>
        </w:rPr>
        <w:t xml:space="preserve">Le États membres se </w:t>
      </w:r>
      <w:r w:rsidRPr="00623A2B">
        <w:rPr>
          <w:rFonts w:ascii="Times New Roman" w:hAnsi="Times New Roman"/>
          <w:bCs/>
          <w:iCs/>
          <w:position w:val="-1"/>
          <w:szCs w:val="22"/>
          <w:lang w:val="fr-FR"/>
        </w:rPr>
        <w:t>proposent</w:t>
      </w:r>
      <w:r w:rsidRPr="00623A2B">
        <w:rPr>
          <w:rFonts w:ascii="Times New Roman" w:hAnsi="Times New Roman"/>
          <w:position w:val="-1"/>
          <w:szCs w:val="22"/>
          <w:lang w:val="fr-FR"/>
        </w:rPr>
        <w:t xml:space="preserve"> d’élaborer, par le biais d’établissements d’enseignement et de formation </w:t>
      </w:r>
      <w:r w:rsidRPr="00623A2B">
        <w:rPr>
          <w:rFonts w:ascii="Times New Roman" w:hAnsi="Times New Roman"/>
          <w:bCs/>
          <w:iCs/>
          <w:position w:val="-1"/>
          <w:szCs w:val="22"/>
          <w:lang w:val="fr-FR"/>
        </w:rPr>
        <w:t>techniques</w:t>
      </w:r>
      <w:r w:rsidRPr="00623A2B">
        <w:rPr>
          <w:rFonts w:ascii="Times New Roman" w:hAnsi="Times New Roman"/>
          <w:position w:val="-1"/>
          <w:szCs w:val="22"/>
          <w:lang w:val="fr-FR"/>
        </w:rPr>
        <w:t xml:space="preserve"> et professionnels </w:t>
      </w:r>
      <w:r w:rsidRPr="00623A2B">
        <w:rPr>
          <w:rFonts w:ascii="Times New Roman" w:hAnsi="Times New Roman"/>
          <w:bCs/>
          <w:iCs/>
          <w:position w:val="-1"/>
          <w:szCs w:val="22"/>
          <w:lang w:val="fr-FR"/>
        </w:rPr>
        <w:t>(EFTP) de qualité et en partenariat avec le secteur privé, des programmes de bourses pour la formation technique et professionnelle afin de promouvoir la formation d’une main-d’œuvre qualifiée et spécialisée, destinée au secteur de l’industrie et aux autres secteurs de production des États membres.</w:t>
      </w:r>
    </w:p>
    <w:p w14:paraId="565EAD84" w14:textId="77777777" w:rsidR="00236661" w:rsidRPr="00623A2B" w:rsidRDefault="00236661" w:rsidP="00236661">
      <w:pPr>
        <w:ind w:firstLine="720"/>
        <w:textDirection w:val="btLr"/>
        <w:rPr>
          <w:rFonts w:ascii="Times New Roman" w:hAnsi="Times New Roman"/>
          <w:bCs/>
          <w:iCs/>
          <w:position w:val="-1"/>
          <w:szCs w:val="22"/>
          <w:lang w:val="fr-FR"/>
        </w:rPr>
      </w:pPr>
    </w:p>
    <w:p w14:paraId="093391CC"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position w:val="-1"/>
          <w:szCs w:val="22"/>
          <w:lang w:val="fr-FR"/>
        </w:rPr>
      </w:pPr>
      <w:r w:rsidRPr="00623A2B">
        <w:rPr>
          <w:rFonts w:ascii="Times New Roman" w:hAnsi="Times New Roman"/>
          <w:position w:val="-1"/>
          <w:szCs w:val="22"/>
          <w:lang w:val="fr-FR"/>
        </w:rPr>
        <w:t xml:space="preserve">Les </w:t>
      </w:r>
      <w:r w:rsidRPr="00623A2B">
        <w:rPr>
          <w:rFonts w:ascii="Times New Roman" w:hAnsi="Times New Roman"/>
          <w:bCs/>
          <w:iCs/>
          <w:position w:val="-1"/>
          <w:szCs w:val="22"/>
          <w:lang w:val="fr-FR"/>
        </w:rPr>
        <w:t>États</w:t>
      </w:r>
      <w:r w:rsidRPr="00623A2B">
        <w:rPr>
          <w:rFonts w:ascii="Times New Roman" w:hAnsi="Times New Roman"/>
          <w:position w:val="-1"/>
          <w:szCs w:val="22"/>
          <w:lang w:val="fr-FR"/>
        </w:rPr>
        <w:t xml:space="preserve"> membres ont l’intention d’encourager les politiques publiques qui intègrent l’innovation comme moteur de transformation structurelle afin d’améliorer la productivité, les </w:t>
      </w:r>
      <w:r w:rsidRPr="00623A2B">
        <w:rPr>
          <w:rFonts w:ascii="Times New Roman" w:hAnsi="Times New Roman"/>
          <w:position w:val="-1"/>
          <w:szCs w:val="22"/>
          <w:lang w:val="fr-FR"/>
        </w:rPr>
        <w:lastRenderedPageBreak/>
        <w:t xml:space="preserve">pratiques commerciales responsables, les processus de production, la modernisation, l’efficacité, la transparence, la participation et la responsabilisation et, ainsi, de contribuer au renforcement des systèmes démocratiques et de parvenir au développement intégré, inclusive et durable.  </w:t>
      </w:r>
    </w:p>
    <w:p w14:paraId="1A6D07B8" w14:textId="77777777" w:rsidR="00236661" w:rsidRPr="00623A2B" w:rsidRDefault="00236661" w:rsidP="00236661">
      <w:pPr>
        <w:ind w:firstLine="720"/>
        <w:textDirection w:val="btLr"/>
        <w:rPr>
          <w:rFonts w:ascii="Times New Roman" w:hAnsi="Times New Roman"/>
          <w:bCs/>
          <w:iCs/>
          <w:position w:val="-1"/>
          <w:szCs w:val="22"/>
          <w:lang w:val="fr-FR"/>
        </w:rPr>
      </w:pPr>
    </w:p>
    <w:p w14:paraId="63CDD1B1"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position w:val="-1"/>
          <w:szCs w:val="22"/>
          <w:lang w:val="fr-FR"/>
        </w:rPr>
      </w:pPr>
      <w:r w:rsidRPr="00623A2B">
        <w:rPr>
          <w:rFonts w:ascii="Times New Roman" w:hAnsi="Times New Roman"/>
          <w:position w:val="-1"/>
          <w:szCs w:val="22"/>
          <w:lang w:val="fr-FR"/>
        </w:rPr>
        <w:t xml:space="preserve">Les États membres ont l’intention d’encourager la coopération ainsi que le transfert volontaire de </w:t>
      </w:r>
      <w:r w:rsidRPr="00623A2B">
        <w:rPr>
          <w:rFonts w:ascii="Times New Roman" w:hAnsi="Times New Roman"/>
          <w:bCs/>
          <w:iCs/>
          <w:position w:val="-1"/>
          <w:szCs w:val="22"/>
          <w:lang w:val="fr-FR"/>
        </w:rPr>
        <w:t>technologies</w:t>
      </w:r>
      <w:r w:rsidRPr="00623A2B">
        <w:rPr>
          <w:rFonts w:ascii="Times New Roman" w:hAnsi="Times New Roman"/>
          <w:position w:val="-1"/>
          <w:szCs w:val="22"/>
          <w:lang w:val="fr-FR"/>
        </w:rPr>
        <w:t xml:space="preserve"> et de connaissances selon des conditions convenues d’un commun accord, afin de progresser dans la diversification de la production, en s’efforçant de garantir aux MPME et aux entreprises de l’économie sociale un accès aux technologies transformatrices pour innover, faire des affaires ou fournir des services, dans le but d’accélérer leur adaptation aux changements technologiques ainsi que leur intégration dans les chaînes de valeur mondiales et régionales.</w:t>
      </w:r>
    </w:p>
    <w:p w14:paraId="69F267D0" w14:textId="77777777" w:rsidR="00236661" w:rsidRPr="00623A2B" w:rsidRDefault="00236661" w:rsidP="00236661">
      <w:pPr>
        <w:ind w:firstLine="720"/>
        <w:textDirection w:val="btLr"/>
        <w:rPr>
          <w:rFonts w:ascii="Times New Roman" w:hAnsi="Times New Roman"/>
          <w:bCs/>
          <w:iCs/>
          <w:position w:val="-1"/>
          <w:szCs w:val="22"/>
          <w:lang w:val="fr-FR"/>
        </w:rPr>
      </w:pPr>
    </w:p>
    <w:p w14:paraId="138581B7"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position w:val="-1"/>
          <w:szCs w:val="22"/>
          <w:lang w:val="fr-FR"/>
        </w:rPr>
      </w:pPr>
      <w:r w:rsidRPr="00623A2B">
        <w:rPr>
          <w:rFonts w:ascii="Times New Roman" w:hAnsi="Times New Roman"/>
          <w:position w:val="-1"/>
          <w:szCs w:val="22"/>
          <w:lang w:val="fr-FR"/>
        </w:rPr>
        <w:t>Les États membres ont l’intention d’encourager l’intérêt du patronat à développer les associations de chefs d’entreprises et la coopération interentreprises dans les initiatives de clusters identifiées au sein des régions, grâce à sa vocation de production, afin d’identifier des projets communs, en promouvant l’insertion dans les chaînes de valeur régionales.</w:t>
      </w:r>
    </w:p>
    <w:p w14:paraId="03CDF338" w14:textId="77777777" w:rsidR="00236661" w:rsidRPr="00623A2B" w:rsidRDefault="00236661" w:rsidP="00236661">
      <w:pPr>
        <w:ind w:firstLine="720"/>
        <w:textDirection w:val="btLr"/>
        <w:rPr>
          <w:rFonts w:ascii="Times New Roman" w:hAnsi="Times New Roman"/>
          <w:bCs/>
          <w:iCs/>
          <w:position w:val="-1"/>
          <w:szCs w:val="22"/>
          <w:lang w:val="fr-FR"/>
        </w:rPr>
      </w:pPr>
    </w:p>
    <w:p w14:paraId="0EF8657E"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position w:val="-1"/>
          <w:szCs w:val="22"/>
          <w:lang w:val="fr-FR"/>
        </w:rPr>
      </w:pPr>
      <w:r w:rsidRPr="00623A2B">
        <w:rPr>
          <w:rFonts w:ascii="Times New Roman" w:hAnsi="Times New Roman"/>
          <w:position w:val="-1"/>
          <w:szCs w:val="22"/>
          <w:lang w:val="fr-FR"/>
        </w:rPr>
        <w:t xml:space="preserve">Les États membres, conformément aux obligations commerciales internationales, ont l’intention de mettre en œuvre des actions stratégiques pour établir, développer et renforcer l’économie créative, que l’on </w:t>
      </w:r>
      <w:r w:rsidRPr="00623A2B">
        <w:rPr>
          <w:rFonts w:ascii="Times New Roman" w:hAnsi="Times New Roman"/>
          <w:bCs/>
          <w:iCs/>
          <w:position w:val="-1"/>
          <w:szCs w:val="22"/>
          <w:lang w:val="fr-FR"/>
        </w:rPr>
        <w:t>désigne</w:t>
      </w:r>
      <w:r w:rsidRPr="00623A2B">
        <w:rPr>
          <w:rFonts w:ascii="Times New Roman" w:hAnsi="Times New Roman"/>
          <w:position w:val="-1"/>
          <w:szCs w:val="22"/>
          <w:lang w:val="fr-FR"/>
        </w:rPr>
        <w:t xml:space="preserve"> dans plusieurs pays par l’expression « économie orange », et le marché des contenus originaux de leurs industries culturelles et créatives, en mettant l’accent sur les MPME, en tant que source de croissance économique et de développement inclusif et intégré. </w:t>
      </w:r>
    </w:p>
    <w:p w14:paraId="6A5A4473" w14:textId="77777777" w:rsidR="00236661" w:rsidRPr="00623A2B" w:rsidRDefault="00236661" w:rsidP="00236661">
      <w:pPr>
        <w:ind w:firstLine="720"/>
        <w:textDirection w:val="btLr"/>
        <w:rPr>
          <w:rFonts w:ascii="Times New Roman" w:hAnsi="Times New Roman"/>
          <w:position w:val="-1"/>
          <w:szCs w:val="22"/>
          <w:lang w:val="fr-FR"/>
        </w:rPr>
      </w:pPr>
    </w:p>
    <w:p w14:paraId="2400DA07"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position w:val="-1"/>
          <w:szCs w:val="22"/>
          <w:lang w:val="fr-FR"/>
        </w:rPr>
      </w:pPr>
      <w:r w:rsidRPr="00623A2B">
        <w:rPr>
          <w:rFonts w:ascii="Times New Roman" w:hAnsi="Times New Roman"/>
          <w:position w:val="-1"/>
          <w:szCs w:val="22"/>
          <w:highlight w:val="white"/>
          <w:lang w:val="fr-FR"/>
        </w:rPr>
        <w:t xml:space="preserve">Les </w:t>
      </w:r>
      <w:r w:rsidRPr="00623A2B">
        <w:rPr>
          <w:rFonts w:ascii="Times New Roman" w:hAnsi="Times New Roman"/>
          <w:bCs/>
          <w:iCs/>
          <w:position w:val="-1"/>
          <w:szCs w:val="22"/>
          <w:lang w:val="fr-FR"/>
        </w:rPr>
        <w:t>États</w:t>
      </w:r>
      <w:r w:rsidRPr="00623A2B">
        <w:rPr>
          <w:rFonts w:ascii="Times New Roman" w:hAnsi="Times New Roman"/>
          <w:position w:val="-1"/>
          <w:szCs w:val="22"/>
          <w:highlight w:val="white"/>
          <w:lang w:val="fr-FR"/>
        </w:rPr>
        <w:t xml:space="preserve"> membres </w:t>
      </w:r>
      <w:r w:rsidRPr="00623A2B">
        <w:rPr>
          <w:rFonts w:ascii="Times New Roman" w:hAnsi="Times New Roman"/>
          <w:position w:val="-1"/>
          <w:szCs w:val="22"/>
          <w:lang w:val="fr-FR"/>
        </w:rPr>
        <w:t xml:space="preserve">ont l’intention de favoriser </w:t>
      </w:r>
      <w:r w:rsidRPr="00623A2B">
        <w:rPr>
          <w:rFonts w:ascii="Times New Roman" w:hAnsi="Times New Roman"/>
          <w:position w:val="-1"/>
          <w:szCs w:val="22"/>
          <w:highlight w:val="white"/>
          <w:lang w:val="fr-FR"/>
        </w:rPr>
        <w:t xml:space="preserve">un environnement commercial propice au développement des </w:t>
      </w:r>
      <w:r w:rsidRPr="00623A2B">
        <w:rPr>
          <w:rFonts w:ascii="Times New Roman" w:hAnsi="Times New Roman"/>
          <w:position w:val="-1"/>
          <w:szCs w:val="22"/>
          <w:lang w:val="fr-FR"/>
        </w:rPr>
        <w:t>activités</w:t>
      </w:r>
      <w:r w:rsidRPr="00623A2B">
        <w:rPr>
          <w:rFonts w:ascii="Times New Roman" w:hAnsi="Times New Roman"/>
          <w:position w:val="-1"/>
          <w:szCs w:val="22"/>
          <w:highlight w:val="white"/>
          <w:lang w:val="fr-FR"/>
        </w:rPr>
        <w:t xml:space="preserve"> des entreprises, y compris la création et le développement d’entreprises durables</w:t>
      </w:r>
      <w:r w:rsidRPr="00623A2B">
        <w:rPr>
          <w:rFonts w:ascii="Times New Roman" w:hAnsi="Times New Roman"/>
          <w:position w:val="-1"/>
          <w:szCs w:val="22"/>
          <w:lang w:val="fr-FR"/>
        </w:rPr>
        <w:t>.</w:t>
      </w:r>
    </w:p>
    <w:p w14:paraId="4FB907BF" w14:textId="77777777" w:rsidR="00236661" w:rsidRPr="00623A2B" w:rsidRDefault="00236661" w:rsidP="00236661">
      <w:pPr>
        <w:ind w:firstLine="720"/>
        <w:textDirection w:val="btLr"/>
        <w:rPr>
          <w:rFonts w:ascii="Times New Roman" w:hAnsi="Times New Roman"/>
          <w:b/>
          <w:i/>
          <w:position w:val="-1"/>
          <w:szCs w:val="22"/>
          <w:lang w:val="fr-FR"/>
        </w:rPr>
      </w:pPr>
    </w:p>
    <w:p w14:paraId="086B15FD" w14:textId="77777777" w:rsidR="00236661" w:rsidRPr="00623A2B" w:rsidRDefault="00236661" w:rsidP="00236661">
      <w:pPr>
        <w:jc w:val="center"/>
        <w:textDirection w:val="btLr"/>
        <w:rPr>
          <w:rFonts w:ascii="Times New Roman" w:hAnsi="Times New Roman"/>
          <w:position w:val="-1"/>
          <w:szCs w:val="22"/>
          <w:lang w:val="fr-FR"/>
        </w:rPr>
      </w:pPr>
      <w:proofErr w:type="gramStart"/>
      <w:r w:rsidRPr="00623A2B">
        <w:rPr>
          <w:rFonts w:ascii="Times New Roman" w:hAnsi="Times New Roman"/>
          <w:position w:val="-1"/>
          <w:szCs w:val="22"/>
          <w:lang w:val="fr-FR"/>
        </w:rPr>
        <w:t>CHAPITRE VII</w:t>
      </w:r>
      <w:proofErr w:type="gramEnd"/>
      <w:r w:rsidRPr="00623A2B">
        <w:rPr>
          <w:rFonts w:ascii="Times New Roman" w:hAnsi="Times New Roman"/>
          <w:position w:val="-1"/>
          <w:szCs w:val="22"/>
          <w:lang w:val="fr-FR"/>
        </w:rPr>
        <w:t>.</w:t>
      </w:r>
    </w:p>
    <w:p w14:paraId="0F373818" w14:textId="77777777" w:rsidR="00236661" w:rsidRPr="00623A2B" w:rsidRDefault="00236661" w:rsidP="00236661">
      <w:pPr>
        <w:jc w:val="center"/>
        <w:textDirection w:val="btLr"/>
        <w:rPr>
          <w:rFonts w:ascii="Times New Roman" w:hAnsi="Times New Roman"/>
          <w:position w:val="-1"/>
          <w:szCs w:val="22"/>
          <w:lang w:val="fr-FR"/>
        </w:rPr>
      </w:pPr>
      <w:r w:rsidRPr="00623A2B">
        <w:rPr>
          <w:rFonts w:ascii="Times New Roman" w:hAnsi="Times New Roman"/>
          <w:position w:val="-1"/>
          <w:szCs w:val="22"/>
          <w:lang w:val="fr-FR"/>
        </w:rPr>
        <w:t>PROMOTION DU DÉVELOPPEMENT DURABLE ET RENFORCEMENT DE LA RÉSILIENCE</w:t>
      </w:r>
    </w:p>
    <w:p w14:paraId="546FB880" w14:textId="77777777" w:rsidR="00236661" w:rsidRPr="00623A2B" w:rsidRDefault="00236661" w:rsidP="00236661">
      <w:pPr>
        <w:ind w:firstLine="720"/>
        <w:textDirection w:val="btLr"/>
        <w:rPr>
          <w:rFonts w:ascii="Times New Roman" w:hAnsi="Times New Roman"/>
          <w:position w:val="-1"/>
          <w:szCs w:val="22"/>
          <w:lang w:val="fr-FR"/>
        </w:rPr>
      </w:pPr>
    </w:p>
    <w:p w14:paraId="5D05E0CA"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position w:val="-1"/>
          <w:szCs w:val="22"/>
          <w:lang w:val="fr-FR"/>
        </w:rPr>
      </w:pPr>
      <w:r w:rsidRPr="00623A2B">
        <w:rPr>
          <w:rFonts w:ascii="Times New Roman" w:hAnsi="Times New Roman"/>
          <w:position w:val="-1"/>
          <w:szCs w:val="22"/>
          <w:lang w:val="fr-FR"/>
        </w:rPr>
        <w:t xml:space="preserve">Les États membres réitèrent leur engagement à promouvoir un environnement des entreprises conforme aux Principes directeurs des Nations Unies relatifs aux entreprises et aux droits de l’homme et aux </w:t>
      </w:r>
      <w:r w:rsidRPr="00623A2B">
        <w:rPr>
          <w:rFonts w:ascii="Times New Roman" w:hAnsi="Times New Roman"/>
          <w:bCs/>
          <w:iCs/>
          <w:position w:val="-1"/>
          <w:szCs w:val="22"/>
          <w:lang w:val="fr-FR"/>
        </w:rPr>
        <w:t>autres</w:t>
      </w:r>
      <w:r w:rsidRPr="00623A2B">
        <w:rPr>
          <w:rFonts w:ascii="Times New Roman" w:hAnsi="Times New Roman"/>
          <w:position w:val="-1"/>
          <w:szCs w:val="22"/>
          <w:lang w:val="fr-FR"/>
        </w:rPr>
        <w:t xml:space="preserve"> instruments pertinents et reconnaissent à nouveau qu’il est de leur responsabilité d’élaborer des politiques et des réglementations visant à prévenir, instruire, sanctionner et réparer, ainsi que réduire les violations des droits de l’homme du fait de tiers à l’intérieur de leur territoire ou juridiction, y compris les entreprises nationales et transnationales ; cela inclut notamment d’encourager les entreprises à intégrer dans leurs politiques internes et leurs pratiques des codes de conduite des entreprises respectueux des droits de la personne et de l’environnement, en s’appuyant sur les directives confirmées, soutenues et observées à l’échelle internationale par les États membres.</w:t>
      </w:r>
    </w:p>
    <w:p w14:paraId="458D7A80" w14:textId="77777777" w:rsidR="00236661" w:rsidRPr="00623A2B" w:rsidRDefault="00236661" w:rsidP="00236661">
      <w:pPr>
        <w:ind w:firstLine="720"/>
        <w:textDirection w:val="btLr"/>
        <w:rPr>
          <w:rFonts w:ascii="Times New Roman" w:hAnsi="Times New Roman"/>
          <w:b/>
          <w:i/>
          <w:position w:val="-1"/>
          <w:szCs w:val="22"/>
          <w:lang w:val="fr-FR"/>
        </w:rPr>
      </w:pPr>
    </w:p>
    <w:p w14:paraId="5FA16786"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position w:val="-1"/>
          <w:szCs w:val="22"/>
          <w:lang w:val="fr-FR"/>
        </w:rPr>
      </w:pPr>
      <w:r w:rsidRPr="00623A2B">
        <w:rPr>
          <w:rFonts w:ascii="Times New Roman" w:hAnsi="Times New Roman"/>
          <w:position w:val="-1"/>
          <w:szCs w:val="22"/>
          <w:lang w:val="fr-FR"/>
        </w:rPr>
        <w:t xml:space="preserve">Dans le cadre de pratiques commerciales économiquement, socialement et écologiquement durables et responsables, les États membres doivent déployer des efforts pour promouvoir des politiques qui facilitent et créent les conditions nécessaires pour aligner les portefeuilles d’investissements sur les secteurs à faibles </w:t>
      </w:r>
      <w:r w:rsidRPr="00623A2B">
        <w:rPr>
          <w:rFonts w:ascii="Times New Roman" w:hAnsi="Times New Roman"/>
          <w:bCs/>
          <w:iCs/>
          <w:position w:val="-1"/>
          <w:szCs w:val="22"/>
          <w:lang w:val="fr-FR"/>
        </w:rPr>
        <w:t>émissions</w:t>
      </w:r>
      <w:r w:rsidRPr="00623A2B">
        <w:rPr>
          <w:rFonts w:ascii="Times New Roman" w:hAnsi="Times New Roman"/>
          <w:position w:val="-1"/>
          <w:szCs w:val="22"/>
          <w:lang w:val="fr-FR"/>
        </w:rPr>
        <w:t xml:space="preserve"> de GES et à l’épreuve du climat dans le domaine du développement durable ainsi que du changement climatique. Ils doivent en outre encourager l’adoption de stratégies et politiques visant à intégrer et exposer les risques climatiques et environnementaux dans les décisions d’investissement conformes aux objectifs de l’Accord de Paris et contribuer à la mise en œuvre des ambitions en matière de contributions déterminées au niveau national (CDN). </w:t>
      </w:r>
    </w:p>
    <w:p w14:paraId="758882F0" w14:textId="58DCBC90"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position w:val="-1"/>
          <w:szCs w:val="22"/>
          <w:lang w:val="fr-FR"/>
        </w:rPr>
      </w:pPr>
      <w:r w:rsidRPr="00623A2B">
        <w:rPr>
          <w:rFonts w:ascii="Times New Roman" w:hAnsi="Times New Roman"/>
          <w:position w:val="-1"/>
          <w:szCs w:val="22"/>
          <w:lang w:val="fr-FR"/>
        </w:rPr>
        <w:lastRenderedPageBreak/>
        <w:t xml:space="preserve">Les États membres ont l’intention d’encourager, le cas échéant, l’élaboration de plans conjoints et coordonnés avec le secteur des entreprises, en collaboration avec les autres partenaires concernés et les parties intéressées, dans le but de renforcer les politiques et les programmes de développement de la </w:t>
      </w:r>
      <w:r w:rsidRPr="00623A2B">
        <w:rPr>
          <w:rFonts w:ascii="Times New Roman" w:hAnsi="Times New Roman"/>
          <w:bCs/>
          <w:iCs/>
          <w:position w:val="-1"/>
          <w:szCs w:val="22"/>
          <w:lang w:val="fr-FR"/>
        </w:rPr>
        <w:t>résilience</w:t>
      </w:r>
      <w:r w:rsidRPr="00623A2B">
        <w:rPr>
          <w:rFonts w:ascii="Times New Roman" w:hAnsi="Times New Roman"/>
          <w:position w:val="-1"/>
          <w:szCs w:val="22"/>
          <w:lang w:val="fr-FR"/>
        </w:rPr>
        <w:t xml:space="preserve"> ainsi que de favoriser l’adaptation, le relèvement socio-économique et la réhabilitation environnementale face aux catastrophes naturelles, aux pandémies et aux autres situations d’urgence.</w:t>
      </w:r>
    </w:p>
    <w:p w14:paraId="273AB67B" w14:textId="08FE3BDB" w:rsidR="00003188" w:rsidRPr="00623A2B" w:rsidRDefault="00003188" w:rsidP="00003188">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textDirection w:val="btLr"/>
        <w:rPr>
          <w:rFonts w:ascii="Times New Roman" w:hAnsi="Times New Roman"/>
          <w:position w:val="-1"/>
          <w:szCs w:val="22"/>
          <w:lang w:val="fr-FR"/>
        </w:rPr>
      </w:pPr>
    </w:p>
    <w:p w14:paraId="4B5C21AB"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position w:val="-1"/>
          <w:szCs w:val="22"/>
          <w:lang w:val="fr-FR"/>
        </w:rPr>
      </w:pPr>
      <w:r w:rsidRPr="00623A2B">
        <w:rPr>
          <w:rFonts w:ascii="Times New Roman" w:hAnsi="Times New Roman"/>
          <w:position w:val="-1"/>
          <w:szCs w:val="22"/>
          <w:lang w:val="fr-FR"/>
        </w:rPr>
        <w:t xml:space="preserve">Les États membres ont l’intention de promouvoir les politiques visant à accroître la productivité, l’entrepreneuriat, la compétitivité et le développement du secteur rural, comme une activité primordiale du secteur des entreprises au sein de l’économie, en particulier en faveur des agricultrices et entrepreneuses, notamment concernant l’adoption de nouvelles technologies agricoles et la promotion de l’agriculture et des systèmes alimentaires durables, contribuant ainsi à créer des emplois décents, surmonter les vulnérabilités de la population rurale et assurer la sécurité alimentaire et nutritionnelle dans le continent américain. </w:t>
      </w:r>
    </w:p>
    <w:p w14:paraId="28847B15" w14:textId="77777777" w:rsidR="00236661" w:rsidRPr="00623A2B" w:rsidRDefault="00236661" w:rsidP="00236661">
      <w:pPr>
        <w:ind w:firstLine="720"/>
        <w:textDirection w:val="btLr"/>
        <w:rPr>
          <w:rFonts w:ascii="Times New Roman" w:hAnsi="Times New Roman"/>
          <w:b/>
          <w:i/>
          <w:position w:val="-1"/>
          <w:szCs w:val="22"/>
          <w:lang w:val="fr-FR"/>
        </w:rPr>
      </w:pPr>
    </w:p>
    <w:p w14:paraId="7D72A5EC"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position w:val="-1"/>
          <w:szCs w:val="22"/>
          <w:lang w:val="fr-FR"/>
        </w:rPr>
      </w:pPr>
      <w:r w:rsidRPr="00623A2B">
        <w:rPr>
          <w:rFonts w:ascii="Times New Roman" w:hAnsi="Times New Roman"/>
          <w:position w:val="-1"/>
          <w:szCs w:val="22"/>
          <w:lang w:val="fr-FR"/>
        </w:rPr>
        <w:t xml:space="preserve">Les États membres ont l’intention d’encourager le développement de modèles de consommation et de production durables, de manière à favoriser une conduite professionnelle responsable et axée sur la gestion de l’environnement, en innovant dans les modèles d’affaires qui étendent la durée de vie des produits tout au long de la chaîne de valeur. </w:t>
      </w:r>
    </w:p>
    <w:p w14:paraId="32545203" w14:textId="77777777" w:rsidR="00236661" w:rsidRPr="00623A2B" w:rsidRDefault="00236661" w:rsidP="00236661">
      <w:pPr>
        <w:ind w:firstLine="720"/>
        <w:textDirection w:val="btLr"/>
        <w:rPr>
          <w:rFonts w:ascii="Times New Roman" w:hAnsi="Times New Roman"/>
          <w:position w:val="-1"/>
          <w:szCs w:val="22"/>
          <w:lang w:val="fr-FR"/>
        </w:rPr>
      </w:pPr>
    </w:p>
    <w:p w14:paraId="67DAF98E" w14:textId="77777777" w:rsidR="00236661" w:rsidRPr="00623A2B" w:rsidRDefault="00236661" w:rsidP="00236661">
      <w:pPr>
        <w:jc w:val="center"/>
        <w:textDirection w:val="btLr"/>
        <w:rPr>
          <w:rFonts w:ascii="Times New Roman" w:hAnsi="Times New Roman"/>
          <w:position w:val="-1"/>
          <w:szCs w:val="22"/>
          <w:lang w:val="fr-FR"/>
        </w:rPr>
      </w:pPr>
      <w:proofErr w:type="gramStart"/>
      <w:r w:rsidRPr="00623A2B">
        <w:rPr>
          <w:rFonts w:ascii="Times New Roman" w:hAnsi="Times New Roman"/>
          <w:position w:val="-1"/>
          <w:szCs w:val="22"/>
          <w:lang w:val="fr-FR"/>
        </w:rPr>
        <w:t>CHAPITRE VIII</w:t>
      </w:r>
      <w:proofErr w:type="gramEnd"/>
    </w:p>
    <w:p w14:paraId="56A4ACD4" w14:textId="77777777" w:rsidR="00236661" w:rsidRPr="00623A2B" w:rsidRDefault="00236661" w:rsidP="00236661">
      <w:pPr>
        <w:jc w:val="center"/>
        <w:textDirection w:val="btLr"/>
        <w:rPr>
          <w:rFonts w:ascii="Times New Roman" w:hAnsi="Times New Roman"/>
          <w:position w:val="-1"/>
          <w:szCs w:val="22"/>
          <w:lang w:val="fr-FR"/>
        </w:rPr>
      </w:pPr>
      <w:r w:rsidRPr="00623A2B">
        <w:rPr>
          <w:rFonts w:ascii="Times New Roman" w:hAnsi="Times New Roman"/>
          <w:position w:val="-1"/>
          <w:szCs w:val="22"/>
          <w:lang w:val="fr-FR"/>
        </w:rPr>
        <w:t>RELATION AVEC LES INSTRUMENTS INTERNATIONAUX COMPLÉMENTAIRES</w:t>
      </w:r>
    </w:p>
    <w:p w14:paraId="06871E9B" w14:textId="77777777" w:rsidR="00236661" w:rsidRPr="00623A2B" w:rsidRDefault="00236661" w:rsidP="00236661">
      <w:pPr>
        <w:ind w:firstLine="720"/>
        <w:textDirection w:val="btLr"/>
        <w:rPr>
          <w:rFonts w:ascii="Times New Roman" w:hAnsi="Times New Roman"/>
          <w:position w:val="-1"/>
          <w:szCs w:val="22"/>
          <w:lang w:val="fr-FR"/>
        </w:rPr>
      </w:pPr>
    </w:p>
    <w:p w14:paraId="08ADCEC5"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position w:val="-1"/>
          <w:szCs w:val="22"/>
          <w:lang w:val="fr-FR"/>
        </w:rPr>
      </w:pPr>
      <w:r w:rsidRPr="00623A2B">
        <w:rPr>
          <w:rFonts w:ascii="Times New Roman" w:hAnsi="Times New Roman"/>
          <w:position w:val="-1"/>
          <w:szCs w:val="22"/>
          <w:lang w:val="fr-FR"/>
        </w:rPr>
        <w:t xml:space="preserve">Les États membres ont l’intention d’encourager l’adoption de pratiques commerciales durables, inclusives et responsables, d’une manière conforme aux Principes directeurs de l’ONU relatifs aux entreprises et </w:t>
      </w:r>
      <w:r w:rsidRPr="00623A2B">
        <w:rPr>
          <w:rFonts w:ascii="Times New Roman" w:hAnsi="Times New Roman"/>
          <w:bCs/>
          <w:iCs/>
          <w:position w:val="-1"/>
          <w:szCs w:val="22"/>
          <w:lang w:val="fr-FR"/>
        </w:rPr>
        <w:t>aux</w:t>
      </w:r>
      <w:r w:rsidRPr="00623A2B">
        <w:rPr>
          <w:rFonts w:ascii="Times New Roman" w:hAnsi="Times New Roman"/>
          <w:position w:val="-1"/>
          <w:szCs w:val="22"/>
          <w:lang w:val="fr-FR"/>
        </w:rPr>
        <w:t xml:space="preserve"> droits de l’homme, aux Objectifs de développement durable, au Pacte mondial ainsi qu’aux autres directives reconnues internationalement en matière de conduite professionnelle responsable. </w:t>
      </w:r>
    </w:p>
    <w:p w14:paraId="0EE2005C" w14:textId="77777777" w:rsidR="00236661" w:rsidRPr="00623A2B" w:rsidRDefault="00236661" w:rsidP="00236661">
      <w:pPr>
        <w:ind w:firstLine="720"/>
        <w:textDirection w:val="btLr"/>
        <w:rPr>
          <w:rFonts w:ascii="Times New Roman" w:hAnsi="Times New Roman"/>
          <w:position w:val="-1"/>
          <w:szCs w:val="22"/>
          <w:lang w:val="fr-FR"/>
        </w:rPr>
      </w:pPr>
    </w:p>
    <w:p w14:paraId="0F348405"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position w:val="-1"/>
          <w:szCs w:val="22"/>
          <w:lang w:val="fr-FR"/>
        </w:rPr>
      </w:pPr>
      <w:r w:rsidRPr="00623A2B">
        <w:rPr>
          <w:rFonts w:ascii="Times New Roman" w:hAnsi="Times New Roman"/>
          <w:position w:val="-1"/>
          <w:szCs w:val="22"/>
          <w:lang w:val="fr-FR"/>
        </w:rPr>
        <w:t xml:space="preserve">Les États membres doivent adopter des mesures visant à respecter, protéger et garantir les droits de la personne </w:t>
      </w:r>
      <w:r w:rsidRPr="00623A2B">
        <w:rPr>
          <w:rFonts w:ascii="Times New Roman" w:hAnsi="Times New Roman"/>
          <w:bCs/>
          <w:iCs/>
          <w:position w:val="-1"/>
          <w:szCs w:val="22"/>
          <w:lang w:val="fr-FR"/>
        </w:rPr>
        <w:t>et</w:t>
      </w:r>
      <w:r w:rsidRPr="00623A2B">
        <w:rPr>
          <w:rFonts w:ascii="Times New Roman" w:hAnsi="Times New Roman"/>
          <w:position w:val="-1"/>
          <w:szCs w:val="22"/>
          <w:lang w:val="fr-FR"/>
        </w:rPr>
        <w:t xml:space="preserve"> faire progresser la protection de l’environnement dans les activités commerciales, d’une manière conforme aux instruments internationaux relatifs aux droits humains et environnementaux applicables et aux législations nationales.</w:t>
      </w:r>
    </w:p>
    <w:p w14:paraId="6CB968F0" w14:textId="77777777" w:rsidR="00236661" w:rsidRPr="00623A2B" w:rsidRDefault="00236661" w:rsidP="00236661">
      <w:pPr>
        <w:ind w:firstLine="720"/>
        <w:textDirection w:val="btLr"/>
        <w:rPr>
          <w:rFonts w:ascii="Times New Roman" w:hAnsi="Times New Roman"/>
          <w:position w:val="-1"/>
          <w:szCs w:val="22"/>
          <w:lang w:val="fr-FR"/>
        </w:rPr>
      </w:pPr>
    </w:p>
    <w:p w14:paraId="1FFBB713"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position w:val="-1"/>
          <w:szCs w:val="22"/>
          <w:lang w:val="fr-FR"/>
        </w:rPr>
      </w:pPr>
      <w:r w:rsidRPr="00623A2B">
        <w:rPr>
          <w:rFonts w:ascii="Times New Roman" w:hAnsi="Times New Roman"/>
          <w:position w:val="-1"/>
          <w:szCs w:val="22"/>
          <w:lang w:val="fr-FR"/>
        </w:rPr>
        <w:t xml:space="preserve">Les États membres ont l’intention d’encourager les politiques qui incitent les entreprises dont les activités </w:t>
      </w:r>
      <w:r w:rsidRPr="00623A2B">
        <w:rPr>
          <w:rFonts w:ascii="Times New Roman" w:hAnsi="Times New Roman"/>
          <w:bCs/>
          <w:iCs/>
          <w:position w:val="-1"/>
          <w:szCs w:val="22"/>
          <w:lang w:val="fr-FR"/>
        </w:rPr>
        <w:t>relèvent</w:t>
      </w:r>
      <w:r w:rsidRPr="00623A2B">
        <w:rPr>
          <w:rFonts w:ascii="Times New Roman" w:hAnsi="Times New Roman"/>
          <w:position w:val="-1"/>
          <w:szCs w:val="22"/>
          <w:lang w:val="fr-FR"/>
        </w:rPr>
        <w:t xml:space="preserve"> de leur juridiction à coopérer avec les autorités afin de prévenir et de lutter contre la corruption sous toutes ses formes et de mettre en œuvre les meilleures pratiques internationales applicables, en accord avec les législations nationales et les engagements internationaux de chaque État. </w:t>
      </w:r>
    </w:p>
    <w:p w14:paraId="16AB1F5C" w14:textId="77777777" w:rsidR="00236661" w:rsidRPr="00623A2B" w:rsidRDefault="00236661" w:rsidP="00236661">
      <w:pPr>
        <w:ind w:firstLine="720"/>
        <w:textDirection w:val="btLr"/>
        <w:rPr>
          <w:rFonts w:ascii="Times New Roman" w:hAnsi="Times New Roman"/>
          <w:bCs/>
          <w:iCs/>
          <w:position w:val="-1"/>
          <w:szCs w:val="22"/>
          <w:lang w:val="fr-FR"/>
        </w:rPr>
      </w:pPr>
    </w:p>
    <w:p w14:paraId="3DDEBC87" w14:textId="77777777" w:rsidR="00236661" w:rsidRPr="00623A2B" w:rsidRDefault="00236661" w:rsidP="001B5A4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Direction w:val="btLr"/>
        <w:rPr>
          <w:rFonts w:ascii="Times New Roman" w:hAnsi="Times New Roman"/>
          <w:position w:val="-1"/>
          <w:szCs w:val="22"/>
          <w:lang w:val="fr-FR"/>
        </w:rPr>
      </w:pPr>
      <w:r w:rsidRPr="00623A2B">
        <w:rPr>
          <w:rFonts w:ascii="Times New Roman" w:hAnsi="Times New Roman"/>
          <w:position w:val="-1"/>
          <w:szCs w:val="22"/>
          <w:lang w:val="fr-FR"/>
        </w:rPr>
        <w:t xml:space="preserve">En </w:t>
      </w:r>
      <w:r w:rsidRPr="00623A2B">
        <w:rPr>
          <w:rFonts w:ascii="Times New Roman" w:hAnsi="Times New Roman"/>
          <w:bCs/>
          <w:iCs/>
          <w:position w:val="-1"/>
          <w:szCs w:val="22"/>
          <w:lang w:val="fr-FR"/>
        </w:rPr>
        <w:t>ce</w:t>
      </w:r>
      <w:r w:rsidRPr="00623A2B">
        <w:rPr>
          <w:rFonts w:ascii="Times New Roman" w:hAnsi="Times New Roman"/>
          <w:position w:val="-1"/>
          <w:szCs w:val="22"/>
          <w:lang w:val="fr-FR"/>
        </w:rPr>
        <w:t xml:space="preserve"> qui concerne les actes de corruption commis par des entreprises, les États membres visent, d’une manière conforme à la Convention interaméricaine contre la corruption, la plus large coopération technique mutuelle sur les formes et les méthodes les plus efficaces pour prévenir, détecter, instruire et sanctionner les actes de corruption.</w:t>
      </w:r>
    </w:p>
    <w:p w14:paraId="24F3520C" w14:textId="77777777" w:rsidR="00236661" w:rsidRPr="00623A2B" w:rsidRDefault="00236661" w:rsidP="00236661">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fr-FR"/>
        </w:rPr>
      </w:pPr>
      <w:r w:rsidRPr="00623A2B">
        <w:rPr>
          <w:rFonts w:ascii="Times New Roman" w:hAnsi="Times New Roman"/>
          <w:position w:val="-1"/>
          <w:szCs w:val="22"/>
          <w:lang w:val="fr-FR"/>
        </w:rPr>
        <w:br w:type="page"/>
      </w:r>
      <w:r w:rsidRPr="00623A2B">
        <w:rPr>
          <w:rFonts w:ascii="Times New Roman" w:hAnsi="Times New Roman"/>
          <w:sz w:val="20"/>
          <w:lang w:val="fr-FR"/>
        </w:rPr>
        <w:lastRenderedPageBreak/>
        <w:t>NOTES DE BAS DE PAGE</w:t>
      </w:r>
    </w:p>
    <w:p w14:paraId="259F6962" w14:textId="77777777" w:rsidR="00236661" w:rsidRPr="00623A2B" w:rsidRDefault="00236661" w:rsidP="00236661">
      <w:pPr>
        <w:rPr>
          <w:rFonts w:ascii="Times New Roman" w:hAnsi="Times New Roman"/>
          <w:sz w:val="20"/>
          <w:lang w:val="fr-FR"/>
        </w:rPr>
      </w:pPr>
    </w:p>
    <w:p w14:paraId="6F9A91F7" w14:textId="77777777" w:rsidR="00236661" w:rsidRPr="00623A2B" w:rsidRDefault="00236661" w:rsidP="00236661">
      <w:pPr>
        <w:rPr>
          <w:rFonts w:ascii="Times New Roman" w:hAnsi="Times New Roman"/>
          <w:sz w:val="20"/>
          <w:lang w:val="fr-CA"/>
        </w:rPr>
      </w:pPr>
    </w:p>
    <w:p w14:paraId="17DEA7DF" w14:textId="1BA3813F" w:rsidR="00236661" w:rsidRPr="00623A2B" w:rsidRDefault="00236661" w:rsidP="00236661">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1.</w:t>
      </w:r>
      <w:r w:rsidRPr="00623A2B">
        <w:rPr>
          <w:rFonts w:ascii="Times New Roman" w:hAnsi="Times New Roman"/>
          <w:sz w:val="20"/>
          <w:lang w:val="fr-FR"/>
        </w:rPr>
        <w:tab/>
        <w:t>… Cinquante-et-unième Session ordinaire de l’Assemblée générale de l’Organisation des États Américains (OEA), lesquelles constituent des actes contraires au droit international.</w:t>
      </w:r>
    </w:p>
    <w:p w14:paraId="53DAC24B" w14:textId="77777777" w:rsidR="00236661" w:rsidRPr="00623A2B" w:rsidRDefault="00236661" w:rsidP="00236661">
      <w:pPr>
        <w:pStyle w:val="FootnoteText"/>
        <w:tabs>
          <w:tab w:val="clear" w:pos="360"/>
        </w:tabs>
        <w:ind w:left="0" w:firstLine="720"/>
        <w:rPr>
          <w:rFonts w:ascii="Times New Roman" w:hAnsi="Times New Roman"/>
          <w:sz w:val="20"/>
          <w:lang w:val="fr-FR"/>
        </w:rPr>
      </w:pPr>
    </w:p>
    <w:p w14:paraId="0A5C9E80" w14:textId="77777777" w:rsidR="00236661" w:rsidRPr="00623A2B" w:rsidRDefault="00236661" w:rsidP="00236661">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1E395384" w14:textId="77777777" w:rsidR="00236661" w:rsidRPr="00623A2B" w:rsidRDefault="00236661" w:rsidP="00236661">
      <w:pPr>
        <w:pStyle w:val="FootnoteText"/>
        <w:tabs>
          <w:tab w:val="clear" w:pos="360"/>
        </w:tabs>
        <w:ind w:left="0" w:firstLine="720"/>
        <w:rPr>
          <w:rFonts w:ascii="Times New Roman" w:hAnsi="Times New Roman"/>
          <w:sz w:val="20"/>
          <w:lang w:val="fr-FR"/>
        </w:rPr>
      </w:pPr>
    </w:p>
    <w:p w14:paraId="1845BF94" w14:textId="77777777" w:rsidR="00236661" w:rsidRPr="00623A2B" w:rsidRDefault="00236661" w:rsidP="00236661">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46D35553" w14:textId="77777777" w:rsidR="00236661" w:rsidRPr="00623A2B" w:rsidRDefault="00236661" w:rsidP="00236661">
      <w:pPr>
        <w:pStyle w:val="FootnoteText"/>
        <w:tabs>
          <w:tab w:val="clear" w:pos="360"/>
        </w:tabs>
        <w:ind w:left="0" w:firstLine="720"/>
        <w:rPr>
          <w:rFonts w:ascii="Times New Roman" w:hAnsi="Times New Roman"/>
          <w:sz w:val="20"/>
          <w:lang w:val="fr-FR"/>
        </w:rPr>
      </w:pPr>
    </w:p>
    <w:p w14:paraId="347D32B6" w14:textId="77777777" w:rsidR="00236661" w:rsidRPr="00623A2B" w:rsidRDefault="00236661" w:rsidP="00236661">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 xml:space="preserve">La reconnaissance d’un gouvernement est un acte souverain des États, et non des institutions internationales. L’OEA ne possède ni ne peut s’arroger des facultés de reconnaissance collective opposable à la qualité de </w:t>
      </w:r>
      <w:proofErr w:type="gramStart"/>
      <w:r w:rsidRPr="00623A2B">
        <w:rPr>
          <w:rFonts w:ascii="Times New Roman" w:hAnsi="Times New Roman"/>
          <w:sz w:val="20"/>
          <w:lang w:val="fr-FR"/>
        </w:rPr>
        <w:t>membre;</w:t>
      </w:r>
      <w:proofErr w:type="gramEnd"/>
      <w:r w:rsidRPr="00623A2B">
        <w:rPr>
          <w:rFonts w:ascii="Times New Roman" w:hAnsi="Times New Roman"/>
          <w:sz w:val="20"/>
          <w:lang w:val="fr-FR"/>
        </w:rPr>
        <w:t xml:space="preserve"> c’est pourquoi tout acte visant à atteindre cet objectif tombe en dehors de sa compétence et est matériellement nul.</w:t>
      </w:r>
    </w:p>
    <w:p w14:paraId="420F36A0" w14:textId="77777777" w:rsidR="00236661" w:rsidRPr="00623A2B" w:rsidRDefault="00236661" w:rsidP="00236661">
      <w:pPr>
        <w:pStyle w:val="FootnoteText"/>
        <w:tabs>
          <w:tab w:val="clear" w:pos="360"/>
        </w:tabs>
        <w:ind w:left="0" w:firstLine="720"/>
        <w:rPr>
          <w:rFonts w:ascii="Times New Roman" w:hAnsi="Times New Roman"/>
          <w:sz w:val="20"/>
          <w:lang w:val="fr-FR"/>
        </w:rPr>
      </w:pPr>
    </w:p>
    <w:p w14:paraId="5CAF6F0A" w14:textId="77777777" w:rsidR="00236661" w:rsidRPr="00623A2B" w:rsidRDefault="00236661" w:rsidP="00236661">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5143C772" w14:textId="77777777" w:rsidR="00236661" w:rsidRPr="00623A2B" w:rsidRDefault="00236661" w:rsidP="00236661">
      <w:pPr>
        <w:pStyle w:val="FootnoteText"/>
        <w:tabs>
          <w:tab w:val="clear" w:pos="360"/>
        </w:tabs>
        <w:ind w:left="0" w:firstLine="720"/>
        <w:rPr>
          <w:rFonts w:ascii="Times New Roman" w:hAnsi="Times New Roman"/>
          <w:sz w:val="20"/>
          <w:lang w:val="fr-FR"/>
        </w:rPr>
      </w:pPr>
    </w:p>
    <w:p w14:paraId="30474113" w14:textId="77777777" w:rsidR="00236661" w:rsidRPr="00623A2B" w:rsidRDefault="00236661" w:rsidP="00236661">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38983584" w14:textId="77777777" w:rsidR="00236661" w:rsidRPr="00623A2B" w:rsidRDefault="00236661" w:rsidP="00236661">
      <w:pPr>
        <w:pStyle w:val="FootnoteText"/>
        <w:tabs>
          <w:tab w:val="clear" w:pos="360"/>
        </w:tabs>
        <w:ind w:left="0" w:firstLine="720"/>
        <w:rPr>
          <w:rFonts w:ascii="Times New Roman" w:hAnsi="Times New Roman"/>
          <w:sz w:val="20"/>
          <w:lang w:val="fr-FR"/>
        </w:rPr>
      </w:pPr>
    </w:p>
    <w:p w14:paraId="4249EAF6" w14:textId="77777777" w:rsidR="00236661" w:rsidRPr="00623A2B" w:rsidRDefault="00236661" w:rsidP="00236661">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28C7A953" w14:textId="77777777" w:rsidR="00236661" w:rsidRPr="00623A2B" w:rsidRDefault="00236661" w:rsidP="00236661">
      <w:pPr>
        <w:pStyle w:val="FootnoteText"/>
        <w:tabs>
          <w:tab w:val="clear" w:pos="360"/>
        </w:tabs>
        <w:ind w:left="0" w:firstLine="720"/>
        <w:rPr>
          <w:rFonts w:ascii="Times New Roman" w:hAnsi="Times New Roman"/>
          <w:sz w:val="20"/>
          <w:lang w:val="fr-FR"/>
        </w:rPr>
      </w:pPr>
    </w:p>
    <w:p w14:paraId="0EB79359" w14:textId="77777777" w:rsidR="00236661" w:rsidRPr="00623A2B" w:rsidRDefault="00236661" w:rsidP="00236661">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2.</w:t>
      </w:r>
      <w:r w:rsidRPr="00623A2B">
        <w:rPr>
          <w:rFonts w:ascii="Times New Roman" w:hAnsi="Times New Roman"/>
          <w:sz w:val="20"/>
          <w:lang w:val="fr-FR"/>
        </w:rPr>
        <w:tab/>
        <w:t xml:space="preserve">… de personnes qui prétendent usurper la représentation légale de la République bolivarienne du Venezuela et du Gouvernement légitime du Président </w:t>
      </w:r>
      <w:proofErr w:type="spellStart"/>
      <w:r w:rsidRPr="00623A2B">
        <w:rPr>
          <w:rFonts w:ascii="Times New Roman" w:hAnsi="Times New Roman"/>
          <w:sz w:val="20"/>
          <w:lang w:val="fr-FR"/>
        </w:rPr>
        <w:t>Nicolás</w:t>
      </w:r>
      <w:proofErr w:type="spellEnd"/>
      <w:r w:rsidRPr="00623A2B">
        <w:rPr>
          <w:rFonts w:ascii="Times New Roman" w:hAnsi="Times New Roman"/>
          <w:sz w:val="20"/>
          <w:lang w:val="fr-FR"/>
        </w:rPr>
        <w:t xml:space="preserve"> </w:t>
      </w:r>
      <w:proofErr w:type="spellStart"/>
      <w:r w:rsidRPr="00623A2B">
        <w:rPr>
          <w:rFonts w:ascii="Times New Roman" w:hAnsi="Times New Roman"/>
          <w:sz w:val="20"/>
          <w:lang w:val="fr-FR"/>
        </w:rPr>
        <w:t>Maduro</w:t>
      </w:r>
      <w:proofErr w:type="spellEnd"/>
      <w:r w:rsidRPr="00623A2B">
        <w:rPr>
          <w:rFonts w:ascii="Times New Roman" w:hAnsi="Times New Roman"/>
          <w:sz w:val="20"/>
          <w:lang w:val="fr-FR"/>
        </w:rPr>
        <w:t xml:space="preserve"> Moros. Nous demandons que notre refus soit consigné dans tous les documents qui seront traités lors de la présente Cinquante-et-unième Session de l’Assemblée générale de l’OEA.</w:t>
      </w:r>
    </w:p>
    <w:p w14:paraId="339C67AB" w14:textId="77777777" w:rsidR="00236661" w:rsidRPr="00623A2B" w:rsidRDefault="00236661" w:rsidP="00236661">
      <w:pPr>
        <w:pStyle w:val="FootnoteText"/>
        <w:tabs>
          <w:tab w:val="clear" w:pos="360"/>
        </w:tabs>
        <w:ind w:left="0" w:firstLine="720"/>
        <w:rPr>
          <w:rFonts w:ascii="Times New Roman" w:hAnsi="Times New Roman"/>
          <w:sz w:val="20"/>
          <w:lang w:val="fr-FR"/>
        </w:rPr>
      </w:pPr>
    </w:p>
    <w:p w14:paraId="1241D6A7" w14:textId="77777777" w:rsidR="00236661" w:rsidRPr="00623A2B" w:rsidRDefault="00236661" w:rsidP="00236661">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3.</w:t>
      </w:r>
      <w:r w:rsidRPr="00623A2B">
        <w:rPr>
          <w:rFonts w:ascii="Times New Roman" w:hAnsi="Times New Roman"/>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02D47BBF" w14:textId="77777777" w:rsidR="00236661" w:rsidRPr="00623A2B" w:rsidRDefault="00236661" w:rsidP="00236661">
      <w:pPr>
        <w:pStyle w:val="FootnoteText"/>
        <w:tabs>
          <w:tab w:val="clear" w:pos="360"/>
        </w:tabs>
        <w:ind w:left="0" w:firstLine="720"/>
        <w:rPr>
          <w:rFonts w:ascii="Times New Roman" w:hAnsi="Times New Roman"/>
          <w:sz w:val="20"/>
          <w:lang w:val="fr-FR"/>
        </w:rPr>
      </w:pPr>
    </w:p>
    <w:p w14:paraId="2C9BEEE8" w14:textId="77777777" w:rsidR="00236661" w:rsidRPr="00623A2B" w:rsidRDefault="00236661" w:rsidP="00236661">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 xml:space="preserve">Antigua-et-Barbuda n'a pas soutenu la résolution CP/RES. 1124 (2217/19) du 9 avril 2019 qui visait à nommer M. Gustavo </w:t>
      </w:r>
      <w:proofErr w:type="spellStart"/>
      <w:r w:rsidRPr="00623A2B">
        <w:rPr>
          <w:rFonts w:ascii="Times New Roman" w:hAnsi="Times New Roman"/>
          <w:sz w:val="20"/>
          <w:lang w:val="fr-FR"/>
        </w:rPr>
        <w:t>Tarre</w:t>
      </w:r>
      <w:proofErr w:type="spellEnd"/>
      <w:r w:rsidRPr="00623A2B">
        <w:rPr>
          <w:rFonts w:ascii="Times New Roman" w:hAnsi="Times New Roman"/>
          <w:sz w:val="20"/>
          <w:lang w:val="fr-FR"/>
        </w:rPr>
        <w:t xml:space="preserve"> comme représentant de l'Assemblée nationale auprès de l'OEA et n'a pas accepté les </w:t>
      </w:r>
      <w:r w:rsidRPr="00623A2B">
        <w:rPr>
          <w:rFonts w:ascii="Times New Roman" w:hAnsi="Times New Roman"/>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03C2C076" w14:textId="77777777" w:rsidR="00003188" w:rsidRPr="00623A2B" w:rsidRDefault="00003188" w:rsidP="00236661">
      <w:pPr>
        <w:pStyle w:val="FootnoteText"/>
        <w:tabs>
          <w:tab w:val="clear" w:pos="360"/>
        </w:tabs>
        <w:ind w:left="0" w:firstLine="720"/>
        <w:rPr>
          <w:rFonts w:ascii="Times New Roman" w:hAnsi="Times New Roman"/>
          <w:sz w:val="20"/>
          <w:lang w:val="fr-FR"/>
        </w:rPr>
      </w:pPr>
    </w:p>
    <w:p w14:paraId="75290DAD" w14:textId="1C4AFC6E" w:rsidR="00236661" w:rsidRPr="00623A2B" w:rsidRDefault="00236661" w:rsidP="00236661">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42FE9D0F" w14:textId="77777777" w:rsidR="00236661" w:rsidRPr="00623A2B" w:rsidRDefault="00236661" w:rsidP="00236661">
      <w:pPr>
        <w:ind w:firstLine="720"/>
        <w:rPr>
          <w:rFonts w:ascii="Times New Roman" w:hAnsi="Times New Roman"/>
          <w:position w:val="-1"/>
          <w:sz w:val="20"/>
          <w:lang w:val="fr-CA"/>
        </w:rPr>
      </w:pPr>
    </w:p>
    <w:p w14:paraId="3CDC21FD" w14:textId="77777777" w:rsidR="00236661" w:rsidRPr="00623A2B" w:rsidRDefault="00236661" w:rsidP="00236661">
      <w:pPr>
        <w:pStyle w:val="FootnoteText"/>
        <w:ind w:left="0" w:firstLine="720"/>
        <w:rPr>
          <w:rFonts w:ascii="Times New Roman" w:hAnsi="Times New Roman"/>
          <w:sz w:val="20"/>
          <w:lang w:val="fr-CA"/>
        </w:rPr>
      </w:pPr>
      <w:r w:rsidRPr="00623A2B">
        <w:rPr>
          <w:rFonts w:ascii="Times New Roman" w:hAnsi="Times New Roman"/>
          <w:sz w:val="20"/>
          <w:lang w:val="fr-FR"/>
        </w:rPr>
        <w:t>4.</w:t>
      </w:r>
      <w:r w:rsidRPr="00623A2B">
        <w:rPr>
          <w:rFonts w:ascii="Times New Roman" w:hAnsi="Times New Roman"/>
          <w:sz w:val="20"/>
          <w:lang w:val="fr-FR"/>
        </w:rPr>
        <w:tab/>
      </w:r>
      <w:r w:rsidRPr="00623A2B">
        <w:rPr>
          <w:rFonts w:ascii="Times New Roman" w:hAnsi="Times New Roman"/>
          <w:sz w:val="20"/>
          <w:lang w:val="fr-CA"/>
        </w:rPr>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6410C312" w14:textId="77777777" w:rsidR="00236661" w:rsidRPr="00623A2B" w:rsidRDefault="00236661" w:rsidP="00236661">
      <w:pPr>
        <w:pStyle w:val="FootnoteText"/>
        <w:ind w:left="0" w:firstLine="720"/>
        <w:rPr>
          <w:rFonts w:ascii="Times New Roman" w:hAnsi="Times New Roman"/>
          <w:sz w:val="20"/>
          <w:lang w:val="fr-CA"/>
        </w:rPr>
      </w:pPr>
    </w:p>
    <w:p w14:paraId="72187369" w14:textId="77777777" w:rsidR="00236661" w:rsidRPr="00623A2B" w:rsidRDefault="00236661" w:rsidP="00236661">
      <w:pPr>
        <w:rPr>
          <w:rFonts w:ascii="Times New Roman" w:hAnsi="Times New Roman"/>
          <w:position w:val="-1"/>
          <w:sz w:val="20"/>
          <w:lang w:val="fr-CA"/>
        </w:rPr>
      </w:pPr>
      <w:r w:rsidRPr="00623A2B">
        <w:rPr>
          <w:rFonts w:ascii="Times New Roman" w:hAnsi="Times New Roman"/>
          <w:sz w:val="20"/>
          <w:lang w:val="fr-CA"/>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p>
    <w:p w14:paraId="4888CC06" w14:textId="05088C87" w:rsidR="00C63356" w:rsidRPr="00623A2B" w:rsidRDefault="00C63356" w:rsidP="009A129C">
      <w:pPr>
        <w:pStyle w:val="FootnoteText"/>
        <w:tabs>
          <w:tab w:val="clear" w:pos="360"/>
        </w:tabs>
        <w:rPr>
          <w:rFonts w:ascii="Times New Roman" w:hAnsi="Times New Roman"/>
          <w:sz w:val="20"/>
          <w:lang w:val="fr-CA"/>
        </w:rPr>
      </w:pPr>
    </w:p>
    <w:p w14:paraId="76DD7265" w14:textId="77777777" w:rsidR="00722BB2" w:rsidRPr="00623A2B" w:rsidRDefault="00722BB2" w:rsidP="009A129C">
      <w:pPr>
        <w:pStyle w:val="FootnoteText"/>
        <w:tabs>
          <w:tab w:val="clear" w:pos="360"/>
        </w:tabs>
        <w:rPr>
          <w:rFonts w:ascii="Times New Roman" w:hAnsi="Times New Roman"/>
          <w:sz w:val="20"/>
          <w:lang w:val="fr-CA"/>
        </w:rPr>
        <w:sectPr w:rsidR="00722BB2" w:rsidRPr="00623A2B" w:rsidSect="00623A2B">
          <w:headerReference w:type="first" r:id="rId65"/>
          <w:footnotePr>
            <w:numRestart w:val="eachSect"/>
          </w:footnotePr>
          <w:type w:val="oddPage"/>
          <w:pgSz w:w="12240" w:h="15840" w:code="1"/>
          <w:pgMar w:top="2160" w:right="1570" w:bottom="1296" w:left="1699" w:header="720" w:footer="720" w:gutter="0"/>
          <w:cols w:space="720"/>
          <w:titlePg/>
          <w:docGrid w:linePitch="360"/>
        </w:sectPr>
      </w:pPr>
    </w:p>
    <w:p w14:paraId="78258C48" w14:textId="17EAD045" w:rsidR="00DF2371" w:rsidRPr="00623A2B" w:rsidRDefault="00DF2371" w:rsidP="000513D6">
      <w:pPr>
        <w:pStyle w:val="Heading1"/>
        <w:spacing w:before="0"/>
        <w:jc w:val="center"/>
        <w:rPr>
          <w:rFonts w:ascii="Times New Roman" w:hAnsi="Times New Roman" w:cs="Times New Roman"/>
          <w:bCs/>
          <w:color w:val="auto"/>
          <w:sz w:val="22"/>
          <w:szCs w:val="22"/>
          <w:lang w:val="fr-FR"/>
        </w:rPr>
      </w:pPr>
      <w:bookmarkStart w:id="30" w:name="_Toc89177460"/>
      <w:r w:rsidRPr="00623A2B">
        <w:rPr>
          <w:rFonts w:ascii="Times New Roman" w:hAnsi="Times New Roman" w:cs="Times New Roman"/>
          <w:color w:val="auto"/>
          <w:sz w:val="22"/>
          <w:szCs w:val="22"/>
          <w:lang w:val="fr-CA"/>
        </w:rPr>
        <w:lastRenderedPageBreak/>
        <w:t>AG/RES. 29</w:t>
      </w:r>
      <w:r w:rsidR="00B85BC9" w:rsidRPr="00623A2B">
        <w:rPr>
          <w:rFonts w:ascii="Times New Roman" w:hAnsi="Times New Roman" w:cs="Times New Roman"/>
          <w:color w:val="auto"/>
          <w:sz w:val="22"/>
          <w:szCs w:val="22"/>
          <w:lang w:val="fr-CA"/>
        </w:rPr>
        <w:t xml:space="preserve">70 </w:t>
      </w:r>
      <w:r w:rsidRPr="00623A2B">
        <w:rPr>
          <w:rFonts w:ascii="Times New Roman" w:hAnsi="Times New Roman" w:cs="Times New Roman"/>
          <w:color w:val="auto"/>
          <w:sz w:val="22"/>
          <w:szCs w:val="22"/>
          <w:lang w:val="fr-CA"/>
        </w:rPr>
        <w:t>(LI-O/21)</w:t>
      </w:r>
      <w:r w:rsidRPr="00623A2B">
        <w:rPr>
          <w:rFonts w:ascii="Times New Roman" w:hAnsi="Times New Roman" w:cs="Times New Roman"/>
          <w:color w:val="auto"/>
          <w:sz w:val="22"/>
          <w:szCs w:val="22"/>
          <w:lang w:val="fr-CA"/>
        </w:rPr>
        <w:br/>
      </w:r>
      <w:r w:rsidRPr="00623A2B">
        <w:rPr>
          <w:rFonts w:ascii="Times New Roman" w:hAnsi="Times New Roman" w:cs="Times New Roman"/>
          <w:color w:val="auto"/>
          <w:sz w:val="22"/>
          <w:szCs w:val="22"/>
          <w:lang w:val="fr-CA"/>
        </w:rPr>
        <w:br/>
      </w:r>
      <w:r w:rsidRPr="00623A2B">
        <w:rPr>
          <w:rFonts w:ascii="Times New Roman" w:hAnsi="Times New Roman" w:cs="Times New Roman"/>
          <w:color w:val="auto"/>
          <w:sz w:val="22"/>
          <w:szCs w:val="22"/>
          <w:lang w:val="fr-FR"/>
        </w:rPr>
        <w:t>PROMOTION DE LA SÉCURITÉ CONTINENTALE : UNE APPROCHE</w:t>
      </w:r>
      <w:r w:rsidRPr="00623A2B">
        <w:rPr>
          <w:rFonts w:ascii="Times New Roman" w:hAnsi="Times New Roman" w:cs="Times New Roman"/>
          <w:color w:val="auto"/>
          <w:sz w:val="22"/>
          <w:szCs w:val="22"/>
          <w:lang w:val="fr-FR"/>
        </w:rPr>
        <w:br/>
        <w:t>MULTIDIMENSIONNELLE</w:t>
      </w:r>
      <w:r w:rsidRPr="00623A2B">
        <w:rPr>
          <w:rStyle w:val="FootnoteReference"/>
          <w:rFonts w:ascii="Times New Roman" w:hAnsi="Times New Roman" w:cs="Times New Roman"/>
          <w:sz w:val="22"/>
          <w:szCs w:val="22"/>
          <w:u w:val="single"/>
          <w:vertAlign w:val="superscript"/>
          <w:lang w:val="pt-BR"/>
        </w:rPr>
        <w:footnoteReference w:id="38"/>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39"/>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40"/>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41"/>
      </w:r>
      <w:r w:rsidRPr="00623A2B">
        <w:rPr>
          <w:rFonts w:ascii="Times New Roman" w:hAnsi="Times New Roman" w:cs="Times New Roman"/>
          <w:color w:val="auto"/>
          <w:sz w:val="22"/>
          <w:szCs w:val="22"/>
          <w:vertAlign w:val="superscript"/>
          <w:lang w:val="fr-CA"/>
        </w:rPr>
        <w:t>/</w:t>
      </w:r>
      <w:bookmarkEnd w:id="30"/>
    </w:p>
    <w:p w14:paraId="53839D97"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B41985F" w14:textId="2B3928F5"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623A2B">
        <w:rPr>
          <w:rFonts w:ascii="Times New Roman" w:hAnsi="Times New Roman"/>
          <w:lang w:val="fr-FR"/>
        </w:rPr>
        <w:t>(</w:t>
      </w:r>
      <w:r w:rsidRPr="00623A2B">
        <w:rPr>
          <w:rFonts w:ascii="Times New Roman" w:hAnsi="Times New Roman"/>
          <w:szCs w:val="22"/>
          <w:lang w:val="fr-FR"/>
        </w:rPr>
        <w:t xml:space="preserve">Résolution adoptée à la </w:t>
      </w:r>
      <w:r w:rsidR="001B5A48" w:rsidRPr="00623A2B">
        <w:rPr>
          <w:rFonts w:ascii="Times New Roman" w:hAnsi="Times New Roman"/>
          <w:szCs w:val="22"/>
          <w:lang w:val="fr-FR"/>
        </w:rPr>
        <w:t>deuxième</w:t>
      </w:r>
      <w:r w:rsidRPr="00623A2B">
        <w:rPr>
          <w:rFonts w:ascii="Times New Roman" w:hAnsi="Times New Roman"/>
          <w:szCs w:val="22"/>
          <w:lang w:val="fr-FR"/>
        </w:rPr>
        <w:t xml:space="preserve"> séance plénière, </w:t>
      </w:r>
      <w:r w:rsidRPr="00623A2B">
        <w:rPr>
          <w:rFonts w:ascii="Times New Roman" w:hAnsi="Times New Roman"/>
          <w:szCs w:val="22"/>
          <w:lang w:val="fr-CA"/>
        </w:rPr>
        <w:t>le 11 novembre 2021</w:t>
      </w:r>
      <w:r w:rsidRPr="00623A2B">
        <w:rPr>
          <w:rFonts w:ascii="Times New Roman" w:hAnsi="Times New Roman"/>
          <w:lang w:val="fr-FR"/>
        </w:rPr>
        <w:t>)</w:t>
      </w:r>
    </w:p>
    <w:p w14:paraId="1E7F71A5"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eastAsia="es-ES"/>
        </w:rPr>
      </w:pPr>
    </w:p>
    <w:p w14:paraId="1A37879B"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eastAsia="es-ES"/>
        </w:rPr>
      </w:pPr>
    </w:p>
    <w:p w14:paraId="5F5A15C8"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color w:val="000000"/>
          <w:szCs w:val="22"/>
          <w:lang w:val="fr-FR"/>
        </w:rPr>
        <w:t>L’ASSEMBLÉE GÉNÉRALE,</w:t>
      </w:r>
    </w:p>
    <w:p w14:paraId="1E0276A5"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5F8E5B60"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color w:val="000000"/>
          <w:szCs w:val="22"/>
          <w:lang w:val="fr-FR"/>
        </w:rPr>
        <w:t>AYANT VU le « Rapport annuel du Conseil permanent adressé à l’Assemblée générale – octobre 2020-octobre 2021 » (</w:t>
      </w:r>
      <w:hyperlink r:id="rId66" w:history="1">
        <w:r w:rsidRPr="00623A2B">
          <w:rPr>
            <w:rStyle w:val="Hyperlink"/>
            <w:rFonts w:ascii="Times New Roman" w:hAnsi="Times New Roman"/>
            <w:szCs w:val="22"/>
            <w:lang w:val="fr-FR"/>
          </w:rPr>
          <w:t xml:space="preserve">AG/doc.5726/21 </w:t>
        </w:r>
        <w:proofErr w:type="spellStart"/>
        <w:r w:rsidRPr="00623A2B">
          <w:rPr>
            <w:rStyle w:val="Hyperlink"/>
            <w:rFonts w:ascii="Times New Roman" w:hAnsi="Times New Roman"/>
            <w:szCs w:val="22"/>
            <w:lang w:val="fr-FR"/>
          </w:rPr>
          <w:t>add</w:t>
        </w:r>
        <w:proofErr w:type="spellEnd"/>
        <w:r w:rsidRPr="00623A2B">
          <w:rPr>
            <w:rStyle w:val="Hyperlink"/>
            <w:rFonts w:ascii="Times New Roman" w:hAnsi="Times New Roman"/>
            <w:szCs w:val="22"/>
            <w:lang w:val="fr-FR"/>
          </w:rPr>
          <w:t>. 1</w:t>
        </w:r>
      </w:hyperlink>
      <w:r w:rsidRPr="00623A2B">
        <w:rPr>
          <w:rFonts w:ascii="Times New Roman" w:hAnsi="Times New Roman"/>
          <w:color w:val="000000"/>
          <w:szCs w:val="22"/>
          <w:lang w:val="fr-FR"/>
        </w:rPr>
        <w:t>), en particulier la section qui se réfère aux activités de la Commission sur la sécurité continentale (CSH),</w:t>
      </w:r>
    </w:p>
    <w:p w14:paraId="73545DFE"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06A6DD9A"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623A2B">
        <w:rPr>
          <w:rFonts w:ascii="Times New Roman" w:hAnsi="Times New Roman"/>
          <w:color w:val="000000"/>
          <w:szCs w:val="22"/>
          <w:lang w:val="fr-FR"/>
        </w:rPr>
        <w:tab/>
      </w:r>
      <w:r w:rsidRPr="00623A2B">
        <w:rPr>
          <w:rFonts w:ascii="Times New Roman" w:hAnsi="Times New Roman"/>
          <w:szCs w:val="22"/>
          <w:lang w:val="fr-FR"/>
        </w:rPr>
        <w:t>AYANT VU les rapports annuels présentés à l’Assemblée générale réunie à l’occasion de sa cinquante-et-unième session ordinaire par la Commission interaméricaine de lutte contre l’abus des drogues (CICAD) (</w:t>
      </w:r>
      <w:hyperlink r:id="rId67" w:history="1">
        <w:r w:rsidRPr="00623A2B">
          <w:rPr>
            <w:rStyle w:val="Hyperlink"/>
            <w:rFonts w:ascii="Times New Roman" w:hAnsi="Times New Roman"/>
            <w:szCs w:val="22"/>
            <w:lang w:val="fr-FR"/>
          </w:rPr>
          <w:t>CP/doc.5718/21</w:t>
        </w:r>
      </w:hyperlink>
      <w:r w:rsidRPr="00623A2B">
        <w:rPr>
          <w:rFonts w:ascii="Times New Roman" w:hAnsi="Times New Roman"/>
          <w:szCs w:val="22"/>
          <w:lang w:val="fr-FR"/>
        </w:rPr>
        <w:t>), le Comité interaméricain contre le terrorisme (CICTE) (</w:t>
      </w:r>
      <w:hyperlink r:id="rId68" w:history="1">
        <w:r w:rsidRPr="00623A2B">
          <w:rPr>
            <w:rFonts w:ascii="Times New Roman" w:hAnsi="Times New Roman"/>
            <w:color w:val="0000FF"/>
            <w:u w:val="single"/>
            <w:lang w:val="fr-FR"/>
          </w:rPr>
          <w:t>CP/doc.5686/21</w:t>
        </w:r>
      </w:hyperlink>
      <w:r w:rsidRPr="00623A2B">
        <w:rPr>
          <w:rFonts w:ascii="Times New Roman" w:hAnsi="Times New Roman"/>
          <w:szCs w:val="22"/>
          <w:lang w:val="fr-FR"/>
        </w:rPr>
        <w:t>) et l’Organisation interaméricaine de défense (JID) (</w:t>
      </w:r>
      <w:hyperlink r:id="rId69" w:history="1">
        <w:r w:rsidRPr="00623A2B">
          <w:rPr>
            <w:rStyle w:val="Hyperlink"/>
            <w:rFonts w:ascii="Times New Roman" w:hAnsi="Times New Roman"/>
            <w:szCs w:val="22"/>
            <w:lang w:val="fr-FR"/>
          </w:rPr>
          <w:t>CP/doc.5687/21</w:t>
        </w:r>
      </w:hyperlink>
      <w:r w:rsidRPr="00623A2B">
        <w:rPr>
          <w:rStyle w:val="Hyperlink"/>
          <w:rFonts w:ascii="Times New Roman" w:hAnsi="Times New Roman"/>
          <w:szCs w:val="22"/>
          <w:lang w:val="fr-FR"/>
        </w:rPr>
        <w:t>)</w:t>
      </w:r>
      <w:r w:rsidRPr="00623A2B">
        <w:rPr>
          <w:rFonts w:ascii="Times New Roman" w:hAnsi="Times New Roman"/>
          <w:szCs w:val="22"/>
          <w:lang w:val="fr-FR"/>
        </w:rPr>
        <w:t>,</w:t>
      </w:r>
    </w:p>
    <w:p w14:paraId="4A900807"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290DF65"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623A2B">
        <w:rPr>
          <w:rFonts w:ascii="Times New Roman" w:hAnsi="Times New Roman"/>
          <w:szCs w:val="22"/>
          <w:lang w:val="fr-FR"/>
        </w:rPr>
        <w:tab/>
        <w:t>SE FÉLICITANT du précieux soutien que la CICAD, le CICTE et la JID ont apporté aux États membres dans leurs domaines de compétence respectifs, et reconnaissant qu'il importe de continuer à renforcer ces organes et entités afin de poursuivre les avancées dans le domaine de la promotion de la sécurité dans la région dans le cadre d'une approche multidimensionnelle,</w:t>
      </w:r>
    </w:p>
    <w:p w14:paraId="5AD6D9EA"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F72D6FF"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623A2B">
        <w:rPr>
          <w:rFonts w:ascii="Times New Roman" w:hAnsi="Times New Roman"/>
          <w:color w:val="000000"/>
          <w:szCs w:val="22"/>
          <w:lang w:val="fr-FR"/>
        </w:rPr>
        <w:tab/>
        <w:t>PRENANT EN COMPTE les résultats, rapports et recommandations des réunions et conférences sur des thèmes de sécurité en vertu des mandats de l’Assemblée générale</w:t>
      </w:r>
      <w:r w:rsidRPr="00623A2B">
        <w:rPr>
          <w:rFonts w:ascii="Times New Roman" w:eastAsia="Batang" w:hAnsi="Times New Roman"/>
          <w:color w:val="000000"/>
          <w:szCs w:val="22"/>
          <w:u w:val="single"/>
          <w:vertAlign w:val="superscript"/>
          <w:lang w:val="fr-FR"/>
        </w:rPr>
        <w:footnoteReference w:id="42"/>
      </w:r>
      <w:r w:rsidRPr="00623A2B">
        <w:rPr>
          <w:rFonts w:ascii="Times New Roman" w:hAnsi="Times New Roman"/>
          <w:color w:val="000000"/>
          <w:szCs w:val="22"/>
          <w:vertAlign w:val="superscript"/>
          <w:lang w:val="fr-FR"/>
        </w:rPr>
        <w:t>/</w:t>
      </w:r>
      <w:r w:rsidRPr="00623A2B">
        <w:rPr>
          <w:rFonts w:ascii="Times New Roman" w:hAnsi="Times New Roman"/>
          <w:color w:val="000000"/>
          <w:szCs w:val="22"/>
          <w:lang w:val="fr-FR"/>
        </w:rPr>
        <w:t>,</w:t>
      </w:r>
    </w:p>
    <w:p w14:paraId="73AEF18A"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1975338C"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623A2B">
        <w:rPr>
          <w:rFonts w:ascii="Times New Roman" w:hAnsi="Times New Roman"/>
          <w:color w:val="000000"/>
          <w:szCs w:val="22"/>
          <w:lang w:val="fr-FR"/>
        </w:rPr>
        <w:t>DÉCIDE :</w:t>
      </w:r>
    </w:p>
    <w:p w14:paraId="40473170"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lang w:val="fr-FR"/>
        </w:rPr>
      </w:pPr>
    </w:p>
    <w:p w14:paraId="06407CA5"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MS Mincho" w:hAnsi="Times New Roman"/>
          <w:color w:val="000000"/>
          <w:szCs w:val="22"/>
          <w:lang w:val="fr-FR"/>
        </w:rPr>
      </w:pPr>
      <w:r w:rsidRPr="00623A2B">
        <w:rPr>
          <w:rFonts w:ascii="Times New Roman" w:hAnsi="Times New Roman"/>
          <w:color w:val="000000"/>
          <w:szCs w:val="22"/>
          <w:lang w:val="fr-FR"/>
        </w:rPr>
        <w:t>I.</w:t>
      </w:r>
      <w:r w:rsidRPr="00623A2B">
        <w:rPr>
          <w:rFonts w:ascii="Times New Roman" w:hAnsi="Times New Roman"/>
          <w:color w:val="000000"/>
          <w:szCs w:val="22"/>
          <w:lang w:val="fr-FR"/>
        </w:rPr>
        <w:tab/>
        <w:t xml:space="preserve">ACTIVITÉS DE LA COMMISSION SUR LA SÉCURITÉ CONTINENTALE </w:t>
      </w:r>
    </w:p>
    <w:p w14:paraId="72FA6914"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623A2B">
        <w:rPr>
          <w:rFonts w:ascii="Times New Roman" w:hAnsi="Times New Roman"/>
          <w:color w:val="000000"/>
          <w:szCs w:val="22"/>
          <w:lang w:val="fr-FR"/>
        </w:rPr>
        <w:t>ET DES ÉTATS MEMBRES</w:t>
      </w:r>
    </w:p>
    <w:p w14:paraId="0B9E2BBD"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4E00B4B8" w14:textId="77777777" w:rsidR="00DF2371" w:rsidRPr="00623A2B" w:rsidRDefault="00DF2371" w:rsidP="001B5A48">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fr-FR"/>
        </w:rPr>
      </w:pPr>
      <w:r w:rsidRPr="00623A2B">
        <w:rPr>
          <w:rFonts w:ascii="Times New Roman" w:hAnsi="Times New Roman"/>
          <w:szCs w:val="22"/>
          <w:lang w:val="fr-FR"/>
        </w:rPr>
        <w:t xml:space="preserve">De réaffirmer la validité des mandats applicables de l’Assemblée générale en matière de sécurité continentale énoncés dans le </w:t>
      </w:r>
      <w:r w:rsidRPr="00623A2B">
        <w:rPr>
          <w:rFonts w:ascii="Times New Roman" w:hAnsi="Times New Roman"/>
          <w:color w:val="000000"/>
          <w:szCs w:val="22"/>
          <w:lang w:val="fr-FR"/>
        </w:rPr>
        <w:t xml:space="preserve">document </w:t>
      </w:r>
      <w:hyperlink r:id="rId70" w:history="1">
        <w:r w:rsidRPr="00623A2B">
          <w:rPr>
            <w:rStyle w:val="Hyperlink"/>
            <w:rFonts w:ascii="Times New Roman" w:hAnsi="Times New Roman"/>
            <w:szCs w:val="22"/>
            <w:lang w:val="fr-FR"/>
          </w:rPr>
          <w:t>CP/CSH/INF.548/21</w:t>
        </w:r>
      </w:hyperlink>
      <w:r w:rsidRPr="00623A2B">
        <w:rPr>
          <w:rFonts w:ascii="Times New Roman" w:hAnsi="Times New Roman"/>
          <w:color w:val="000000"/>
          <w:szCs w:val="22"/>
          <w:lang w:val="fr-FR"/>
        </w:rPr>
        <w:t xml:space="preserve">) </w:t>
      </w:r>
      <w:r w:rsidRPr="00623A2B">
        <w:rPr>
          <w:rFonts w:ascii="Times New Roman" w:hAnsi="Times New Roman"/>
          <w:szCs w:val="22"/>
          <w:lang w:val="fr-FR"/>
        </w:rPr>
        <w:t xml:space="preserve">d’exhorter le Conseil permanent, par le truchement de la CSH, ainsi que les États membres à continuer de contribuer à l’atteinte des objectifs établis dans ces mandats au moyen de l’élaboration, de l’exécution, de l’évaluation des programmes et de la présentation de rapports sur ceux-ci, de l’échange d’informations et de l’adoption de mesures et de politiques de coopération, ainsi qu’au moyen de l’entraide et des </w:t>
      </w:r>
      <w:r w:rsidRPr="00623A2B">
        <w:rPr>
          <w:rFonts w:ascii="Times New Roman" w:hAnsi="Times New Roman"/>
          <w:szCs w:val="22"/>
          <w:lang w:val="fr-FR"/>
        </w:rPr>
        <w:lastRenderedPageBreak/>
        <w:t>apports et appuis techniques et financiers ; enfin, de charger le Secrétariat général d’apporter le soutien nécessaire à ces effets et de continuer à exécuter ces mandats</w:t>
      </w:r>
      <w:r w:rsidRPr="00623A2B">
        <w:rPr>
          <w:rFonts w:ascii="Times New Roman" w:hAnsi="Times New Roman"/>
          <w:color w:val="000000"/>
          <w:szCs w:val="22"/>
          <w:lang w:val="fr-FR"/>
        </w:rPr>
        <w:t>.</w:t>
      </w:r>
    </w:p>
    <w:p w14:paraId="0C21E67E"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0B94159E" w14:textId="77777777" w:rsidR="00DF2371" w:rsidRPr="00623A2B" w:rsidRDefault="00DF2371" w:rsidP="001B5A48">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val="0"/>
        <w:rPr>
          <w:rFonts w:ascii="Times New Roman" w:hAnsi="Times New Roman"/>
          <w:color w:val="000000"/>
          <w:u w:val="single"/>
          <w:lang w:val="fr-FR"/>
        </w:rPr>
      </w:pPr>
      <w:r w:rsidRPr="00623A2B">
        <w:rPr>
          <w:rFonts w:ascii="Times New Roman" w:hAnsi="Times New Roman"/>
          <w:color w:val="000000"/>
          <w:u w:val="single"/>
          <w:lang w:val="fr-FR"/>
        </w:rPr>
        <w:t>Perspective et examen de la sécurité multidimensionnelle dans le continent américain</w:t>
      </w:r>
    </w:p>
    <w:p w14:paraId="4B0DF775"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u w:val="single"/>
          <w:lang w:val="fr-FR"/>
        </w:rPr>
      </w:pPr>
    </w:p>
    <w:p w14:paraId="71DB3205" w14:textId="77777777" w:rsidR="00DF2371" w:rsidRPr="00623A2B" w:rsidRDefault="00DF2371" w:rsidP="001B5A48">
      <w:pPr>
        <w:pStyle w:val="ListParagraph"/>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firstLine="0"/>
        <w:contextualSpacing w:val="0"/>
        <w:rPr>
          <w:rFonts w:ascii="Times New Roman" w:hAnsi="Times New Roman"/>
          <w:color w:val="000000"/>
          <w:u w:val="single"/>
          <w:lang w:val="fr-FR"/>
        </w:rPr>
      </w:pPr>
      <w:r w:rsidRPr="00623A2B">
        <w:rPr>
          <w:rFonts w:ascii="Times New Roman" w:hAnsi="Times New Roman"/>
          <w:color w:val="000000"/>
          <w:u w:val="single"/>
          <w:lang w:val="fr-FR"/>
        </w:rPr>
        <w:t>Déclaration sur la sécurité dans les Amériques</w:t>
      </w:r>
    </w:p>
    <w:p w14:paraId="011AE6F3" w14:textId="77777777" w:rsidR="00DF2371" w:rsidRPr="00623A2B" w:rsidRDefault="00DF2371" w:rsidP="00DF2371">
      <w:pPr>
        <w:pStyle w:val="ListParagraph"/>
        <w:ind w:left="0"/>
        <w:rPr>
          <w:rFonts w:ascii="Times New Roman" w:hAnsi="Times New Roman"/>
          <w:color w:val="000000"/>
          <w:u w:val="single"/>
          <w:lang w:val="fr-FR"/>
        </w:rPr>
      </w:pPr>
    </w:p>
    <w:p w14:paraId="001AB8F2"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color w:val="000000"/>
          <w:szCs w:val="22"/>
          <w:lang w:val="fr-FR"/>
        </w:rPr>
        <w:t>2.</w:t>
      </w:r>
      <w:r w:rsidRPr="00623A2B">
        <w:rPr>
          <w:rFonts w:ascii="Times New Roman" w:hAnsi="Times New Roman"/>
          <w:color w:val="000000"/>
          <w:szCs w:val="22"/>
          <w:lang w:val="fr-FR"/>
        </w:rPr>
        <w:tab/>
        <w:t>De charger la CSH de poursuivre le processus de révision de la Déclaration sur la sécurité dans les Amériques, en tenant compte des nouvelles menaces, préoccupations et autres défis, en vue d'évaluer l'opportunité de convoquer une conférence spéciale sur la sécurité pour faire progresser la sécurité continentale. À cette fin, de demander au Secrétariat de mettre à la disposition des États membres, après la tenue du Neuvième Sommet des Amériques en 2022, au cours du second semestre de 2022, un résumé des avis fournis sur la question dans le cadre de la CSH.</w:t>
      </w:r>
    </w:p>
    <w:p w14:paraId="1C35C607"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55FABCAA" w14:textId="77777777" w:rsidR="00DF2371" w:rsidRPr="00623A2B" w:rsidRDefault="00DF2371" w:rsidP="001B5A48">
      <w:pPr>
        <w:pStyle w:val="ListParagraph"/>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firstLine="0"/>
        <w:contextualSpacing w:val="0"/>
        <w:rPr>
          <w:rFonts w:ascii="Times New Roman" w:hAnsi="Times New Roman"/>
          <w:color w:val="000000"/>
          <w:u w:val="single"/>
          <w:lang w:val="fr-FR"/>
        </w:rPr>
      </w:pPr>
      <w:r w:rsidRPr="00623A2B">
        <w:rPr>
          <w:rFonts w:ascii="Times New Roman" w:hAnsi="Times New Roman"/>
          <w:color w:val="000000"/>
          <w:u w:val="single"/>
          <w:lang w:val="fr-FR"/>
        </w:rPr>
        <w:t>Effets de la pandémie de COVID-19 sur la sécurité continentale</w:t>
      </w:r>
    </w:p>
    <w:p w14:paraId="0F24AA17"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0C9DF027"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color w:val="000000"/>
          <w:szCs w:val="22"/>
          <w:lang w:val="fr-FR"/>
        </w:rPr>
        <w:t>3.</w:t>
      </w:r>
      <w:r w:rsidRPr="00623A2B">
        <w:rPr>
          <w:rFonts w:ascii="Times New Roman" w:hAnsi="Times New Roman"/>
          <w:color w:val="000000"/>
          <w:szCs w:val="22"/>
          <w:lang w:val="fr-FR"/>
        </w:rPr>
        <w:tab/>
        <w:t>De demander à la CSH d’inviter la JID à apporter les contributions qu’elle juge nécessaires pour enrichir le document sur les bonnes pratiques à mettre en œuvre et les défis à relever pour faire face à une pandémie en matière de sécurité, et de demander aux États membres qui ne l’ont pas encore fait de transmettre ces informations au Secrétariat.</w:t>
      </w:r>
    </w:p>
    <w:p w14:paraId="2212B9B3"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436ABDFA" w14:textId="77777777" w:rsidR="00DF2371" w:rsidRPr="00623A2B" w:rsidRDefault="00DF2371" w:rsidP="001B5A48">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val="0"/>
        <w:rPr>
          <w:rFonts w:ascii="Times New Roman" w:hAnsi="Times New Roman"/>
          <w:color w:val="000000"/>
          <w:lang w:val="fr-FR"/>
        </w:rPr>
      </w:pPr>
      <w:r w:rsidRPr="00623A2B">
        <w:rPr>
          <w:rFonts w:ascii="Times New Roman" w:hAnsi="Times New Roman"/>
          <w:color w:val="000000"/>
          <w:u w:val="single"/>
          <w:lang w:val="fr-FR"/>
        </w:rPr>
        <w:t>Engagements en faveur de la paix, du désarmement et de la non-prolifération</w:t>
      </w:r>
    </w:p>
    <w:p w14:paraId="7106F144" w14:textId="77777777" w:rsidR="00DF2371" w:rsidRPr="00623A2B" w:rsidRDefault="00DF2371" w:rsidP="00DF2371">
      <w:pPr>
        <w:pStyle w:val="ListParagraph"/>
        <w:ind w:left="0"/>
        <w:rPr>
          <w:rFonts w:ascii="Times New Roman" w:hAnsi="Times New Roman"/>
          <w:color w:val="000000"/>
          <w:lang w:val="fr-FR"/>
        </w:rPr>
      </w:pPr>
    </w:p>
    <w:p w14:paraId="3262A88D" w14:textId="77777777" w:rsidR="00DF2371" w:rsidRPr="00623A2B" w:rsidRDefault="00DF2371" w:rsidP="001B5A48">
      <w:pPr>
        <w:pStyle w:val="ListParagraph"/>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firstLine="0"/>
        <w:contextualSpacing w:val="0"/>
        <w:rPr>
          <w:rFonts w:ascii="Times New Roman" w:eastAsia="SimSun" w:hAnsi="Times New Roman"/>
          <w:color w:val="000000"/>
          <w:u w:val="single"/>
          <w:lang w:val="fr-FR"/>
        </w:rPr>
      </w:pPr>
      <w:r w:rsidRPr="00623A2B">
        <w:rPr>
          <w:rFonts w:ascii="Times New Roman" w:hAnsi="Times New Roman"/>
          <w:color w:val="000000"/>
          <w:u w:val="single"/>
          <w:lang w:val="fr-FR"/>
        </w:rPr>
        <w:t>Les Amériques en tant que zone de paix</w:t>
      </w:r>
    </w:p>
    <w:p w14:paraId="0DE903F7"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color w:val="000000"/>
          <w:szCs w:val="22"/>
          <w:u w:val="single"/>
          <w:lang w:val="fr-FR"/>
        </w:rPr>
      </w:pPr>
    </w:p>
    <w:p w14:paraId="3F49CCEF"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color w:val="000000"/>
          <w:szCs w:val="22"/>
          <w:lang w:val="fr-FR"/>
        </w:rPr>
        <w:t>4.</w:t>
      </w:r>
      <w:r w:rsidRPr="00623A2B">
        <w:rPr>
          <w:rFonts w:ascii="Times New Roman" w:hAnsi="Times New Roman"/>
          <w:color w:val="000000"/>
          <w:szCs w:val="22"/>
          <w:lang w:val="fr-FR"/>
        </w:rPr>
        <w:tab/>
        <w:t>De reconnaître les efforts déployés par la Commission sur la sécurité continentale pour tenir une réunion avec la Commission de consolidation de la paix des Nations Unies durant la période 2020-2021 et de l’encourager à poursuivre ses démarches auprès de cette dernière afin de faciliter l'échange de bonnes pratiques en matière de consolidation et de maintien de la paix dans la région.</w:t>
      </w:r>
    </w:p>
    <w:p w14:paraId="0D47BB21"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hAnsi="Times New Roman"/>
          <w:szCs w:val="22"/>
          <w:lang w:val="fr-FR"/>
        </w:rPr>
      </w:pPr>
    </w:p>
    <w:p w14:paraId="13E28D59"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color w:val="000000"/>
          <w:szCs w:val="22"/>
          <w:lang w:val="fr-FR"/>
        </w:rPr>
        <w:t>5.</w:t>
      </w:r>
      <w:r w:rsidRPr="00623A2B">
        <w:rPr>
          <w:rFonts w:ascii="Times New Roman" w:hAnsi="Times New Roman"/>
          <w:color w:val="000000"/>
          <w:szCs w:val="22"/>
          <w:lang w:val="fr-FR"/>
        </w:rPr>
        <w:tab/>
        <w:t>De continuer à faire progresser la sécurité des citoyens et à renforcer la résilience des États membres en promouvant la démocratie, les droits de la personne, la sécurité et le développement, qui sont les quatre piliers de l'OEA.</w:t>
      </w:r>
    </w:p>
    <w:p w14:paraId="7555572F"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color w:val="000000"/>
          <w:szCs w:val="22"/>
          <w:u w:val="single"/>
          <w:lang w:val="fr-FR"/>
        </w:rPr>
      </w:pPr>
    </w:p>
    <w:p w14:paraId="65FEADB1" w14:textId="77777777" w:rsidR="00DF2371" w:rsidRPr="00623A2B" w:rsidRDefault="00DF2371" w:rsidP="001B5A48">
      <w:pPr>
        <w:pStyle w:val="ListParagraph"/>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firstLine="0"/>
        <w:contextualSpacing w:val="0"/>
        <w:rPr>
          <w:rFonts w:ascii="Times New Roman" w:eastAsia="SimSun" w:hAnsi="Times New Roman"/>
          <w:color w:val="000000"/>
          <w:u w:val="single"/>
          <w:lang w:val="fr-FR"/>
        </w:rPr>
      </w:pPr>
      <w:r w:rsidRPr="00623A2B">
        <w:rPr>
          <w:rFonts w:ascii="Times New Roman" w:hAnsi="Times New Roman"/>
          <w:color w:val="000000"/>
          <w:u w:val="single"/>
          <w:lang w:val="fr-FR"/>
        </w:rPr>
        <w:t>Désarmement et non-prolifération dans le continent américain</w:t>
      </w:r>
    </w:p>
    <w:p w14:paraId="765A56CF"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02C1388A"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eastAsiaTheme="minorHAnsi" w:hAnsi="Times New Roman"/>
          <w:szCs w:val="22"/>
          <w:lang w:val="fr-FR"/>
        </w:rPr>
        <w:t>6.</w:t>
      </w:r>
      <w:r w:rsidRPr="00623A2B">
        <w:rPr>
          <w:rFonts w:ascii="Times New Roman" w:eastAsiaTheme="minorHAnsi" w:hAnsi="Times New Roman"/>
          <w:szCs w:val="22"/>
          <w:lang w:val="fr-FR"/>
        </w:rPr>
        <w:tab/>
        <w:t>De réaffirmer son engagement de continuer à favoriser les régimes de désarmement et de non-prolifération</w:t>
      </w:r>
      <w:r w:rsidRPr="00623A2B">
        <w:rPr>
          <w:rFonts w:ascii="Times New Roman" w:hAnsi="Times New Roman"/>
          <w:szCs w:val="22"/>
          <w:lang w:val="fr-FR"/>
        </w:rPr>
        <w:t xml:space="preserve"> d’armes de destruction massive dans la région sur les principes de l’universalité et de la non-discrimination afin de contribuer à renforcer la sécurité et la confiance entre les États du continent américain ainsi que l’objectif d’un monde plus pacifique et plus sûr. En particulier, intensifier les efforts visant à prévenir la prolifération des armes nucléaires, chimiques et biologiques, ainsi que de leurs systèmes de vecteurs.</w:t>
      </w:r>
    </w:p>
    <w:p w14:paraId="49A2CAFE"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05524959"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szCs w:val="22"/>
          <w:lang w:val="fr-FR"/>
        </w:rPr>
        <w:t>7.</w:t>
      </w:r>
      <w:r w:rsidRPr="00623A2B">
        <w:rPr>
          <w:rFonts w:ascii="Times New Roman" w:hAnsi="Times New Roman"/>
          <w:szCs w:val="22"/>
          <w:lang w:val="fr-FR"/>
        </w:rPr>
        <w:tab/>
        <w:t xml:space="preserve">De continuer à promouvoir la pleine mise en œuvre du Traité visant l'interdiction des armes nucléaires en Amérique Latine et dans les Caraïbes (Traité de Tlatelolco) qui, </w:t>
      </w:r>
      <w:r w:rsidRPr="00623A2B">
        <w:rPr>
          <w:rFonts w:ascii="Times New Roman" w:hAnsi="Times New Roman"/>
          <w:color w:val="000000"/>
          <w:szCs w:val="22"/>
          <w:lang w:val="fr-FR"/>
        </w:rPr>
        <w:t>54 ans après l’adoption de cet instrument</w:t>
      </w:r>
      <w:r w:rsidRPr="00623A2B">
        <w:rPr>
          <w:rFonts w:ascii="Times New Roman" w:hAnsi="Times New Roman"/>
          <w:szCs w:val="22"/>
          <w:lang w:val="fr-FR"/>
        </w:rPr>
        <w:t xml:space="preserve">, montre que l’établissement de zones libres d'armes nucléaires et l'absence d'armes nucléaires en Amérique latine et dans les Caraïbes contribuent aux efforts déployés pour parvenir au désarmement général et complet ; et de poursuivre la pleine application, par tous les États </w:t>
      </w:r>
      <w:r w:rsidRPr="00623A2B">
        <w:rPr>
          <w:rFonts w:ascii="Times New Roman" w:hAnsi="Times New Roman"/>
          <w:szCs w:val="22"/>
          <w:lang w:val="fr-FR"/>
        </w:rPr>
        <w:lastRenderedPageBreak/>
        <w:t>de la région, du Traité sur la non-prolifération des armes nucléaires. À cette fin, encourager les États parties aux protocoles additionnels I et II du Traité de Tlatelolco à revoir leurs déclarations interprétatives à cet égard, en réaffirmant et en reconnaissant les intérêts légitimes des États qui forment la zone exempte d'armes nucléaires en Amérique latine et dans les Caraïbes à recevoir des garanties de sécurité complètes et sans équivoque de la part des États dotés d'armes nucléaires.</w:t>
      </w:r>
    </w:p>
    <w:p w14:paraId="40D481FF"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38BE2FD"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szCs w:val="22"/>
          <w:lang w:val="fr-FR"/>
        </w:rPr>
        <w:t>8.</w:t>
      </w:r>
      <w:r w:rsidRPr="00623A2B">
        <w:rPr>
          <w:rFonts w:ascii="Times New Roman" w:hAnsi="Times New Roman"/>
          <w:szCs w:val="22"/>
          <w:lang w:val="fr-FR"/>
        </w:rPr>
        <w:tab/>
        <w:t xml:space="preserve">De reconnaître le droit inaliénable des États à l’utilisation de l’énergie nucléaire à des fins pacifiques, conformément aux articles I, II, III et IV du Traité sur la non-prolifération des armes nucléaires, aux dispositions de l’ordre juridique de chaque État et de ses obligations internationales, et l’importance des engagements des États membres de l'Agence internationale de l'énergie atomique (AIEA) en matière de mesures de sauvegarde nucléaires ; ainsi que des organisations régionales comme l’Agence </w:t>
      </w:r>
      <w:proofErr w:type="spellStart"/>
      <w:r w:rsidRPr="00623A2B">
        <w:rPr>
          <w:rFonts w:ascii="Times New Roman" w:hAnsi="Times New Roman"/>
          <w:szCs w:val="22"/>
          <w:lang w:val="fr-FR"/>
        </w:rPr>
        <w:t>argentino</w:t>
      </w:r>
      <w:proofErr w:type="spellEnd"/>
      <w:r w:rsidRPr="00623A2B">
        <w:rPr>
          <w:rFonts w:ascii="Times New Roman" w:hAnsi="Times New Roman"/>
          <w:szCs w:val="22"/>
          <w:lang w:val="fr-FR"/>
        </w:rPr>
        <w:t>-brésilienne de comptabilité et de contrôle des matières nucléaires (ABACC) dans le domaine des assurances fournies concernant la nature pacifique des activités nucléaires.</w:t>
      </w:r>
    </w:p>
    <w:p w14:paraId="188FC51A"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5E892AF8"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szCs w:val="22"/>
          <w:lang w:val="fr-FR"/>
        </w:rPr>
        <w:t>9.</w:t>
      </w:r>
      <w:r w:rsidRPr="00623A2B">
        <w:rPr>
          <w:rFonts w:ascii="Times New Roman" w:hAnsi="Times New Roman"/>
          <w:szCs w:val="22"/>
          <w:lang w:val="fr-FR"/>
        </w:rPr>
        <w:tab/>
        <w:t>De renforcer la mise en œuvre des mesures se rapportant à la biosécurité et à la sûreté biologique, conformément à la résolution 1540 (2004) du Conseil de sécurité des Nations Unies et à la Convention sur les armes biologiques, afin de renforcer les capacités nationales en la matière.</w:t>
      </w:r>
    </w:p>
    <w:p w14:paraId="4F425298" w14:textId="77777777" w:rsidR="00DF2371" w:rsidRPr="00623A2B" w:rsidRDefault="00DF2371" w:rsidP="00DF2371">
      <w:pPr>
        <w:pStyle w:val="ListParagraph"/>
        <w:ind w:left="0"/>
        <w:rPr>
          <w:rFonts w:ascii="Times New Roman" w:hAnsi="Times New Roman"/>
          <w:color w:val="000000"/>
          <w:lang w:val="fr-FR"/>
        </w:rPr>
      </w:pPr>
    </w:p>
    <w:p w14:paraId="3E677DA4"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szCs w:val="22"/>
          <w:lang w:val="fr-FR"/>
        </w:rPr>
        <w:t>10.</w:t>
      </w:r>
      <w:r w:rsidRPr="00623A2B">
        <w:rPr>
          <w:rFonts w:ascii="Times New Roman" w:hAnsi="Times New Roman"/>
          <w:szCs w:val="22"/>
          <w:lang w:val="fr-FR"/>
        </w:rPr>
        <w:tab/>
        <w:t>De demander au Secrétariat du Comité interaméricain contre le terrorisme (CICTE) de continuer à soutenir les États membres dans leurs efforts de lutte contre la prolifération par le biais de mesures visant, entre autres, à diffuser les leçons apprises, à partager les données d’expériences, à identifier les priorités et les besoins, y compris l'élaboration de plans d'action nationaux volontaires en matière de mise en œuvre, et à promouvoir un échange accru d'informations avec d'autres organisations internationales, régionales et sous-régionales, y compris avec les organes pertinents des Nations Unies, et de faire rapport sur les résultats de ses travaux à la Commission sur la sécurité continentale</w:t>
      </w:r>
      <w:r w:rsidRPr="00623A2B">
        <w:rPr>
          <w:rFonts w:ascii="Times New Roman" w:hAnsi="Times New Roman"/>
          <w:color w:val="000000"/>
          <w:szCs w:val="22"/>
          <w:lang w:val="fr-FR"/>
        </w:rPr>
        <w:t>.</w:t>
      </w:r>
    </w:p>
    <w:p w14:paraId="234BD00D" w14:textId="77777777" w:rsidR="00DF2371" w:rsidRPr="00623A2B" w:rsidRDefault="00DF2371" w:rsidP="00DF2371">
      <w:pPr>
        <w:pStyle w:val="ListParagraph"/>
        <w:ind w:left="0"/>
        <w:rPr>
          <w:rFonts w:ascii="Times New Roman" w:hAnsi="Times New Roman"/>
          <w:color w:val="000000"/>
          <w:lang w:val="fr-FR"/>
        </w:rPr>
      </w:pPr>
    </w:p>
    <w:p w14:paraId="2E794389" w14:textId="77777777" w:rsidR="00DF2371" w:rsidRPr="00623A2B" w:rsidRDefault="00DF2371" w:rsidP="001B5A48">
      <w:pPr>
        <w:pStyle w:val="ListParagraph"/>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firstLine="0"/>
        <w:contextualSpacing w:val="0"/>
        <w:rPr>
          <w:rFonts w:ascii="Times New Roman" w:hAnsi="Times New Roman"/>
          <w:color w:val="000000"/>
          <w:u w:val="single"/>
          <w:lang w:val="fr-FR"/>
        </w:rPr>
      </w:pPr>
      <w:r w:rsidRPr="00623A2B">
        <w:rPr>
          <w:rFonts w:ascii="Times New Roman" w:hAnsi="Times New Roman"/>
          <w:color w:val="000000"/>
          <w:u w:val="single"/>
          <w:lang w:val="fr-FR"/>
        </w:rPr>
        <w:t>Les Amériques en tant que zone libre de mines terrestres antipersonnel</w:t>
      </w:r>
      <w:r w:rsidRPr="00623A2B">
        <w:rPr>
          <w:rFonts w:ascii="Times New Roman" w:hAnsi="Times New Roman"/>
          <w:color w:val="000000"/>
          <w:vertAlign w:val="superscript"/>
          <w:lang w:val="fr-FR"/>
        </w:rPr>
        <w:t xml:space="preserve"> </w:t>
      </w:r>
      <w:r w:rsidRPr="00623A2B">
        <w:rPr>
          <w:rStyle w:val="FootnoteReference"/>
          <w:rFonts w:ascii="Times New Roman" w:hAnsi="Times New Roman"/>
          <w:u w:val="single"/>
          <w:vertAlign w:val="superscript"/>
          <w:lang w:val="fr-FR"/>
        </w:rPr>
        <w:footnoteReference w:id="43"/>
      </w:r>
      <w:r w:rsidRPr="00623A2B">
        <w:rPr>
          <w:rFonts w:ascii="Times New Roman" w:hAnsi="Times New Roman"/>
          <w:color w:val="000000"/>
          <w:vertAlign w:val="superscript"/>
          <w:lang w:val="fr-FR"/>
        </w:rPr>
        <w:t>/</w:t>
      </w:r>
    </w:p>
    <w:p w14:paraId="7D20BD2D"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6C066274"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szCs w:val="22"/>
          <w:lang w:val="fr-FR"/>
        </w:rPr>
        <w:t>11.</w:t>
      </w:r>
      <w:r w:rsidRPr="00623A2B">
        <w:rPr>
          <w:rFonts w:ascii="Times New Roman" w:hAnsi="Times New Roman"/>
          <w:szCs w:val="22"/>
          <w:lang w:val="fr-FR"/>
        </w:rPr>
        <w:tab/>
        <w:t>De réaffirmer les objectifs de la Convention sur l'interdiction de l'emploi, du stockage, de la production et du transfert des mines antipersonnel et sur leur destruction (Convention d'Ottawa), et d'exhorter les États parties à intensifier leurs efforts, en mettant l'accent sur le Plan d'action d'Oslo, afin éliminer, dans toute la mesure du possible, les zones minées sur leur territoire d'ici 2025.</w:t>
      </w:r>
    </w:p>
    <w:p w14:paraId="4BFBE6C3"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19D0B2F7"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szCs w:val="22"/>
          <w:lang w:val="fr-FR"/>
        </w:rPr>
        <w:t>12.</w:t>
      </w:r>
      <w:r w:rsidRPr="00623A2B">
        <w:rPr>
          <w:rFonts w:ascii="Times New Roman" w:hAnsi="Times New Roman"/>
          <w:szCs w:val="22"/>
          <w:lang w:val="fr-FR"/>
        </w:rPr>
        <w:tab/>
        <w:t>De reconnaître les efforts déployés par les gouvernements de la Colombie, de l'Équateur et du Pérou pour progresser dans les actions de déminage humanitaire sur leurs territoires et d’exhorter les États membres et les observateurs permanents à fournir aux trois pays une assistance technique et financière afin que ces pays continuent à mettre en œuvre leurs programmes respectifs</w:t>
      </w:r>
      <w:r w:rsidRPr="00623A2B">
        <w:rPr>
          <w:rFonts w:ascii="Times New Roman" w:hAnsi="Times New Roman"/>
          <w:color w:val="000000"/>
          <w:szCs w:val="22"/>
          <w:lang w:val="fr-FR"/>
        </w:rPr>
        <w:t>.</w:t>
      </w:r>
    </w:p>
    <w:p w14:paraId="766E6553"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043218D1"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szCs w:val="22"/>
          <w:lang w:val="fr-FR"/>
        </w:rPr>
        <w:t>13.</w:t>
      </w:r>
      <w:r w:rsidRPr="00623A2B">
        <w:rPr>
          <w:rFonts w:ascii="Times New Roman" w:hAnsi="Times New Roman"/>
          <w:szCs w:val="22"/>
          <w:lang w:val="fr-FR"/>
        </w:rPr>
        <w:tab/>
        <w:t xml:space="preserve">De demander au Secrétariat général de poursuivre, par le biais du Programme d'action intégrale contre les mines antipersonnel (AICMA) du Département de la sécurité publique (DSP) au sein du Secrétariat à la sécurité multidimensionnelle (SSM), ses efforts auprès des États membres, des observateurs permanents, des autres États et des organisations donatrices, dans le but d’identifier et d’obtenir des contributions volontaires pour les programmes de lutte intégrale contre les mines mis en œuvre par les États membres qui demandent une assistance technique et une coopération afin de poursuivre leurs efforts en matière de déminage humanitaire, de sensibilisation aux risques liés aux </w:t>
      </w:r>
      <w:r w:rsidRPr="00623A2B">
        <w:rPr>
          <w:rFonts w:ascii="Times New Roman" w:hAnsi="Times New Roman"/>
          <w:szCs w:val="22"/>
          <w:lang w:val="fr-FR"/>
        </w:rPr>
        <w:lastRenderedPageBreak/>
        <w:t>engins explosifs pour les populations touchées, de réadaptation physique et psychologique des victimes et de leurs familles, et de redressement socio-économique des zones déminées.</w:t>
      </w:r>
    </w:p>
    <w:p w14:paraId="10EEC08D"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325DA4A9"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14.</w:t>
      </w:r>
      <w:r w:rsidRPr="00623A2B">
        <w:rPr>
          <w:rFonts w:ascii="Times New Roman" w:hAnsi="Times New Roman"/>
          <w:szCs w:val="22"/>
          <w:lang w:val="fr-FR"/>
        </w:rPr>
        <w:tab/>
        <w:t>De demander à l'Organisation interaméricaine de défense (JID) de continuer à fournir des conseils techniques au programme AICMA du DSP.</w:t>
      </w:r>
    </w:p>
    <w:p w14:paraId="4D82AD27"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9398F21" w14:textId="77777777" w:rsidR="00DF2371" w:rsidRPr="00623A2B" w:rsidRDefault="00DF2371" w:rsidP="001B5A48">
      <w:pPr>
        <w:pStyle w:val="ListParagraph"/>
        <w:keepNext/>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val="0"/>
        <w:rPr>
          <w:rFonts w:ascii="Times New Roman" w:eastAsia="SimSun" w:hAnsi="Times New Roman"/>
          <w:color w:val="000000"/>
          <w:u w:val="single"/>
          <w:lang w:val="fr-FR"/>
        </w:rPr>
      </w:pPr>
      <w:r w:rsidRPr="00623A2B">
        <w:rPr>
          <w:rFonts w:ascii="Times New Roman" w:hAnsi="Times New Roman"/>
          <w:color w:val="000000"/>
          <w:u w:val="single"/>
          <w:lang w:val="fr-FR"/>
        </w:rPr>
        <w:t>Renforcement de la sécurité continentale et de la coopération en matière de défense</w:t>
      </w:r>
    </w:p>
    <w:p w14:paraId="2034B64A" w14:textId="77777777" w:rsidR="00DF2371" w:rsidRPr="00623A2B" w:rsidRDefault="00DF2371" w:rsidP="00DF237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lang w:val="fr-FR"/>
        </w:rPr>
      </w:pPr>
    </w:p>
    <w:p w14:paraId="2141EB6F" w14:textId="77777777" w:rsidR="00DF2371" w:rsidRPr="00623A2B" w:rsidRDefault="00DF2371" w:rsidP="001B5A48">
      <w:pPr>
        <w:pStyle w:val="ListParagraph"/>
        <w:keepNext/>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firstLine="0"/>
        <w:contextualSpacing w:val="0"/>
        <w:rPr>
          <w:rFonts w:ascii="Times New Roman" w:eastAsia="SimSun" w:hAnsi="Times New Roman"/>
          <w:color w:val="000000"/>
          <w:u w:val="single"/>
          <w:lang w:val="fr-FR"/>
        </w:rPr>
      </w:pPr>
      <w:r w:rsidRPr="00623A2B">
        <w:rPr>
          <w:rFonts w:ascii="Times New Roman" w:hAnsi="Times New Roman"/>
          <w:color w:val="000000"/>
          <w:u w:val="single"/>
          <w:lang w:val="fr-FR"/>
        </w:rPr>
        <w:t>Conférence des ministres de la défense des Amériques</w:t>
      </w:r>
    </w:p>
    <w:p w14:paraId="78F1BDCA" w14:textId="77777777" w:rsidR="00DF2371" w:rsidRPr="00623A2B" w:rsidRDefault="00DF2371" w:rsidP="00DF237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6D0ADE9F"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15.</w:t>
      </w:r>
      <w:r w:rsidRPr="00623A2B">
        <w:rPr>
          <w:rFonts w:ascii="Times New Roman" w:hAnsi="Times New Roman"/>
          <w:szCs w:val="22"/>
          <w:lang w:val="fr-FR"/>
        </w:rPr>
        <w:tab/>
        <w:t>De prendre note des résultats de la Quatorzième Conférence des ministres de la Défense des Amériques (CDMA XIV), présidée par le Chili et tenue virtuellement le 3 décembre 2020, et de soutenir les États membres dans la mise en œuvre de la Déclaration de Santiago. (</w:t>
      </w:r>
      <w:hyperlink r:id="rId71" w:history="1">
        <w:r w:rsidRPr="00623A2B">
          <w:rPr>
            <w:rStyle w:val="Hyperlink"/>
            <w:rFonts w:ascii="Times New Roman" w:hAnsi="Times New Roman"/>
            <w:szCs w:val="22"/>
            <w:lang w:val="fr-FR"/>
          </w:rPr>
          <w:t>CP/CSH/INF.539/21</w:t>
        </w:r>
      </w:hyperlink>
      <w:r w:rsidRPr="00623A2B">
        <w:rPr>
          <w:rFonts w:ascii="Times New Roman" w:hAnsi="Times New Roman"/>
          <w:szCs w:val="22"/>
          <w:lang w:val="fr-FR"/>
        </w:rPr>
        <w:t>), par l'intermédiaire de la CSH et de la JID.</w:t>
      </w:r>
    </w:p>
    <w:p w14:paraId="550B7DDC"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4E843C1"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16.</w:t>
      </w:r>
      <w:r w:rsidRPr="00623A2B">
        <w:rPr>
          <w:rFonts w:ascii="Times New Roman" w:hAnsi="Times New Roman"/>
          <w:szCs w:val="22"/>
          <w:lang w:val="fr-FR"/>
        </w:rPr>
        <w:tab/>
        <w:t>D’offrir au Gouvernement du Brésil l’aide ou les services consultatifs nécessaires demandés à l’OEA, par l’intermédiaire de la JID, afin de contribuer au succès de la Quinzième CMDA, qui se tiendra en 2022.</w:t>
      </w:r>
    </w:p>
    <w:p w14:paraId="4D7C0CFE"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B0B49DC"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17.</w:t>
      </w:r>
      <w:r w:rsidRPr="00623A2B">
        <w:rPr>
          <w:rFonts w:ascii="Times New Roman" w:hAnsi="Times New Roman"/>
          <w:szCs w:val="22"/>
          <w:lang w:val="fr-FR"/>
        </w:rPr>
        <w:tab/>
        <w:t>De continuer la coopération entre la CMDA et l’OEA, par l’intermédiaire de la JID, concernant le travail en cours sur les catastrophes naturelles et les mesures d’encouragement de la confiance et de la sécurité.</w:t>
      </w:r>
    </w:p>
    <w:p w14:paraId="6B1D51BD"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5ED5B12D" w14:textId="77777777" w:rsidR="00DF2371" w:rsidRPr="00623A2B" w:rsidRDefault="00DF2371" w:rsidP="001B5A48">
      <w:pPr>
        <w:pStyle w:val="ListParagraph"/>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0"/>
        <w:contextualSpacing w:val="0"/>
        <w:rPr>
          <w:rFonts w:ascii="Times New Roman" w:eastAsia="SimSun" w:hAnsi="Times New Roman"/>
          <w:color w:val="000000"/>
          <w:u w:val="single"/>
          <w:lang w:val="fr-FR"/>
        </w:rPr>
      </w:pPr>
      <w:r w:rsidRPr="00623A2B">
        <w:rPr>
          <w:rFonts w:ascii="Times New Roman" w:hAnsi="Times New Roman"/>
          <w:color w:val="000000"/>
          <w:u w:val="single"/>
          <w:lang w:val="fr-FR"/>
        </w:rPr>
        <w:t>Mesures d’encouragement de la confiance et de la sécurité dans les Amériques</w:t>
      </w:r>
    </w:p>
    <w:p w14:paraId="46FAEC61"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234B27B2"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18.</w:t>
      </w:r>
      <w:r w:rsidRPr="00623A2B">
        <w:rPr>
          <w:rFonts w:ascii="Times New Roman" w:hAnsi="Times New Roman"/>
          <w:szCs w:val="22"/>
          <w:lang w:val="fr-FR"/>
        </w:rPr>
        <w:tab/>
        <w:t>D'adopter les recommandations de la présidence de la Neuvième Réunion du Forum sur les mesures d’encouragement de la confiance et de la sécurité, qui s'est tenue virtuellement le 22 juillet 2021 (</w:t>
      </w:r>
      <w:hyperlink r:id="rId72" w:history="1">
        <w:r w:rsidRPr="00623A2B">
          <w:rPr>
            <w:rStyle w:val="Hyperlink"/>
            <w:rFonts w:ascii="Times New Roman" w:hAnsi="Times New Roman"/>
            <w:szCs w:val="22"/>
            <w:lang w:val="fr-FR"/>
          </w:rPr>
          <w:t>CP/CSH-2092/21</w:t>
        </w:r>
      </w:hyperlink>
      <w:r w:rsidRPr="00623A2B">
        <w:rPr>
          <w:rStyle w:val="Hyperlink"/>
          <w:rFonts w:ascii="Times New Roman" w:hAnsi="Times New Roman"/>
          <w:szCs w:val="22"/>
          <w:u w:val="none"/>
          <w:lang w:val="fr-FR"/>
        </w:rPr>
        <w:t>)</w:t>
      </w:r>
      <w:r w:rsidRPr="00623A2B">
        <w:rPr>
          <w:rFonts w:ascii="Times New Roman" w:hAnsi="Times New Roman"/>
          <w:szCs w:val="22"/>
          <w:lang w:val="fr-FR"/>
        </w:rPr>
        <w:t>.</w:t>
      </w:r>
    </w:p>
    <w:p w14:paraId="153EA511"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F4F4901"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color w:val="000000"/>
          <w:szCs w:val="22"/>
          <w:lang w:val="fr-FR"/>
        </w:rPr>
        <w:t>19.</w:t>
      </w:r>
      <w:r w:rsidRPr="00623A2B">
        <w:rPr>
          <w:rFonts w:ascii="Times New Roman" w:hAnsi="Times New Roman"/>
          <w:color w:val="000000"/>
          <w:szCs w:val="22"/>
          <w:lang w:val="fr-FR"/>
        </w:rPr>
        <w:tab/>
        <w:t>De demander au Secrétariat de l’OEA (en particulier au Département des services de l’information et de la technologie et au Secrétariat à la sécurité multidimensionnelle), à la JID et au CICTE de mettre à jour la plateforme électronique de gestion de la base de données interaméricaine sur les MECS de l'OEA (</w:t>
      </w:r>
      <w:hyperlink r:id="rId73" w:history="1">
        <w:r w:rsidRPr="00623A2B">
          <w:rPr>
            <w:rStyle w:val="Hyperlink"/>
            <w:rFonts w:ascii="Times New Roman" w:hAnsi="Times New Roman"/>
            <w:szCs w:val="22"/>
            <w:lang w:val="fr-FR"/>
          </w:rPr>
          <w:t>http://www.oas.org/MFCS/</w:t>
        </w:r>
      </w:hyperlink>
      <w:r w:rsidRPr="00623A2B">
        <w:rPr>
          <w:rFonts w:ascii="Times New Roman" w:hAnsi="Times New Roman"/>
          <w:color w:val="000000"/>
          <w:szCs w:val="22"/>
          <w:lang w:val="fr-FR"/>
        </w:rPr>
        <w:t>), et d’inviter les États membres et la communauté des partenaires donateurs à envisager de fournir un soutien financier à cette fin.</w:t>
      </w:r>
    </w:p>
    <w:p w14:paraId="3FB07E4F"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0EA7975"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color w:val="000000"/>
          <w:szCs w:val="22"/>
          <w:lang w:val="fr-FR"/>
        </w:rPr>
        <w:t>20.</w:t>
      </w:r>
      <w:r w:rsidRPr="00623A2B">
        <w:rPr>
          <w:rFonts w:ascii="Times New Roman" w:hAnsi="Times New Roman"/>
          <w:color w:val="000000"/>
          <w:szCs w:val="22"/>
          <w:lang w:val="fr-FR"/>
        </w:rPr>
        <w:tab/>
        <w:t>De renforcer les objectifs communs et les principes interaméricains parmi les États membres afin de consolider la sécurité continentale, conformément à la Déclaration sur la sécurité dans les Amériques.</w:t>
      </w:r>
    </w:p>
    <w:p w14:paraId="6E4278C2"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071FA30A"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color w:val="000000"/>
          <w:szCs w:val="22"/>
          <w:lang w:val="fr-FR"/>
        </w:rPr>
      </w:pPr>
      <w:r w:rsidRPr="00623A2B">
        <w:rPr>
          <w:rFonts w:ascii="Times New Roman" w:hAnsi="Times New Roman"/>
          <w:color w:val="000000"/>
          <w:szCs w:val="22"/>
          <w:lang w:val="fr-FR"/>
        </w:rPr>
        <w:t>21.</w:t>
      </w:r>
      <w:r w:rsidRPr="00623A2B">
        <w:rPr>
          <w:rFonts w:ascii="Times New Roman" w:hAnsi="Times New Roman"/>
          <w:color w:val="000000"/>
          <w:szCs w:val="22"/>
          <w:lang w:val="fr-FR"/>
        </w:rPr>
        <w:tab/>
        <w:t>D’envisager d’organiser des consultations et des visites d’échange entre l’OEA et l’OSCE pour faire progresser l’application des MECS aux niveaux régional et international.</w:t>
      </w:r>
    </w:p>
    <w:p w14:paraId="63BE7426"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1C7AB484" w14:textId="77777777" w:rsidR="00DF2371" w:rsidRPr="00623A2B" w:rsidRDefault="00DF2371" w:rsidP="001B5A48">
      <w:pPr>
        <w:pStyle w:val="ListParagraph"/>
        <w:keepNext/>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val="0"/>
        <w:rPr>
          <w:rFonts w:ascii="Times New Roman" w:hAnsi="Times New Roman"/>
          <w:color w:val="000000"/>
          <w:u w:val="single"/>
          <w:lang w:val="fr-FR"/>
        </w:rPr>
      </w:pPr>
      <w:r w:rsidRPr="00623A2B">
        <w:rPr>
          <w:rFonts w:ascii="Times New Roman" w:hAnsi="Times New Roman"/>
          <w:color w:val="000000"/>
          <w:u w:val="single"/>
          <w:lang w:val="fr-FR"/>
        </w:rPr>
        <w:lastRenderedPageBreak/>
        <w:t>Sécurité publique, justice et prévention de la violence et de la criminalité</w:t>
      </w:r>
    </w:p>
    <w:p w14:paraId="2A6BF635" w14:textId="77777777" w:rsidR="00DF2371" w:rsidRPr="00623A2B" w:rsidRDefault="00DF2371" w:rsidP="00DF237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0AD12952" w14:textId="77777777" w:rsidR="00DF2371" w:rsidRPr="00623A2B" w:rsidRDefault="00DF2371" w:rsidP="001B5A48">
      <w:pPr>
        <w:pStyle w:val="ListParagraph"/>
        <w:keepNext/>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val="0"/>
        <w:rPr>
          <w:rFonts w:ascii="Times New Roman" w:hAnsi="Times New Roman"/>
          <w:color w:val="000000"/>
          <w:u w:val="single"/>
          <w:lang w:val="fr-FR"/>
        </w:rPr>
      </w:pPr>
      <w:r w:rsidRPr="00623A2B">
        <w:rPr>
          <w:rFonts w:ascii="Times New Roman" w:hAnsi="Times New Roman"/>
          <w:color w:val="000000"/>
          <w:u w:val="single"/>
          <w:lang w:val="fr-FR"/>
        </w:rPr>
        <w:t>Processus des réunions des ministres responsables de la sécurité publique des Amériques (MISPA)</w:t>
      </w:r>
    </w:p>
    <w:p w14:paraId="152AEF01" w14:textId="77777777" w:rsidR="00DF2371" w:rsidRPr="00623A2B" w:rsidRDefault="00DF2371" w:rsidP="00DF237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2B1FC664"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22.</w:t>
      </w:r>
      <w:r w:rsidRPr="00623A2B">
        <w:rPr>
          <w:rFonts w:ascii="Times New Roman" w:hAnsi="Times New Roman"/>
          <w:szCs w:val="22"/>
          <w:lang w:val="fr-FR"/>
        </w:rPr>
        <w:tab/>
        <w:t>De demander au Conseil permanent de fixer la date de la Huitième Réunion des ministres responsables de la sécurité publique des Amériques (MISPA-VIII), laquelle sera présidée par El Salvador et aura lieu en 2022.</w:t>
      </w:r>
    </w:p>
    <w:p w14:paraId="7D0AB9AC"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F820967"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23.</w:t>
      </w:r>
      <w:r w:rsidRPr="00623A2B">
        <w:rPr>
          <w:rFonts w:ascii="Times New Roman" w:hAnsi="Times New Roman"/>
          <w:szCs w:val="22"/>
          <w:lang w:val="fr-FR"/>
        </w:rPr>
        <w:tab/>
        <w:t xml:space="preserve">De remercier le Gouvernement de l’Équateur d'avoir présidé et dirigé les travaux de la troisième réunion du Groupe de travail technique subsidiaire sur la gestion de la police et de la première réunion du Groupe de travail technique subsidiaire sur les services d'urgence, et de prendre note des recommandations qui ont été transmises au processus MISPA-VIII, telles qu'elles figurent dans les documents </w:t>
      </w:r>
      <w:hyperlink r:id="rId74" w:history="1">
        <w:r w:rsidRPr="00623A2B">
          <w:rPr>
            <w:rStyle w:val="Hyperlink"/>
            <w:rFonts w:ascii="Times New Roman" w:hAnsi="Times New Roman"/>
            <w:szCs w:val="22"/>
            <w:lang w:val="fr-FR"/>
          </w:rPr>
          <w:t xml:space="preserve">GTS/GPO/doc.14/21 </w:t>
        </w:r>
        <w:proofErr w:type="spellStart"/>
        <w:r w:rsidRPr="00623A2B">
          <w:rPr>
            <w:rStyle w:val="Hyperlink"/>
            <w:rFonts w:ascii="Times New Roman" w:hAnsi="Times New Roman"/>
            <w:szCs w:val="22"/>
            <w:lang w:val="fr-FR"/>
          </w:rPr>
          <w:t>rev</w:t>
        </w:r>
        <w:proofErr w:type="spellEnd"/>
        <w:r w:rsidRPr="00623A2B">
          <w:rPr>
            <w:rStyle w:val="Hyperlink"/>
            <w:rFonts w:ascii="Times New Roman" w:hAnsi="Times New Roman"/>
            <w:szCs w:val="22"/>
            <w:lang w:val="fr-FR"/>
          </w:rPr>
          <w:t>. 2</w:t>
        </w:r>
      </w:hyperlink>
      <w:r w:rsidRPr="00623A2B">
        <w:rPr>
          <w:rFonts w:ascii="Times New Roman" w:hAnsi="Times New Roman"/>
          <w:szCs w:val="22"/>
          <w:lang w:val="fr-FR"/>
        </w:rPr>
        <w:t xml:space="preserve"> et </w:t>
      </w:r>
      <w:hyperlink r:id="rId75" w:history="1">
        <w:r w:rsidRPr="00623A2B">
          <w:rPr>
            <w:rStyle w:val="Hyperlink"/>
            <w:rFonts w:ascii="Times New Roman" w:hAnsi="Times New Roman"/>
            <w:szCs w:val="22"/>
            <w:lang w:val="fr-FR"/>
          </w:rPr>
          <w:t xml:space="preserve">GTS/SES/doc.3/21 </w:t>
        </w:r>
        <w:proofErr w:type="spellStart"/>
        <w:r w:rsidRPr="00623A2B">
          <w:rPr>
            <w:rStyle w:val="Hyperlink"/>
            <w:rFonts w:ascii="Times New Roman" w:hAnsi="Times New Roman"/>
            <w:szCs w:val="22"/>
            <w:lang w:val="fr-FR"/>
          </w:rPr>
          <w:t>rev</w:t>
        </w:r>
        <w:proofErr w:type="spellEnd"/>
        <w:r w:rsidRPr="00623A2B">
          <w:rPr>
            <w:rStyle w:val="Hyperlink"/>
            <w:rFonts w:ascii="Times New Roman" w:hAnsi="Times New Roman"/>
            <w:szCs w:val="22"/>
            <w:lang w:val="fr-FR"/>
          </w:rPr>
          <w:t>. 1</w:t>
        </w:r>
      </w:hyperlink>
      <w:r w:rsidRPr="00623A2B">
        <w:rPr>
          <w:rFonts w:ascii="Times New Roman" w:hAnsi="Times New Roman"/>
          <w:szCs w:val="22"/>
          <w:lang w:val="fr-FR"/>
        </w:rPr>
        <w:t>.</w:t>
      </w:r>
    </w:p>
    <w:p w14:paraId="5AAF6917" w14:textId="77777777" w:rsidR="00DF2371" w:rsidRPr="00623A2B" w:rsidRDefault="00DF2371" w:rsidP="00DF2371">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201F1E"/>
          <w:szCs w:val="22"/>
          <w:lang w:val="fr-FR"/>
        </w:rPr>
      </w:pPr>
    </w:p>
    <w:p w14:paraId="165F8BCC"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24.</w:t>
      </w:r>
      <w:r w:rsidRPr="00623A2B">
        <w:rPr>
          <w:rFonts w:ascii="Times New Roman" w:hAnsi="Times New Roman"/>
          <w:szCs w:val="22"/>
          <w:lang w:val="fr-FR"/>
        </w:rPr>
        <w:tab/>
        <w:t>De remercier le Groupe technique subsidiaire sur les services d'urgence pour son travail d'élaboration du « </w:t>
      </w:r>
      <w:hyperlink r:id="rId76" w:history="1">
        <w:r w:rsidRPr="00623A2B">
          <w:rPr>
            <w:rStyle w:val="Hyperlink"/>
            <w:rFonts w:ascii="Times New Roman" w:hAnsi="Times New Roman"/>
            <w:szCs w:val="22"/>
            <w:lang w:val="fr-FR"/>
          </w:rPr>
          <w:t>Guide pour la mise en place et le renforcement des systèmes nationaux d'urgence et de sécurité</w:t>
        </w:r>
      </w:hyperlink>
      <w:r w:rsidRPr="00623A2B">
        <w:rPr>
          <w:rFonts w:ascii="Times New Roman" w:hAnsi="Times New Roman"/>
          <w:szCs w:val="22"/>
          <w:lang w:val="fr-FR"/>
        </w:rPr>
        <w:t> », dont la coordination a été assurée par le Département de la sécurité publique de l'OEA et auquel ont participé des techniciens opérationnels, administratifs et stratégiques de divers États membres possédant une expérience en matière de gestion, de coordination et d’organisation de différents types d'urgences.</w:t>
      </w:r>
    </w:p>
    <w:p w14:paraId="6A82CEEC"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7492E51" w14:textId="77777777" w:rsidR="00DF2371" w:rsidRPr="00623A2B" w:rsidRDefault="00DF2371" w:rsidP="001B5A48">
      <w:pPr>
        <w:pStyle w:val="ListParagraph"/>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firstLine="0"/>
        <w:contextualSpacing w:val="0"/>
        <w:rPr>
          <w:rFonts w:ascii="Times New Roman" w:hAnsi="Times New Roman"/>
          <w:color w:val="000000"/>
          <w:u w:val="single"/>
          <w:lang w:val="fr-FR"/>
        </w:rPr>
      </w:pPr>
      <w:r w:rsidRPr="00623A2B">
        <w:rPr>
          <w:rFonts w:ascii="Times New Roman" w:hAnsi="Times New Roman"/>
          <w:color w:val="000000"/>
          <w:u w:val="single"/>
          <w:lang w:val="fr-FR"/>
        </w:rPr>
        <w:t>Prévention de la violence et de la criminalité</w:t>
      </w:r>
    </w:p>
    <w:p w14:paraId="0D82B990"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6B157E82"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25.</w:t>
      </w:r>
      <w:r w:rsidRPr="00623A2B">
        <w:rPr>
          <w:rFonts w:ascii="Times New Roman" w:hAnsi="Times New Roman"/>
          <w:szCs w:val="22"/>
          <w:lang w:val="fr-FR"/>
        </w:rPr>
        <w:tab/>
        <w:t>De demander au SSM de continuer à soutenir, par l'intermédiaire du DSP, et en fonction des ressources financières disponibles, les États membres qui en font la demande, dans les domaines suivants :</w:t>
      </w:r>
    </w:p>
    <w:p w14:paraId="32A34015"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BDE2D09" w14:textId="77777777" w:rsidR="00DF2371" w:rsidRPr="00623A2B" w:rsidRDefault="00DF2371" w:rsidP="001B5A48">
      <w:pPr>
        <w:pStyle w:val="ListParagraph"/>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val="0"/>
        <w:rPr>
          <w:rFonts w:ascii="Times New Roman" w:hAnsi="Times New Roman"/>
          <w:lang w:val="fr-FR"/>
        </w:rPr>
      </w:pPr>
      <w:proofErr w:type="gramStart"/>
      <w:r w:rsidRPr="00623A2B">
        <w:rPr>
          <w:rFonts w:ascii="Times New Roman" w:hAnsi="Times New Roman"/>
          <w:lang w:val="fr-FR"/>
        </w:rPr>
        <w:t>la</w:t>
      </w:r>
      <w:proofErr w:type="gramEnd"/>
      <w:r w:rsidRPr="00623A2B">
        <w:rPr>
          <w:rFonts w:ascii="Times New Roman" w:hAnsi="Times New Roman"/>
          <w:lang w:val="fr-FR"/>
        </w:rPr>
        <w:t xml:space="preserve"> mise en œuvre de projets de prévention de la violence et de la criminalité dans le cadre du Programme interaméricain de prévention de la violence et de la criminalité, conformément à la résolution AG/RES. 2950 (L-O/20) ;</w:t>
      </w:r>
    </w:p>
    <w:p w14:paraId="55729014" w14:textId="77777777" w:rsidR="00DF2371" w:rsidRPr="00623A2B" w:rsidRDefault="00DF2371" w:rsidP="001B5A48">
      <w:pPr>
        <w:pStyle w:val="ListParagraph"/>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val="0"/>
        <w:rPr>
          <w:rFonts w:ascii="Times New Roman" w:hAnsi="Times New Roman"/>
          <w:lang w:val="fr-FR"/>
        </w:rPr>
      </w:pPr>
      <w:proofErr w:type="gramStart"/>
      <w:r w:rsidRPr="00623A2B">
        <w:rPr>
          <w:rFonts w:ascii="Times New Roman" w:hAnsi="Times New Roman"/>
          <w:lang w:val="fr-FR"/>
        </w:rPr>
        <w:t>la</w:t>
      </w:r>
      <w:proofErr w:type="gramEnd"/>
      <w:r w:rsidRPr="00623A2B">
        <w:rPr>
          <w:rFonts w:ascii="Times New Roman" w:hAnsi="Times New Roman"/>
          <w:lang w:val="fr-FR"/>
        </w:rPr>
        <w:t xml:space="preserve"> prévention de la violence, l'assistance intégrale aux victimes et aux survivants, et leur aiguillage vers les services existants, en encourageant la participation des acteurs multisectoriels et en promouvant une action coordonnée en matière de politiques locales de prévention de la violence, par le biais du Programme « </w:t>
      </w:r>
      <w:hyperlink r:id="rId77" w:history="1">
        <w:r w:rsidRPr="00623A2B">
          <w:rPr>
            <w:rStyle w:val="Hyperlink"/>
            <w:rFonts w:ascii="Times New Roman" w:hAnsi="Times New Roman"/>
            <w:lang w:val="fr-FR" w:eastAsia="es-ES"/>
          </w:rPr>
          <w:t>OASIS</w:t>
        </w:r>
      </w:hyperlink>
      <w:r w:rsidRPr="00623A2B">
        <w:rPr>
          <w:rFonts w:ascii="Times New Roman" w:hAnsi="Times New Roman"/>
          <w:lang w:val="fr-FR"/>
        </w:rPr>
        <w:t> : musique pour la prévention de la violence » du Département de la sécurité publique ;</w:t>
      </w:r>
    </w:p>
    <w:p w14:paraId="270E38FE" w14:textId="77777777" w:rsidR="00DF2371" w:rsidRPr="00623A2B" w:rsidRDefault="00DF2371" w:rsidP="001B5A48">
      <w:pPr>
        <w:pStyle w:val="ListParagraph"/>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val="0"/>
        <w:rPr>
          <w:rFonts w:ascii="Times New Roman" w:hAnsi="Times New Roman"/>
          <w:lang w:val="fr-FR"/>
        </w:rPr>
      </w:pPr>
      <w:proofErr w:type="gramStart"/>
      <w:r w:rsidRPr="00623A2B">
        <w:rPr>
          <w:rFonts w:ascii="Times New Roman" w:hAnsi="Times New Roman"/>
          <w:lang w:val="fr-FR"/>
        </w:rPr>
        <w:t>la</w:t>
      </w:r>
      <w:proofErr w:type="gramEnd"/>
      <w:r w:rsidRPr="00623A2B">
        <w:rPr>
          <w:rFonts w:ascii="Times New Roman" w:hAnsi="Times New Roman"/>
          <w:lang w:val="fr-FR"/>
        </w:rPr>
        <w:t xml:space="preserve"> conception et la mise en œuvre de cours de formation en ligne, autonomes et/ou d'apprentissage dynamique sur des sujets liés à la prévention de la violence et de la criminalité, de manière systématique et durable ;</w:t>
      </w:r>
    </w:p>
    <w:p w14:paraId="67AD2710" w14:textId="77777777" w:rsidR="00DF2371" w:rsidRPr="00623A2B" w:rsidRDefault="00DF2371" w:rsidP="001B5A48">
      <w:pPr>
        <w:pStyle w:val="ListParagraph"/>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val="0"/>
        <w:rPr>
          <w:rFonts w:ascii="Times New Roman" w:hAnsi="Times New Roman"/>
          <w:lang w:val="fr-FR"/>
        </w:rPr>
      </w:pPr>
      <w:proofErr w:type="gramStart"/>
      <w:r w:rsidRPr="00623A2B">
        <w:rPr>
          <w:rFonts w:ascii="Times New Roman" w:hAnsi="Times New Roman"/>
          <w:lang w:val="fr-FR"/>
        </w:rPr>
        <w:t>l'élaboration</w:t>
      </w:r>
      <w:proofErr w:type="gramEnd"/>
      <w:r w:rsidRPr="00623A2B">
        <w:rPr>
          <w:rFonts w:ascii="Times New Roman" w:hAnsi="Times New Roman"/>
          <w:lang w:val="fr-FR"/>
        </w:rPr>
        <w:t xml:space="preserve"> de politiques ciblées et fondées sur des données probantes afin de mettre en œuvre les recommandations du Plan d’action continental appelé à orienter l’élaboration des politiques publiques de prévention et de réduction des homicides intentionnels (document </w:t>
      </w:r>
      <w:hyperlink r:id="rId78" w:history="1">
        <w:r w:rsidRPr="00623A2B">
          <w:rPr>
            <w:rFonts w:ascii="Times New Roman" w:hAnsi="Times New Roman"/>
            <w:color w:val="0000FF"/>
            <w:u w:val="single"/>
            <w:lang w:val="fr-FR"/>
          </w:rPr>
          <w:t>AG/doc.5667/19</w:t>
        </w:r>
      </w:hyperlink>
      <w:r w:rsidRPr="00623A2B">
        <w:rPr>
          <w:rFonts w:ascii="Times New Roman" w:hAnsi="Times New Roman"/>
          <w:color w:val="0000FF"/>
          <w:u w:val="single"/>
          <w:lang w:val="fr-FR"/>
        </w:rPr>
        <w:t xml:space="preserve"> </w:t>
      </w:r>
      <w:proofErr w:type="spellStart"/>
      <w:r w:rsidRPr="00623A2B">
        <w:rPr>
          <w:rFonts w:ascii="Times New Roman" w:hAnsi="Times New Roman"/>
          <w:lang w:val="fr-FR"/>
        </w:rPr>
        <w:t>rev</w:t>
      </w:r>
      <w:proofErr w:type="spellEnd"/>
      <w:r w:rsidRPr="00623A2B">
        <w:rPr>
          <w:rFonts w:ascii="Times New Roman" w:hAnsi="Times New Roman"/>
          <w:lang w:val="fr-FR"/>
        </w:rPr>
        <w:t>. 1) ;</w:t>
      </w:r>
    </w:p>
    <w:p w14:paraId="78C072E4" w14:textId="77777777" w:rsidR="00DF2371" w:rsidRPr="00623A2B" w:rsidRDefault="00DF2371" w:rsidP="001B5A48">
      <w:pPr>
        <w:pStyle w:val="ListParagraph"/>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val="0"/>
        <w:rPr>
          <w:rFonts w:ascii="Times New Roman" w:hAnsi="Times New Roman"/>
          <w:lang w:val="fr-FR"/>
        </w:rPr>
      </w:pPr>
      <w:proofErr w:type="gramStart"/>
      <w:r w:rsidRPr="00623A2B">
        <w:rPr>
          <w:rFonts w:ascii="Times New Roman" w:hAnsi="Times New Roman"/>
          <w:lang w:val="fr-FR"/>
        </w:rPr>
        <w:t>l'élaboration</w:t>
      </w:r>
      <w:proofErr w:type="gramEnd"/>
      <w:r w:rsidRPr="00623A2B">
        <w:rPr>
          <w:rFonts w:ascii="Times New Roman" w:hAnsi="Times New Roman"/>
          <w:lang w:val="fr-FR"/>
        </w:rPr>
        <w:t xml:space="preserve"> et la promotion de statistiques et d'études visant à prévenir la criminalité, en tenant compte des questionnaires de l’ONUDC, ou en se conformant aux modalités et/ou critères que les autorités nationales des États membres établissent à cette fin.</w:t>
      </w:r>
    </w:p>
    <w:p w14:paraId="0A048C1E"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fr-FR"/>
        </w:rPr>
      </w:pPr>
      <w:r w:rsidRPr="00623A2B">
        <w:rPr>
          <w:rFonts w:ascii="Times New Roman" w:hAnsi="Times New Roman"/>
          <w:szCs w:val="22"/>
          <w:lang w:val="fr-FR"/>
        </w:rPr>
        <w:lastRenderedPageBreak/>
        <w:t>26.</w:t>
      </w:r>
      <w:r w:rsidRPr="00623A2B">
        <w:rPr>
          <w:rFonts w:ascii="Times New Roman" w:hAnsi="Times New Roman"/>
          <w:szCs w:val="22"/>
          <w:lang w:val="fr-FR"/>
        </w:rPr>
        <w:tab/>
        <w:t xml:space="preserve">De </w:t>
      </w:r>
      <w:r w:rsidRPr="00623A2B">
        <w:rPr>
          <w:rFonts w:ascii="Times New Roman" w:hAnsi="Times New Roman"/>
          <w:lang w:val="fr-FR"/>
        </w:rPr>
        <w:t xml:space="preserve">soutenir les efforts déployés par le Département de la sécurité publique de l'OEA pour réaliser l’étude demandée dans la résolution AG/RES. 2945 (XLIX-O/19), concernant le rôle des entreprises militaires et de </w:t>
      </w:r>
      <w:proofErr w:type="gramStart"/>
      <w:r w:rsidRPr="00623A2B">
        <w:rPr>
          <w:rFonts w:ascii="Times New Roman" w:hAnsi="Times New Roman"/>
          <w:lang w:val="fr-FR"/>
        </w:rPr>
        <w:t>sécurité privées</w:t>
      </w:r>
      <w:proofErr w:type="gramEnd"/>
      <w:r w:rsidRPr="00623A2B">
        <w:rPr>
          <w:rFonts w:ascii="Times New Roman" w:hAnsi="Times New Roman"/>
          <w:lang w:val="fr-FR"/>
        </w:rPr>
        <w:t xml:space="preserve"> et les défis auxquels les États sont confrontés dans le contexte de la participation et de l'intégration de ces entreprises à la sécurité publique dans le continent américain.</w:t>
      </w:r>
    </w:p>
    <w:p w14:paraId="6B8014F7"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BB13F2B" w14:textId="77777777" w:rsidR="00DF2371" w:rsidRPr="00623A2B" w:rsidRDefault="00DF2371" w:rsidP="001B5A48">
      <w:pPr>
        <w:pStyle w:val="ListParagraph"/>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firstLine="0"/>
        <w:contextualSpacing w:val="0"/>
        <w:rPr>
          <w:rFonts w:ascii="Times New Roman" w:hAnsi="Times New Roman"/>
          <w:color w:val="000000"/>
          <w:u w:val="single"/>
          <w:lang w:val="fr-FR"/>
        </w:rPr>
      </w:pPr>
      <w:r w:rsidRPr="00623A2B">
        <w:rPr>
          <w:rFonts w:ascii="Times New Roman" w:hAnsi="Times New Roman"/>
          <w:color w:val="000000"/>
          <w:u w:val="single"/>
          <w:lang w:val="fr-FR"/>
        </w:rPr>
        <w:t>Informations et connaissances en matière de sécurité multidimensionnelle</w:t>
      </w:r>
    </w:p>
    <w:p w14:paraId="49D11CC7"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649D50F"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szCs w:val="22"/>
          <w:lang w:val="fr-FR"/>
        </w:rPr>
        <w:t>27.</w:t>
      </w:r>
      <w:r w:rsidRPr="00623A2B">
        <w:rPr>
          <w:rFonts w:ascii="Times New Roman" w:hAnsi="Times New Roman"/>
          <w:szCs w:val="22"/>
          <w:lang w:val="fr-FR"/>
        </w:rPr>
        <w:tab/>
        <w:t>D'exhorter les États membres, le cas échéant, à remplir le formulaire de collecte d'informations sur les initiatives visant à prévenir et à réduire les homicides dans la région, dans le cadre de la mise en œuvre des recommandations du Plan d’action continental appelé à orienter l’élaboration des politiques publiques de prévention et de réduction des homicides intentionnels (</w:t>
      </w:r>
      <w:hyperlink r:id="rId79" w:history="1">
        <w:r w:rsidRPr="00623A2B">
          <w:rPr>
            <w:rFonts w:ascii="Times New Roman" w:hAnsi="Times New Roman"/>
            <w:color w:val="0000FF"/>
            <w:szCs w:val="22"/>
            <w:u w:val="single"/>
            <w:lang w:val="fr-FR"/>
          </w:rPr>
          <w:t>AG/doc.5667/19</w:t>
        </w:r>
      </w:hyperlink>
      <w:r w:rsidRPr="00623A2B">
        <w:rPr>
          <w:rFonts w:ascii="Times New Roman" w:hAnsi="Times New Roman"/>
          <w:szCs w:val="22"/>
          <w:lang w:val="fr-FR"/>
        </w:rPr>
        <w:t xml:space="preserve"> </w:t>
      </w:r>
      <w:proofErr w:type="spellStart"/>
      <w:r w:rsidRPr="00623A2B">
        <w:rPr>
          <w:rFonts w:ascii="Times New Roman" w:hAnsi="Times New Roman"/>
          <w:szCs w:val="22"/>
          <w:lang w:val="fr-FR"/>
        </w:rPr>
        <w:t>rev</w:t>
      </w:r>
      <w:proofErr w:type="spellEnd"/>
      <w:r w:rsidRPr="00623A2B">
        <w:rPr>
          <w:rFonts w:ascii="Times New Roman" w:hAnsi="Times New Roman"/>
          <w:szCs w:val="22"/>
          <w:lang w:val="fr-FR"/>
        </w:rPr>
        <w:t>. 1).</w:t>
      </w:r>
    </w:p>
    <w:p w14:paraId="097F8754"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C776420"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szCs w:val="22"/>
          <w:lang w:val="fr-FR"/>
        </w:rPr>
        <w:t>28.</w:t>
      </w:r>
      <w:r w:rsidRPr="00623A2B">
        <w:rPr>
          <w:rFonts w:ascii="Times New Roman" w:hAnsi="Times New Roman"/>
          <w:szCs w:val="22"/>
          <w:lang w:val="fr-FR"/>
        </w:rPr>
        <w:tab/>
        <w:t>De demander au SSM d’assurer, par l'intermédiaire des départements concernés, la coordination avec l'Office des Nations Unies contre la drogue et le crime (ONUDC) afin d’encourager les États membres de l'OEA à soumettre, s’il y a lieu, les réponses au questionnaire sur les flux illicites d'armes et au questionnaire destiné à l'élaboration du Rapport mondial sur la traite des personnes, en utilisant plan de travail collaboratif établi pour la collecte de données entre l’OEA et l’ONUDC concernant l’Enquête des Nations Unies sur les tendances de la criminalité et le fonctionnement des systèmes de justice pénale.</w:t>
      </w:r>
    </w:p>
    <w:p w14:paraId="0B490BD3" w14:textId="77777777" w:rsidR="00DF2371" w:rsidRPr="00623A2B" w:rsidRDefault="00DF2371" w:rsidP="00DF2371">
      <w:pPr>
        <w:pStyle w:val="ListParagraph"/>
        <w:ind w:left="0"/>
        <w:rPr>
          <w:rFonts w:ascii="Times New Roman" w:hAnsi="Times New Roman"/>
          <w:color w:val="000000"/>
          <w:lang w:val="fr-FR"/>
        </w:rPr>
      </w:pPr>
    </w:p>
    <w:p w14:paraId="0C575C39" w14:textId="65616A1D"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fr-FR"/>
        </w:rPr>
      </w:pPr>
      <w:r w:rsidRPr="00623A2B">
        <w:rPr>
          <w:rFonts w:ascii="Times New Roman" w:hAnsi="Times New Roman"/>
          <w:lang w:val="fr-FR"/>
        </w:rPr>
        <w:t>29.</w:t>
      </w:r>
      <w:r w:rsidRPr="00623A2B">
        <w:rPr>
          <w:rFonts w:ascii="Times New Roman" w:hAnsi="Times New Roman"/>
          <w:lang w:val="fr-FR"/>
        </w:rPr>
        <w:tab/>
        <w:t>D’inviter instamment les États membres, avec le soutien du Secrétariat général de l’OEA et des organes, organismes et entités pertinents de l’OEA, selon le cas, à incorporer une perspective de parité hommes-femmes, une perspective d’identité de genre et une perspective d’orientation sexuelle dans la collecte de statistiques sur la criminalité par les autorités nationales ainsi que par les observatoires nationaux et internationaux.</w:t>
      </w:r>
      <w:r w:rsidRPr="00623A2B">
        <w:rPr>
          <w:rStyle w:val="FootnoteReference"/>
          <w:rFonts w:ascii="Times New Roman" w:hAnsi="Times New Roman"/>
          <w:u w:val="single"/>
          <w:vertAlign w:val="superscript"/>
          <w:lang w:val="fr-FR"/>
        </w:rPr>
        <w:footnoteReference w:id="44"/>
      </w:r>
      <w:r w:rsidRPr="00623A2B">
        <w:rPr>
          <w:rFonts w:ascii="Times New Roman" w:hAnsi="Times New Roman"/>
          <w:vertAlign w:val="superscript"/>
          <w:lang w:val="fr-FR"/>
        </w:rPr>
        <w:t>/</w:t>
      </w:r>
      <w:r w:rsidRPr="00623A2B">
        <w:rPr>
          <w:rStyle w:val="FootnoteReference"/>
          <w:rFonts w:ascii="Times New Roman" w:hAnsi="Times New Roman"/>
          <w:u w:val="single"/>
          <w:vertAlign w:val="superscript"/>
          <w:lang w:val="fr-FR"/>
        </w:rPr>
        <w:footnoteReference w:id="45"/>
      </w:r>
      <w:r w:rsidRPr="00623A2B">
        <w:rPr>
          <w:rFonts w:ascii="Times New Roman" w:hAnsi="Times New Roman"/>
          <w:vertAlign w:val="superscript"/>
          <w:lang w:val="fr-FR"/>
        </w:rPr>
        <w:t>/</w:t>
      </w:r>
      <w:r w:rsidRPr="00623A2B">
        <w:rPr>
          <w:rStyle w:val="FootnoteReference"/>
          <w:rFonts w:ascii="Times New Roman" w:hAnsi="Times New Roman"/>
          <w:u w:val="single"/>
          <w:vertAlign w:val="superscript"/>
          <w:lang w:val="fr-FR"/>
        </w:rPr>
        <w:footnoteReference w:id="46"/>
      </w:r>
      <w:r w:rsidRPr="00623A2B">
        <w:rPr>
          <w:rFonts w:ascii="Times New Roman" w:hAnsi="Times New Roman"/>
          <w:vertAlign w:val="superscript"/>
          <w:lang w:val="fr-FR"/>
        </w:rPr>
        <w:t>/</w:t>
      </w:r>
      <w:r w:rsidRPr="00623A2B">
        <w:rPr>
          <w:rStyle w:val="FootnoteReference"/>
          <w:rFonts w:ascii="Times New Roman" w:hAnsi="Times New Roman"/>
          <w:u w:val="single"/>
          <w:vertAlign w:val="superscript"/>
          <w:lang w:val="fr-FR"/>
        </w:rPr>
        <w:footnoteReference w:id="47"/>
      </w:r>
      <w:r w:rsidRPr="00623A2B">
        <w:rPr>
          <w:rFonts w:ascii="Times New Roman" w:hAnsi="Times New Roman"/>
          <w:vertAlign w:val="superscript"/>
          <w:lang w:val="fr-FR"/>
        </w:rPr>
        <w:t>/</w:t>
      </w:r>
      <w:r w:rsidRPr="00623A2B">
        <w:rPr>
          <w:rStyle w:val="FootnoteReference"/>
          <w:rFonts w:ascii="Times New Roman" w:hAnsi="Times New Roman"/>
          <w:u w:val="single"/>
          <w:vertAlign w:val="superscript"/>
          <w:lang w:val="fr-FR"/>
        </w:rPr>
        <w:footnoteReference w:id="48"/>
      </w:r>
      <w:r w:rsidRPr="00623A2B">
        <w:rPr>
          <w:rFonts w:ascii="Times New Roman" w:hAnsi="Times New Roman"/>
          <w:vertAlign w:val="superscript"/>
          <w:lang w:val="fr-FR"/>
        </w:rPr>
        <w:t>/</w:t>
      </w:r>
      <w:r w:rsidRPr="00623A2B">
        <w:rPr>
          <w:rStyle w:val="FootnoteReference"/>
          <w:rFonts w:ascii="Times New Roman" w:hAnsi="Times New Roman"/>
          <w:u w:val="single"/>
          <w:vertAlign w:val="superscript"/>
          <w:lang w:val="fr-FR"/>
        </w:rPr>
        <w:footnoteReference w:id="49"/>
      </w:r>
      <w:r w:rsidRPr="00623A2B">
        <w:rPr>
          <w:rFonts w:ascii="Times New Roman" w:hAnsi="Times New Roman"/>
          <w:vertAlign w:val="superscript"/>
          <w:lang w:val="fr-FR"/>
        </w:rPr>
        <w:t>/</w:t>
      </w:r>
      <w:r w:rsidRPr="00623A2B">
        <w:rPr>
          <w:rStyle w:val="FootnoteReference"/>
          <w:rFonts w:ascii="Times New Roman" w:hAnsi="Times New Roman"/>
          <w:u w:val="single"/>
          <w:vertAlign w:val="superscript"/>
          <w:lang w:val="fr-FR"/>
        </w:rPr>
        <w:footnoteReference w:id="50"/>
      </w:r>
      <w:r w:rsidRPr="00623A2B">
        <w:rPr>
          <w:rFonts w:ascii="Times New Roman" w:hAnsi="Times New Roman"/>
          <w:vertAlign w:val="superscript"/>
          <w:lang w:val="fr-FR"/>
        </w:rPr>
        <w:t>/</w:t>
      </w:r>
      <w:r w:rsidRPr="00623A2B">
        <w:rPr>
          <w:rStyle w:val="FootnoteReference"/>
          <w:rFonts w:ascii="Times New Roman" w:hAnsi="Times New Roman"/>
          <w:u w:val="single"/>
          <w:vertAlign w:val="superscript"/>
          <w:lang w:val="fr-FR"/>
        </w:rPr>
        <w:footnoteReference w:id="51"/>
      </w:r>
      <w:r w:rsidRPr="00623A2B">
        <w:rPr>
          <w:rFonts w:ascii="Times New Roman" w:hAnsi="Times New Roman"/>
          <w:vertAlign w:val="superscript"/>
          <w:lang w:val="fr-FR"/>
        </w:rPr>
        <w:t>/</w:t>
      </w:r>
    </w:p>
    <w:p w14:paraId="0E799D86"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6A9CD49A" w14:textId="77777777" w:rsidR="00DF2371" w:rsidRPr="00623A2B" w:rsidRDefault="00DF2371" w:rsidP="001B5A48">
      <w:pPr>
        <w:pStyle w:val="ListParagraph"/>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firstLine="0"/>
        <w:contextualSpacing w:val="0"/>
        <w:rPr>
          <w:rFonts w:ascii="Times New Roman" w:hAnsi="Times New Roman"/>
          <w:color w:val="000000"/>
          <w:u w:val="single"/>
          <w:lang w:val="fr-FR"/>
        </w:rPr>
      </w:pPr>
      <w:r w:rsidRPr="00623A2B">
        <w:rPr>
          <w:rFonts w:ascii="Times New Roman" w:hAnsi="Times New Roman"/>
          <w:color w:val="000000"/>
          <w:u w:val="single"/>
          <w:lang w:val="fr-FR"/>
        </w:rPr>
        <w:t>Promotion de la coopération policière</w:t>
      </w:r>
    </w:p>
    <w:p w14:paraId="1D94F742" w14:textId="77777777" w:rsidR="00DF2371" w:rsidRPr="00623A2B" w:rsidRDefault="00DF2371" w:rsidP="00DF2371">
      <w:pPr>
        <w:pStyle w:val="ListParagraph"/>
        <w:ind w:left="0"/>
        <w:rPr>
          <w:rFonts w:ascii="Times New Roman" w:hAnsi="Times New Roman"/>
          <w:color w:val="000000"/>
          <w:u w:val="single"/>
          <w:lang w:val="fr-FR"/>
        </w:rPr>
      </w:pPr>
    </w:p>
    <w:p w14:paraId="76DE543F" w14:textId="2EB28E5A"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30.</w:t>
      </w:r>
      <w:r w:rsidRPr="00623A2B">
        <w:rPr>
          <w:rFonts w:ascii="Times New Roman" w:hAnsi="Times New Roman"/>
          <w:szCs w:val="22"/>
          <w:lang w:val="fr-FR"/>
        </w:rPr>
        <w:tab/>
        <w:t xml:space="preserve">De demander au Secrétariat général, de continuer de soutenir, par l'intermédiaire du DSP et dans le cadre du Réseau interaméricain de développement et de professionnalisation de la police </w:t>
      </w:r>
      <w:r w:rsidRPr="00623A2B">
        <w:rPr>
          <w:rFonts w:ascii="Times New Roman" w:hAnsi="Times New Roman"/>
          <w:szCs w:val="22"/>
          <w:lang w:val="fr-FR"/>
        </w:rPr>
        <w:lastRenderedPageBreak/>
        <w:t>(REDPPOL), le renforcement des capacités des forces de police par la mise en œuvre et la certification de la gestion de la qualité des processus policiers.</w:t>
      </w:r>
    </w:p>
    <w:p w14:paraId="130BD28A" w14:textId="77777777" w:rsidR="00136959" w:rsidRPr="00623A2B" w:rsidRDefault="00136959"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p>
    <w:p w14:paraId="6C68DB7A"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lang w:val="fr-FR"/>
        </w:rPr>
      </w:pPr>
      <w:r w:rsidRPr="00623A2B">
        <w:rPr>
          <w:rFonts w:ascii="Times New Roman" w:hAnsi="Times New Roman"/>
          <w:szCs w:val="22"/>
          <w:lang w:val="fr-FR"/>
        </w:rPr>
        <w:t>31.</w:t>
      </w:r>
      <w:r w:rsidRPr="00623A2B">
        <w:rPr>
          <w:rFonts w:ascii="Times New Roman" w:hAnsi="Times New Roman"/>
          <w:szCs w:val="22"/>
          <w:lang w:val="fr-FR"/>
        </w:rPr>
        <w:tab/>
        <w:t>De remercier le gouvernement de l'Équateur pour la désignation d'un responsable de la police chargé d'appuyer le Secrétariat général, par le biais de la DSP, dans la mise en œuvre de REDPPOL, et en particulier de la plateforme virtuelle. De même, de demander au DSP de faire rapport, en 2022, sur l'état d'avancement des activités de cette plateforme.</w:t>
      </w:r>
    </w:p>
    <w:p w14:paraId="0DB8BC7A"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03235031"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lang w:val="fr-FR"/>
        </w:rPr>
      </w:pPr>
      <w:r w:rsidRPr="00623A2B">
        <w:rPr>
          <w:rFonts w:ascii="Times New Roman" w:hAnsi="Times New Roman"/>
          <w:szCs w:val="22"/>
          <w:lang w:val="fr-FR"/>
        </w:rPr>
        <w:t>32.</w:t>
      </w:r>
      <w:r w:rsidRPr="00623A2B">
        <w:rPr>
          <w:rFonts w:ascii="Times New Roman" w:hAnsi="Times New Roman"/>
          <w:szCs w:val="22"/>
          <w:lang w:val="fr-FR"/>
        </w:rPr>
        <w:tab/>
        <w:t xml:space="preserve">De remercier le Gouvernement d’El Salvador pour son offre d’accueillir le troisième cours de formation policière en mode présentiel </w:t>
      </w:r>
      <w:r w:rsidRPr="00623A2B">
        <w:rPr>
          <w:rFonts w:ascii="Times New Roman" w:hAnsi="Times New Roman"/>
          <w:color w:val="201F1E"/>
          <w:szCs w:val="22"/>
          <w:bdr w:val="none" w:sz="0" w:space="0" w:color="auto" w:frame="1"/>
          <w:lang w:val="fr-FR"/>
        </w:rPr>
        <w:t xml:space="preserve">du Réseau interaméricain pour le développement et la professionnalisation de la police (REDPPOL), qui aura lieu en 2022. De demander au SSM de soumettre, par l'intermédiaire du DSP, les résultats de ce cours de formation de la police à la MISPA-VIII. </w:t>
      </w:r>
    </w:p>
    <w:p w14:paraId="7CC8204B"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248BDBCE"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color w:val="000000"/>
          <w:szCs w:val="22"/>
          <w:lang w:val="fr-FR"/>
        </w:rPr>
        <w:t>33.</w:t>
      </w:r>
      <w:r w:rsidRPr="00623A2B">
        <w:rPr>
          <w:rFonts w:ascii="Times New Roman" w:hAnsi="Times New Roman"/>
          <w:color w:val="000000"/>
          <w:szCs w:val="22"/>
          <w:lang w:val="fr-FR"/>
        </w:rPr>
        <w:tab/>
        <w:t>De faire rapport sur les progrès accomplis entre AMERIPOL et le SSM au titre de la fourniture d’aide technique, d’études et d’experts en matière policière qui sont détachés auprès de l'OEA.</w:t>
      </w:r>
    </w:p>
    <w:p w14:paraId="247C304D"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4B55B1DE" w14:textId="77777777" w:rsidR="00DF2371" w:rsidRPr="00623A2B" w:rsidRDefault="00DF2371" w:rsidP="001B5A48">
      <w:pPr>
        <w:pStyle w:val="ListParagraph"/>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firstLine="0"/>
        <w:contextualSpacing w:val="0"/>
        <w:rPr>
          <w:rFonts w:ascii="Times New Roman" w:hAnsi="Times New Roman"/>
          <w:color w:val="000000"/>
          <w:lang w:val="fr-FR"/>
        </w:rPr>
      </w:pPr>
      <w:r w:rsidRPr="00623A2B">
        <w:rPr>
          <w:rFonts w:ascii="Times New Roman" w:hAnsi="Times New Roman"/>
          <w:color w:val="000000"/>
          <w:u w:val="single"/>
          <w:lang w:val="fr-FR"/>
        </w:rPr>
        <w:t>Systèmes de justice, pénitentiaires et carcéraux</w:t>
      </w:r>
    </w:p>
    <w:p w14:paraId="31957ED2" w14:textId="77777777" w:rsidR="00DF2371" w:rsidRPr="00623A2B" w:rsidRDefault="00DF2371" w:rsidP="00DF2371">
      <w:pPr>
        <w:pStyle w:val="ListParagraph"/>
        <w:ind w:left="0"/>
        <w:rPr>
          <w:rFonts w:ascii="Times New Roman" w:hAnsi="Times New Roman"/>
          <w:color w:val="000000"/>
          <w:lang w:val="fr-FR"/>
        </w:rPr>
      </w:pPr>
    </w:p>
    <w:p w14:paraId="4F2F0AB7"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34.</w:t>
      </w:r>
      <w:r w:rsidRPr="00623A2B">
        <w:rPr>
          <w:rFonts w:ascii="Times New Roman" w:hAnsi="Times New Roman"/>
          <w:szCs w:val="22"/>
          <w:lang w:val="fr-FR"/>
        </w:rPr>
        <w:tab/>
        <w:t xml:space="preserve">De remercier le Gouvernement du Honduras pour son offre d’accueil de la Cinquième Réunion des autorités responsables des politiques pénitentiaires et carcérales des États membres de l’OEA, qui se tiendra durant premier semestre de l’année </w:t>
      </w:r>
      <w:proofErr w:type="gramStart"/>
      <w:r w:rsidRPr="00623A2B">
        <w:rPr>
          <w:rFonts w:ascii="Times New Roman" w:hAnsi="Times New Roman"/>
          <w:szCs w:val="22"/>
          <w:lang w:val="fr-FR"/>
        </w:rPr>
        <w:t>2022;</w:t>
      </w:r>
      <w:proofErr w:type="gramEnd"/>
      <w:r w:rsidRPr="00623A2B">
        <w:rPr>
          <w:rFonts w:ascii="Times New Roman" w:hAnsi="Times New Roman"/>
          <w:szCs w:val="22"/>
          <w:lang w:val="fr-FR"/>
        </w:rPr>
        <w:t xml:space="preserve"> de demander au Secrétariat général d’inscrire les crédits nécessaires dans le budget en vue de la tenue de cette réunion et des séances préparatoires; de lui demander aussi de fournir les services d’appui requis pour ces préparatifs.</w:t>
      </w:r>
    </w:p>
    <w:p w14:paraId="5ABAF2CF"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101D15B"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35.</w:t>
      </w:r>
      <w:r w:rsidRPr="00623A2B">
        <w:rPr>
          <w:rFonts w:ascii="Times New Roman" w:hAnsi="Times New Roman"/>
          <w:szCs w:val="22"/>
          <w:lang w:val="fr-FR"/>
        </w:rPr>
        <w:tab/>
        <w:t>D’encourager les États membres à envisager de mettre en œuvre les Recommandations émanées de la Quatrième Réunion des autorités responsables des politiques pénitentiaires et carcérales des États membres de l’OEA adoptées à Santo Domingo (République dominicaine) en février 2020.</w:t>
      </w:r>
    </w:p>
    <w:p w14:paraId="4DC967F3"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fr-FR"/>
        </w:rPr>
      </w:pPr>
    </w:p>
    <w:p w14:paraId="42A5B197" w14:textId="77777777" w:rsidR="00DF2371" w:rsidRPr="00623A2B" w:rsidRDefault="00DF2371" w:rsidP="001B5A48">
      <w:pPr>
        <w:keepNext/>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fr-FR"/>
        </w:rPr>
      </w:pPr>
      <w:r w:rsidRPr="00623A2B">
        <w:rPr>
          <w:rFonts w:ascii="Times New Roman" w:hAnsi="Times New Roman"/>
          <w:color w:val="000000"/>
          <w:szCs w:val="22"/>
          <w:u w:val="single"/>
          <w:lang w:val="fr-FR"/>
        </w:rPr>
        <w:t>Améliorer la coordination pour le renforcement de la sécurité publique dans les Amériques</w:t>
      </w:r>
    </w:p>
    <w:p w14:paraId="699ABF4D" w14:textId="77777777" w:rsidR="00DF2371" w:rsidRPr="00623A2B" w:rsidRDefault="00DF2371" w:rsidP="00DF2371">
      <w:pPr>
        <w:pStyle w:val="ListParagraph"/>
        <w:keepNext/>
        <w:ind w:left="0"/>
        <w:rPr>
          <w:rFonts w:ascii="Times New Roman" w:hAnsi="Times New Roman"/>
          <w:color w:val="000000"/>
          <w:lang w:val="fr-FR"/>
        </w:rPr>
      </w:pPr>
    </w:p>
    <w:p w14:paraId="70A9D7D1"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color w:val="000000"/>
          <w:szCs w:val="22"/>
          <w:lang w:val="fr-FR"/>
        </w:rPr>
        <w:t>36.</w:t>
      </w:r>
      <w:r w:rsidRPr="00623A2B">
        <w:rPr>
          <w:rFonts w:ascii="Times New Roman" w:hAnsi="Times New Roman"/>
          <w:color w:val="000000"/>
          <w:szCs w:val="22"/>
          <w:lang w:val="fr-FR"/>
        </w:rPr>
        <w:tab/>
        <w:t>D'accueillir avec satisfaction les conclusions et les recommandations de la Onzième Réunion des ministres de la Justice (REMJA XI), en particulier les dispositions de la section V.A sur les synergies entre la REMJA et la MISPA. À cet égard, de demander que les processus des REMJA et des MISPA, dans leurs domaines de compétence interdépendants, coordonnent leurs efforts afin de tirer mutuellement parti de leurs développements et d'éviter les doubles emplois.</w:t>
      </w:r>
    </w:p>
    <w:p w14:paraId="3EC96DE1"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50891B71"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color w:val="000000"/>
          <w:szCs w:val="22"/>
          <w:lang w:val="fr-FR"/>
        </w:rPr>
        <w:t>37.</w:t>
      </w:r>
      <w:r w:rsidRPr="00623A2B">
        <w:rPr>
          <w:rFonts w:ascii="Times New Roman" w:hAnsi="Times New Roman"/>
          <w:color w:val="000000"/>
          <w:szCs w:val="22"/>
          <w:lang w:val="fr-FR"/>
        </w:rPr>
        <w:tab/>
        <w:t>De demander au Conseil permanent d’envisager de convoquer une réunion mixte de la MISPA et de la REMJA, compte tenu de l'importance d'aborder conjointement diverses questions dans le cadre des deux processus, et de demander à la CSH et à la Commission des questions juridiques et politiques des sujets possibles comme points de l'ordre du jour de ladite réunion mixte.</w:t>
      </w:r>
    </w:p>
    <w:p w14:paraId="36EE9B90" w14:textId="77777777" w:rsidR="00DF2371" w:rsidRPr="00623A2B" w:rsidRDefault="00DF2371" w:rsidP="00DF2371">
      <w:pPr>
        <w:pStyle w:val="ListParagraph"/>
        <w:ind w:left="0"/>
        <w:rPr>
          <w:rFonts w:ascii="Times New Roman" w:hAnsi="Times New Roman"/>
          <w:color w:val="000000"/>
          <w:lang w:val="fr-FR"/>
        </w:rPr>
      </w:pPr>
    </w:p>
    <w:p w14:paraId="7AD2B129"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color w:val="000000"/>
          <w:szCs w:val="22"/>
          <w:lang w:val="fr-FR"/>
        </w:rPr>
        <w:t>38.</w:t>
      </w:r>
      <w:r w:rsidRPr="00623A2B">
        <w:rPr>
          <w:rFonts w:ascii="Times New Roman" w:hAnsi="Times New Roman"/>
          <w:color w:val="000000"/>
          <w:szCs w:val="22"/>
          <w:lang w:val="fr-FR"/>
        </w:rPr>
        <w:tab/>
        <w:t>De demander au SSM et au Secrétariat aux questions juridiques (SQJ) de faire rapport à la Commission, au cours du second semestre de 2022, sur les activités menées pour renforcer la coordination entre les deux secrétariats en ce qui concerne la mise en œuvre des recommandations des processus MISPA et REMJA.</w:t>
      </w:r>
    </w:p>
    <w:p w14:paraId="5207AD23"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fr-FR"/>
        </w:rPr>
      </w:pPr>
      <w:r w:rsidRPr="00623A2B">
        <w:rPr>
          <w:rFonts w:ascii="Times New Roman" w:eastAsia="Batang" w:hAnsi="Times New Roman"/>
          <w:color w:val="000000"/>
          <w:lang w:val="fr-FR"/>
        </w:rPr>
        <w:lastRenderedPageBreak/>
        <w:t>39.</w:t>
      </w:r>
      <w:r w:rsidRPr="00623A2B">
        <w:rPr>
          <w:rFonts w:ascii="Times New Roman" w:eastAsia="Batang" w:hAnsi="Times New Roman"/>
          <w:color w:val="000000"/>
          <w:lang w:val="fr-FR"/>
        </w:rPr>
        <w:tab/>
        <w:t>D’e</w:t>
      </w:r>
      <w:r w:rsidRPr="00623A2B">
        <w:rPr>
          <w:rFonts w:ascii="Times New Roman" w:hAnsi="Times New Roman"/>
          <w:lang w:val="fr-FR"/>
        </w:rPr>
        <w:t>ncourager les États membres à faire part de leurs meilleures pratiques en matière de recours à la force pour le maintien de l'ordre par les agents de sécurité publique, lesquelles visent à garantir le respect des normes nationales et internationales applicables dans ce domaine.</w:t>
      </w:r>
    </w:p>
    <w:p w14:paraId="0B8A04BD"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fr-FR"/>
        </w:rPr>
      </w:pPr>
    </w:p>
    <w:p w14:paraId="48E48526" w14:textId="77777777" w:rsidR="00DF2371" w:rsidRPr="00623A2B" w:rsidRDefault="00DF2371" w:rsidP="001B5A48">
      <w:pPr>
        <w:keepNext/>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fr-FR"/>
        </w:rPr>
      </w:pPr>
      <w:r w:rsidRPr="00623A2B">
        <w:rPr>
          <w:rFonts w:ascii="Times New Roman" w:hAnsi="Times New Roman"/>
          <w:color w:val="000000"/>
          <w:szCs w:val="22"/>
          <w:u w:val="single"/>
          <w:lang w:val="fr-FR"/>
        </w:rPr>
        <w:t>Promotion de la cybersécurité</w:t>
      </w:r>
    </w:p>
    <w:p w14:paraId="01D4EF61" w14:textId="77777777" w:rsidR="00DF2371" w:rsidRPr="00623A2B" w:rsidRDefault="00DF2371" w:rsidP="00DF237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60F01748"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40.</w:t>
      </w:r>
      <w:r w:rsidRPr="00623A2B">
        <w:rPr>
          <w:rFonts w:ascii="Times New Roman" w:hAnsi="Times New Roman"/>
          <w:szCs w:val="22"/>
          <w:lang w:val="fr-FR"/>
        </w:rPr>
        <w:tab/>
        <w:t xml:space="preserve">De reconnaître la menace croissante que représentent pour la sécurité des États membres les </w:t>
      </w:r>
      <w:proofErr w:type="spellStart"/>
      <w:r w:rsidRPr="00623A2B">
        <w:rPr>
          <w:rFonts w:ascii="Times New Roman" w:hAnsi="Times New Roman"/>
          <w:szCs w:val="22"/>
          <w:lang w:val="fr-FR"/>
        </w:rPr>
        <w:t>cyberincidents</w:t>
      </w:r>
      <w:proofErr w:type="spellEnd"/>
      <w:r w:rsidRPr="00623A2B">
        <w:rPr>
          <w:rFonts w:ascii="Times New Roman" w:hAnsi="Times New Roman"/>
          <w:szCs w:val="22"/>
          <w:lang w:val="fr-FR"/>
        </w:rPr>
        <w:t xml:space="preserve"> malveillants, y compris ceux qui visent les infrastructures civiles, et de souligner l'importance de la coopération et de l'action à l'échelle continentale pour accroître les capacités et la résilience nationales face à ces menaces.</w:t>
      </w:r>
    </w:p>
    <w:p w14:paraId="75BA0417"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C3BDC84"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41.</w:t>
      </w:r>
      <w:r w:rsidRPr="00623A2B">
        <w:rPr>
          <w:rFonts w:ascii="Times New Roman" w:hAnsi="Times New Roman"/>
          <w:szCs w:val="22"/>
          <w:lang w:val="fr-FR"/>
        </w:rPr>
        <w:tab/>
        <w:t>De prendre des mesures pour faire face aux menaces communes dans le cyberespace, y compris les activités cybernétiques malveillantes qui ont perturbé les infrastructures et les services essentiels aux citoyens et aux économies dans le continent américain, et d'œuvrer à amener à répondre de leurs actes les acteurs qui se livrent à des attaques par logiciels d'extorsion ainsi qu'à d'autres activités illicites connexes.</w:t>
      </w:r>
    </w:p>
    <w:p w14:paraId="1F879F07" w14:textId="77777777" w:rsidR="00DF2371" w:rsidRPr="00623A2B" w:rsidRDefault="00DF2371" w:rsidP="00DF2371">
      <w:pPr>
        <w:pStyle w:val="ListParagraph"/>
        <w:ind w:left="0"/>
        <w:rPr>
          <w:rFonts w:ascii="Times New Roman" w:hAnsi="Times New Roman"/>
          <w:lang w:val="fr-FR"/>
        </w:rPr>
      </w:pPr>
    </w:p>
    <w:p w14:paraId="30EC98C0"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fr-FR"/>
        </w:rPr>
      </w:pPr>
      <w:r w:rsidRPr="00623A2B">
        <w:rPr>
          <w:rFonts w:ascii="Times New Roman" w:hAnsi="Times New Roman"/>
          <w:szCs w:val="22"/>
          <w:lang w:val="fr-FR"/>
        </w:rPr>
        <w:t>42.</w:t>
      </w:r>
      <w:r w:rsidRPr="00623A2B">
        <w:rPr>
          <w:rFonts w:ascii="Times New Roman" w:hAnsi="Times New Roman"/>
          <w:szCs w:val="22"/>
          <w:lang w:val="fr-FR"/>
        </w:rPr>
        <w:tab/>
        <w:t>De demander au SSM de soutenir, par l’intermédiaire du Secrétariat exécutif du CICTE, les États membres dans l'élaboration de stratégies pour renforcer la cybersécurité et continuer à étendre les activités des États membres en matière de transfert de connaissances, de pratiques exemplaires, de renforcement des capacités et de formation.</w:t>
      </w:r>
    </w:p>
    <w:p w14:paraId="7FACC2FB" w14:textId="77777777" w:rsidR="00DF2371" w:rsidRPr="00623A2B" w:rsidRDefault="00DF2371" w:rsidP="00DF2371">
      <w:pPr>
        <w:pStyle w:val="ListParagraph"/>
        <w:ind w:left="0"/>
        <w:rPr>
          <w:rFonts w:ascii="Times New Roman" w:hAnsi="Times New Roman"/>
          <w:lang w:val="fr-FR"/>
        </w:rPr>
      </w:pPr>
    </w:p>
    <w:p w14:paraId="21C11118"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szCs w:val="22"/>
          <w:lang w:val="fr-FR"/>
        </w:rPr>
        <w:t>43.</w:t>
      </w:r>
      <w:r w:rsidRPr="00623A2B">
        <w:rPr>
          <w:rFonts w:ascii="Times New Roman" w:hAnsi="Times New Roman"/>
          <w:szCs w:val="22"/>
          <w:lang w:val="fr-FR"/>
        </w:rPr>
        <w:tab/>
        <w:t>D'exhorter les États membres qui ne l'ont pas encore fait à envisager d’adhérer à la Convention du Conseil de l’Europe sur la cybercriminalité.</w:t>
      </w:r>
    </w:p>
    <w:p w14:paraId="06B98D94" w14:textId="77777777" w:rsidR="00DF2371" w:rsidRPr="00623A2B" w:rsidRDefault="00DF2371" w:rsidP="00DF2371">
      <w:pPr>
        <w:pStyle w:val="ListParagraph"/>
        <w:ind w:left="0"/>
        <w:rPr>
          <w:rFonts w:ascii="Times New Roman" w:hAnsi="Times New Roman"/>
          <w:color w:val="000000"/>
          <w:lang w:val="fr-FR"/>
        </w:rPr>
      </w:pPr>
    </w:p>
    <w:p w14:paraId="177921A9" w14:textId="77777777" w:rsidR="00DF2371" w:rsidRPr="00623A2B" w:rsidRDefault="00DF2371" w:rsidP="001B5A48">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val="0"/>
        <w:rPr>
          <w:rFonts w:ascii="Times New Roman" w:hAnsi="Times New Roman"/>
          <w:color w:val="000000"/>
          <w:u w:val="single"/>
          <w:lang w:val="fr-FR"/>
        </w:rPr>
      </w:pPr>
      <w:r w:rsidRPr="00623A2B">
        <w:rPr>
          <w:rFonts w:ascii="Times New Roman" w:hAnsi="Times New Roman"/>
          <w:color w:val="000000"/>
          <w:u w:val="single"/>
          <w:lang w:val="fr-FR"/>
        </w:rPr>
        <w:t>Criminalité transnationale organisée</w:t>
      </w:r>
    </w:p>
    <w:p w14:paraId="1D0D2165"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1BC6E0BB" w14:textId="77777777" w:rsidR="00DF2371" w:rsidRPr="00623A2B" w:rsidRDefault="00DF2371" w:rsidP="001B5A48">
      <w:pPr>
        <w:pStyle w:val="ListParagraph"/>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firstLine="0"/>
        <w:contextualSpacing w:val="0"/>
        <w:rPr>
          <w:rFonts w:ascii="Times New Roman" w:eastAsia="SimSun" w:hAnsi="Times New Roman"/>
          <w:color w:val="000000"/>
          <w:u w:val="single"/>
          <w:lang w:val="fr-FR"/>
        </w:rPr>
      </w:pPr>
      <w:r w:rsidRPr="00623A2B">
        <w:rPr>
          <w:rFonts w:ascii="Times New Roman" w:hAnsi="Times New Roman"/>
          <w:color w:val="000000"/>
          <w:u w:val="single"/>
          <w:lang w:val="fr-FR"/>
        </w:rPr>
        <w:t>Lutte contre la criminalité transnationale organisée</w:t>
      </w:r>
    </w:p>
    <w:p w14:paraId="37A832E3"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4AB4F6D8"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44.</w:t>
      </w:r>
      <w:r w:rsidRPr="00623A2B">
        <w:rPr>
          <w:rFonts w:ascii="Times New Roman" w:hAnsi="Times New Roman"/>
          <w:szCs w:val="22"/>
          <w:lang w:val="fr-FR"/>
        </w:rPr>
        <w:tab/>
        <w:t>De se féliciter de la tenue et des résultats de la Troisième Réunion des autorités nationales en matière de criminalité transnationale organisée (RANDOT III), présidée par les États-Unis et tenue virtuellement les 23 et 24 juin 2021, et d’exhorter les États à mettre en œuvre les recommandations adoptées par les autorités nationales (</w:t>
      </w:r>
      <w:hyperlink r:id="rId80" w:history="1">
        <w:r w:rsidRPr="00623A2B">
          <w:rPr>
            <w:rStyle w:val="Hyperlink"/>
            <w:rFonts w:ascii="Times New Roman" w:hAnsi="Times New Roman"/>
            <w:szCs w:val="22"/>
            <w:lang w:val="fr-FR"/>
          </w:rPr>
          <w:t xml:space="preserve">RANDOT-III/doc.2/21 </w:t>
        </w:r>
        <w:proofErr w:type="spellStart"/>
        <w:r w:rsidRPr="00623A2B">
          <w:rPr>
            <w:rStyle w:val="Hyperlink"/>
            <w:rFonts w:ascii="Times New Roman" w:hAnsi="Times New Roman"/>
            <w:szCs w:val="22"/>
            <w:lang w:val="fr-FR"/>
          </w:rPr>
          <w:t>rev</w:t>
        </w:r>
        <w:proofErr w:type="spellEnd"/>
        <w:r w:rsidRPr="00623A2B">
          <w:rPr>
            <w:rStyle w:val="Hyperlink"/>
            <w:rFonts w:ascii="Times New Roman" w:hAnsi="Times New Roman"/>
            <w:szCs w:val="22"/>
            <w:lang w:val="fr-FR"/>
          </w:rPr>
          <w:t>. 1</w:t>
        </w:r>
      </w:hyperlink>
      <w:r w:rsidRPr="00623A2B">
        <w:rPr>
          <w:rFonts w:ascii="Times New Roman" w:hAnsi="Times New Roman"/>
          <w:szCs w:val="22"/>
          <w:lang w:val="fr-FR"/>
        </w:rPr>
        <w:t>). L'Assemblée générale décide en outre d’adopter la Stratégie continentale de prévention et de lutte contre la criminalité transnationale organisée, en s’inspirant du document élaboré par le SSM et examiné par la RANDOT III (</w:t>
      </w:r>
      <w:bookmarkStart w:id="31" w:name="_Hlk86671475"/>
      <w:r w:rsidRPr="00623A2B">
        <w:rPr>
          <w:rFonts w:ascii="Times New Roman" w:hAnsi="Times New Roman"/>
          <w:color w:val="333333"/>
          <w:szCs w:val="22"/>
        </w:rPr>
        <w:fldChar w:fldCharType="begin"/>
      </w:r>
      <w:r w:rsidRPr="00623A2B">
        <w:rPr>
          <w:rFonts w:ascii="Times New Roman" w:hAnsi="Times New Roman"/>
          <w:color w:val="333333"/>
          <w:szCs w:val="22"/>
          <w:lang w:val="fr-FR"/>
        </w:rPr>
        <w:instrText>HYPERLINK "http://scm.oas.org/IDMS/Redirectpage.aspx?class=XXXIV%20RANDOT-III/doc.&amp;classNum=5&amp;lang=f"</w:instrText>
      </w:r>
      <w:r w:rsidRPr="00623A2B">
        <w:rPr>
          <w:rFonts w:ascii="Times New Roman" w:hAnsi="Times New Roman"/>
          <w:color w:val="333333"/>
          <w:szCs w:val="22"/>
        </w:rPr>
        <w:fldChar w:fldCharType="separate"/>
      </w:r>
      <w:r w:rsidRPr="00623A2B">
        <w:rPr>
          <w:rStyle w:val="Hyperlink"/>
          <w:rFonts w:ascii="Times New Roman" w:hAnsi="Times New Roman"/>
          <w:szCs w:val="22"/>
          <w:lang w:val="fr-FR"/>
        </w:rPr>
        <w:t xml:space="preserve">RANDOT-III/doc.5/21 </w:t>
      </w:r>
      <w:proofErr w:type="spellStart"/>
      <w:r w:rsidRPr="00623A2B">
        <w:rPr>
          <w:rStyle w:val="Hyperlink"/>
          <w:rFonts w:ascii="Times New Roman" w:hAnsi="Times New Roman"/>
          <w:szCs w:val="22"/>
          <w:lang w:val="fr-FR"/>
        </w:rPr>
        <w:t>rev</w:t>
      </w:r>
      <w:proofErr w:type="spellEnd"/>
      <w:r w:rsidRPr="00623A2B">
        <w:rPr>
          <w:rStyle w:val="Hyperlink"/>
          <w:rFonts w:ascii="Times New Roman" w:hAnsi="Times New Roman"/>
          <w:szCs w:val="22"/>
          <w:lang w:val="fr-FR"/>
        </w:rPr>
        <w:t>. 1</w:t>
      </w:r>
      <w:r w:rsidRPr="00623A2B">
        <w:rPr>
          <w:rFonts w:ascii="Times New Roman" w:hAnsi="Times New Roman"/>
          <w:color w:val="333333"/>
          <w:szCs w:val="22"/>
        </w:rPr>
        <w:fldChar w:fldCharType="end"/>
      </w:r>
      <w:bookmarkEnd w:id="31"/>
      <w:r w:rsidRPr="00623A2B">
        <w:rPr>
          <w:rFonts w:ascii="Times New Roman" w:hAnsi="Times New Roman"/>
          <w:szCs w:val="22"/>
          <w:lang w:val="fr-FR"/>
        </w:rPr>
        <w:t>) et :</w:t>
      </w:r>
    </w:p>
    <w:p w14:paraId="1B6EA825"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F354797" w14:textId="77777777" w:rsidR="00DF2371" w:rsidRPr="00623A2B" w:rsidRDefault="00DF2371" w:rsidP="001B5A48">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proofErr w:type="gramStart"/>
      <w:r w:rsidRPr="00623A2B">
        <w:rPr>
          <w:rFonts w:ascii="Times New Roman" w:hAnsi="Times New Roman"/>
          <w:szCs w:val="22"/>
          <w:lang w:val="fr-FR"/>
        </w:rPr>
        <w:t>de</w:t>
      </w:r>
      <w:proofErr w:type="gramEnd"/>
      <w:r w:rsidRPr="00623A2B">
        <w:rPr>
          <w:rFonts w:ascii="Times New Roman" w:hAnsi="Times New Roman"/>
          <w:szCs w:val="22"/>
          <w:lang w:val="fr-FR"/>
        </w:rPr>
        <w:t xml:space="preserve"> convoquer une réunion des points de contact nationaux en matière de criminalité transnationale organisée, qui doit se tenir au second semestre de 2022 ;</w:t>
      </w:r>
    </w:p>
    <w:p w14:paraId="3A0855E1" w14:textId="77777777" w:rsidR="00DF2371" w:rsidRPr="00623A2B" w:rsidRDefault="00DF2371" w:rsidP="001B5A48">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proofErr w:type="gramStart"/>
      <w:r w:rsidRPr="00623A2B">
        <w:rPr>
          <w:rFonts w:ascii="Times New Roman" w:hAnsi="Times New Roman"/>
          <w:szCs w:val="22"/>
          <w:lang w:val="fr-FR"/>
        </w:rPr>
        <w:t>de</w:t>
      </w:r>
      <w:proofErr w:type="gramEnd"/>
      <w:r w:rsidRPr="00623A2B">
        <w:rPr>
          <w:rFonts w:ascii="Times New Roman" w:hAnsi="Times New Roman"/>
          <w:szCs w:val="22"/>
          <w:lang w:val="fr-FR"/>
        </w:rPr>
        <w:t xml:space="preserve"> demander au Secrétariat général de mettre en œuvre les recommandations relevant de sa compétence, qui ont été identifiées dans les recommandations approuvées par la RANDOT III.</w:t>
      </w:r>
    </w:p>
    <w:p w14:paraId="6CD37379"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A3E13A3" w14:textId="77777777" w:rsidR="00AD4630" w:rsidRPr="00623A2B" w:rsidRDefault="00AD463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623A2B">
        <w:rPr>
          <w:rFonts w:ascii="Times New Roman" w:hAnsi="Times New Roman"/>
          <w:szCs w:val="22"/>
          <w:lang w:val="fr-FR"/>
        </w:rPr>
        <w:br w:type="page"/>
      </w:r>
    </w:p>
    <w:p w14:paraId="0701E7E4" w14:textId="73846C5D"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lastRenderedPageBreak/>
        <w:t>45.</w:t>
      </w:r>
      <w:r w:rsidRPr="00623A2B">
        <w:rPr>
          <w:rFonts w:ascii="Times New Roman" w:hAnsi="Times New Roman"/>
          <w:szCs w:val="22"/>
          <w:lang w:val="fr-FR"/>
        </w:rPr>
        <w:tab/>
        <w:t xml:space="preserve">De demander au SSM de fournir, par l'intermédiaire du DCTO, une assistance technique aux États membres de l'OEA, lorsqu’ils en font la demande, pour : </w:t>
      </w:r>
    </w:p>
    <w:p w14:paraId="6F29BDEA"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F679AAB" w14:textId="77777777" w:rsidR="00DF2371" w:rsidRPr="00623A2B" w:rsidRDefault="00DF2371" w:rsidP="001B5A48">
      <w:pPr>
        <w:pStyle w:val="ListParagraph"/>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val="0"/>
        <w:rPr>
          <w:rFonts w:ascii="Times New Roman" w:hAnsi="Times New Roman"/>
          <w:lang w:val="fr-FR"/>
        </w:rPr>
      </w:pPr>
      <w:proofErr w:type="gramStart"/>
      <w:r w:rsidRPr="00623A2B">
        <w:rPr>
          <w:rFonts w:ascii="Times New Roman" w:hAnsi="Times New Roman"/>
          <w:lang w:val="fr-FR"/>
        </w:rPr>
        <w:t>améliorer</w:t>
      </w:r>
      <w:proofErr w:type="gramEnd"/>
      <w:r w:rsidRPr="00623A2B">
        <w:rPr>
          <w:rFonts w:ascii="Times New Roman" w:hAnsi="Times New Roman"/>
          <w:lang w:val="fr-FR"/>
        </w:rPr>
        <w:t xml:space="preserve"> ou renforcer les structures de renseignement criminel et financier, le cas échéant, en utilisant des outils appropriés afin d'améliorer les canaux de communication et la coordination entre toutes les autorités responsables de la lutte contre la criminalité transnationale organisée (CTO), de manière non arbitraire, en appliquant les technologies de l'information et des communications (TIC) dans des cadres juridiques nationaux appropriés qui respectent les droits de la personne ;</w:t>
      </w:r>
    </w:p>
    <w:p w14:paraId="34A551E3" w14:textId="77777777" w:rsidR="00DF2371" w:rsidRPr="00623A2B" w:rsidRDefault="00DF2371" w:rsidP="001B5A48">
      <w:pPr>
        <w:pStyle w:val="ListParagraph"/>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val="0"/>
        <w:rPr>
          <w:rFonts w:ascii="Times New Roman" w:hAnsi="Times New Roman"/>
          <w:lang w:val="fr-FR"/>
        </w:rPr>
      </w:pPr>
      <w:proofErr w:type="gramStart"/>
      <w:r w:rsidRPr="00623A2B">
        <w:rPr>
          <w:rFonts w:ascii="Times New Roman" w:hAnsi="Times New Roman"/>
          <w:lang w:val="fr-FR"/>
        </w:rPr>
        <w:t>améliorer</w:t>
      </w:r>
      <w:proofErr w:type="gramEnd"/>
      <w:r w:rsidRPr="00623A2B">
        <w:rPr>
          <w:rFonts w:ascii="Times New Roman" w:hAnsi="Times New Roman"/>
          <w:lang w:val="fr-FR"/>
        </w:rPr>
        <w:t xml:space="preserve"> ou intensifier les efforts contre les économies illicites associées aux formes graves de criminalité, afin de mettre en œuvre des mécanismes visant à réduire le risque associé à toutes les activités criminelles graves liées aux activités économiques illicites internationales ;</w:t>
      </w:r>
    </w:p>
    <w:p w14:paraId="45433B0B" w14:textId="77777777" w:rsidR="00DF2371" w:rsidRPr="00623A2B" w:rsidRDefault="00DF2371" w:rsidP="001B5A48">
      <w:pPr>
        <w:pStyle w:val="ListParagraph"/>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val="0"/>
        <w:rPr>
          <w:rFonts w:ascii="Times New Roman" w:hAnsi="Times New Roman"/>
          <w:lang w:val="fr-FR"/>
        </w:rPr>
      </w:pPr>
      <w:proofErr w:type="gramStart"/>
      <w:r w:rsidRPr="00623A2B">
        <w:rPr>
          <w:rFonts w:ascii="Times New Roman" w:hAnsi="Times New Roman"/>
          <w:lang w:val="fr-FR"/>
        </w:rPr>
        <w:t>renforcer</w:t>
      </w:r>
      <w:proofErr w:type="gramEnd"/>
      <w:r w:rsidRPr="00623A2B">
        <w:rPr>
          <w:rFonts w:ascii="Times New Roman" w:hAnsi="Times New Roman"/>
          <w:lang w:val="fr-FR"/>
        </w:rPr>
        <w:t xml:space="preserve"> les capacités pour évaluer et combattre les risques liés à l'utilisation d’actifs virtuels par le crime organisé et des signaux d'alerte s'y rapportant, ainsi que sur les nouvelles modalités de crimes mises en œuvre par les groupes criminels organisés au moyen d'environnements virtuels.</w:t>
      </w:r>
    </w:p>
    <w:p w14:paraId="3F3CFD12" w14:textId="77777777" w:rsidR="00DF2371" w:rsidRPr="00623A2B" w:rsidRDefault="00DF2371" w:rsidP="00DF2371">
      <w:pPr>
        <w:pStyle w:val="ListParagraph"/>
        <w:ind w:left="0"/>
        <w:rPr>
          <w:rFonts w:ascii="Times New Roman" w:hAnsi="Times New Roman"/>
          <w:lang w:val="fr-FR"/>
        </w:rPr>
      </w:pPr>
    </w:p>
    <w:p w14:paraId="21C580D8"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46.</w:t>
      </w:r>
      <w:r w:rsidRPr="00623A2B">
        <w:rPr>
          <w:rFonts w:ascii="Times New Roman" w:hAnsi="Times New Roman"/>
          <w:szCs w:val="22"/>
          <w:lang w:val="fr-FR"/>
        </w:rPr>
        <w:tab/>
        <w:t>D'inviter les États membres à renforcer, dans le cadre du droit international et de la législation nationale, les mécanismes de coopération interinstitutionnelle, pour la protection de l'espace aérien afin de contrer et dissuader le trafic aérien de substances contrôlées.</w:t>
      </w:r>
    </w:p>
    <w:p w14:paraId="30ECA820" w14:textId="77777777" w:rsidR="00DF2371" w:rsidRPr="00623A2B" w:rsidRDefault="00DF2371" w:rsidP="00DF2371">
      <w:pPr>
        <w:pStyle w:val="ListParagraph"/>
        <w:ind w:left="0"/>
        <w:rPr>
          <w:rFonts w:ascii="Times New Roman" w:hAnsi="Times New Roman"/>
          <w:lang w:val="fr-FR"/>
        </w:rPr>
      </w:pPr>
    </w:p>
    <w:p w14:paraId="01FA9C4F" w14:textId="77777777" w:rsidR="00DF2371" w:rsidRPr="00623A2B" w:rsidRDefault="00DF2371" w:rsidP="001B5A48">
      <w:pPr>
        <w:pStyle w:val="ListParagraph"/>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1350" w:hanging="630"/>
        <w:contextualSpacing w:val="0"/>
        <w:rPr>
          <w:rFonts w:ascii="Times New Roman" w:hAnsi="Times New Roman"/>
          <w:color w:val="000000"/>
          <w:u w:val="single"/>
          <w:lang w:val="fr-FR"/>
        </w:rPr>
      </w:pPr>
      <w:r w:rsidRPr="00623A2B">
        <w:rPr>
          <w:rFonts w:ascii="Times New Roman" w:hAnsi="Times New Roman"/>
          <w:color w:val="000000"/>
          <w:u w:val="single"/>
          <w:lang w:val="fr-FR"/>
        </w:rPr>
        <w:t xml:space="preserve">Efforts de coopération entrepris à l’échelle continentale pour combattre la traite des personnes </w:t>
      </w:r>
    </w:p>
    <w:p w14:paraId="064B3D86"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0F83E15A"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47.</w:t>
      </w:r>
      <w:r w:rsidRPr="00623A2B">
        <w:rPr>
          <w:rFonts w:ascii="Times New Roman" w:hAnsi="Times New Roman"/>
          <w:szCs w:val="22"/>
          <w:lang w:val="fr-FR"/>
        </w:rPr>
        <w:tab/>
        <w:t xml:space="preserve">De se féliciter de la tenue et des résultats de la Sixième Réunion des autorités nationales en matière de traite des personnes (RTP VI), présidée par l'Argentine et tenue virtuellement les 13 et 14 mai 2021, et d'exhorter les États membres à mettre en œuvre les recommandations concernant les défis en matière de lutte contre la traite des personnes en période de pandémie, approuvées par les autorités nationales et publiées dans le document </w:t>
      </w:r>
      <w:hyperlink r:id="rId81" w:history="1">
        <w:r w:rsidRPr="00623A2B">
          <w:rPr>
            <w:rStyle w:val="Hyperlink"/>
            <w:rFonts w:ascii="Times New Roman" w:hAnsi="Times New Roman"/>
            <w:szCs w:val="22"/>
            <w:lang w:val="fr-FR"/>
          </w:rPr>
          <w:t xml:space="preserve">RTP-VI/doc.4/21 </w:t>
        </w:r>
        <w:proofErr w:type="spellStart"/>
        <w:r w:rsidRPr="00623A2B">
          <w:rPr>
            <w:rStyle w:val="Hyperlink"/>
            <w:rFonts w:ascii="Times New Roman" w:hAnsi="Times New Roman"/>
            <w:szCs w:val="22"/>
            <w:lang w:val="fr-FR"/>
          </w:rPr>
          <w:t>rev</w:t>
        </w:r>
        <w:proofErr w:type="spellEnd"/>
        <w:r w:rsidRPr="00623A2B">
          <w:rPr>
            <w:rStyle w:val="Hyperlink"/>
            <w:rFonts w:ascii="Times New Roman" w:hAnsi="Times New Roman"/>
            <w:szCs w:val="22"/>
            <w:lang w:val="fr-FR"/>
          </w:rPr>
          <w:t>. 1</w:t>
        </w:r>
      </w:hyperlink>
      <w:r w:rsidRPr="00623A2B">
        <w:rPr>
          <w:rFonts w:ascii="Times New Roman" w:hAnsi="Times New Roman"/>
          <w:szCs w:val="22"/>
          <w:lang w:val="fr-FR"/>
        </w:rPr>
        <w:t>. L’Assemblée générale décide en outre :</w:t>
      </w:r>
    </w:p>
    <w:p w14:paraId="5168EF7C"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1B842AC" w14:textId="77777777" w:rsidR="00DF2371" w:rsidRPr="00623A2B" w:rsidRDefault="00DF2371" w:rsidP="001B5A48">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proofErr w:type="gramStart"/>
      <w:r w:rsidRPr="00623A2B">
        <w:rPr>
          <w:rFonts w:ascii="Times New Roman" w:hAnsi="Times New Roman"/>
          <w:szCs w:val="22"/>
          <w:lang w:val="fr-FR"/>
        </w:rPr>
        <w:t>de</w:t>
      </w:r>
      <w:proofErr w:type="gramEnd"/>
      <w:r w:rsidRPr="00623A2B">
        <w:rPr>
          <w:rFonts w:ascii="Times New Roman" w:hAnsi="Times New Roman"/>
          <w:szCs w:val="22"/>
          <w:lang w:val="fr-FR"/>
        </w:rPr>
        <w:t xml:space="preserve"> prolonger d'un an le Deuxième Plan de travail contre la traite des personnes dans le continent américain ;</w:t>
      </w:r>
    </w:p>
    <w:p w14:paraId="54E2A1BE" w14:textId="77777777" w:rsidR="00DF2371" w:rsidRPr="00623A2B" w:rsidRDefault="00DF2371" w:rsidP="001B5A48">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proofErr w:type="gramStart"/>
      <w:r w:rsidRPr="00623A2B">
        <w:rPr>
          <w:rFonts w:ascii="Times New Roman" w:hAnsi="Times New Roman"/>
          <w:szCs w:val="22"/>
          <w:lang w:val="fr-FR"/>
        </w:rPr>
        <w:t>de</w:t>
      </w:r>
      <w:proofErr w:type="gramEnd"/>
      <w:r w:rsidRPr="00623A2B">
        <w:rPr>
          <w:rFonts w:ascii="Times New Roman" w:hAnsi="Times New Roman"/>
          <w:szCs w:val="22"/>
          <w:lang w:val="fr-FR"/>
        </w:rPr>
        <w:t xml:space="preserve"> demander au groupe de travail chargé de la traite des personnes de poursuivre l'élaboration et l'approbation du Troisième Plan de travail, avec la participation des autorités nationales en matière de traite des personnes, afin de guider l'action des États membres et du Secrétariat général de l'OEA, pour la période 2022-2027 ;</w:t>
      </w:r>
    </w:p>
    <w:p w14:paraId="1563C706" w14:textId="77777777" w:rsidR="00DF2371" w:rsidRPr="00623A2B" w:rsidRDefault="00DF2371" w:rsidP="001B5A48">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proofErr w:type="gramStart"/>
      <w:r w:rsidRPr="00623A2B">
        <w:rPr>
          <w:rFonts w:ascii="Times New Roman" w:hAnsi="Times New Roman"/>
          <w:szCs w:val="22"/>
          <w:lang w:val="fr-FR"/>
        </w:rPr>
        <w:t>de</w:t>
      </w:r>
      <w:proofErr w:type="gramEnd"/>
      <w:r w:rsidRPr="00623A2B">
        <w:rPr>
          <w:rFonts w:ascii="Times New Roman" w:hAnsi="Times New Roman"/>
          <w:szCs w:val="22"/>
          <w:lang w:val="fr-FR"/>
        </w:rPr>
        <w:t xml:space="preserve"> prendre note de l’élaboration de la plateforme de connaissances sur la traite des personnes, réalisée par le SSM, et de demander l’avancement de sa mise en œuvre ;</w:t>
      </w:r>
    </w:p>
    <w:p w14:paraId="2FD6F238" w14:textId="77777777" w:rsidR="00DF2371" w:rsidRPr="00623A2B" w:rsidRDefault="00DF2371" w:rsidP="001B5A48">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proofErr w:type="gramStart"/>
      <w:r w:rsidRPr="00623A2B">
        <w:rPr>
          <w:rFonts w:ascii="Times New Roman" w:hAnsi="Times New Roman"/>
          <w:szCs w:val="22"/>
          <w:lang w:val="fr-FR"/>
        </w:rPr>
        <w:t>de</w:t>
      </w:r>
      <w:proofErr w:type="gramEnd"/>
      <w:r w:rsidRPr="00623A2B">
        <w:rPr>
          <w:rFonts w:ascii="Times New Roman" w:hAnsi="Times New Roman"/>
          <w:szCs w:val="22"/>
          <w:lang w:val="fr-FR"/>
        </w:rPr>
        <w:t xml:space="preserve"> remercier le Gouvernement de l'Argentine pour avoir présidé la RTP VI ; </w:t>
      </w:r>
    </w:p>
    <w:p w14:paraId="64171B4B" w14:textId="77777777" w:rsidR="00DF2371" w:rsidRPr="00623A2B" w:rsidRDefault="00DF2371" w:rsidP="001B5A48">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proofErr w:type="gramStart"/>
      <w:r w:rsidRPr="00623A2B">
        <w:rPr>
          <w:rFonts w:ascii="Times New Roman" w:hAnsi="Times New Roman"/>
          <w:szCs w:val="22"/>
          <w:lang w:val="fr-FR"/>
        </w:rPr>
        <w:t>d’exprimer</w:t>
      </w:r>
      <w:proofErr w:type="gramEnd"/>
      <w:r w:rsidRPr="00623A2B">
        <w:rPr>
          <w:rFonts w:ascii="Times New Roman" w:hAnsi="Times New Roman"/>
          <w:szCs w:val="22"/>
          <w:lang w:val="fr-FR"/>
        </w:rPr>
        <w:t xml:space="preserve"> sa reconnaissance au Gouvernement des États-Unis d'Amérique pour son engagement de présider le Groupe de travail de la CSH sur la traite des personnes et de présider et d’accueillir la Septième Réunion des autorités </w:t>
      </w:r>
      <w:r w:rsidRPr="00623A2B">
        <w:rPr>
          <w:rFonts w:ascii="Times New Roman" w:hAnsi="Times New Roman"/>
          <w:szCs w:val="22"/>
          <w:lang w:val="fr-FR"/>
        </w:rPr>
        <w:lastRenderedPageBreak/>
        <w:t>nationales en matière de traite des personnes (RTP VII), qui se tiendra en 2023 ;</w:t>
      </w:r>
    </w:p>
    <w:p w14:paraId="657EFAFD" w14:textId="77777777" w:rsidR="00DF2371" w:rsidRPr="00623A2B" w:rsidRDefault="00DF2371" w:rsidP="001B5A48">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proofErr w:type="gramStart"/>
      <w:r w:rsidRPr="00623A2B">
        <w:rPr>
          <w:rFonts w:ascii="Times New Roman" w:hAnsi="Times New Roman"/>
          <w:szCs w:val="22"/>
          <w:lang w:val="fr-FR"/>
        </w:rPr>
        <w:t>de</w:t>
      </w:r>
      <w:proofErr w:type="gramEnd"/>
      <w:r w:rsidRPr="00623A2B">
        <w:rPr>
          <w:rFonts w:ascii="Times New Roman" w:hAnsi="Times New Roman"/>
          <w:szCs w:val="22"/>
          <w:lang w:val="fr-FR"/>
        </w:rPr>
        <w:t xml:space="preserve"> demander au Secrétariat général de mettre en œuvre les recommandations relevant de sa compétence, qui ont été identifiées dans les recommandations approuvées par la RTP VI.</w:t>
      </w:r>
    </w:p>
    <w:p w14:paraId="536FA795"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D7CD9A4"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48.</w:t>
      </w:r>
      <w:r w:rsidRPr="00623A2B">
        <w:rPr>
          <w:rFonts w:ascii="Times New Roman" w:hAnsi="Times New Roman"/>
          <w:szCs w:val="22"/>
          <w:lang w:val="fr-FR"/>
        </w:rPr>
        <w:tab/>
        <w:t xml:space="preserve">De se féliciter de l'intégration du Secrétariat général de l'OEA au Groupe </w:t>
      </w:r>
      <w:proofErr w:type="spellStart"/>
      <w:r w:rsidRPr="00623A2B">
        <w:rPr>
          <w:rFonts w:ascii="Times New Roman" w:hAnsi="Times New Roman"/>
          <w:szCs w:val="22"/>
          <w:lang w:val="fr-FR"/>
        </w:rPr>
        <w:t>interinstitutions</w:t>
      </w:r>
      <w:proofErr w:type="spellEnd"/>
      <w:r w:rsidRPr="00623A2B">
        <w:rPr>
          <w:rFonts w:ascii="Times New Roman" w:hAnsi="Times New Roman"/>
          <w:szCs w:val="22"/>
          <w:lang w:val="fr-FR"/>
        </w:rPr>
        <w:t xml:space="preserve"> de coordination contre la traite des personnes (ICAT, selon le sigle en anglais).</w:t>
      </w:r>
    </w:p>
    <w:p w14:paraId="39B6529A"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28BB8B0"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49.</w:t>
      </w:r>
      <w:r w:rsidRPr="00623A2B">
        <w:rPr>
          <w:rFonts w:ascii="Times New Roman" w:hAnsi="Times New Roman"/>
          <w:szCs w:val="22"/>
          <w:lang w:val="fr-FR"/>
        </w:rPr>
        <w:tab/>
        <w:t>De charger le SSM, par l'intermédiaire du DSP, de continuer à soutenir les États membres qui en font la demande afin :</w:t>
      </w:r>
    </w:p>
    <w:p w14:paraId="6538EA23"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37B3561" w14:textId="77777777" w:rsidR="00DF2371" w:rsidRPr="00623A2B" w:rsidRDefault="00DF2371" w:rsidP="001B5A48">
      <w:pPr>
        <w:pStyle w:val="ListParagraph"/>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val="0"/>
        <w:rPr>
          <w:rFonts w:ascii="Times New Roman" w:hAnsi="Times New Roman"/>
          <w:lang w:val="fr-FR"/>
        </w:rPr>
      </w:pPr>
      <w:proofErr w:type="gramStart"/>
      <w:r w:rsidRPr="00623A2B">
        <w:rPr>
          <w:rFonts w:ascii="Times New Roman" w:hAnsi="Times New Roman"/>
          <w:lang w:val="fr-FR"/>
        </w:rPr>
        <w:t>d’élaborer</w:t>
      </w:r>
      <w:proofErr w:type="gramEnd"/>
      <w:r w:rsidRPr="00623A2B">
        <w:rPr>
          <w:rFonts w:ascii="Times New Roman" w:hAnsi="Times New Roman"/>
          <w:lang w:val="fr-FR"/>
        </w:rPr>
        <w:t xml:space="preserve"> des législations visant expressément la traite des personnes et des règlementations complémentaires alignées sur les normes internationales et, le cas échéant, sur la loi type et le guide législatif publiés par l'Office des Nations Unies contre la drogue et le crime (ONUDC) ;</w:t>
      </w:r>
    </w:p>
    <w:p w14:paraId="38BB9CF6" w14:textId="77777777" w:rsidR="00DF2371" w:rsidRPr="00623A2B" w:rsidRDefault="00DF2371" w:rsidP="001B5A48">
      <w:pPr>
        <w:pStyle w:val="ListParagraph"/>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val="0"/>
        <w:rPr>
          <w:rFonts w:ascii="Times New Roman" w:hAnsi="Times New Roman"/>
          <w:lang w:val="fr-FR"/>
        </w:rPr>
      </w:pPr>
      <w:proofErr w:type="gramStart"/>
      <w:r w:rsidRPr="00623A2B">
        <w:rPr>
          <w:rFonts w:ascii="Times New Roman" w:hAnsi="Times New Roman"/>
          <w:lang w:val="fr-FR"/>
        </w:rPr>
        <w:t>de</w:t>
      </w:r>
      <w:proofErr w:type="gramEnd"/>
      <w:r w:rsidRPr="00623A2B">
        <w:rPr>
          <w:rFonts w:ascii="Times New Roman" w:hAnsi="Times New Roman"/>
          <w:lang w:val="fr-FR"/>
        </w:rPr>
        <w:t xml:space="preserve"> mettre au point des mesures pour la mise en œuvre de politiques publiques en matière de traite des personnes au niveau local, par le biais de la promotion de la formation des acteurs des secteurs public, privé et de la société civile, la mise en œuvre d'activités qui favorisent le renforcement de la coordination intersectorielle et interinstitutionnelle, en plus d'autres activités à identifier au niveau territorial ;</w:t>
      </w:r>
    </w:p>
    <w:p w14:paraId="1081513A" w14:textId="77777777" w:rsidR="00DF2371" w:rsidRPr="00623A2B" w:rsidRDefault="00DF2371" w:rsidP="001B5A48">
      <w:pPr>
        <w:pStyle w:val="ListParagraph"/>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val="0"/>
        <w:rPr>
          <w:rFonts w:ascii="Times New Roman" w:hAnsi="Times New Roman"/>
          <w:lang w:val="fr-FR"/>
        </w:rPr>
      </w:pPr>
      <w:proofErr w:type="gramStart"/>
      <w:r w:rsidRPr="00623A2B">
        <w:rPr>
          <w:rFonts w:ascii="Times New Roman" w:hAnsi="Times New Roman"/>
          <w:lang w:val="fr-FR"/>
        </w:rPr>
        <w:t>d'inviter</w:t>
      </w:r>
      <w:proofErr w:type="gramEnd"/>
      <w:r w:rsidRPr="00623A2B">
        <w:rPr>
          <w:rFonts w:ascii="Times New Roman" w:hAnsi="Times New Roman"/>
          <w:lang w:val="fr-FR"/>
        </w:rPr>
        <w:t xml:space="preserve"> des personnes qui ont connu diverses formes de traite, et y ont survécu, à partager leurs points de vue avec les États membres et le Secrétariat général.</w:t>
      </w:r>
    </w:p>
    <w:p w14:paraId="4C15D8F7"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D314CB9"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50.</w:t>
      </w:r>
      <w:r w:rsidRPr="00623A2B">
        <w:rPr>
          <w:rFonts w:ascii="Times New Roman" w:hAnsi="Times New Roman"/>
          <w:szCs w:val="22"/>
          <w:lang w:val="fr-FR"/>
        </w:rPr>
        <w:tab/>
        <w:t>De demander au SSM de fournir, par l'intermédiaire du DCTO, aux États membres qui en font la demande, une assistance technique et une formation en matière de renseignement financier dans le cadre de la lutte contre la traite des personnes, ainsi que dans le domaine des enquêtes sur le patrimoine en vue de la confiscation des biens des trafiquants afin de les destiner à la poursuite des infractions et à la prise en charge et à la protection des victimes et des survivants.</w:t>
      </w:r>
    </w:p>
    <w:p w14:paraId="675962F8"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B36B768" w14:textId="77777777" w:rsidR="00DF2371" w:rsidRPr="00623A2B" w:rsidRDefault="00DF2371" w:rsidP="001B5A48">
      <w:pPr>
        <w:pStyle w:val="ListParagraph"/>
        <w:keepNext/>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firstLine="0"/>
        <w:contextualSpacing w:val="0"/>
        <w:rPr>
          <w:rFonts w:ascii="Times New Roman" w:hAnsi="Times New Roman"/>
          <w:color w:val="000000"/>
          <w:u w:val="single"/>
          <w:lang w:val="fr-FR"/>
        </w:rPr>
      </w:pPr>
      <w:r w:rsidRPr="00623A2B">
        <w:rPr>
          <w:rFonts w:ascii="Times New Roman" w:hAnsi="Times New Roman"/>
          <w:color w:val="000000"/>
          <w:u w:val="single"/>
          <w:lang w:val="fr-FR"/>
        </w:rPr>
        <w:t>Trafic illicite d’armes légères et de petit calibre sous tous ses aspects</w:t>
      </w:r>
    </w:p>
    <w:p w14:paraId="2D26FF87" w14:textId="77777777" w:rsidR="00DF2371" w:rsidRPr="00623A2B" w:rsidRDefault="00DF2371" w:rsidP="00DF237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4C25A380"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51.</w:t>
      </w:r>
      <w:r w:rsidRPr="00623A2B">
        <w:rPr>
          <w:rFonts w:ascii="Times New Roman" w:hAnsi="Times New Roman"/>
          <w:szCs w:val="22"/>
          <w:lang w:val="fr-FR"/>
        </w:rPr>
        <w:tab/>
        <w:t>Encourager davantage d’États membres à participer à la révision technique du mécanisme de communication transfrontalier et régional visant l'échange d'informations sur les transactions licites d'importation et d'exportation d'armes à feu et de munitions, élaboré par le DSP, aux fins d’examen par les États parties à la CIFTA.</w:t>
      </w:r>
    </w:p>
    <w:p w14:paraId="5AFE4DF3"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901450E"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52.</w:t>
      </w:r>
      <w:r w:rsidRPr="00623A2B">
        <w:rPr>
          <w:rFonts w:ascii="Times New Roman" w:hAnsi="Times New Roman"/>
          <w:szCs w:val="22"/>
          <w:lang w:val="fr-FR"/>
        </w:rPr>
        <w:tab/>
        <w:t>De demander au SSM de continuer à soutenir, par l'intermédiaire du DSP, les États membres qui en font la demande, dans le cadre :</w:t>
      </w:r>
    </w:p>
    <w:p w14:paraId="70C32BDC"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0A7687D8" w14:textId="77777777" w:rsidR="00DF2371" w:rsidRPr="00623A2B" w:rsidRDefault="00DF2371" w:rsidP="001B5A48">
      <w:pPr>
        <w:pStyle w:val="ListParagraph"/>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810"/>
        <w:contextualSpacing w:val="0"/>
        <w:rPr>
          <w:rFonts w:ascii="Times New Roman" w:hAnsi="Times New Roman"/>
          <w:color w:val="000000"/>
          <w:lang w:val="fr-FR"/>
        </w:rPr>
      </w:pPr>
      <w:proofErr w:type="gramStart"/>
      <w:r w:rsidRPr="00623A2B">
        <w:rPr>
          <w:rFonts w:ascii="Times New Roman" w:hAnsi="Times New Roman"/>
          <w:lang w:val="fr-FR"/>
        </w:rPr>
        <w:t>du</w:t>
      </w:r>
      <w:proofErr w:type="gramEnd"/>
      <w:r w:rsidRPr="00623A2B">
        <w:rPr>
          <w:rFonts w:ascii="Times New Roman" w:hAnsi="Times New Roman"/>
          <w:lang w:val="fr-FR"/>
        </w:rPr>
        <w:t xml:space="preserve"> Programme d’aide au contrôle des armes et munitions (</w:t>
      </w:r>
      <w:hyperlink r:id="rId82" w:history="1">
        <w:r w:rsidRPr="00623A2B">
          <w:rPr>
            <w:rStyle w:val="Hyperlink"/>
            <w:rFonts w:ascii="Times New Roman" w:hAnsi="Times New Roman"/>
            <w:lang w:val="fr-FR"/>
          </w:rPr>
          <w:t>PACAM</w:t>
        </w:r>
      </w:hyperlink>
      <w:r w:rsidRPr="00623A2B">
        <w:rPr>
          <w:rFonts w:ascii="Times New Roman" w:hAnsi="Times New Roman"/>
          <w:lang w:val="fr-FR"/>
        </w:rPr>
        <w:t xml:space="preserve">), afin de fournir une assistance technique et matérielle en matière de contrôle des armes et des munitions, conformément aux dispositions de la CIFTA, aux priorités établies dans son Plan d'action 2018-2022 et au paragraphe 108 de la résolution AG/RES. 2950 (L-O/20), y compris l’apport d’un soutien technique </w:t>
      </w:r>
      <w:r w:rsidRPr="00623A2B">
        <w:rPr>
          <w:rFonts w:ascii="Times New Roman" w:hAnsi="Times New Roman"/>
          <w:lang w:val="fr-FR"/>
        </w:rPr>
        <w:lastRenderedPageBreak/>
        <w:t>pour lutter contre le trafic illicite d’armes à feu, notamment dans les ports, les aéroports et les points de passage frontaliers ;</w:t>
      </w:r>
    </w:p>
    <w:p w14:paraId="004612C2" w14:textId="77777777" w:rsidR="00DF2371" w:rsidRPr="00623A2B" w:rsidRDefault="00DF2371" w:rsidP="001B5A48">
      <w:pPr>
        <w:pStyle w:val="ListParagraph"/>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810"/>
        <w:contextualSpacing w:val="0"/>
        <w:rPr>
          <w:rFonts w:ascii="Times New Roman" w:hAnsi="Times New Roman"/>
          <w:color w:val="000000"/>
          <w:lang w:val="fr-FR"/>
        </w:rPr>
      </w:pPr>
      <w:proofErr w:type="gramStart"/>
      <w:r w:rsidRPr="00623A2B">
        <w:rPr>
          <w:rFonts w:ascii="Times New Roman" w:hAnsi="Times New Roman"/>
          <w:lang w:val="fr-FR"/>
        </w:rPr>
        <w:t>du</w:t>
      </w:r>
      <w:proofErr w:type="gramEnd"/>
      <w:r w:rsidRPr="00623A2B">
        <w:rPr>
          <w:rFonts w:ascii="Times New Roman" w:hAnsi="Times New Roman"/>
          <w:lang w:val="fr-FR"/>
        </w:rPr>
        <w:t xml:space="preserve"> projet « Soutien à la lutte contre la prolifération et le trafic illicite des armes légères et de petit calibre (ALPC) et de leurs munitions et leur impact en Amérique latine et dans les Caraïbes » et de faire rapport sur l'état d'avancement de la mise en œuvre </w:t>
      </w:r>
      <w:r w:rsidRPr="00623A2B">
        <w:rPr>
          <w:rFonts w:ascii="Times New Roman" w:hAnsi="Times New Roman"/>
          <w:color w:val="000000"/>
          <w:lang w:val="fr-FR"/>
        </w:rPr>
        <w:t>du projet « S</w:t>
      </w:r>
      <w:r w:rsidRPr="00623A2B">
        <w:rPr>
          <w:rFonts w:ascii="Times New Roman" w:hAnsi="Times New Roman"/>
          <w:lang w:val="fr-FR"/>
        </w:rPr>
        <w:t>outien à la lutte contre la prolifération et le trafic illicite des armes légères et de petit calibre (ALPC) et de leurs munitions et leur impact en Amérique latine et dans les Caraïbes » pour la période</w:t>
      </w:r>
      <w:r w:rsidRPr="00623A2B">
        <w:rPr>
          <w:rFonts w:ascii="Times New Roman" w:hAnsi="Times New Roman"/>
          <w:color w:val="000000"/>
          <w:lang w:val="fr-FR"/>
        </w:rPr>
        <w:t xml:space="preserve"> 2021-2022.</w:t>
      </w:r>
    </w:p>
    <w:p w14:paraId="1B4A532D"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11144F24" w14:textId="77777777" w:rsidR="00DF2371" w:rsidRPr="00623A2B" w:rsidRDefault="00DF2371" w:rsidP="001B5A48">
      <w:pPr>
        <w:pStyle w:val="ListParagraph"/>
        <w:keepNext/>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val="0"/>
        <w:rPr>
          <w:rFonts w:ascii="Times New Roman" w:eastAsia="SimSun" w:hAnsi="Times New Roman"/>
          <w:color w:val="000000"/>
          <w:u w:val="single"/>
          <w:lang w:val="fr-FR"/>
        </w:rPr>
      </w:pPr>
      <w:r w:rsidRPr="00623A2B">
        <w:rPr>
          <w:rFonts w:ascii="Times New Roman" w:hAnsi="Times New Roman"/>
          <w:color w:val="000000"/>
          <w:u w:val="single"/>
          <w:lang w:val="fr-FR"/>
        </w:rPr>
        <w:t>Préoccupations et défis régionaux et spécialisés en matière de sécurité</w:t>
      </w:r>
    </w:p>
    <w:p w14:paraId="532CCB41" w14:textId="77777777" w:rsidR="00DF2371" w:rsidRPr="00623A2B" w:rsidRDefault="00DF2371" w:rsidP="00DF2371">
      <w:pPr>
        <w:pStyle w:val="ListParagraph"/>
        <w:ind w:left="0"/>
        <w:rPr>
          <w:rFonts w:ascii="Times New Roman" w:hAnsi="Times New Roman"/>
          <w:color w:val="000000"/>
          <w:u w:val="single"/>
          <w:lang w:val="fr-FR"/>
        </w:rPr>
      </w:pPr>
    </w:p>
    <w:p w14:paraId="787E58C6"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eastAsia="Batang" w:hAnsi="Times New Roman"/>
          <w:color w:val="000000"/>
          <w:szCs w:val="22"/>
          <w:lang w:val="fr-FR"/>
        </w:rPr>
        <w:t>53.</w:t>
      </w:r>
      <w:r w:rsidRPr="00623A2B">
        <w:rPr>
          <w:rFonts w:ascii="Times New Roman" w:eastAsia="Batang" w:hAnsi="Times New Roman"/>
          <w:color w:val="000000"/>
          <w:szCs w:val="22"/>
          <w:lang w:val="fr-FR"/>
        </w:rPr>
        <w:tab/>
        <w:t xml:space="preserve">D’encourager les États membres de l'OEA à s’attaquer au problème de la pêche illicite, non déclarée et non réglementée (pêche INN) et à participer activement aux agences techniques régionaux et sous-régionaux ainsi qu'à coopérer à l'échange d'information afin de promouvoir des stratégies continentales visant à protéger la sécurité et l'environnement marin, </w:t>
      </w:r>
      <w:r w:rsidRPr="00623A2B">
        <w:rPr>
          <w:rFonts w:ascii="Times New Roman" w:hAnsi="Times New Roman"/>
          <w:lang w:val="fr-FR"/>
        </w:rPr>
        <w:t xml:space="preserve">à assurer la durabilité </w:t>
      </w:r>
      <w:r w:rsidRPr="00623A2B">
        <w:rPr>
          <w:rFonts w:ascii="Times New Roman" w:eastAsia="Batang" w:hAnsi="Times New Roman"/>
          <w:color w:val="000000"/>
          <w:szCs w:val="22"/>
          <w:lang w:val="fr-FR"/>
        </w:rPr>
        <w:t xml:space="preserve">des ressources halieutiques des nations du continent et à veiller à ce que les États membres de l'OEA travaillent de manière coordonnée, selon le cas, </w:t>
      </w:r>
      <w:r w:rsidRPr="00623A2B">
        <w:rPr>
          <w:rFonts w:ascii="Times New Roman" w:hAnsi="Times New Roman"/>
          <w:lang w:val="fr-FR"/>
        </w:rPr>
        <w:t>dans le but de promouvoir</w:t>
      </w:r>
      <w:r w:rsidRPr="00623A2B">
        <w:rPr>
          <w:rFonts w:ascii="Times New Roman" w:eastAsia="Batang" w:hAnsi="Times New Roman"/>
          <w:color w:val="000000"/>
          <w:szCs w:val="22"/>
          <w:lang w:val="fr-FR"/>
        </w:rPr>
        <w:t xml:space="preserve"> les mesures adoptées par les États parties aux organisations régionales de gestion des pêches (ORGP), aux organismes régionaux de pêche (ORP), ainsi que celles figurant dans le Plan d'action international de la FAO visant à lutter contre la pêche INN, en renforçant les plans d'action nationaux et régionaux, et de les encourager à envisager de ratifier l'Accord sur les mesures du ressort de l'État du port (AMERP) ou d'y adhérer</w:t>
      </w:r>
      <w:r w:rsidRPr="00623A2B">
        <w:rPr>
          <w:rFonts w:ascii="Times New Roman" w:hAnsi="Times New Roman"/>
          <w:color w:val="000000"/>
          <w:szCs w:val="22"/>
          <w:lang w:val="fr-FR"/>
        </w:rPr>
        <w:t>.</w:t>
      </w:r>
    </w:p>
    <w:p w14:paraId="22208DCE"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55ECE4A3" w14:textId="77777777" w:rsidR="00DF2371" w:rsidRPr="00623A2B" w:rsidRDefault="00DF2371" w:rsidP="001B5A48">
      <w:pPr>
        <w:pStyle w:val="ListParagraph"/>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val="0"/>
        <w:rPr>
          <w:rFonts w:ascii="Times New Roman" w:hAnsi="Times New Roman"/>
          <w:color w:val="000000"/>
          <w:lang w:val="fr-FR"/>
        </w:rPr>
      </w:pPr>
      <w:r w:rsidRPr="00623A2B">
        <w:rPr>
          <w:rFonts w:ascii="Times New Roman" w:hAnsi="Times New Roman"/>
          <w:color w:val="000000"/>
          <w:u w:val="single"/>
          <w:lang w:val="fr-FR"/>
        </w:rPr>
        <w:t>Préoccupations des États membres du Système d’intégration centraméricaine (SICA) en matière de sécurité</w:t>
      </w:r>
      <w:r w:rsidRPr="00623A2B">
        <w:rPr>
          <w:rFonts w:ascii="Times New Roman" w:hAnsi="Times New Roman"/>
          <w:color w:val="000000"/>
          <w:lang w:val="fr-FR"/>
        </w:rPr>
        <w:t xml:space="preserve"> </w:t>
      </w:r>
      <w:r w:rsidRPr="00623A2B">
        <w:rPr>
          <w:rStyle w:val="FootnoteReference"/>
          <w:rFonts w:ascii="Times New Roman" w:hAnsi="Times New Roman"/>
          <w:u w:val="single"/>
          <w:vertAlign w:val="superscript"/>
          <w:lang w:val="fr-FR"/>
        </w:rPr>
        <w:footnoteReference w:id="52"/>
      </w:r>
      <w:r w:rsidRPr="00623A2B">
        <w:rPr>
          <w:rFonts w:ascii="Times New Roman" w:hAnsi="Times New Roman"/>
          <w:color w:val="000000"/>
          <w:vertAlign w:val="superscript"/>
          <w:lang w:val="fr-FR"/>
        </w:rPr>
        <w:t>/</w:t>
      </w:r>
    </w:p>
    <w:p w14:paraId="7C0C2205"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8820DBA"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napToGrid w:val="0"/>
          <w:lang w:val="fr-FR"/>
        </w:rPr>
      </w:pPr>
      <w:r w:rsidRPr="00623A2B">
        <w:rPr>
          <w:rFonts w:ascii="Times New Roman" w:hAnsi="Times New Roman"/>
          <w:bCs/>
          <w:snapToGrid w:val="0"/>
          <w:lang w:val="fr-FR"/>
        </w:rPr>
        <w:t>54.</w:t>
      </w:r>
      <w:r w:rsidRPr="00623A2B">
        <w:rPr>
          <w:rFonts w:ascii="Times New Roman" w:hAnsi="Times New Roman"/>
          <w:bCs/>
          <w:snapToGrid w:val="0"/>
          <w:lang w:val="fr-FR"/>
        </w:rPr>
        <w:tab/>
        <w:t xml:space="preserve">Dans le cadre de l’accord de coopération de 2018 entre le Secrétariat général du Système d’intégration centraméricaine (SICA) et le Secrétariat général de l’Organisation des États Américains (OEA), de charger le Secrétariat général de l’OEA et d’autres organes du système interaméricain de soutenir, avec l’appui de l’Organisation interaméricaine de défense (JID), la Commission de sécurité de l’Amérique centrale dans le processus de révision et de mise à jour de la Stratégie de sécurité de l’Amérique centrale, qui vise à répondre au contexte actuel de menaces communes dans cette région. </w:t>
      </w:r>
    </w:p>
    <w:p w14:paraId="305598C6"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napToGrid w:val="0"/>
          <w:szCs w:val="22"/>
          <w:lang w:val="fr-FR" w:eastAsia="es-ES"/>
        </w:rPr>
      </w:pPr>
    </w:p>
    <w:p w14:paraId="5ED2B5AD"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napToGrid w:val="0"/>
          <w:lang w:val="fr-FR"/>
        </w:rPr>
      </w:pPr>
      <w:r w:rsidRPr="00623A2B">
        <w:rPr>
          <w:rFonts w:ascii="Times New Roman" w:hAnsi="Times New Roman"/>
          <w:bCs/>
          <w:snapToGrid w:val="0"/>
          <w:lang w:val="fr-FR"/>
        </w:rPr>
        <w:t>55.</w:t>
      </w:r>
      <w:r w:rsidRPr="00623A2B">
        <w:rPr>
          <w:rFonts w:ascii="Times New Roman" w:hAnsi="Times New Roman"/>
          <w:bCs/>
          <w:snapToGrid w:val="0"/>
          <w:lang w:val="fr-FR"/>
        </w:rPr>
        <w:tab/>
        <w:t xml:space="preserve">De charger le Secrétariat à la sécurité multidimensionnelle de continuer à renforcer la coopération avec la Commission de sécurité de l’Amérique centrale du Système d’intégration centraméricaine (SICA) et, au niveau bilatéral, avec les États qui en font la demande, en ce qui concerne la prévention et la lutte contre la criminalité transnationale organisée ainsi que les mécanismes d’enquête et de contrôle du trafic de drogues dans la sous-région, par le biais d’un travail coordonné avec l’Office des Nations unies contre la drogue et le crime (ONUDC) et l’Organe international de contrôle des stupéfiants (OICS). </w:t>
      </w:r>
    </w:p>
    <w:p w14:paraId="54908E34"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napToGrid w:val="0"/>
          <w:szCs w:val="22"/>
          <w:lang w:val="fr-FR" w:eastAsia="es-ES"/>
        </w:rPr>
      </w:pPr>
    </w:p>
    <w:p w14:paraId="48AC515C"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bCs/>
          <w:snapToGrid w:val="0"/>
          <w:lang w:val="fr-FR"/>
        </w:rPr>
      </w:pPr>
      <w:r w:rsidRPr="00623A2B">
        <w:rPr>
          <w:rFonts w:ascii="Times New Roman" w:hAnsi="Times New Roman"/>
          <w:bCs/>
          <w:snapToGrid w:val="0"/>
          <w:lang w:val="fr-FR"/>
        </w:rPr>
        <w:tab/>
        <w:t>56.</w:t>
      </w:r>
      <w:r w:rsidRPr="00623A2B">
        <w:rPr>
          <w:rFonts w:ascii="Times New Roman" w:hAnsi="Times New Roman"/>
          <w:bCs/>
          <w:snapToGrid w:val="0"/>
          <w:lang w:val="fr-FR"/>
        </w:rPr>
        <w:tab/>
        <w:t xml:space="preserve">De demander au Secrétariat à la sécurité multidimensionnelle, dans la limite des ressources allouées et en coordination avec les organismes compétents des Nations Unies, de mettre à profit l’expérience acquise par le Programme d’aide au contrôle des armes et munitions (PACAM) par </w:t>
      </w:r>
      <w:r w:rsidRPr="00623A2B">
        <w:rPr>
          <w:rFonts w:ascii="Times New Roman" w:hAnsi="Times New Roman"/>
          <w:bCs/>
          <w:snapToGrid w:val="0"/>
          <w:lang w:val="fr-FR"/>
        </w:rPr>
        <w:lastRenderedPageBreak/>
        <w:t>l’intermédiaire du Département de la sécurité publique et avec l’accompagnement de la CICAD, de fournir une coopération et une assistance technique visant à renforcer les capacités nationales en matière d’identification, de contrôle, de manipulation, de stockage, de transport et d’élimination des précurseurs chimiques dans la sous-région, et d’inviter les États membres et les observateurs permanents à envisager de verser des contributions financières et de fournir une coopération bilatérale ou par l'intermédiaire de l'OEA.</w:t>
      </w:r>
    </w:p>
    <w:p w14:paraId="15BA028D"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1C00A3AE" w14:textId="77777777" w:rsidR="00DF2371" w:rsidRPr="00623A2B" w:rsidRDefault="00DF2371" w:rsidP="001B5A48">
      <w:pPr>
        <w:pStyle w:val="ListParagraph"/>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val="0"/>
        <w:rPr>
          <w:rFonts w:ascii="Times New Roman" w:eastAsia="SimSun" w:hAnsi="Times New Roman"/>
          <w:color w:val="000000"/>
          <w:u w:val="single"/>
          <w:lang w:val="fr-FR"/>
        </w:rPr>
      </w:pPr>
      <w:r w:rsidRPr="00623A2B">
        <w:rPr>
          <w:rFonts w:ascii="Times New Roman" w:hAnsi="Times New Roman"/>
          <w:color w:val="000000"/>
          <w:u w:val="single"/>
          <w:lang w:val="fr-FR"/>
        </w:rPr>
        <w:t>Préoccupations particulières des petits États insulaires côtiers de faible altitude et en développement des Caraïbes en matière de sécurité</w:t>
      </w:r>
    </w:p>
    <w:p w14:paraId="5F94167D"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4F2F8FCD"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lang w:val="fr-FR"/>
        </w:rPr>
      </w:pPr>
      <w:r w:rsidRPr="00623A2B">
        <w:rPr>
          <w:rFonts w:ascii="Times New Roman" w:hAnsi="Times New Roman"/>
          <w:lang w:val="fr-FR"/>
        </w:rPr>
        <w:tab/>
        <w:t>57.</w:t>
      </w:r>
      <w:r w:rsidRPr="00623A2B">
        <w:rPr>
          <w:rFonts w:ascii="Times New Roman" w:hAnsi="Times New Roman"/>
          <w:lang w:val="fr-FR"/>
        </w:rPr>
        <w:tab/>
        <w:t xml:space="preserve">De prendre note des observations et des résultats de la réunion de la CSH consacrée à l’analyse des préoccupations particulières des petits États insulaires côtiers de faible altitude et en développement des Caraïbes en matière de sécurité, qui a eu lieu le premier juillet 2021, sur le thème : </w:t>
      </w:r>
      <w:r w:rsidRPr="00623A2B">
        <w:rPr>
          <w:rFonts w:ascii="Times New Roman" w:hAnsi="Times New Roman"/>
          <w:iCs/>
          <w:shd w:val="clear" w:color="auto" w:fill="FFFFFF"/>
          <w:lang w:val="fr-FR"/>
        </w:rPr>
        <w:t>« Une approche multidimensionnelle pour faire progresser la résilience aux catastrophes dans le continent américain/les Caraïbes »</w:t>
      </w:r>
      <w:r w:rsidRPr="00623A2B">
        <w:rPr>
          <w:rFonts w:ascii="Times New Roman" w:hAnsi="Times New Roman"/>
          <w:i/>
          <w:iCs/>
          <w:lang w:val="fr-FR"/>
        </w:rPr>
        <w:t>.</w:t>
      </w:r>
    </w:p>
    <w:p w14:paraId="6EAC95DE"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6DFE6327"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lang w:val="fr-FR"/>
        </w:rPr>
      </w:pPr>
      <w:r w:rsidRPr="00623A2B">
        <w:rPr>
          <w:rFonts w:ascii="Times New Roman" w:hAnsi="Times New Roman"/>
          <w:lang w:val="fr-FR"/>
        </w:rPr>
        <w:tab/>
        <w:t>58.</w:t>
      </w:r>
      <w:r w:rsidRPr="00623A2B">
        <w:rPr>
          <w:rFonts w:ascii="Times New Roman" w:hAnsi="Times New Roman"/>
          <w:lang w:val="fr-FR"/>
        </w:rPr>
        <w:tab/>
        <w:t>De noter que la Déclaration sur la sécurité dans les Amériques reconnaît que les catastrophes naturelles et celles qui sont causées par l'homme font partie des nouvelles menaces, préoccupations et autres défis de nature diverse pour la sécurité du continent américain.</w:t>
      </w:r>
    </w:p>
    <w:p w14:paraId="532EB299"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418672EB"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color w:val="000000"/>
          <w:szCs w:val="22"/>
          <w:lang w:val="fr-FR"/>
        </w:rPr>
      </w:pPr>
      <w:r w:rsidRPr="00623A2B">
        <w:rPr>
          <w:rFonts w:ascii="Times New Roman" w:hAnsi="Times New Roman"/>
          <w:color w:val="000000"/>
          <w:szCs w:val="22"/>
          <w:lang w:val="fr-FR"/>
        </w:rPr>
        <w:t>59.</w:t>
      </w:r>
      <w:r w:rsidRPr="00623A2B">
        <w:rPr>
          <w:rFonts w:ascii="Times New Roman" w:hAnsi="Times New Roman"/>
          <w:color w:val="000000"/>
          <w:szCs w:val="22"/>
          <w:lang w:val="fr-FR"/>
        </w:rPr>
        <w:tab/>
        <w:t>De reconnaître que les catastrophes ont un impact négatif sur la sécurité des petits États insulaires à littoral de faible altitude et en développement des Caraïbes en donnant lieu à l'instabilité et en créant des occasions pour les organisations transnationales criminelles et d’autres organisations criminelles d'exploiter les vulnérabilités, en particulier les populations qui se trouvent déjà en situation de vulnérabilité comme les pauvres, les femmes, les personnes handicapées, les personnes âgées, les personnes vivant dans des communautés rurales, ainsi que les enfants et les jeunes.</w:t>
      </w:r>
    </w:p>
    <w:p w14:paraId="5DF38B51"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63349C7B"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60.</w:t>
      </w:r>
      <w:r w:rsidRPr="00623A2B">
        <w:rPr>
          <w:rFonts w:ascii="Times New Roman" w:hAnsi="Times New Roman"/>
          <w:szCs w:val="22"/>
          <w:lang w:val="fr-FR"/>
        </w:rPr>
        <w:tab/>
        <w:t>De charger le Secrétariat à la sécurité multidimensionnelle de fournir un rapport sur les mandats de sécurité approuvés par l'Assemblée générale et non exécutés qui portent sur les préoccupations des petits États insulaires à littoral de faible altitude et en développement des Caraïbes en matière de sécurité et de concevoir un plan visant le suivi et l’application appropriés de ces mandats non exécutés, aux fins de présentation à la CSH d’ici la fin du premier trimestre de 2022.</w:t>
      </w:r>
    </w:p>
    <w:p w14:paraId="746416C3"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3ECA2F40"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fr-FR"/>
        </w:rPr>
      </w:pPr>
      <w:r w:rsidRPr="00623A2B">
        <w:rPr>
          <w:rFonts w:ascii="Times New Roman" w:hAnsi="Times New Roman"/>
          <w:lang w:val="fr-FR"/>
        </w:rPr>
        <w:t>61.</w:t>
      </w:r>
      <w:r w:rsidRPr="00623A2B">
        <w:rPr>
          <w:rFonts w:ascii="Times New Roman" w:hAnsi="Times New Roman"/>
          <w:lang w:val="fr-FR"/>
        </w:rPr>
        <w:tab/>
        <w:t xml:space="preserve">De charger le Secrétariat général d’élaborer, avant la fin du deuxième trimestre de 2022, des recommandations sur la politique de coopération en matière de sécurité, pour examen par les États membres, y compris des lignes directrices pour ceux d’entre eux qui recherchent une assistance technique de la part d’institutions étrangères chargées de la protection civile, de la sécurité ainsi que militaires, le cas échéant, afin de renforcer leurs interventions en cas de catastrophes et leurs capacités de relèvement moyennant la collaboration du Secrétariat au développement intégré (SEDI), du Secrétariat à la sécurité multidimensionnelle (SSM) et de l’Organisation interaméricaine de défense (JID) ainsi que l’appui de la Commission interaméricaine pour la réduction des catastrophes naturelles (CIRDN), les organisations régionales qui interviennent en matière de gestion des catastrophes, les États membres et les observateurs permanents, aux fins de présentation à la réunion de 2022 sur les préoccupations particulières des petits États insulaires à littoral de faible altitude et en développement des Caraïbes en matière de sécurité. </w:t>
      </w:r>
    </w:p>
    <w:p w14:paraId="6D838031"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72A4C6D2" w14:textId="77777777" w:rsidR="006F6A96" w:rsidRPr="00623A2B" w:rsidRDefault="006F6A9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u w:val="single"/>
          <w:lang w:val="fr-FR"/>
        </w:rPr>
      </w:pPr>
      <w:r w:rsidRPr="00623A2B">
        <w:rPr>
          <w:rFonts w:ascii="Times New Roman" w:hAnsi="Times New Roman"/>
          <w:u w:val="single"/>
          <w:lang w:val="fr-FR"/>
        </w:rPr>
        <w:br w:type="page"/>
      </w:r>
    </w:p>
    <w:p w14:paraId="68D9BEC0" w14:textId="3B8B861C" w:rsidR="00DF2371" w:rsidRPr="00623A2B" w:rsidRDefault="00DF2371" w:rsidP="001B5A48">
      <w:pPr>
        <w:pStyle w:val="ListParagraph"/>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firstLine="0"/>
        <w:contextualSpacing w:val="0"/>
        <w:rPr>
          <w:rFonts w:ascii="Times New Roman" w:hAnsi="Times New Roman"/>
          <w:color w:val="000000"/>
          <w:lang w:val="fr-FR"/>
        </w:rPr>
      </w:pPr>
      <w:r w:rsidRPr="00623A2B">
        <w:rPr>
          <w:rFonts w:ascii="Times New Roman" w:hAnsi="Times New Roman"/>
          <w:u w:val="single"/>
          <w:lang w:val="fr-FR"/>
        </w:rPr>
        <w:lastRenderedPageBreak/>
        <w:t>Incidences du changement climatique en matière de sécurité</w:t>
      </w:r>
      <w:r w:rsidRPr="00623A2B">
        <w:rPr>
          <w:rFonts w:ascii="Times New Roman" w:hAnsi="Times New Roman"/>
          <w:lang w:val="fr-FR"/>
        </w:rPr>
        <w:t xml:space="preserve"> </w:t>
      </w:r>
      <w:r w:rsidRPr="00623A2B">
        <w:rPr>
          <w:rStyle w:val="FootnoteReference"/>
          <w:rFonts w:ascii="Times New Roman" w:hAnsi="Times New Roman"/>
          <w:u w:val="single"/>
          <w:vertAlign w:val="superscript"/>
          <w:lang w:val="fr-FR"/>
        </w:rPr>
        <w:footnoteReference w:id="53"/>
      </w:r>
      <w:r w:rsidRPr="00623A2B">
        <w:rPr>
          <w:rFonts w:ascii="Times New Roman" w:hAnsi="Times New Roman"/>
          <w:u w:val="single"/>
          <w:vertAlign w:val="superscript"/>
          <w:lang w:val="fr-FR"/>
        </w:rPr>
        <w:t>/</w:t>
      </w:r>
    </w:p>
    <w:p w14:paraId="0477BBC6" w14:textId="77777777" w:rsidR="00DF2371" w:rsidRPr="00623A2B" w:rsidRDefault="00DF2371" w:rsidP="00DF2371">
      <w:pPr>
        <w:pStyle w:val="ListParagraph"/>
        <w:ind w:left="0"/>
        <w:rPr>
          <w:rFonts w:ascii="Times New Roman" w:hAnsi="Times New Roman"/>
          <w:lang w:val="fr-FR"/>
        </w:rPr>
      </w:pPr>
    </w:p>
    <w:p w14:paraId="006B3D40"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fr-FR"/>
        </w:rPr>
      </w:pPr>
      <w:r w:rsidRPr="00623A2B">
        <w:rPr>
          <w:rFonts w:ascii="Times New Roman" w:hAnsi="Times New Roman"/>
          <w:lang w:val="fr-FR"/>
        </w:rPr>
        <w:t>62.</w:t>
      </w:r>
      <w:r w:rsidRPr="00623A2B">
        <w:rPr>
          <w:rFonts w:ascii="Times New Roman" w:hAnsi="Times New Roman"/>
          <w:lang w:val="fr-FR"/>
        </w:rPr>
        <w:tab/>
        <w:t>De charger la CSH de poursuivre les discussions sur les incidences du changement climatique en matière de sécurité et d’organiser une réunion au cours du second semestre 2022 pour faciliter les discussions entre les États membres afin d’élargir le partage des connaissances et l’échange des pratiques exemplaires concernant les activités entreprises pour s’attaquer à ce problème.</w:t>
      </w:r>
    </w:p>
    <w:p w14:paraId="2D197B12" w14:textId="77777777" w:rsidR="00DF2371" w:rsidRPr="00623A2B" w:rsidRDefault="00DF2371" w:rsidP="00DF2371">
      <w:pPr>
        <w:pStyle w:val="ListParagraph"/>
        <w:ind w:left="0"/>
        <w:rPr>
          <w:rFonts w:ascii="Times New Roman" w:hAnsi="Times New Roman"/>
          <w:lang w:val="fr-FR"/>
        </w:rPr>
      </w:pPr>
    </w:p>
    <w:p w14:paraId="45932B92"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fr-FR"/>
        </w:rPr>
      </w:pPr>
      <w:r w:rsidRPr="00623A2B">
        <w:rPr>
          <w:rFonts w:ascii="Times New Roman" w:hAnsi="Times New Roman"/>
          <w:lang w:val="fr-FR"/>
        </w:rPr>
        <w:tab/>
        <w:t>63.</w:t>
      </w:r>
      <w:r w:rsidRPr="00623A2B">
        <w:rPr>
          <w:rFonts w:ascii="Times New Roman" w:hAnsi="Times New Roman"/>
          <w:lang w:val="fr-FR"/>
        </w:rPr>
        <w:tab/>
        <w:t>De demander au SSM, en collaboration avec le SEDI et la JID :</w:t>
      </w:r>
    </w:p>
    <w:p w14:paraId="39FB50B3"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953BE49" w14:textId="77777777" w:rsidR="00DF2371" w:rsidRPr="00623A2B" w:rsidRDefault="00DF2371" w:rsidP="001B5A48">
      <w:pPr>
        <w:pStyle w:val="ListParagraph"/>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val="0"/>
        <w:rPr>
          <w:rFonts w:ascii="Times New Roman" w:hAnsi="Times New Roman"/>
          <w:lang w:val="fr-FR"/>
        </w:rPr>
      </w:pPr>
      <w:r w:rsidRPr="00623A2B">
        <w:rPr>
          <w:rFonts w:ascii="Times New Roman" w:hAnsi="Times New Roman"/>
          <w:lang w:val="fr-FR"/>
        </w:rPr>
        <w:t>de soutenir les États membres dans l’élaboration de leurs stratégies nationales et de politiques visant à renforcer les mesures d’adaptation destinées à atténuer les incidences du changement climatique en matière de sécurité, y compris en envisageant de déplacer les installations vulnérables afin de protéger les infrastructures militaires et de sécurité, ainsi que des mesures pour moderniser les moyens matériels et les équipements afin de réduire leur empreinte carbone et d’améliorer leur résilience au climat ;</w:t>
      </w:r>
    </w:p>
    <w:p w14:paraId="1CB7FFDE"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fr-FR"/>
        </w:rPr>
      </w:pPr>
    </w:p>
    <w:p w14:paraId="59DF992D" w14:textId="77777777" w:rsidR="00DF2371" w:rsidRPr="00623A2B" w:rsidRDefault="00DF2371" w:rsidP="001B5A48">
      <w:pPr>
        <w:pStyle w:val="ListParagraph"/>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val="0"/>
        <w:rPr>
          <w:rFonts w:ascii="Times New Roman" w:hAnsi="Times New Roman"/>
          <w:lang w:val="fr-FR"/>
        </w:rPr>
      </w:pPr>
      <w:proofErr w:type="gramStart"/>
      <w:r w:rsidRPr="00623A2B">
        <w:rPr>
          <w:rFonts w:ascii="Times New Roman" w:hAnsi="Times New Roman"/>
          <w:lang w:val="fr-FR"/>
        </w:rPr>
        <w:t>d’élaborer</w:t>
      </w:r>
      <w:proofErr w:type="gramEnd"/>
      <w:r w:rsidRPr="00623A2B">
        <w:rPr>
          <w:rFonts w:ascii="Times New Roman" w:hAnsi="Times New Roman"/>
          <w:lang w:val="fr-FR"/>
        </w:rPr>
        <w:t xml:space="preserve"> des programmes visant à favoriser le renforcement des infrastructures militaires et de sécurité des États membres de l’OEA afin d’accroître, entre autres objectifs, leur capacité à contribuer à la protection de l’environnement, y compris la protection des côtes et des forêts, ainsi qu’à la conservation de la biodiversité ;</w:t>
      </w:r>
    </w:p>
    <w:p w14:paraId="72042FA8" w14:textId="77777777" w:rsidR="00DF2371" w:rsidRPr="00623A2B" w:rsidRDefault="00DF2371" w:rsidP="00DF2371">
      <w:pPr>
        <w:pStyle w:val="ListParagraph"/>
        <w:ind w:left="0"/>
        <w:rPr>
          <w:rFonts w:ascii="Times New Roman" w:hAnsi="Times New Roman"/>
          <w:lang w:val="fr-FR"/>
        </w:rPr>
      </w:pPr>
    </w:p>
    <w:p w14:paraId="25A537D8" w14:textId="77777777" w:rsidR="00DF2371" w:rsidRPr="00623A2B" w:rsidRDefault="00DF2371" w:rsidP="001B5A48">
      <w:pPr>
        <w:pStyle w:val="ListParagraph"/>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val="0"/>
        <w:rPr>
          <w:rFonts w:ascii="Times New Roman" w:hAnsi="Times New Roman"/>
          <w:lang w:val="fr-FR"/>
        </w:rPr>
      </w:pPr>
      <w:proofErr w:type="gramStart"/>
      <w:r w:rsidRPr="00623A2B">
        <w:rPr>
          <w:rFonts w:ascii="Times New Roman" w:hAnsi="Times New Roman"/>
          <w:lang w:val="fr-FR"/>
        </w:rPr>
        <w:t>de</w:t>
      </w:r>
      <w:proofErr w:type="gramEnd"/>
      <w:r w:rsidRPr="00623A2B">
        <w:rPr>
          <w:rFonts w:ascii="Times New Roman" w:hAnsi="Times New Roman"/>
          <w:lang w:val="fr-FR"/>
        </w:rPr>
        <w:t xml:space="preserve"> faciliter, en consultation avec les États membres, la réalisation, d'ici le second semestre de 2022, d'une étude sur d’éventuels facteurs et situations d'insécurité qui pourraient être exacerbés par le changement climatique, et d'élaborer des programmes afin de soutenir les États membres dans l'élaboration de politiques et d'actions préventives pour atténuer ces facteurs.</w:t>
      </w:r>
    </w:p>
    <w:p w14:paraId="4E5C1E07"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EF8D41A"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fr-FR"/>
        </w:rPr>
      </w:pPr>
      <w:r w:rsidRPr="00623A2B">
        <w:rPr>
          <w:rFonts w:ascii="Times New Roman" w:hAnsi="Times New Roman"/>
          <w:lang w:val="fr-FR"/>
        </w:rPr>
        <w:tab/>
        <w:t>64.</w:t>
      </w:r>
      <w:r w:rsidRPr="00623A2B">
        <w:rPr>
          <w:rFonts w:ascii="Times New Roman" w:hAnsi="Times New Roman"/>
          <w:lang w:val="fr-FR"/>
        </w:rPr>
        <w:tab/>
        <w:t>De demander au Secrétariat général, par l’intermédiaire du SSM, d’établir et de présenter au CSH, avant la réunion de 2022 prévue aux termes du paragraphe 62 de la présente résolution, un rapport sur les activités que le SSM a exécutées avec les États membres pour faire face aux incidences du changement climatique en matière de sécurité.</w:t>
      </w:r>
    </w:p>
    <w:p w14:paraId="6AEDAFF3"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B83FA8F"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fr-FR"/>
        </w:rPr>
      </w:pPr>
      <w:r w:rsidRPr="00623A2B">
        <w:rPr>
          <w:rFonts w:ascii="Times New Roman" w:hAnsi="Times New Roman"/>
          <w:lang w:val="fr-FR"/>
        </w:rPr>
        <w:tab/>
        <w:t>65.</w:t>
      </w:r>
      <w:r w:rsidRPr="00623A2B">
        <w:rPr>
          <w:rFonts w:ascii="Times New Roman" w:hAnsi="Times New Roman"/>
          <w:lang w:val="fr-FR"/>
        </w:rPr>
        <w:tab/>
        <w:t>D’encourager les États membres, les observateurs permanents et la communauté des donateurs à envisager de fournir un appui financier pour soutenir le SSM et la JID dans l’élaboration et l’exécution de programmes visant à aider les États membres à faire face aux incidences du changement climatique en matière de sécurité.</w:t>
      </w:r>
    </w:p>
    <w:p w14:paraId="51300E66" w14:textId="77777777" w:rsidR="00DF2371" w:rsidRPr="00623A2B" w:rsidRDefault="00DF2371" w:rsidP="00DF2371">
      <w:pPr>
        <w:pStyle w:val="ListParagraph"/>
        <w:ind w:left="0"/>
        <w:rPr>
          <w:rFonts w:ascii="Times New Roman" w:hAnsi="Times New Roman"/>
          <w:lang w:val="fr-FR"/>
        </w:rPr>
      </w:pPr>
    </w:p>
    <w:p w14:paraId="3BA53FB6" w14:textId="77777777" w:rsidR="00DF2371" w:rsidRPr="00623A2B" w:rsidRDefault="00DF2371" w:rsidP="001B5A48">
      <w:pPr>
        <w:pStyle w:val="ListParagraph"/>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val="0"/>
        <w:rPr>
          <w:rFonts w:ascii="Times New Roman" w:hAnsi="Times New Roman"/>
          <w:color w:val="000000"/>
          <w:lang w:val="fr-FR"/>
        </w:rPr>
      </w:pPr>
      <w:r w:rsidRPr="00623A2B">
        <w:rPr>
          <w:rFonts w:ascii="Times New Roman" w:hAnsi="Times New Roman"/>
          <w:color w:val="000000"/>
          <w:u w:val="single"/>
          <w:lang w:val="fr-FR"/>
        </w:rPr>
        <w:t>Interventions en cas de catastrophe et protection des infrastructures essentielles</w:t>
      </w:r>
    </w:p>
    <w:p w14:paraId="4D8A0F18"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4471EDBA"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bookmarkStart w:id="32" w:name="_Hlk51926470"/>
      <w:r w:rsidRPr="00623A2B">
        <w:rPr>
          <w:rFonts w:ascii="Times New Roman" w:hAnsi="Times New Roman"/>
          <w:color w:val="000000"/>
          <w:szCs w:val="22"/>
          <w:lang w:val="fr-FR"/>
        </w:rPr>
        <w:t>66.</w:t>
      </w:r>
      <w:r w:rsidRPr="00623A2B">
        <w:rPr>
          <w:rFonts w:ascii="Times New Roman" w:hAnsi="Times New Roman"/>
          <w:color w:val="000000"/>
          <w:szCs w:val="22"/>
          <w:lang w:val="fr-FR"/>
        </w:rPr>
        <w:tab/>
        <w:t>Afin de progresser dans l'élaboration d’un modèle de stratégie nationale sur la protection des infrastructures essentielles pour tous les périls, y compris les catastrophes naturelles, confiée au Secrétariat au moyen des résolutions AG/RES. 2925 (XLVIII-O/18) et AG/RES. 2950 (L-O/20) et, en vertu de la réunion de la CSH sur la protection des infrastructures essentielles du 29 avril 2021, de demander instamment aux États membres :</w:t>
      </w:r>
    </w:p>
    <w:p w14:paraId="2E68733C" w14:textId="77777777" w:rsidR="00DF2371" w:rsidRPr="00623A2B" w:rsidRDefault="00DF2371" w:rsidP="001B5A48">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Style w:val="Hyperlink"/>
          <w:rFonts w:ascii="Times New Roman" w:hAnsi="Times New Roman"/>
          <w:color w:val="auto"/>
          <w:szCs w:val="22"/>
          <w:u w:val="none"/>
          <w:lang w:val="fr-FR"/>
        </w:rPr>
      </w:pPr>
      <w:proofErr w:type="gramStart"/>
      <w:r w:rsidRPr="00623A2B">
        <w:rPr>
          <w:rFonts w:ascii="Times New Roman" w:hAnsi="Times New Roman"/>
          <w:color w:val="000000"/>
          <w:szCs w:val="22"/>
          <w:lang w:val="fr-FR"/>
        </w:rPr>
        <w:lastRenderedPageBreak/>
        <w:t>d'envoyer</w:t>
      </w:r>
      <w:proofErr w:type="gramEnd"/>
      <w:r w:rsidRPr="00623A2B">
        <w:rPr>
          <w:rFonts w:ascii="Times New Roman" w:hAnsi="Times New Roman"/>
          <w:color w:val="000000"/>
          <w:szCs w:val="22"/>
          <w:lang w:val="fr-FR"/>
        </w:rPr>
        <w:t xml:space="preserve"> leurs réponses au questionnaire sur la protection des infrastructures essentielles en cas de catastrophe naturelle (disponible en </w:t>
      </w:r>
      <w:hyperlink r:id="rId83" w:history="1">
        <w:r w:rsidRPr="00623A2B">
          <w:rPr>
            <w:rStyle w:val="Hyperlink"/>
            <w:rFonts w:ascii="Times New Roman" w:hAnsi="Times New Roman"/>
            <w:szCs w:val="22"/>
            <w:lang w:val="fr-FR"/>
          </w:rPr>
          <w:t>espagnol</w:t>
        </w:r>
      </w:hyperlink>
      <w:r w:rsidRPr="00623A2B">
        <w:rPr>
          <w:rFonts w:ascii="Times New Roman" w:hAnsi="Times New Roman"/>
          <w:szCs w:val="22"/>
          <w:lang w:val="fr-FR"/>
        </w:rPr>
        <w:t xml:space="preserve"> et en </w:t>
      </w:r>
      <w:hyperlink r:id="rId84" w:history="1">
        <w:r w:rsidRPr="00623A2B">
          <w:rPr>
            <w:rStyle w:val="Hyperlink"/>
            <w:rFonts w:ascii="Times New Roman" w:hAnsi="Times New Roman"/>
            <w:szCs w:val="22"/>
            <w:lang w:val="fr-FR"/>
          </w:rPr>
          <w:t>anglais</w:t>
        </w:r>
      </w:hyperlink>
      <w:r w:rsidRPr="00623A2B">
        <w:rPr>
          <w:rStyle w:val="Hyperlink"/>
          <w:rFonts w:ascii="Times New Roman" w:hAnsi="Times New Roman"/>
          <w:color w:val="auto"/>
          <w:szCs w:val="22"/>
          <w:u w:val="none"/>
          <w:lang w:val="fr-FR"/>
        </w:rPr>
        <w:t>) ;</w:t>
      </w:r>
    </w:p>
    <w:bookmarkEnd w:id="32"/>
    <w:p w14:paraId="7819957E" w14:textId="77777777" w:rsidR="00DF2371" w:rsidRPr="00623A2B" w:rsidRDefault="00DF2371" w:rsidP="001B5A48">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proofErr w:type="gramStart"/>
      <w:r w:rsidRPr="00623A2B">
        <w:rPr>
          <w:rFonts w:ascii="Times New Roman" w:hAnsi="Times New Roman"/>
          <w:szCs w:val="22"/>
          <w:lang w:val="fr-FR"/>
        </w:rPr>
        <w:t>de</w:t>
      </w:r>
      <w:proofErr w:type="gramEnd"/>
      <w:r w:rsidRPr="00623A2B">
        <w:rPr>
          <w:rFonts w:ascii="Times New Roman" w:hAnsi="Times New Roman"/>
          <w:szCs w:val="22"/>
          <w:lang w:val="fr-FR"/>
        </w:rPr>
        <w:t xml:space="preserve"> désigner leurs experts pour collaborer à l'élaboration de la stratégie confiée au Secrétariat général</w:t>
      </w:r>
      <w:r w:rsidRPr="00623A2B">
        <w:rPr>
          <w:rFonts w:ascii="Times New Roman" w:hAnsi="Times New Roman"/>
          <w:color w:val="000000"/>
          <w:szCs w:val="22"/>
          <w:lang w:val="fr-FR"/>
        </w:rPr>
        <w:t>.</w:t>
      </w:r>
    </w:p>
    <w:p w14:paraId="0888F4AB"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091EFB32"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color w:val="000000"/>
          <w:szCs w:val="22"/>
          <w:lang w:val="fr-FR"/>
        </w:rPr>
        <w:t>67.</w:t>
      </w:r>
      <w:r w:rsidRPr="00623A2B">
        <w:rPr>
          <w:rFonts w:ascii="Times New Roman" w:hAnsi="Times New Roman"/>
          <w:color w:val="000000"/>
          <w:szCs w:val="22"/>
          <w:lang w:val="fr-FR"/>
        </w:rPr>
        <w:tab/>
        <w:t>De charger le Secrétariat général de soumettre un rapport sur la mise en œuvre des décisions issues de la dernière session de l'Assemblée générale sur les catastrophes naturelles.</w:t>
      </w:r>
    </w:p>
    <w:p w14:paraId="0497740D" w14:textId="77777777" w:rsidR="00DF2371" w:rsidRPr="00623A2B" w:rsidRDefault="00DF2371" w:rsidP="00DF2371">
      <w:pPr>
        <w:pStyle w:val="ListParagraph"/>
        <w:ind w:left="0"/>
        <w:rPr>
          <w:rFonts w:ascii="Times New Roman" w:hAnsi="Times New Roman"/>
          <w:color w:val="000000"/>
          <w:lang w:val="fr-FR"/>
        </w:rPr>
      </w:pPr>
    </w:p>
    <w:p w14:paraId="414BC3C1"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color w:val="000000"/>
          <w:szCs w:val="22"/>
          <w:lang w:val="fr-FR"/>
        </w:rPr>
        <w:t>68.</w:t>
      </w:r>
      <w:r w:rsidRPr="00623A2B">
        <w:rPr>
          <w:rFonts w:ascii="Times New Roman" w:hAnsi="Times New Roman"/>
          <w:color w:val="000000"/>
          <w:szCs w:val="22"/>
          <w:lang w:val="fr-FR"/>
        </w:rPr>
        <w:tab/>
        <w:t>D'inviter les États membres à envisager la possibilité de fournir le plus large soutien aux pays qui sollicitent une coopération en vue de la mise en œuvre de leurs stratégies et politiques nationales respectives de protection contre les catastrophes naturelles.</w:t>
      </w:r>
    </w:p>
    <w:p w14:paraId="12A1A353"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5E036351" w14:textId="77777777" w:rsidR="00DF2371" w:rsidRPr="00623A2B" w:rsidRDefault="00DF2371" w:rsidP="001B5A48">
      <w:pPr>
        <w:pStyle w:val="ListParagraph"/>
        <w:keepNext/>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val="0"/>
        <w:rPr>
          <w:rFonts w:ascii="Times New Roman" w:hAnsi="Times New Roman"/>
          <w:color w:val="000000"/>
          <w:u w:val="single"/>
          <w:lang w:val="fr-FR"/>
        </w:rPr>
      </w:pPr>
      <w:r w:rsidRPr="00623A2B">
        <w:rPr>
          <w:rFonts w:ascii="Times New Roman" w:hAnsi="Times New Roman"/>
          <w:color w:val="000000"/>
          <w:u w:val="single"/>
          <w:lang w:val="fr-FR"/>
        </w:rPr>
        <w:t>Institutions et instruments interaméricains</w:t>
      </w:r>
    </w:p>
    <w:p w14:paraId="43061529" w14:textId="77777777" w:rsidR="00DF2371" w:rsidRPr="00623A2B" w:rsidRDefault="00DF2371" w:rsidP="00DF237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fr-FR"/>
        </w:rPr>
      </w:pPr>
    </w:p>
    <w:p w14:paraId="5B668D99"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color w:val="000000"/>
          <w:szCs w:val="22"/>
          <w:lang w:val="fr-FR"/>
        </w:rPr>
      </w:pPr>
      <w:r w:rsidRPr="00623A2B">
        <w:rPr>
          <w:rFonts w:ascii="Times New Roman" w:eastAsia="MS Mincho" w:hAnsi="Times New Roman"/>
          <w:color w:val="000000"/>
          <w:szCs w:val="22"/>
          <w:lang w:val="fr-FR"/>
        </w:rPr>
        <w:t>69.</w:t>
      </w:r>
      <w:r w:rsidRPr="00623A2B">
        <w:rPr>
          <w:rFonts w:ascii="Times New Roman" w:eastAsia="MS Mincho" w:hAnsi="Times New Roman"/>
          <w:color w:val="000000"/>
          <w:szCs w:val="22"/>
          <w:lang w:val="fr-FR"/>
        </w:rPr>
        <w:tab/>
        <w:t>De saluer l’offre du Secrétariat aux questions juridiques de fournir, par l’intermédiaire du Département du droit international, un appui et une aide juridiques aux secrétariats techniques des conventions interaméricaines traitant des questions de sécurité.</w:t>
      </w:r>
    </w:p>
    <w:p w14:paraId="08532045"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fr-FR"/>
        </w:rPr>
      </w:pPr>
    </w:p>
    <w:p w14:paraId="7809A9F1"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color w:val="000000"/>
          <w:szCs w:val="22"/>
          <w:lang w:val="fr-FR"/>
        </w:rPr>
        <w:t>70.</w:t>
      </w:r>
      <w:r w:rsidRPr="00623A2B">
        <w:rPr>
          <w:rFonts w:ascii="Times New Roman" w:hAnsi="Times New Roman"/>
          <w:color w:val="000000"/>
          <w:szCs w:val="22"/>
          <w:lang w:val="fr-FR"/>
        </w:rPr>
        <w:tab/>
        <w:t>D’exhorter les États membres de l'OEA à assister à la réunion des États parties à l’Accord concernant la coopération en vue de la répression du trafic illicite maritime et aérien de stupéfiants et de substances psychotropes dans la région des Caraïbes (Accord de San José), en qualité de signataire ou d’État pleinement partie en 2022.</w:t>
      </w:r>
    </w:p>
    <w:p w14:paraId="25C96934"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fr-FR"/>
        </w:rPr>
      </w:pPr>
    </w:p>
    <w:p w14:paraId="3AD5C409" w14:textId="77777777" w:rsidR="00DF2371" w:rsidRPr="00623A2B" w:rsidRDefault="00DF2371" w:rsidP="001B5A48">
      <w:pPr>
        <w:pStyle w:val="ListParagraph"/>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firstLine="0"/>
        <w:contextualSpacing w:val="0"/>
        <w:rPr>
          <w:rFonts w:ascii="Times New Roman" w:hAnsi="Times New Roman"/>
          <w:color w:val="000000"/>
          <w:u w:val="single"/>
          <w:lang w:val="fr-FR"/>
        </w:rPr>
      </w:pPr>
      <w:r w:rsidRPr="00623A2B">
        <w:rPr>
          <w:rFonts w:ascii="Times New Roman" w:hAnsi="Times New Roman"/>
          <w:color w:val="000000"/>
          <w:u w:val="single"/>
          <w:lang w:val="fr-FR"/>
        </w:rPr>
        <w:t>Instruments juridiques interaméricains</w:t>
      </w:r>
    </w:p>
    <w:p w14:paraId="35CE666F"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4A3C9002"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eastAsia="MS Mincho" w:hAnsi="Times New Roman"/>
          <w:color w:val="000000"/>
          <w:szCs w:val="22"/>
          <w:u w:val="single"/>
          <w:lang w:val="fr-FR" w:eastAsia="es-ES_tradnl"/>
        </w:rPr>
      </w:pPr>
      <w:r w:rsidRPr="00623A2B">
        <w:rPr>
          <w:rFonts w:ascii="Times New Roman" w:eastAsia="MS Mincho" w:hAnsi="Times New Roman"/>
          <w:color w:val="000000"/>
          <w:szCs w:val="22"/>
          <w:u w:val="single"/>
          <w:lang w:val="fr-FR" w:eastAsia="es-ES_tradnl"/>
        </w:rPr>
        <w:t>Convention interaméricaine contre la fabrication et le trafic illicites d’armes à feu, de munitions, d’explosifs et d’autres matériels connexes (CIFTA)</w:t>
      </w:r>
    </w:p>
    <w:p w14:paraId="106D74D8" w14:textId="77777777" w:rsidR="00DF2371" w:rsidRPr="00623A2B" w:rsidRDefault="00DF2371" w:rsidP="00DF2371">
      <w:pPr>
        <w:pStyle w:val="ListParagraph"/>
        <w:ind w:left="0"/>
        <w:rPr>
          <w:rFonts w:ascii="Times New Roman" w:hAnsi="Times New Roman"/>
          <w:color w:val="000000"/>
          <w:lang w:val="fr-FR"/>
        </w:rPr>
      </w:pPr>
    </w:p>
    <w:p w14:paraId="52284D52"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bookmarkStart w:id="33" w:name="_Hlk81839776"/>
      <w:r w:rsidRPr="00623A2B">
        <w:rPr>
          <w:rFonts w:ascii="Times New Roman" w:hAnsi="Times New Roman"/>
          <w:color w:val="000000"/>
          <w:lang w:val="fr-FR"/>
        </w:rPr>
        <w:t>71.</w:t>
      </w:r>
      <w:r w:rsidRPr="00623A2B">
        <w:rPr>
          <w:rFonts w:ascii="Times New Roman" w:hAnsi="Times New Roman"/>
          <w:color w:val="000000"/>
          <w:lang w:val="fr-FR"/>
        </w:rPr>
        <w:tab/>
        <w:t>De reconnaître que le trafic illicite d’armes à feu, de munitions, d’explosifs et d’autres matériels connexes constitue un grave problème qui a contribué à engendrer la violence, à accroître le pouvoir des organisations criminelles, à provoquer des pertes de vies humaines, et qui compromet la cohésion sociale et les possibilités de développement des personnes, raison pour laquelle il est nécessaire de mener d’urgence une action coordonnée dans le cadre de la coopération continentale entre les États membres, qui ont la responsabilité partagée</w:t>
      </w:r>
      <w:bookmarkEnd w:id="33"/>
      <w:r w:rsidRPr="00623A2B">
        <w:rPr>
          <w:rFonts w:ascii="Times New Roman" w:hAnsi="Times New Roman"/>
          <w:color w:val="000000"/>
          <w:lang w:val="fr-FR"/>
        </w:rPr>
        <w:t xml:space="preserve"> de prévenir, de combattre et d’éliminer le trafic illicite d’armes à feu, de munitions, d’explosifs et d’autres matériels connexes.</w:t>
      </w:r>
    </w:p>
    <w:p w14:paraId="6F2B2E3C"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p w14:paraId="66999FC4"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623A2B">
        <w:rPr>
          <w:rFonts w:ascii="Times New Roman" w:hAnsi="Times New Roman"/>
          <w:color w:val="000000"/>
          <w:lang w:val="fr-FR"/>
        </w:rPr>
        <w:t>72.</w:t>
      </w:r>
      <w:r w:rsidRPr="00623A2B">
        <w:rPr>
          <w:rFonts w:ascii="Times New Roman" w:hAnsi="Times New Roman"/>
          <w:color w:val="000000"/>
          <w:lang w:val="fr-FR"/>
        </w:rPr>
        <w:tab/>
        <w:t>D’encourager les États qui ne l’ont pas encore fait à envisager de ratifier la Convention interaméricaine contre la fabrication et le trafic illicite d’armes à feu, de munitions, d’explosifs et d’autres matériels connexes ainsi qu’à renforcer les mécanismes de coordination et de coopération afin de consolider l’application efficace de la Convention.</w:t>
      </w:r>
    </w:p>
    <w:p w14:paraId="2E9318AB"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p w14:paraId="5C261244"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623A2B">
        <w:rPr>
          <w:rFonts w:ascii="Times New Roman" w:hAnsi="Times New Roman"/>
          <w:color w:val="000000"/>
          <w:lang w:val="fr-FR"/>
        </w:rPr>
        <w:t>73.</w:t>
      </w:r>
      <w:r w:rsidRPr="00623A2B">
        <w:rPr>
          <w:rFonts w:ascii="Times New Roman" w:hAnsi="Times New Roman"/>
          <w:color w:val="000000"/>
          <w:lang w:val="fr-FR"/>
        </w:rPr>
        <w:tab/>
        <w:t>De réitérer l’appel lancé aux États parties à progresser dans la mise en œuvre des « Orientations 2018-2022 pour le fonctionnement et l’application de la CIFTA » et à solliciter, le cas échéant, l’assistance technique et la coopération du Secrétariat général de l’OEA, par l'intermédiaire du Département contre la criminalité transnationale organisée et du Département de la sécurité publique.</w:t>
      </w:r>
    </w:p>
    <w:p w14:paraId="40E56D46"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623A2B">
        <w:rPr>
          <w:rFonts w:ascii="Times New Roman" w:hAnsi="Times New Roman"/>
          <w:color w:val="000000"/>
          <w:lang w:val="fr-FR"/>
        </w:rPr>
        <w:lastRenderedPageBreak/>
        <w:t>74.</w:t>
      </w:r>
      <w:r w:rsidRPr="00623A2B">
        <w:rPr>
          <w:rFonts w:ascii="Times New Roman" w:hAnsi="Times New Roman"/>
          <w:color w:val="000000"/>
          <w:lang w:val="fr-FR"/>
        </w:rPr>
        <w:tab/>
        <w:t>D’inviter les États membres qui ne l’ont pas encore fait à soumettre au Secrétariat général de l’OEA leurs réponses au Questionnaire sur la mise en œuvre et l’efficacité de la CIFTA, et à désigner ou à mettre à jour le point de contact unique pour la coopération et l’échange d’informations, l’autorité centrale pour l’assistance juridique, et le point de contact opérationnel pour le traçage.</w:t>
      </w:r>
    </w:p>
    <w:p w14:paraId="3C9DDFA3"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p w14:paraId="0F993574"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623A2B">
        <w:rPr>
          <w:rFonts w:ascii="Times New Roman" w:hAnsi="Times New Roman"/>
          <w:color w:val="000000"/>
          <w:lang w:val="fr-FR"/>
        </w:rPr>
        <w:t>75.</w:t>
      </w:r>
      <w:r w:rsidRPr="00623A2B">
        <w:rPr>
          <w:rFonts w:ascii="Times New Roman" w:hAnsi="Times New Roman"/>
          <w:color w:val="000000"/>
          <w:lang w:val="fr-FR"/>
        </w:rPr>
        <w:tab/>
        <w:t>D’avancer dans l’élaboration de l’Étude continentale sur le trafic illicite des armes à feu et des munitions, dont la méthodologie est actuellement mise au point par le Département contre la criminalité transnationale organisée et le Département de la sécurité publique, d’envisager d’inclure la question des explosifs dans la prochaine édition de l’étude et d’inviter les États membres à fournir des informations et à verser des contributions financières afin de contribuer à l’élaboration de la première édition de cette étude.</w:t>
      </w:r>
    </w:p>
    <w:p w14:paraId="03A45054"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p w14:paraId="51AA47EF"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623A2B">
        <w:rPr>
          <w:rFonts w:ascii="Times New Roman" w:hAnsi="Times New Roman"/>
          <w:color w:val="000000"/>
          <w:lang w:val="fr-FR"/>
        </w:rPr>
        <w:t>76.</w:t>
      </w:r>
      <w:r w:rsidRPr="00623A2B">
        <w:rPr>
          <w:rFonts w:ascii="Times New Roman" w:hAnsi="Times New Roman"/>
          <w:color w:val="000000"/>
          <w:lang w:val="fr-FR"/>
        </w:rPr>
        <w:tab/>
        <w:t>D’encourager les États membres, les observateurs permanents, les organisations internationales, régionales et sous-régionales, la communauté internationale et le secteur privé à envisager de verser des contributions volontaires au fonds fiduciaire volontaire dédié à l’amélioration des activités et du fonctionnement des mécanismes établis aux termes de la CIFTA.</w:t>
      </w:r>
    </w:p>
    <w:p w14:paraId="0C96761E"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lang w:val="fr-FR"/>
        </w:rPr>
      </w:pPr>
    </w:p>
    <w:p w14:paraId="033E0BA8"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623A2B">
        <w:rPr>
          <w:rFonts w:ascii="Times New Roman" w:hAnsi="Times New Roman"/>
          <w:color w:val="000000"/>
          <w:lang w:val="fr-FR"/>
        </w:rPr>
        <w:t>77.</w:t>
      </w:r>
      <w:r w:rsidRPr="00623A2B">
        <w:rPr>
          <w:rFonts w:ascii="Times New Roman" w:hAnsi="Times New Roman"/>
          <w:color w:val="000000"/>
          <w:lang w:val="fr-FR"/>
        </w:rPr>
        <w:tab/>
        <w:t>D’accueillir avec satisfaction et d’appuyer les recommandations de la Cinquième Conférence des États parties à la CIFTA, tenue le 5 octobre 2021.</w:t>
      </w:r>
      <w:r w:rsidRPr="00623A2B">
        <w:rPr>
          <w:rStyle w:val="FootnoteReference"/>
          <w:rFonts w:ascii="Times New Roman" w:hAnsi="Times New Roman"/>
          <w:u w:val="single"/>
          <w:vertAlign w:val="superscript"/>
          <w:lang w:val="fr-FR"/>
        </w:rPr>
        <w:footnoteReference w:id="54"/>
      </w:r>
      <w:r w:rsidRPr="00623A2B">
        <w:rPr>
          <w:rFonts w:ascii="Times New Roman" w:hAnsi="Times New Roman"/>
          <w:color w:val="000000"/>
          <w:vertAlign w:val="superscript"/>
          <w:lang w:val="fr-FR"/>
        </w:rPr>
        <w:t>/</w:t>
      </w:r>
    </w:p>
    <w:p w14:paraId="7E51ECB1"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p w14:paraId="27F23924"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623A2B">
        <w:rPr>
          <w:rFonts w:ascii="Times New Roman" w:hAnsi="Times New Roman"/>
          <w:color w:val="000000"/>
          <w:lang w:val="fr-FR"/>
        </w:rPr>
        <w:t>78.</w:t>
      </w:r>
      <w:r w:rsidRPr="00623A2B">
        <w:rPr>
          <w:rFonts w:ascii="Times New Roman" w:hAnsi="Times New Roman"/>
          <w:color w:val="000000"/>
          <w:lang w:val="fr-FR"/>
        </w:rPr>
        <w:tab/>
        <w:t>De convoquer la vingt-deuxième réunion ordinaire du Comité consultatif de la CIFTA, conformément à l’article XXI de la Convention, en 2022, et de demander au Secrétariat technique de la CIFTA de soutenir la préparation et le suivi de ladite réunion.</w:t>
      </w:r>
    </w:p>
    <w:p w14:paraId="1286E7C8"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5C76A4FE"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olor w:val="000000"/>
          <w:szCs w:val="22"/>
          <w:u w:val="single"/>
          <w:shd w:val="clear" w:color="auto" w:fill="FFFFFF"/>
          <w:lang w:val="fr-FR"/>
        </w:rPr>
      </w:pPr>
      <w:r w:rsidRPr="00623A2B">
        <w:rPr>
          <w:rFonts w:ascii="Times New Roman" w:hAnsi="Times New Roman"/>
          <w:color w:val="000000"/>
          <w:szCs w:val="22"/>
          <w:shd w:val="clear" w:color="auto" w:fill="FFFFFF"/>
          <w:lang w:val="fr-FR"/>
        </w:rPr>
        <w:tab/>
      </w:r>
      <w:r w:rsidRPr="00623A2B">
        <w:rPr>
          <w:rFonts w:ascii="Times New Roman" w:eastAsia="MS Mincho" w:hAnsi="Times New Roman"/>
          <w:color w:val="000000"/>
          <w:szCs w:val="22"/>
          <w:u w:val="single"/>
          <w:lang w:val="fr-FR" w:eastAsia="es-ES_tradnl"/>
        </w:rPr>
        <w:t>Convention interaméricaine sur la transparence de l’acquisition des armes classiques</w:t>
      </w:r>
      <w:r w:rsidRPr="00623A2B">
        <w:rPr>
          <w:rFonts w:ascii="Times New Roman" w:hAnsi="Times New Roman"/>
          <w:color w:val="000000"/>
          <w:szCs w:val="22"/>
          <w:u w:val="single"/>
          <w:shd w:val="clear" w:color="auto" w:fill="FFFFFF"/>
          <w:lang w:val="fr-FR"/>
        </w:rPr>
        <w:t xml:space="preserve"> (CITAAC)</w:t>
      </w:r>
    </w:p>
    <w:p w14:paraId="4EA48D19"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19C5D658"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lang w:val="fr-FR"/>
        </w:rPr>
      </w:pPr>
      <w:r w:rsidRPr="00623A2B">
        <w:rPr>
          <w:rFonts w:ascii="Times New Roman" w:hAnsi="Times New Roman"/>
          <w:szCs w:val="22"/>
          <w:lang w:val="fr-FR"/>
        </w:rPr>
        <w:t>79.</w:t>
      </w:r>
      <w:r w:rsidRPr="00623A2B">
        <w:rPr>
          <w:rFonts w:ascii="Times New Roman" w:hAnsi="Times New Roman"/>
          <w:szCs w:val="22"/>
          <w:lang w:val="fr-FR"/>
        </w:rPr>
        <w:tab/>
        <w:t>De convoquer, pour 2022, la Deuxième Conférence des États parties à la CITAAC, conformément à son article VIII et à la résolution AG/RES. 2809 (XLIII-O/13), et de demander au Secrétariat général d'affecter au budget les fonds nécessaires à la tenue de la réunion susmentionnée ainsi que de sessions préparatoires, et de fournir l'appui nécessaire aux préparatifs.</w:t>
      </w:r>
    </w:p>
    <w:p w14:paraId="55BCB4C6"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437002B8"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lang w:val="fr-FR"/>
        </w:rPr>
      </w:pPr>
      <w:r w:rsidRPr="00623A2B">
        <w:rPr>
          <w:rFonts w:ascii="Times New Roman" w:hAnsi="Times New Roman"/>
          <w:szCs w:val="22"/>
          <w:lang w:val="fr-FR"/>
        </w:rPr>
        <w:t>80.</w:t>
      </w:r>
      <w:r w:rsidRPr="00623A2B">
        <w:rPr>
          <w:rFonts w:ascii="Times New Roman" w:hAnsi="Times New Roman"/>
          <w:szCs w:val="22"/>
          <w:lang w:val="fr-FR"/>
        </w:rPr>
        <w:tab/>
        <w:t>De prendre note de l'analyse de la CSH sur les recommandations du SSM et de la JID concernant la création d'un mécanisme de suivi pour la CITAAC (document CP/CSH-1978/20) et de demander à la Deuxième Conférence d'envisager l’adoption desdites recommandations afin de faciliter la mise en œuvre des obligations de la CITAAC. De même, de demander au Secrétariat général de l'OEA d'adopter les mesures nécessaires pour déterminer le département chargé de remplir les fonctions du Secrétariat technique de la CITAAC.</w:t>
      </w:r>
    </w:p>
    <w:p w14:paraId="3B25312C" w14:textId="77777777" w:rsidR="00DF2371" w:rsidRPr="00623A2B" w:rsidRDefault="00DF2371" w:rsidP="00DF2371">
      <w:pPr>
        <w:pStyle w:val="ListParagraph"/>
        <w:ind w:left="0"/>
        <w:rPr>
          <w:rFonts w:ascii="Times New Roman" w:hAnsi="Times New Roman"/>
          <w:color w:val="000000"/>
          <w:u w:val="single"/>
          <w:lang w:val="fr-FR"/>
        </w:rPr>
      </w:pPr>
    </w:p>
    <w:p w14:paraId="1CDC4725"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fr-FR"/>
        </w:rPr>
      </w:pPr>
      <w:r w:rsidRPr="00623A2B">
        <w:rPr>
          <w:rFonts w:ascii="Times New Roman" w:hAnsi="Times New Roman"/>
          <w:color w:val="000000"/>
          <w:kern w:val="32"/>
          <w:szCs w:val="22"/>
          <w:u w:val="single"/>
          <w:lang w:val="fr-FR" w:eastAsia="es-ES"/>
        </w:rPr>
        <w:t>Convention interaméricaine contre le terrorisme</w:t>
      </w:r>
    </w:p>
    <w:p w14:paraId="49A207F8"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68189167"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lang w:val="fr-FR"/>
        </w:rPr>
        <w:t>81.</w:t>
      </w:r>
      <w:r w:rsidRPr="00623A2B">
        <w:rPr>
          <w:rFonts w:ascii="Times New Roman" w:hAnsi="Times New Roman"/>
          <w:lang w:val="fr-FR"/>
        </w:rPr>
        <w:tab/>
        <w:t>D’inviter les États membres qui ne l’ont pas encore fait à envisager de ratifier la Convention interaméricaine contre le terrorisme, adoptée à Bridgetown (Barbade) le 3 juin 2002, ou d’y adhérer, selon le cas, et à soutenir sa pleine mise en œuvre.</w:t>
      </w:r>
    </w:p>
    <w:p w14:paraId="118F143B"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907DFEB"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lang w:val="fr-FR"/>
        </w:rPr>
        <w:lastRenderedPageBreak/>
        <w:t>82.</w:t>
      </w:r>
      <w:r w:rsidRPr="00623A2B">
        <w:rPr>
          <w:rFonts w:ascii="Times New Roman" w:hAnsi="Times New Roman"/>
          <w:lang w:val="fr-FR"/>
        </w:rPr>
        <w:tab/>
        <w:t>De convoquer la première réunion des États parties à la Convention interaméricaine contre le terrorisme au cours de l'année 2022 pour marquer le vingtième anniversaire de sa signature.</w:t>
      </w:r>
    </w:p>
    <w:p w14:paraId="7E2614F5"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15FEEC00" w14:textId="77777777" w:rsidR="00DF2371" w:rsidRPr="00623A2B" w:rsidRDefault="00DF2371" w:rsidP="001B5A48">
      <w:pPr>
        <w:pStyle w:val="ListParagraph"/>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val="0"/>
        <w:rPr>
          <w:rFonts w:ascii="Times New Roman" w:hAnsi="Times New Roman"/>
          <w:color w:val="000000"/>
          <w:u w:val="single"/>
          <w:lang w:val="fr-FR"/>
        </w:rPr>
      </w:pPr>
      <w:r w:rsidRPr="00623A2B">
        <w:rPr>
          <w:rFonts w:ascii="Times New Roman" w:eastAsia="Batang" w:hAnsi="Times New Roman"/>
          <w:color w:val="000000"/>
          <w:u w:val="single"/>
          <w:lang w:val="fr-FR"/>
        </w:rPr>
        <w:t xml:space="preserve">Institutions interaméricaines, observations et recommandations contenues dans les rapports annuels des organes, organismes et entités de l’Organisation (Article 91 </w:t>
      </w:r>
      <w:r w:rsidRPr="00623A2B">
        <w:rPr>
          <w:rFonts w:ascii="Times New Roman" w:eastAsia="Batang" w:hAnsi="Times New Roman"/>
          <w:i/>
          <w:color w:val="000000"/>
          <w:u w:val="single"/>
          <w:lang w:val="fr-FR"/>
        </w:rPr>
        <w:t>f</w:t>
      </w:r>
      <w:r w:rsidRPr="00623A2B">
        <w:rPr>
          <w:rFonts w:ascii="Times New Roman" w:eastAsia="Batang" w:hAnsi="Times New Roman"/>
          <w:color w:val="000000"/>
          <w:u w:val="single"/>
          <w:lang w:val="fr-FR"/>
        </w:rPr>
        <w:t xml:space="preserve"> de la Charte de l’Organisation des États Américains</w:t>
      </w:r>
      <w:r w:rsidRPr="00623A2B">
        <w:rPr>
          <w:rFonts w:ascii="Times New Roman" w:hAnsi="Times New Roman"/>
          <w:color w:val="000000"/>
          <w:u w:val="single"/>
          <w:lang w:val="fr-FR"/>
        </w:rPr>
        <w:t>)</w:t>
      </w:r>
    </w:p>
    <w:p w14:paraId="6FB06C2D"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5E32F2AE"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623A2B">
        <w:rPr>
          <w:rFonts w:ascii="Times New Roman" w:hAnsi="Times New Roman"/>
          <w:color w:val="000000"/>
          <w:szCs w:val="22"/>
          <w:lang w:val="fr-FR"/>
        </w:rPr>
        <w:tab/>
      </w:r>
      <w:r w:rsidRPr="00623A2B">
        <w:rPr>
          <w:rFonts w:ascii="Times New Roman" w:hAnsi="Times New Roman"/>
          <w:color w:val="000000"/>
          <w:kern w:val="32"/>
          <w:szCs w:val="22"/>
          <w:u w:val="single"/>
          <w:lang w:val="fr-FR" w:eastAsia="es-ES"/>
        </w:rPr>
        <w:t>Comité interaméricain contre le terrorisme (CICT</w:t>
      </w:r>
      <w:r w:rsidRPr="00623A2B">
        <w:rPr>
          <w:rFonts w:ascii="Times New Roman" w:hAnsi="Times New Roman"/>
          <w:color w:val="000000"/>
          <w:szCs w:val="22"/>
          <w:u w:val="single"/>
          <w:lang w:val="fr-FR"/>
        </w:rPr>
        <w:t>E)</w:t>
      </w:r>
    </w:p>
    <w:p w14:paraId="6394F29F"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42CAFCD"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lang w:val="fr-FR"/>
        </w:rPr>
        <w:t>83.</w:t>
      </w:r>
      <w:r w:rsidRPr="00623A2B">
        <w:rPr>
          <w:rFonts w:ascii="Times New Roman" w:hAnsi="Times New Roman"/>
          <w:lang w:val="fr-FR"/>
        </w:rPr>
        <w:tab/>
        <w:t>De réitérer sa condamnation énergique et sans équivoque du terrorisme sous toutes ses formes et manifestations, quels qu’en soient les auteurs, les lieux et les buts pour lesquels celui-ci est commis.</w:t>
      </w:r>
    </w:p>
    <w:p w14:paraId="216136D9"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981E179"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lang w:val="fr-FR"/>
        </w:rPr>
        <w:t>84.</w:t>
      </w:r>
      <w:r w:rsidRPr="00623A2B">
        <w:rPr>
          <w:rFonts w:ascii="Times New Roman" w:hAnsi="Times New Roman"/>
          <w:lang w:val="fr-FR"/>
        </w:rPr>
        <w:tab/>
        <w:t>De réaffirmer son engagement à l’égard des activités mises en œuvre par le Comité interaméricain contre le terrorisme (CICTE) en tant que principale entité régionale dont le but est de prévenir et combattre le terrorisme dans les Amériques ainsi que de reconnaître les résultats importants obtenus pendant plus de vingt ans de travail et de soutenir la mise en œuvre de son plan de travail 2021-2022.</w:t>
      </w:r>
    </w:p>
    <w:p w14:paraId="76B3B319" w14:textId="77777777" w:rsidR="00DF2371" w:rsidRPr="00623A2B" w:rsidRDefault="00DF2371" w:rsidP="00DF2371">
      <w:pPr>
        <w:pStyle w:val="ListParagraph"/>
        <w:ind w:left="0"/>
        <w:rPr>
          <w:rFonts w:ascii="Times New Roman" w:hAnsi="Times New Roman"/>
          <w:lang w:val="fr-FR"/>
        </w:rPr>
      </w:pPr>
    </w:p>
    <w:p w14:paraId="66EAC59C"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lang w:val="fr-FR"/>
        </w:rPr>
        <w:t>85.</w:t>
      </w:r>
      <w:r w:rsidRPr="00623A2B">
        <w:rPr>
          <w:rFonts w:ascii="Times New Roman" w:hAnsi="Times New Roman"/>
          <w:lang w:val="fr-FR"/>
        </w:rPr>
        <w:tab/>
        <w:t xml:space="preserve">D’exhorter les États membres à poursuivre, avec l’appui du Secrétariat du CICTE, la mise en œuvre des mesures d’encouragement de la confiance dans le cyberespace identifiées dans la Liste des mesures d’encouragement de la confiance et de la sécurité de l’OEA (CP/CSH-1953/20 rev.1), en particulier en consolidant les capacités nationales et en promouvant le portail des points de contact, afin de renforcer la coopération régionale, la transparence, la prévisibilité et la stabilité dans le cyberespace, ainsi que d’encourager une action régionale en réponse aux </w:t>
      </w:r>
      <w:proofErr w:type="spellStart"/>
      <w:r w:rsidRPr="00623A2B">
        <w:rPr>
          <w:rFonts w:ascii="Times New Roman" w:hAnsi="Times New Roman"/>
          <w:lang w:val="fr-FR"/>
        </w:rPr>
        <w:t>cyberincidents</w:t>
      </w:r>
      <w:proofErr w:type="spellEnd"/>
      <w:r w:rsidRPr="00623A2B">
        <w:rPr>
          <w:rFonts w:ascii="Times New Roman" w:hAnsi="Times New Roman"/>
          <w:lang w:val="fr-FR"/>
        </w:rPr>
        <w:t xml:space="preserve"> malveillants qui menacent la sécurité nationale des États membres et notre vision commune d'un environnement numérique ouvert, accessible, interopérable, fiable, pacifique et sûr.</w:t>
      </w:r>
    </w:p>
    <w:p w14:paraId="57ABD181"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59127EA"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lang w:val="fr-FR"/>
        </w:rPr>
        <w:t>86.</w:t>
      </w:r>
      <w:r w:rsidRPr="00623A2B">
        <w:rPr>
          <w:rFonts w:ascii="Times New Roman" w:hAnsi="Times New Roman"/>
          <w:lang w:val="fr-FR"/>
        </w:rPr>
        <w:tab/>
        <w:t>De promouvoir la coopération, l'échange de bonnes pratiques ainsi que le développement et le renforcement des capacités en matière de cyberdiplomatie, de cybersécurité, de lutte contre la cybercriminalité et de promotion d'un cyberespace ouvert, accessible, interopérable, fiable, pacifique et sûr.</w:t>
      </w:r>
    </w:p>
    <w:p w14:paraId="5CB524FB"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C589D75"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lang w:val="fr-FR"/>
        </w:rPr>
        <w:t>87.</w:t>
      </w:r>
      <w:r w:rsidRPr="00623A2B">
        <w:rPr>
          <w:rFonts w:ascii="Times New Roman" w:hAnsi="Times New Roman"/>
          <w:lang w:val="fr-FR"/>
        </w:rPr>
        <w:tab/>
        <w:t>De demander aux experts du Groupe de travail sur la coopération et les mesures d’encouragement de la confiance dans le cyberespace d’examiner les moyens d’améliorer la mise en œuvre des normes pour un comportement responsable des États dans le cyberespace, contenues dans les rapports du Groupe d’experts gouvernementaux chargé d’examiner les moyens de favoriser le comportement responsable des États dans le cyberespace dans le contexte de la sécurité internationale et du Groupe de travail à composition non limitée sur les progrès de l’informatique et des télécommunications dans le contexte de la sécurité internationale, et de demander au Secrétariat du CICTE de soutenir cet effort.</w:t>
      </w:r>
    </w:p>
    <w:p w14:paraId="5E9D5709"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520E3B0"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fr-FR"/>
        </w:rPr>
      </w:pPr>
      <w:r w:rsidRPr="00623A2B">
        <w:rPr>
          <w:rFonts w:ascii="Times New Roman" w:hAnsi="Times New Roman"/>
          <w:color w:val="201F1E"/>
          <w:lang w:val="fr-FR"/>
        </w:rPr>
        <w:t>88.</w:t>
      </w:r>
      <w:r w:rsidRPr="00623A2B">
        <w:rPr>
          <w:rFonts w:ascii="Times New Roman" w:hAnsi="Times New Roman"/>
          <w:color w:val="201F1E"/>
          <w:lang w:val="fr-FR"/>
        </w:rPr>
        <w:tab/>
        <w:t>D’approuver les rapports de consensus 2021 du Groupe de travail à composition non limitée sur les progrès de l’informatique et des télécommunications dans le contexte de la sécurité internationale et du Groupe d’experts gouvernementaux chargé d’examiner les moyens de favoriser le comportement responsable des États dans le cyberespace dans le contexte de la sécurité internationale, et de s’engager à soutenir et à mettre en œuvre le cadre pour un comportement responsable des États tel que défini dans ces rapports.</w:t>
      </w:r>
    </w:p>
    <w:p w14:paraId="46DC2D5E"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lang w:val="fr-FR"/>
        </w:rPr>
        <w:lastRenderedPageBreak/>
        <w:t>89.</w:t>
      </w:r>
      <w:r w:rsidRPr="00623A2B">
        <w:rPr>
          <w:rFonts w:ascii="Times New Roman" w:hAnsi="Times New Roman"/>
          <w:lang w:val="fr-FR"/>
        </w:rPr>
        <w:tab/>
        <w:t>De convoquer la quatrième réunion du Groupe de travail sur la coopération et les mesures d’encouragement de la confiance dans le cyberespace au cours du premier semestre de 2022.</w:t>
      </w:r>
    </w:p>
    <w:p w14:paraId="07C55C8C"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97C21D4"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lang w:val="fr-FR"/>
        </w:rPr>
        <w:t>90.</w:t>
      </w:r>
      <w:r w:rsidRPr="00623A2B">
        <w:rPr>
          <w:rFonts w:ascii="Times New Roman" w:hAnsi="Times New Roman"/>
          <w:lang w:val="fr-FR"/>
        </w:rPr>
        <w:tab/>
        <w:t xml:space="preserve">De demander au SSM de fournir, par l’intermédiaire du Secrétariat du </w:t>
      </w:r>
      <w:proofErr w:type="gramStart"/>
      <w:r w:rsidRPr="00623A2B">
        <w:rPr>
          <w:rFonts w:ascii="Times New Roman" w:hAnsi="Times New Roman"/>
          <w:lang w:val="fr-FR"/>
        </w:rPr>
        <w:t>CICTE,  une</w:t>
      </w:r>
      <w:proofErr w:type="gramEnd"/>
      <w:r w:rsidRPr="00623A2B">
        <w:rPr>
          <w:rFonts w:ascii="Times New Roman" w:hAnsi="Times New Roman"/>
          <w:lang w:val="fr-FR"/>
        </w:rPr>
        <w:t xml:space="preserve"> assistance et une formation législatives et techniques, s’il y a lieu et conformément aux lois nationales, et de mettre en œuvre des mécanismes visant à renforcer l’identification et l’investigation des groupes terroristes criminels opérant dans la région, y compris par la coopération en matière de renseignement et l’échange d’informations.</w:t>
      </w:r>
    </w:p>
    <w:p w14:paraId="6A2A99FB"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F621576"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lang w:val="fr-FR"/>
        </w:rPr>
        <w:t>91.</w:t>
      </w:r>
      <w:r w:rsidRPr="00623A2B">
        <w:rPr>
          <w:rFonts w:ascii="Times New Roman" w:hAnsi="Times New Roman"/>
          <w:lang w:val="fr-FR"/>
        </w:rPr>
        <w:tab/>
        <w:t>Compte tenu des liens émergents et désastreux entre la criminalité transnationale organisée et le terrorisme sous toutes ses formes, de charger le Secrétariat général de l’OEA de convoquer, par l’intermédiaire du SSM, une réunion mixte du Comité interaméricain contre le terrorisme (CICTE) et de la Commission interaméricaine de lutte contre l’abus des drogues (CICAD), au cours du deuxième trimestre de 2022, afin de discuter des lacunes existantes et de renforcer la coopération continentale pour prévenir et atténuer l’impact de ce fléau sur le continent américain.</w:t>
      </w:r>
    </w:p>
    <w:p w14:paraId="70DE438E"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9D289D0"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lang w:val="fr-FR"/>
        </w:rPr>
        <w:t>92.</w:t>
      </w:r>
      <w:r w:rsidRPr="00623A2B">
        <w:rPr>
          <w:rFonts w:ascii="Times New Roman" w:hAnsi="Times New Roman"/>
          <w:lang w:val="fr-FR"/>
        </w:rPr>
        <w:tab/>
        <w:t>De convoquer la vingt-deuxième session ordinaire du CICTE au cours du premier semestre de 2022 ou suffisamment tôt avant la session ordinaire de l'Assemblée générale de cette même année.</w:t>
      </w:r>
    </w:p>
    <w:p w14:paraId="3CFDA157"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92369F5"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r w:rsidRPr="00623A2B">
        <w:rPr>
          <w:rFonts w:ascii="Times New Roman" w:hAnsi="Times New Roman"/>
          <w:color w:val="000000"/>
          <w:szCs w:val="22"/>
          <w:lang w:val="fr-FR"/>
        </w:rPr>
        <w:tab/>
      </w:r>
      <w:r w:rsidRPr="00623A2B">
        <w:rPr>
          <w:rFonts w:ascii="Times New Roman" w:hAnsi="Times New Roman"/>
          <w:color w:val="000000"/>
          <w:kern w:val="32"/>
          <w:szCs w:val="22"/>
          <w:u w:val="single"/>
          <w:lang w:val="fr-FR" w:eastAsia="es-ES"/>
        </w:rPr>
        <w:t>Organisation interaméricaine de défense</w:t>
      </w:r>
      <w:r w:rsidRPr="00623A2B">
        <w:rPr>
          <w:rFonts w:ascii="Times New Roman" w:hAnsi="Times New Roman"/>
          <w:color w:val="000000"/>
          <w:szCs w:val="22"/>
          <w:u w:val="single"/>
          <w:lang w:val="fr-FR"/>
        </w:rPr>
        <w:t xml:space="preserve"> (JID)</w:t>
      </w:r>
      <w:r w:rsidRPr="00623A2B">
        <w:rPr>
          <w:rFonts w:ascii="Times New Roman" w:hAnsi="Times New Roman"/>
          <w:color w:val="000000"/>
          <w:szCs w:val="22"/>
          <w:lang w:val="fr-FR"/>
        </w:rPr>
        <w:t xml:space="preserve"> </w:t>
      </w:r>
    </w:p>
    <w:p w14:paraId="0EA4D6AA"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64CBF87E"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color w:val="000000"/>
          <w:szCs w:val="22"/>
          <w:lang w:val="fr-FR"/>
        </w:rPr>
        <w:t>93.</w:t>
      </w:r>
      <w:r w:rsidRPr="00623A2B">
        <w:rPr>
          <w:rFonts w:ascii="Times New Roman" w:hAnsi="Times New Roman"/>
          <w:color w:val="000000"/>
          <w:szCs w:val="22"/>
          <w:lang w:val="fr-FR"/>
        </w:rPr>
        <w:tab/>
        <w:t>D'exprimer sa reconnaissance à la JID pour le soutien qu'elle apporte aux États membres, par le biais de services techniques et consultatifs sur des questions liées aux problèmes militaires et de défense dans le continent américain. À cet égard, de demander à la CSH de tenir une réunion spéciale pour commémorer le quatre-vingtième anniversaire de la JID.</w:t>
      </w:r>
    </w:p>
    <w:p w14:paraId="0008F795"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30EC1A1"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94.</w:t>
      </w:r>
      <w:r w:rsidRPr="00623A2B">
        <w:rPr>
          <w:rFonts w:ascii="Times New Roman" w:hAnsi="Times New Roman"/>
          <w:szCs w:val="22"/>
          <w:lang w:val="fr-FR"/>
        </w:rPr>
        <w:tab/>
        <w:t xml:space="preserve">De demander à la JID d’élaborer et de </w:t>
      </w:r>
      <w:r w:rsidRPr="00623A2B">
        <w:rPr>
          <w:rFonts w:ascii="Times New Roman" w:hAnsi="Times New Roman"/>
          <w:color w:val="000000"/>
          <w:szCs w:val="22"/>
          <w:lang w:val="fr-FR"/>
        </w:rPr>
        <w:t xml:space="preserve">promouvoir un programme d’activités, tout au long de l'année, </w:t>
      </w:r>
      <w:r w:rsidRPr="00623A2B">
        <w:rPr>
          <w:rFonts w:ascii="Times New Roman" w:hAnsi="Times New Roman"/>
          <w:szCs w:val="22"/>
          <w:lang w:val="fr-FR"/>
        </w:rPr>
        <w:t xml:space="preserve">pour la célébration du quatre-vingtième anniversaire de sa création, en encourageant la tenue de conférences, de séminaires, de formations et, si possible, d'accords avec des institutions civiles et militaires du continent pour offrir des services techniques, de conseil et d’assistance sur des questions liées à la défense et à la sécurité </w:t>
      </w:r>
      <w:r w:rsidRPr="00623A2B">
        <w:rPr>
          <w:rFonts w:ascii="Times New Roman" w:hAnsi="Times New Roman"/>
          <w:color w:val="000000"/>
          <w:szCs w:val="22"/>
          <w:lang w:val="fr-FR"/>
        </w:rPr>
        <w:t>dans le continent américain</w:t>
      </w:r>
      <w:r w:rsidRPr="00623A2B">
        <w:rPr>
          <w:rFonts w:ascii="Times New Roman" w:hAnsi="Times New Roman"/>
          <w:szCs w:val="22"/>
          <w:lang w:val="fr-FR"/>
        </w:rPr>
        <w:t>.</w:t>
      </w:r>
    </w:p>
    <w:p w14:paraId="182727AA"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12974B5"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95.</w:t>
      </w:r>
      <w:r w:rsidRPr="00623A2B">
        <w:rPr>
          <w:rFonts w:ascii="Times New Roman" w:hAnsi="Times New Roman"/>
          <w:szCs w:val="22"/>
          <w:lang w:val="fr-FR"/>
        </w:rPr>
        <w:tab/>
        <w:t>De demander au Collège interaméricain de défense (CID) de concevoir et d’élaborer un programme de doctorat qui permettra aux représentants qualifiés des États membres de présenter leur candidature et de s'inscrire pour suivre les plus hautes études académiques dans les domaines de la défense et de la sécurité.</w:t>
      </w:r>
    </w:p>
    <w:p w14:paraId="1E6F1654"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6B84E70"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szCs w:val="22"/>
          <w:lang w:val="fr-FR"/>
        </w:rPr>
      </w:pPr>
      <w:r w:rsidRPr="00623A2B">
        <w:rPr>
          <w:rFonts w:ascii="Times New Roman" w:hAnsi="Times New Roman"/>
          <w:szCs w:val="22"/>
          <w:lang w:val="fr-FR"/>
        </w:rPr>
        <w:t>96.</w:t>
      </w:r>
      <w:r w:rsidRPr="00623A2B">
        <w:rPr>
          <w:rFonts w:ascii="Times New Roman" w:hAnsi="Times New Roman"/>
          <w:szCs w:val="22"/>
          <w:lang w:val="fr-FR"/>
        </w:rPr>
        <w:tab/>
        <w:t>De demander à la JID de continuer à fournir des conseils techniques sur les questions relatives aux mesures d’encouragement de la confiance et de la sécurité (MECS), au déminage humanitaire et à la gestion des stocks d’armes, des munitions et des explosifs, en organisant des ateliers et/ou des conférences pour diffuser les connaissances dans le continent américain, en :</w:t>
      </w:r>
    </w:p>
    <w:p w14:paraId="07A5E1D4" w14:textId="77777777" w:rsidR="00DF2371" w:rsidRPr="00623A2B" w:rsidRDefault="00DF2371" w:rsidP="00DF2371">
      <w:pPr>
        <w:pStyle w:val="ListParagraph"/>
        <w:ind w:left="0"/>
        <w:rPr>
          <w:rFonts w:ascii="Times New Roman" w:hAnsi="Times New Roman"/>
          <w:lang w:val="fr-FR"/>
        </w:rPr>
      </w:pPr>
    </w:p>
    <w:p w14:paraId="01D52BE8" w14:textId="77777777" w:rsidR="00DF2371" w:rsidRPr="00623A2B" w:rsidRDefault="00DF2371" w:rsidP="001B5A48">
      <w:pPr>
        <w:pStyle w:val="ListParagraph"/>
        <w:widowControl/>
        <w:numPr>
          <w:ilvl w:val="1"/>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val="0"/>
        <w:rPr>
          <w:rFonts w:ascii="Times New Roman" w:hAnsi="Times New Roman"/>
          <w:lang w:val="fr-FR"/>
        </w:rPr>
      </w:pPr>
      <w:proofErr w:type="gramStart"/>
      <w:r w:rsidRPr="00623A2B">
        <w:rPr>
          <w:rFonts w:ascii="Times New Roman" w:hAnsi="Times New Roman"/>
          <w:lang w:val="fr-FR"/>
        </w:rPr>
        <w:t>participant</w:t>
      </w:r>
      <w:proofErr w:type="gramEnd"/>
      <w:r w:rsidRPr="00623A2B">
        <w:rPr>
          <w:rFonts w:ascii="Times New Roman" w:hAnsi="Times New Roman"/>
          <w:lang w:val="fr-FR"/>
        </w:rPr>
        <w:t xml:space="preserve"> activement à des réunions, forums et séminaires sur ces questions et celles liées à la CIFTA et à la CITAAC ;</w:t>
      </w:r>
    </w:p>
    <w:p w14:paraId="6A0204FF" w14:textId="77777777" w:rsidR="00DF2371" w:rsidRPr="00623A2B" w:rsidRDefault="00DF2371" w:rsidP="00DF2371">
      <w:pPr>
        <w:pStyle w:val="ListParagraph"/>
        <w:ind w:left="0"/>
        <w:rPr>
          <w:rFonts w:ascii="Times New Roman" w:hAnsi="Times New Roman"/>
          <w:lang w:val="fr-FR"/>
        </w:rPr>
      </w:pPr>
    </w:p>
    <w:p w14:paraId="6A86A0CC" w14:textId="77777777" w:rsidR="00DF2371" w:rsidRPr="00623A2B" w:rsidRDefault="00DF2371" w:rsidP="001B5A48">
      <w:pPr>
        <w:pStyle w:val="ListParagraph"/>
        <w:widowControl/>
        <w:numPr>
          <w:ilvl w:val="1"/>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val="0"/>
        <w:rPr>
          <w:rFonts w:ascii="Times New Roman" w:hAnsi="Times New Roman"/>
          <w:lang w:val="fr-FR"/>
        </w:rPr>
      </w:pPr>
      <w:proofErr w:type="gramStart"/>
      <w:r w:rsidRPr="00623A2B">
        <w:rPr>
          <w:rFonts w:ascii="Times New Roman" w:hAnsi="Times New Roman"/>
          <w:lang w:val="fr-FR"/>
        </w:rPr>
        <w:lastRenderedPageBreak/>
        <w:t>fournissant</w:t>
      </w:r>
      <w:proofErr w:type="gramEnd"/>
      <w:r w:rsidRPr="00623A2B">
        <w:rPr>
          <w:rFonts w:ascii="Times New Roman" w:hAnsi="Times New Roman"/>
          <w:lang w:val="fr-FR"/>
        </w:rPr>
        <w:t xml:space="preserve"> des conseils techniques et/ou un contrôle d'assurance de qualité aux missions établies par le </w:t>
      </w:r>
      <w:r w:rsidRPr="00623A2B">
        <w:rPr>
          <w:rFonts w:ascii="Times New Roman" w:hAnsi="Times New Roman"/>
          <w:color w:val="000000"/>
          <w:lang w:val="fr-FR"/>
        </w:rPr>
        <w:t>Programme d’action intégrale contre les mines antipersonnel</w:t>
      </w:r>
      <w:r w:rsidRPr="00623A2B">
        <w:rPr>
          <w:rFonts w:ascii="Times New Roman" w:hAnsi="Times New Roman"/>
          <w:lang w:val="fr-FR"/>
        </w:rPr>
        <w:t xml:space="preserve"> (AICMA) de l'OEA ;</w:t>
      </w:r>
    </w:p>
    <w:p w14:paraId="59B175A1" w14:textId="77777777" w:rsidR="00DF2371" w:rsidRPr="00623A2B" w:rsidRDefault="00DF2371" w:rsidP="001B5A48">
      <w:pPr>
        <w:pStyle w:val="ListParagraph"/>
        <w:widowControl/>
        <w:numPr>
          <w:ilvl w:val="1"/>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val="0"/>
        <w:rPr>
          <w:rFonts w:ascii="Times New Roman" w:hAnsi="Times New Roman"/>
          <w:lang w:val="fr-FR"/>
        </w:rPr>
      </w:pPr>
      <w:proofErr w:type="gramStart"/>
      <w:r w:rsidRPr="00623A2B">
        <w:rPr>
          <w:rFonts w:ascii="Times New Roman" w:hAnsi="Times New Roman"/>
          <w:lang w:val="fr-FR"/>
        </w:rPr>
        <w:t>fournissant</w:t>
      </w:r>
      <w:proofErr w:type="gramEnd"/>
      <w:r w:rsidRPr="00623A2B">
        <w:rPr>
          <w:rFonts w:ascii="Times New Roman" w:hAnsi="Times New Roman"/>
          <w:lang w:val="fr-FR"/>
        </w:rPr>
        <w:t xml:space="preserve"> un soutien technique au SSM dans la gestion et la collecte d'informations des États membres pour la base de données interaméricaine des MECS de l'OEA.</w:t>
      </w:r>
    </w:p>
    <w:p w14:paraId="07FA8B11"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1B5BC08"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97.</w:t>
      </w:r>
      <w:r w:rsidRPr="00623A2B">
        <w:rPr>
          <w:rFonts w:ascii="Times New Roman" w:hAnsi="Times New Roman"/>
          <w:szCs w:val="22"/>
          <w:lang w:val="fr-FR"/>
        </w:rPr>
        <w:tab/>
        <w:t>De demander à la JID de continuer à contribuer à la gestion des risques de catastrophes dans le continent, en coopérant aux efforts en la matière et en renforçant les capacités d’intervention des pays membres, des organismes régionaux et sous-régionaux, et en organisant des exercices et des conférences, en coordination avec le SEDI et la CMDA. De continuer à coopérer avec le SEDI et de soutenir la gestion d'une base de données de l'OEA sur les capacités, d’un recueil d'informations sur la recherche et le sauvetage, des informations sur les points de contact des États membres, des leçons apprises et des expériences réussies des forces armées en matière de gestion des risques de catastrophes sur le Réseau interaméricain pour l'atténuation des catastrophes (RIMD).</w:t>
      </w:r>
    </w:p>
    <w:p w14:paraId="23FB42DE"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9410ED2"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98.</w:t>
      </w:r>
      <w:r w:rsidRPr="00623A2B">
        <w:rPr>
          <w:rFonts w:ascii="Times New Roman" w:hAnsi="Times New Roman"/>
          <w:szCs w:val="22"/>
          <w:lang w:val="fr-FR"/>
        </w:rPr>
        <w:tab/>
        <w:t>De demander à la JID de continuer à renforcer, en coordination avec d'autres organes, agences et entités, les mécanismes de coopération continentale en matière de cyberdéfense, des droits de la personne, du droit international humanitaire, de l'intégration de la dimension de genre, ainsi que de l'évolution du rôle des forces armées et des possibilités qui s’offrent à elles d'atténuer et de faire face aux nouvelles menaces ; à fournir de manière continue des services consultatifs et des analyses techniques sur les menaces et les défis nouveaux et persistants ; à diffuser les expériences réussies, les bonnes pratiques et les enseignements tirés de ces questions ; de même qu’à continuer à participer aux conférences régionales et sous-régionales et à diffuser les conclusions, les résultats, les accords et les engagements en matière de défense et de sécurité issus de ces réunions. De poursuivre le travail d'intégration de la mémoire historique de la CMDA et celle de mise à jour du site Internet de cette Conférence.</w:t>
      </w:r>
    </w:p>
    <w:p w14:paraId="4FE275C4"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DCCB433"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99.</w:t>
      </w:r>
      <w:r w:rsidRPr="00623A2B">
        <w:rPr>
          <w:rFonts w:ascii="Times New Roman" w:hAnsi="Times New Roman"/>
          <w:szCs w:val="22"/>
          <w:lang w:val="fr-FR"/>
        </w:rPr>
        <w:tab/>
        <w:t xml:space="preserve">De féliciter le Collège interaméricain de défense (CID) pour son accréditation par la Middle States Commission on </w:t>
      </w:r>
      <w:proofErr w:type="spellStart"/>
      <w:r w:rsidRPr="00623A2B">
        <w:rPr>
          <w:rFonts w:ascii="Times New Roman" w:hAnsi="Times New Roman"/>
          <w:szCs w:val="22"/>
          <w:lang w:val="fr-FR"/>
        </w:rPr>
        <w:t>Higher</w:t>
      </w:r>
      <w:proofErr w:type="spellEnd"/>
      <w:r w:rsidRPr="00623A2B">
        <w:rPr>
          <w:rFonts w:ascii="Times New Roman" w:hAnsi="Times New Roman"/>
          <w:szCs w:val="22"/>
          <w:lang w:val="fr-FR"/>
        </w:rPr>
        <w:t xml:space="preserve"> Education, qui accrédite les universités les plus prestigieuses aux États-Unis et confirme la capacité du CID à s’acquitter de son mandat en matière de préparation d’officiers militaires et de police nationale, ainsi que de fonctionnaires civils des États membres de l'Organisation des États Américains, qui aient une solide connaissance des questions liées à la sécurité multidimensionnelle et qui soient capables de comprendre et de résoudre les problèmes continentaux, multilatéraux et nationaux auxquels le continent américain est confronté. De reconnaître le CID en tant qu'institution universitaire agréée et accréditée en matière de sécurité et la défense et en tant qu'institution de premier plan dans les Amériques en ce qui concerne l'éducation commune, multinationale, intergouvernementale et interagences en matière de défense et de sécurité.</w:t>
      </w:r>
    </w:p>
    <w:p w14:paraId="7129D3C1"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CAD7B09"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100.</w:t>
      </w:r>
      <w:r w:rsidRPr="00623A2B">
        <w:rPr>
          <w:rFonts w:ascii="Times New Roman" w:hAnsi="Times New Roman"/>
          <w:szCs w:val="22"/>
          <w:lang w:val="fr-FR"/>
        </w:rPr>
        <w:tab/>
        <w:t>D’inviter les États membres et les observateurs permanents à envisager de verser des contributions volontaires au fonds éducatif du CID, dont l’objectif est d’améliorer les possibilités de recherche, de publication, de sensibilisation et d'éducation stratégique des États membres de l’OEA.</w:t>
      </w:r>
    </w:p>
    <w:p w14:paraId="56560613" w14:textId="77777777" w:rsidR="00DF2371" w:rsidRPr="00623A2B" w:rsidRDefault="00DF2371" w:rsidP="00DF2371">
      <w:pPr>
        <w:pStyle w:val="ListParagraph"/>
        <w:ind w:left="0"/>
        <w:rPr>
          <w:rFonts w:ascii="Times New Roman" w:hAnsi="Times New Roman"/>
          <w:color w:val="000000"/>
          <w:lang w:val="fr-FR"/>
        </w:rPr>
      </w:pPr>
    </w:p>
    <w:p w14:paraId="3D33DFD8"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r w:rsidRPr="00623A2B">
        <w:rPr>
          <w:rFonts w:ascii="Times New Roman" w:hAnsi="Times New Roman"/>
          <w:color w:val="000000"/>
          <w:szCs w:val="22"/>
          <w:lang w:val="fr-FR"/>
        </w:rPr>
        <w:tab/>
      </w:r>
      <w:r w:rsidRPr="00623A2B">
        <w:rPr>
          <w:rFonts w:ascii="Times New Roman" w:hAnsi="Times New Roman"/>
          <w:color w:val="000000"/>
          <w:kern w:val="32"/>
          <w:szCs w:val="22"/>
          <w:u w:val="single"/>
          <w:lang w:val="fr-FR" w:eastAsia="es-ES"/>
        </w:rPr>
        <w:t>Commission interaméricaine de lutte contre l’abus des drogues</w:t>
      </w:r>
      <w:r w:rsidRPr="00623A2B">
        <w:rPr>
          <w:rFonts w:ascii="Times New Roman" w:hAnsi="Times New Roman"/>
          <w:color w:val="000000"/>
          <w:szCs w:val="22"/>
          <w:u w:val="single"/>
          <w:lang w:val="fr-FR"/>
        </w:rPr>
        <w:t xml:space="preserve"> (CICAD)</w:t>
      </w:r>
    </w:p>
    <w:p w14:paraId="0A1F2C40"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68F1515D"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101.</w:t>
      </w:r>
      <w:r w:rsidRPr="00623A2B">
        <w:rPr>
          <w:rFonts w:ascii="Times New Roman" w:hAnsi="Times New Roman"/>
          <w:szCs w:val="22"/>
          <w:lang w:val="fr-FR"/>
        </w:rPr>
        <w:tab/>
        <w:t xml:space="preserve">D’accueillir favorablement et faire progresser la mise en œuvre de la Stratégie continentale sur les drogues 2020 de l'Organisation des États Américains (OEA) et de son plan d'action 2021-2025 ; ainsi que d'accueillir les documents relatifs à la méthodologie actualisée du huitième cycle </w:t>
      </w:r>
      <w:r w:rsidRPr="00623A2B">
        <w:rPr>
          <w:rFonts w:ascii="Times New Roman" w:hAnsi="Times New Roman"/>
          <w:szCs w:val="22"/>
          <w:lang w:val="fr-FR"/>
        </w:rPr>
        <w:lastRenderedPageBreak/>
        <w:t>du Mécanisme d'évaluation multilatérale (MEM) pour la période 2021-2024 et les documents d'évaluation correspondant au domaine thématique « Mesures de prévention, de traitement et de soutien au rétablissement » pour 2021, approuvés lors de la soixante-huitième session ordinaire de la CICAD, qui s'est tenue en République de Colombie en décembre 2020 ; de même, d’encourager les États membres à renforcer, selon le principe de la responsabilité commune et partagée, les mécanismes de coopération bilatérale et sous-régionale pour la réduction de l'offre et de la demande, dans le cadre des engagements et des lignes d'action de la Stratégie continentale sur les drogues 2020 de l’OEA et de son plan d’action 2021-2025, en intégrant le respect des droits de la personne et la perspective de genre.</w:t>
      </w:r>
    </w:p>
    <w:p w14:paraId="0CCB4CE2"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E512362"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102.</w:t>
      </w:r>
      <w:r w:rsidRPr="00623A2B">
        <w:rPr>
          <w:rFonts w:ascii="Times New Roman" w:hAnsi="Times New Roman"/>
          <w:szCs w:val="22"/>
          <w:lang w:val="fr-FR"/>
        </w:rPr>
        <w:tab/>
        <w:t>D’encourager les États membres à reconnaître l'importance de protéger et de restaurer, le cas échéant, les écosystèmes et les ressources naturelles qui subissent les effets néfastes liés au problème mondial des drogues, dont la protection et restauration bénéficient de la mise en œuvre de programmes de développement alternatif, intégral et durable qui favorisent également le bien-être des populations vulnérables touchées par les cultures illicites.</w:t>
      </w:r>
    </w:p>
    <w:p w14:paraId="39C76A07"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23B5919"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103.</w:t>
      </w:r>
      <w:r w:rsidRPr="00623A2B">
        <w:rPr>
          <w:rFonts w:ascii="Times New Roman" w:hAnsi="Times New Roman"/>
          <w:szCs w:val="22"/>
          <w:lang w:val="fr-FR"/>
        </w:rPr>
        <w:tab/>
        <w:t>D’encourager les États membres à envisager l'élaboration, l'adoption et la mise en œuvre, en tenant dûment compte des systèmes nationaux, constitutionnels, juridiques et administratifs, de mesures alternatives ou supplémentaires en matière de condamnation ou de sanction dans les cas de nature appropriée, notamment pour les enfants, le cas échéant, qui peuvent inclure la proportionnalité des peines, ainsi qu'à continuer à intégrer des alternatives à l'incarcération innovantes en mettant l'accent sur le traitement de la toxicomanie, l’éducation, la postcure, la réadaptation ou l’intégration sociale, dans les cas appropriés, dans le cadre du plein respect des droits de la personne.</w:t>
      </w:r>
    </w:p>
    <w:p w14:paraId="29D5E3A8"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D8B7A21"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104.</w:t>
      </w:r>
      <w:r w:rsidRPr="00623A2B">
        <w:rPr>
          <w:rFonts w:ascii="Times New Roman" w:hAnsi="Times New Roman"/>
          <w:szCs w:val="22"/>
          <w:lang w:val="fr-FR"/>
        </w:rPr>
        <w:tab/>
        <w:t>De considérer l'impact de la pandémie de COVID-19 sur les consommateurs de drogues, y compris ceux impliquées dans le système de justice pénale, afin de mettre en place des mesures permettant leur accès aux systèmes de santé, ainsi qu'aux programmes d'intégration socio-professionnelle.</w:t>
      </w:r>
    </w:p>
    <w:p w14:paraId="3AD8EC27"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2EE8556F"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105.</w:t>
      </w:r>
      <w:r w:rsidRPr="00623A2B">
        <w:rPr>
          <w:rFonts w:ascii="Times New Roman" w:hAnsi="Times New Roman"/>
          <w:szCs w:val="22"/>
          <w:lang w:val="fr-FR"/>
        </w:rPr>
        <w:tab/>
        <w:t>D’encourager les États membres à promouvoir l'accès aux substances réglementées et leur disponibilité à des fins médicales et scientifiques, y compris l'échange de recherches sur les utilisations possibles du cannabis à des fins médicales et scientifiques, ainsi que l'échange d'expériences dans les domaines de la santé publique, de la sécurité, de la justice et de l’intégration sociale concernant les utilisations du cannabis et la culture du cannabis à ces fins et à des fins industrielles.</w:t>
      </w:r>
    </w:p>
    <w:p w14:paraId="22223ED2"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6D0BA4F"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106.</w:t>
      </w:r>
      <w:r w:rsidRPr="00623A2B">
        <w:rPr>
          <w:rFonts w:ascii="Times New Roman" w:hAnsi="Times New Roman"/>
          <w:szCs w:val="22"/>
          <w:lang w:val="fr-FR"/>
        </w:rPr>
        <w:tab/>
        <w:t>D’exhorter les États membres à mettre en œuvre les recommandations identifiées dans le manuel GENLEA sur les stratégies et meilleures pratiques pour le renforcement de l’égalité de genre dans les organismes nationaux chargés de lutter contre le trafic illicite des drogues dans leurs efforts pour rendre ces agences plus inclusives et équitables du point de vue du genre.</w:t>
      </w:r>
    </w:p>
    <w:p w14:paraId="60882F21"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384FB4C"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107.</w:t>
      </w:r>
      <w:r w:rsidRPr="00623A2B">
        <w:rPr>
          <w:rFonts w:ascii="Times New Roman" w:hAnsi="Times New Roman"/>
          <w:szCs w:val="22"/>
          <w:lang w:val="fr-FR"/>
        </w:rPr>
        <w:tab/>
        <w:t>D’exhorter les États membres à renforcer les mesures de lutte contre le trafic illicite de drogues par voie aérienne, terrestre, maritime et fluviale, en reconnaissant la création récente du groupe de travail de la CICAD sur le contrôle du trafic de drogues par voie aérienne. Dans ce contexte, demander au SE/CICAD de continuer à fournir, selon les besoins, des équipements, une assistance technique et une formation aux autorités compétentes pour lutter contre le trafic illicite de drogues sous ses différentes formes, y compris la commercialisation de drogues synthétiques sur internet et leur distribution par les services postaux et de livraison rapide, ainsi que les formes émergentes résultant de la pandémie de COVID-19.</w:t>
      </w:r>
    </w:p>
    <w:p w14:paraId="7FA98B8A" w14:textId="77777777" w:rsidR="00DF2371" w:rsidRPr="00623A2B" w:rsidRDefault="00DF2371" w:rsidP="00DF2371">
      <w:pPr>
        <w:pStyle w:val="ListParagraph"/>
        <w:ind w:left="0"/>
        <w:rPr>
          <w:rFonts w:ascii="Times New Roman" w:hAnsi="Times New Roman"/>
          <w:lang w:val="fr-FR"/>
        </w:rPr>
      </w:pPr>
    </w:p>
    <w:p w14:paraId="265B33C8"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lastRenderedPageBreak/>
        <w:t>108.</w:t>
      </w:r>
      <w:r w:rsidRPr="00623A2B">
        <w:rPr>
          <w:rFonts w:ascii="Times New Roman" w:hAnsi="Times New Roman"/>
          <w:szCs w:val="22"/>
          <w:lang w:val="fr-FR"/>
        </w:rPr>
        <w:tab/>
        <w:t>D’encourager les États membres à participer à des groupes de travail techniques afin d'améliorer la qualité de la collecte de données sur la production, le trafic, l'interdiction et les tendances de consommation de drogues, compte tenu de l'importance de disposer de données de qualité, actualisées, pertinentes, en libre accès et désagrégées, pour améliorer la comparabilité des données communiquées et de contribuer au système d'alerte rapide pour les Amériques (SATA).</w:t>
      </w:r>
    </w:p>
    <w:p w14:paraId="13DE42DF" w14:textId="77777777" w:rsidR="00DF2371" w:rsidRPr="00623A2B" w:rsidRDefault="00DF2371" w:rsidP="00DF2371">
      <w:pPr>
        <w:pStyle w:val="ListParagraph"/>
        <w:ind w:left="0"/>
        <w:rPr>
          <w:rFonts w:ascii="Times New Roman" w:hAnsi="Times New Roman"/>
          <w:lang w:val="fr-FR"/>
        </w:rPr>
      </w:pPr>
    </w:p>
    <w:p w14:paraId="50B815DD"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fr-FR"/>
        </w:rPr>
      </w:pPr>
      <w:r w:rsidRPr="00623A2B">
        <w:rPr>
          <w:rFonts w:ascii="Times New Roman" w:hAnsi="Times New Roman"/>
          <w:lang w:val="fr-FR"/>
        </w:rPr>
        <w:tab/>
        <w:t>109.</w:t>
      </w:r>
      <w:r w:rsidRPr="00623A2B">
        <w:rPr>
          <w:rFonts w:ascii="Times New Roman" w:hAnsi="Times New Roman"/>
          <w:lang w:val="fr-FR"/>
        </w:rPr>
        <w:tab/>
        <w:t>De reconnaître les efforts des États membres dans la mise à jour des documents d'évaluation du Mécanisme d'évaluation multilatérale (MEM) et de remercier le Groupe de travail intergouvernemental (GTI) et le Groupe d'experts gouvernementaux (GEG) du MEM pour leur travail.</w:t>
      </w:r>
    </w:p>
    <w:p w14:paraId="412BA99C"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31695D8"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110.</w:t>
      </w:r>
      <w:r w:rsidRPr="00623A2B">
        <w:rPr>
          <w:rFonts w:ascii="Times New Roman" w:hAnsi="Times New Roman"/>
          <w:szCs w:val="22"/>
          <w:lang w:val="fr-FR"/>
        </w:rPr>
        <w:tab/>
        <w:t>De remercier le Gouvernement de la République du Costa Rica pour son offre d'accueillir la soixante-dixième session ordinaire de la CICAD, qui se tiendra virtuellement en novembre 2021, et d'accepter son offre</w:t>
      </w:r>
      <w:r w:rsidRPr="00623A2B">
        <w:rPr>
          <w:rFonts w:ascii="Times New Roman" w:hAnsi="Times New Roman"/>
          <w:i/>
          <w:iCs/>
          <w:szCs w:val="22"/>
          <w:lang w:val="fr-FR"/>
        </w:rPr>
        <w:t>.</w:t>
      </w:r>
    </w:p>
    <w:p w14:paraId="547F66F2"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mbria" w:hAnsi="Times New Roman"/>
          <w:szCs w:val="22"/>
          <w:lang w:val="fr-FR"/>
        </w:rPr>
      </w:pPr>
    </w:p>
    <w:p w14:paraId="369D25D6"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fr-FR"/>
        </w:rPr>
      </w:pPr>
    </w:p>
    <w:p w14:paraId="45C14700"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623A2B">
        <w:rPr>
          <w:rFonts w:ascii="Times New Roman" w:hAnsi="Times New Roman"/>
          <w:color w:val="000000"/>
          <w:szCs w:val="22"/>
          <w:lang w:val="fr-FR"/>
        </w:rPr>
        <w:t>II.</w:t>
      </w:r>
      <w:r w:rsidRPr="00623A2B">
        <w:rPr>
          <w:rFonts w:ascii="Times New Roman" w:hAnsi="Times New Roman"/>
          <w:color w:val="000000"/>
          <w:szCs w:val="22"/>
          <w:lang w:val="fr-FR"/>
        </w:rPr>
        <w:tab/>
      </w:r>
      <w:r w:rsidRPr="00623A2B">
        <w:rPr>
          <w:rFonts w:ascii="Times New Roman" w:hAnsi="Times New Roman"/>
          <w:szCs w:val="22"/>
          <w:lang w:val="fr-FR" w:eastAsia="es-ES_tradnl"/>
        </w:rPr>
        <w:t>SUIVI ET RAPPORT</w:t>
      </w:r>
      <w:r w:rsidRPr="00623A2B">
        <w:rPr>
          <w:rFonts w:ascii="Times New Roman" w:hAnsi="Times New Roman"/>
          <w:color w:val="000000"/>
          <w:szCs w:val="22"/>
          <w:lang w:val="fr-FR"/>
        </w:rPr>
        <w:t>S</w:t>
      </w:r>
    </w:p>
    <w:p w14:paraId="22CDB70C"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48F41E5A"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hAnsi="Times New Roman"/>
          <w:color w:val="000000"/>
          <w:szCs w:val="22"/>
          <w:lang w:val="fr-FR"/>
        </w:rPr>
        <w:t>111.</w:t>
      </w:r>
      <w:r w:rsidRPr="00623A2B">
        <w:rPr>
          <w:rFonts w:ascii="Times New Roman" w:hAnsi="Times New Roman"/>
          <w:color w:val="000000"/>
          <w:szCs w:val="22"/>
          <w:lang w:val="fr-FR"/>
        </w:rPr>
        <w:tab/>
      </w:r>
      <w:r w:rsidRPr="00623A2B">
        <w:rPr>
          <w:rFonts w:ascii="Times New Roman" w:hAnsi="Times New Roman"/>
          <w:szCs w:val="22"/>
          <w:lang w:val="fr-FR"/>
        </w:rPr>
        <w:t xml:space="preserve">D'accueillir avec satisfaction la Liste consolidée des points nationaux de contact et des autorités nationales sur diverses questions de sécurité, publiée sous la </w:t>
      </w:r>
      <w:hyperlink r:id="rId85" w:history="1">
        <w:r w:rsidRPr="00623A2B">
          <w:rPr>
            <w:rFonts w:ascii="Times New Roman" w:hAnsi="Times New Roman"/>
            <w:color w:val="0000FF"/>
            <w:szCs w:val="22"/>
            <w:u w:val="single"/>
            <w:lang w:val="fr-FR"/>
          </w:rPr>
          <w:t xml:space="preserve">CP/CSH-2026/21 </w:t>
        </w:r>
        <w:proofErr w:type="spellStart"/>
        <w:r w:rsidRPr="00623A2B">
          <w:rPr>
            <w:rFonts w:ascii="Times New Roman" w:hAnsi="Times New Roman"/>
            <w:color w:val="0000FF"/>
            <w:szCs w:val="22"/>
            <w:u w:val="single"/>
            <w:lang w:val="fr-FR"/>
          </w:rPr>
          <w:t>rev</w:t>
        </w:r>
        <w:proofErr w:type="spellEnd"/>
        <w:r w:rsidRPr="00623A2B">
          <w:rPr>
            <w:rFonts w:ascii="Times New Roman" w:hAnsi="Times New Roman"/>
            <w:color w:val="0000FF"/>
            <w:szCs w:val="22"/>
            <w:u w:val="single"/>
            <w:lang w:val="fr-FR"/>
          </w:rPr>
          <w:t>. 1</w:t>
        </w:r>
      </w:hyperlink>
      <w:r w:rsidRPr="00623A2B">
        <w:rPr>
          <w:rFonts w:ascii="Times New Roman" w:hAnsi="Times New Roman"/>
          <w:szCs w:val="22"/>
          <w:lang w:val="fr-FR"/>
        </w:rPr>
        <w:t>, approuvée par la CSH pour donner suite au mandat établi au paragraphe 206 de la résolution AG/RES. 2950 (L-O/20). En ce sens, de demander au SSM d’envoyer des rappels annuels aux États membres dans le but de mettre à jour et de valider les données reçues, et d’offrir aux États membres de l’OEA accès à ces registres.</w:t>
      </w:r>
    </w:p>
    <w:p w14:paraId="583D381D"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3F9E8D12"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eastAsia="MS Mincho" w:hAnsi="Times New Roman"/>
          <w:color w:val="000000"/>
          <w:szCs w:val="22"/>
          <w:lang w:val="fr-FR"/>
        </w:rPr>
        <w:t>112.</w:t>
      </w:r>
      <w:r w:rsidRPr="00623A2B">
        <w:rPr>
          <w:rFonts w:ascii="Times New Roman" w:eastAsia="MS Mincho" w:hAnsi="Times New Roman"/>
          <w:color w:val="000000"/>
          <w:szCs w:val="22"/>
          <w:lang w:val="fr-FR"/>
        </w:rPr>
        <w:tab/>
        <w:t>De charger le Secrétariat à la sécurité multidimensionnelle de présenter tous les ans à la CSH, au début de chaque période, le plan des activités à réaliser, aux fins de consultation ou de supervision adéquate par les États membres</w:t>
      </w:r>
      <w:r w:rsidRPr="00623A2B">
        <w:rPr>
          <w:rFonts w:ascii="Times New Roman" w:hAnsi="Times New Roman"/>
          <w:color w:val="000000"/>
          <w:szCs w:val="22"/>
          <w:lang w:val="fr-FR"/>
        </w:rPr>
        <w:t>.</w:t>
      </w:r>
    </w:p>
    <w:p w14:paraId="4096D1E4"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4FEF64F"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eastAsia="MS Mincho" w:hAnsi="Times New Roman"/>
          <w:color w:val="000000"/>
          <w:szCs w:val="22"/>
          <w:lang w:val="fr-FR"/>
        </w:rPr>
        <w:t>113.</w:t>
      </w:r>
      <w:r w:rsidRPr="00623A2B">
        <w:rPr>
          <w:rFonts w:ascii="Times New Roman" w:eastAsia="MS Mincho" w:hAnsi="Times New Roman"/>
          <w:color w:val="000000"/>
          <w:szCs w:val="22"/>
          <w:lang w:val="fr-FR"/>
        </w:rPr>
        <w:tab/>
        <w:t>De demander au Conseil permanent de soumettre un rapport à l’Assemblée générale, lors de sa cinquantième-deuxième session ordinaire, sur les suites données à la présente résolution, et d’établir que la mise en œuvre des activités qui y sont prévues dépendra de la disponibilité des ressources financières inscrites à ce titre dans le programme-budget de l’Organisation, ainsi que d’autres ressources</w:t>
      </w:r>
      <w:r w:rsidRPr="00623A2B">
        <w:rPr>
          <w:rFonts w:ascii="Times New Roman" w:hAnsi="Times New Roman"/>
          <w:color w:val="000000"/>
          <w:szCs w:val="22"/>
          <w:lang w:val="fr-FR"/>
        </w:rPr>
        <w:t>.</w:t>
      </w:r>
    </w:p>
    <w:p w14:paraId="743C36C6"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450E305B"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623A2B">
        <w:rPr>
          <w:rFonts w:ascii="Times New Roman" w:eastAsia="MS Mincho" w:hAnsi="Times New Roman"/>
          <w:color w:val="000000"/>
          <w:szCs w:val="22"/>
          <w:lang w:val="fr-FR"/>
        </w:rPr>
        <w:t>114.</w:t>
      </w:r>
      <w:r w:rsidRPr="00623A2B">
        <w:rPr>
          <w:rFonts w:ascii="Times New Roman" w:eastAsia="MS Mincho" w:hAnsi="Times New Roman"/>
          <w:color w:val="000000"/>
          <w:szCs w:val="22"/>
          <w:lang w:val="fr-FR"/>
        </w:rPr>
        <w:tab/>
        <w:t>De reconnaître l'importante participation et les contributions financières des États membres, des observateurs permanents et des partenaires en matière de coopération, et de les inviter à continuer de soutenir l'élaboration, la mise en œuvre et l'évaluation de programmes et de projets sur les questions liées à la sécurité continentale</w:t>
      </w:r>
      <w:r w:rsidRPr="00623A2B">
        <w:rPr>
          <w:rFonts w:ascii="Times New Roman" w:hAnsi="Times New Roman"/>
          <w:color w:val="000000"/>
          <w:szCs w:val="22"/>
          <w:lang w:val="fr-FR"/>
        </w:rPr>
        <w:t>.</w:t>
      </w:r>
    </w:p>
    <w:p w14:paraId="4C61F896"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fr-FR"/>
        </w:rPr>
      </w:pPr>
      <w:r w:rsidRPr="00623A2B">
        <w:rPr>
          <w:rFonts w:ascii="Times New Roman" w:hAnsi="Times New Roman"/>
          <w:color w:val="000000"/>
          <w:szCs w:val="22"/>
          <w:lang w:val="fr-FR"/>
        </w:rPr>
        <w:br w:type="page"/>
      </w:r>
    </w:p>
    <w:p w14:paraId="658A710D"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623A2B">
        <w:rPr>
          <w:rFonts w:ascii="Times New Roman" w:hAnsi="Times New Roman"/>
          <w:color w:val="000000"/>
          <w:szCs w:val="22"/>
          <w:lang w:val="fr-FR"/>
        </w:rPr>
        <w:lastRenderedPageBreak/>
        <w:t>III.</w:t>
      </w:r>
      <w:r w:rsidRPr="00623A2B">
        <w:rPr>
          <w:rFonts w:ascii="Times New Roman" w:hAnsi="Times New Roman"/>
          <w:color w:val="000000"/>
          <w:szCs w:val="22"/>
          <w:lang w:val="fr-FR"/>
        </w:rPr>
        <w:tab/>
      </w:r>
      <w:r w:rsidRPr="00623A2B">
        <w:rPr>
          <w:rFonts w:ascii="Times New Roman" w:hAnsi="Times New Roman"/>
          <w:szCs w:val="22"/>
          <w:lang w:val="fr-FR" w:eastAsia="es-ES_tradnl"/>
        </w:rPr>
        <w:t>CALENDRIER DES RÉUNIONS ET ÉVÉNEMENTS SPÉCIAU</w:t>
      </w:r>
      <w:r w:rsidRPr="00623A2B">
        <w:rPr>
          <w:rFonts w:ascii="Times New Roman" w:hAnsi="Times New Roman"/>
          <w:color w:val="000000"/>
          <w:szCs w:val="22"/>
          <w:lang w:val="fr-FR"/>
        </w:rPr>
        <w:t>X</w:t>
      </w:r>
      <w:r w:rsidRPr="00623A2B">
        <w:rPr>
          <w:rFonts w:ascii="Times New Roman" w:hAnsi="Times New Roman"/>
          <w:color w:val="000000"/>
          <w:szCs w:val="22"/>
          <w:u w:val="single"/>
          <w:vertAlign w:val="superscript"/>
          <w:lang w:val="fr-FR"/>
        </w:rPr>
        <w:footnoteReference w:id="55"/>
      </w:r>
      <w:r w:rsidRPr="00623A2B">
        <w:rPr>
          <w:rFonts w:ascii="Times New Roman" w:hAnsi="Times New Roman"/>
          <w:color w:val="000000"/>
          <w:szCs w:val="22"/>
          <w:vertAlign w:val="superscript"/>
          <w:lang w:val="fr-FR"/>
        </w:rPr>
        <w:t>/</w:t>
      </w:r>
    </w:p>
    <w:p w14:paraId="0B1FE268"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fr-FR"/>
        </w:rPr>
      </w:pPr>
    </w:p>
    <w:p w14:paraId="613D6BB9"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fr-FR"/>
        </w:rPr>
      </w:pPr>
    </w:p>
    <w:tbl>
      <w:tblPr>
        <w:tblW w:w="9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87"/>
        <w:gridCol w:w="1671"/>
        <w:gridCol w:w="1512"/>
        <w:gridCol w:w="3330"/>
        <w:gridCol w:w="1450"/>
      </w:tblGrid>
      <w:tr w:rsidR="00DF2371" w:rsidRPr="00623A2B" w14:paraId="08EA2B26" w14:textId="77777777" w:rsidTr="00C83EA7">
        <w:trPr>
          <w:tblHeader/>
        </w:trPr>
        <w:tc>
          <w:tcPr>
            <w:tcW w:w="1487" w:type="dxa"/>
            <w:shd w:val="clear" w:color="auto" w:fill="FFFFFF"/>
            <w:tcMar>
              <w:top w:w="0" w:type="dxa"/>
              <w:left w:w="108" w:type="dxa"/>
              <w:bottom w:w="0" w:type="dxa"/>
              <w:right w:w="108" w:type="dxa"/>
            </w:tcMar>
          </w:tcPr>
          <w:p w14:paraId="0C5A7E0A"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fr-FR"/>
              </w:rPr>
            </w:pPr>
            <w:r w:rsidRPr="00623A2B">
              <w:rPr>
                <w:rFonts w:ascii="Times New Roman" w:hAnsi="Times New Roman"/>
                <w:color w:val="000000"/>
                <w:lang w:val="fr-FR"/>
              </w:rPr>
              <w:t>Ordre chronologique provisoire</w:t>
            </w:r>
          </w:p>
        </w:tc>
        <w:tc>
          <w:tcPr>
            <w:tcW w:w="1671" w:type="dxa"/>
            <w:shd w:val="clear" w:color="auto" w:fill="FFFFFF"/>
            <w:tcMar>
              <w:top w:w="0" w:type="dxa"/>
              <w:left w:w="108" w:type="dxa"/>
              <w:bottom w:w="0" w:type="dxa"/>
              <w:right w:w="108" w:type="dxa"/>
            </w:tcMar>
          </w:tcPr>
          <w:p w14:paraId="06A1F358"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fr-FR"/>
              </w:rPr>
            </w:pPr>
            <w:r w:rsidRPr="00623A2B">
              <w:rPr>
                <w:rFonts w:ascii="Times New Roman" w:hAnsi="Times New Roman"/>
                <w:color w:val="000000"/>
                <w:lang w:val="fr-FR"/>
              </w:rPr>
              <w:t>Thème</w:t>
            </w:r>
          </w:p>
        </w:tc>
        <w:tc>
          <w:tcPr>
            <w:tcW w:w="1512" w:type="dxa"/>
            <w:shd w:val="clear" w:color="auto" w:fill="FFFFFF"/>
            <w:tcMar>
              <w:top w:w="0" w:type="dxa"/>
              <w:left w:w="108" w:type="dxa"/>
              <w:bottom w:w="0" w:type="dxa"/>
              <w:right w:w="108" w:type="dxa"/>
            </w:tcMar>
          </w:tcPr>
          <w:p w14:paraId="0E0122CE"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fr-FR"/>
              </w:rPr>
            </w:pPr>
            <w:r w:rsidRPr="00623A2B">
              <w:rPr>
                <w:rFonts w:ascii="Times New Roman" w:hAnsi="Times New Roman"/>
                <w:color w:val="000000"/>
                <w:lang w:val="fr-FR"/>
              </w:rPr>
              <w:t>Date approximative</w:t>
            </w:r>
          </w:p>
        </w:tc>
        <w:tc>
          <w:tcPr>
            <w:tcW w:w="3330" w:type="dxa"/>
            <w:shd w:val="clear" w:color="auto" w:fill="FFFFFF"/>
            <w:tcMar>
              <w:top w:w="0" w:type="dxa"/>
              <w:left w:w="108" w:type="dxa"/>
              <w:bottom w:w="0" w:type="dxa"/>
              <w:right w:w="108" w:type="dxa"/>
            </w:tcMar>
          </w:tcPr>
          <w:p w14:paraId="5CA0F647"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fr-FR"/>
              </w:rPr>
            </w:pPr>
            <w:r w:rsidRPr="00623A2B">
              <w:rPr>
                <w:rFonts w:ascii="Times New Roman" w:hAnsi="Times New Roman"/>
                <w:color w:val="000000"/>
                <w:lang w:val="fr-FR"/>
              </w:rPr>
              <w:t>Nom</w:t>
            </w:r>
          </w:p>
        </w:tc>
        <w:tc>
          <w:tcPr>
            <w:tcW w:w="1450" w:type="dxa"/>
            <w:shd w:val="clear" w:color="auto" w:fill="FFFFFF"/>
            <w:tcMar>
              <w:top w:w="0" w:type="dxa"/>
              <w:left w:w="108" w:type="dxa"/>
              <w:bottom w:w="0" w:type="dxa"/>
              <w:right w:w="108" w:type="dxa"/>
            </w:tcMar>
          </w:tcPr>
          <w:p w14:paraId="2614D989"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fr-FR"/>
              </w:rPr>
            </w:pPr>
            <w:r w:rsidRPr="00623A2B">
              <w:rPr>
                <w:rFonts w:ascii="Times New Roman" w:hAnsi="Times New Roman"/>
                <w:color w:val="000000"/>
                <w:lang w:val="fr-FR"/>
              </w:rPr>
              <w:t>Lieu</w:t>
            </w:r>
          </w:p>
        </w:tc>
      </w:tr>
      <w:tr w:rsidR="00DF2371" w:rsidRPr="00623A2B" w14:paraId="76B645EB" w14:textId="77777777" w:rsidTr="00C83EA7">
        <w:tc>
          <w:tcPr>
            <w:tcW w:w="1487" w:type="dxa"/>
            <w:shd w:val="clear" w:color="auto" w:fill="FFFFFF"/>
            <w:tcMar>
              <w:top w:w="0" w:type="dxa"/>
              <w:left w:w="108" w:type="dxa"/>
              <w:bottom w:w="0" w:type="dxa"/>
              <w:right w:w="108" w:type="dxa"/>
            </w:tcMar>
          </w:tcPr>
          <w:p w14:paraId="1A860422"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623A2B">
              <w:rPr>
                <w:rFonts w:ascii="Times New Roman" w:hAnsi="Times New Roman"/>
                <w:bCs/>
                <w:color w:val="000000"/>
                <w:lang w:val="fr-FR"/>
              </w:rPr>
              <w:t>1</w:t>
            </w:r>
          </w:p>
        </w:tc>
        <w:tc>
          <w:tcPr>
            <w:tcW w:w="1671" w:type="dxa"/>
            <w:shd w:val="clear" w:color="auto" w:fill="FFFFFF"/>
            <w:tcMar>
              <w:top w:w="0" w:type="dxa"/>
              <w:left w:w="108" w:type="dxa"/>
              <w:bottom w:w="0" w:type="dxa"/>
              <w:right w:w="108" w:type="dxa"/>
            </w:tcMar>
          </w:tcPr>
          <w:p w14:paraId="22595017"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623A2B">
              <w:rPr>
                <w:rFonts w:ascii="Times New Roman" w:hAnsi="Times New Roman"/>
                <w:bCs/>
                <w:color w:val="000000"/>
                <w:lang w:val="fr-FR"/>
              </w:rPr>
              <w:t>CICAD</w:t>
            </w:r>
          </w:p>
        </w:tc>
        <w:tc>
          <w:tcPr>
            <w:tcW w:w="1512" w:type="dxa"/>
            <w:shd w:val="clear" w:color="auto" w:fill="FFFFFF"/>
            <w:tcMar>
              <w:top w:w="0" w:type="dxa"/>
              <w:left w:w="108" w:type="dxa"/>
              <w:bottom w:w="0" w:type="dxa"/>
              <w:right w:w="108" w:type="dxa"/>
            </w:tcMar>
          </w:tcPr>
          <w:p w14:paraId="57623D9F"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623A2B">
              <w:rPr>
                <w:rFonts w:ascii="Times New Roman" w:hAnsi="Times New Roman"/>
                <w:bCs/>
                <w:color w:val="000000"/>
                <w:lang w:val="fr-FR"/>
              </w:rPr>
              <w:t>Novembre 2021</w:t>
            </w:r>
          </w:p>
        </w:tc>
        <w:tc>
          <w:tcPr>
            <w:tcW w:w="3330" w:type="dxa"/>
            <w:shd w:val="clear" w:color="auto" w:fill="FFFFFF"/>
            <w:tcMar>
              <w:top w:w="0" w:type="dxa"/>
              <w:left w:w="108" w:type="dxa"/>
              <w:bottom w:w="0" w:type="dxa"/>
              <w:right w:w="108" w:type="dxa"/>
            </w:tcMar>
          </w:tcPr>
          <w:p w14:paraId="6EE2F099"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Cs w:val="22"/>
                <w:lang w:val="fr-FR"/>
              </w:rPr>
            </w:pPr>
            <w:r w:rsidRPr="00623A2B">
              <w:rPr>
                <w:rFonts w:ascii="Times New Roman" w:hAnsi="Times New Roman"/>
                <w:bCs/>
                <w:lang w:val="fr-FR"/>
              </w:rPr>
              <w:t>Soixante-dixième session ordinaire de la CICAD</w:t>
            </w:r>
          </w:p>
        </w:tc>
        <w:tc>
          <w:tcPr>
            <w:tcW w:w="1450" w:type="dxa"/>
            <w:tcMar>
              <w:top w:w="0" w:type="dxa"/>
              <w:left w:w="108" w:type="dxa"/>
              <w:bottom w:w="0" w:type="dxa"/>
              <w:right w:w="108" w:type="dxa"/>
            </w:tcMar>
          </w:tcPr>
          <w:p w14:paraId="133516BF"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623A2B">
              <w:rPr>
                <w:rFonts w:ascii="Times New Roman" w:hAnsi="Times New Roman"/>
                <w:bCs/>
                <w:color w:val="000000"/>
                <w:lang w:val="fr-FR"/>
              </w:rPr>
              <w:t>Virtuel</w:t>
            </w:r>
          </w:p>
        </w:tc>
      </w:tr>
      <w:tr w:rsidR="00DF2371" w:rsidRPr="00623A2B" w14:paraId="524FE747" w14:textId="77777777" w:rsidTr="00C83EA7">
        <w:tc>
          <w:tcPr>
            <w:tcW w:w="1487" w:type="dxa"/>
            <w:shd w:val="clear" w:color="auto" w:fill="FFFFFF"/>
            <w:tcMar>
              <w:top w:w="0" w:type="dxa"/>
              <w:left w:w="108" w:type="dxa"/>
              <w:bottom w:w="0" w:type="dxa"/>
              <w:right w:w="108" w:type="dxa"/>
            </w:tcMar>
          </w:tcPr>
          <w:p w14:paraId="49A552D7"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623A2B">
              <w:rPr>
                <w:rFonts w:ascii="Times New Roman" w:hAnsi="Times New Roman"/>
                <w:bCs/>
                <w:color w:val="000000"/>
                <w:lang w:val="fr-FR"/>
              </w:rPr>
              <w:t>2</w:t>
            </w:r>
          </w:p>
        </w:tc>
        <w:tc>
          <w:tcPr>
            <w:tcW w:w="1671" w:type="dxa"/>
            <w:shd w:val="clear" w:color="auto" w:fill="FFFFFF"/>
            <w:tcMar>
              <w:top w:w="0" w:type="dxa"/>
              <w:left w:w="108" w:type="dxa"/>
              <w:bottom w:w="0" w:type="dxa"/>
              <w:right w:w="108" w:type="dxa"/>
            </w:tcMar>
          </w:tcPr>
          <w:p w14:paraId="6667CF5B"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623A2B">
              <w:rPr>
                <w:rFonts w:ascii="Times New Roman" w:hAnsi="Times New Roman"/>
                <w:bCs/>
                <w:color w:val="000000"/>
                <w:lang w:val="fr-FR"/>
              </w:rPr>
              <w:t>CITAAC</w:t>
            </w:r>
          </w:p>
        </w:tc>
        <w:tc>
          <w:tcPr>
            <w:tcW w:w="1512" w:type="dxa"/>
            <w:shd w:val="clear" w:color="auto" w:fill="FFFFFF"/>
            <w:tcMar>
              <w:top w:w="0" w:type="dxa"/>
              <w:left w:w="108" w:type="dxa"/>
              <w:bottom w:w="0" w:type="dxa"/>
              <w:right w:w="108" w:type="dxa"/>
            </w:tcMar>
          </w:tcPr>
          <w:p w14:paraId="378ABA50"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623A2B">
              <w:rPr>
                <w:rFonts w:ascii="Times New Roman" w:hAnsi="Times New Roman"/>
                <w:bCs/>
                <w:color w:val="000000"/>
                <w:lang w:val="fr-FR"/>
              </w:rPr>
              <w:t>2022</w:t>
            </w:r>
          </w:p>
        </w:tc>
        <w:tc>
          <w:tcPr>
            <w:tcW w:w="3330" w:type="dxa"/>
            <w:shd w:val="clear" w:color="auto" w:fill="FFFFFF"/>
            <w:tcMar>
              <w:top w:w="0" w:type="dxa"/>
              <w:left w:w="108" w:type="dxa"/>
              <w:bottom w:w="0" w:type="dxa"/>
              <w:right w:w="108" w:type="dxa"/>
            </w:tcMar>
          </w:tcPr>
          <w:p w14:paraId="601A6A40"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Cs w:val="22"/>
                <w:lang w:val="fr-FR"/>
              </w:rPr>
            </w:pPr>
            <w:r w:rsidRPr="00623A2B">
              <w:rPr>
                <w:rFonts w:ascii="Times New Roman" w:hAnsi="Times New Roman"/>
                <w:bCs/>
                <w:lang w:val="fr-FR"/>
              </w:rPr>
              <w:t>Deuxième Conférence des États parties à la CITAAC</w:t>
            </w:r>
          </w:p>
        </w:tc>
        <w:tc>
          <w:tcPr>
            <w:tcW w:w="1450" w:type="dxa"/>
            <w:tcMar>
              <w:top w:w="0" w:type="dxa"/>
              <w:left w:w="108" w:type="dxa"/>
              <w:bottom w:w="0" w:type="dxa"/>
              <w:right w:w="108" w:type="dxa"/>
            </w:tcMar>
          </w:tcPr>
          <w:p w14:paraId="706AF542"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623A2B">
              <w:rPr>
                <w:rFonts w:ascii="Times New Roman" w:hAnsi="Times New Roman"/>
                <w:bCs/>
                <w:color w:val="000000"/>
                <w:lang w:val="fr-FR"/>
              </w:rPr>
              <w:t>À préciser</w:t>
            </w:r>
          </w:p>
        </w:tc>
      </w:tr>
      <w:tr w:rsidR="00DF2371" w:rsidRPr="00623A2B" w14:paraId="176710F9" w14:textId="77777777" w:rsidTr="00C83EA7">
        <w:tc>
          <w:tcPr>
            <w:tcW w:w="1487" w:type="dxa"/>
            <w:shd w:val="clear" w:color="auto" w:fill="FFFFFF"/>
            <w:tcMar>
              <w:top w:w="0" w:type="dxa"/>
              <w:left w:w="108" w:type="dxa"/>
              <w:bottom w:w="0" w:type="dxa"/>
              <w:right w:w="108" w:type="dxa"/>
            </w:tcMar>
          </w:tcPr>
          <w:p w14:paraId="5E6863D6"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623A2B">
              <w:rPr>
                <w:rFonts w:ascii="Times New Roman" w:hAnsi="Times New Roman"/>
                <w:bCs/>
                <w:color w:val="000000"/>
                <w:lang w:val="fr-FR"/>
              </w:rPr>
              <w:t>3</w:t>
            </w:r>
          </w:p>
        </w:tc>
        <w:tc>
          <w:tcPr>
            <w:tcW w:w="1671" w:type="dxa"/>
            <w:shd w:val="clear" w:color="auto" w:fill="FFFFFF"/>
            <w:tcMar>
              <w:top w:w="0" w:type="dxa"/>
              <w:left w:w="108" w:type="dxa"/>
              <w:bottom w:w="0" w:type="dxa"/>
              <w:right w:w="108" w:type="dxa"/>
            </w:tcMar>
          </w:tcPr>
          <w:p w14:paraId="65CAE8CC"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bCs/>
                <w:color w:val="000000"/>
                <w:szCs w:val="22"/>
                <w:lang w:val="fr-FR"/>
              </w:rPr>
            </w:pPr>
            <w:r w:rsidRPr="00623A2B">
              <w:rPr>
                <w:rFonts w:ascii="Times New Roman" w:hAnsi="Times New Roman"/>
                <w:bCs/>
                <w:color w:val="000000"/>
                <w:lang w:val="fr-FR"/>
              </w:rPr>
              <w:t>CIFTA</w:t>
            </w:r>
          </w:p>
        </w:tc>
        <w:tc>
          <w:tcPr>
            <w:tcW w:w="1512" w:type="dxa"/>
            <w:shd w:val="clear" w:color="auto" w:fill="FFFFFF"/>
            <w:tcMar>
              <w:top w:w="0" w:type="dxa"/>
              <w:left w:w="108" w:type="dxa"/>
              <w:bottom w:w="0" w:type="dxa"/>
              <w:right w:w="108" w:type="dxa"/>
            </w:tcMar>
          </w:tcPr>
          <w:p w14:paraId="3451D511"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bCs/>
                <w:color w:val="000000"/>
                <w:szCs w:val="22"/>
                <w:lang w:val="fr-FR"/>
              </w:rPr>
            </w:pPr>
            <w:r w:rsidRPr="00623A2B">
              <w:rPr>
                <w:rFonts w:ascii="Times New Roman" w:hAnsi="Times New Roman"/>
                <w:bCs/>
                <w:color w:val="000000"/>
                <w:lang w:val="fr-FR"/>
              </w:rPr>
              <w:t>2022</w:t>
            </w:r>
          </w:p>
        </w:tc>
        <w:tc>
          <w:tcPr>
            <w:tcW w:w="3330" w:type="dxa"/>
            <w:shd w:val="clear" w:color="auto" w:fill="FFFFFF"/>
            <w:tcMar>
              <w:top w:w="0" w:type="dxa"/>
              <w:left w:w="108" w:type="dxa"/>
              <w:bottom w:w="0" w:type="dxa"/>
              <w:right w:w="108" w:type="dxa"/>
            </w:tcMar>
          </w:tcPr>
          <w:p w14:paraId="4267C9CA"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bCs/>
                <w:color w:val="000000"/>
                <w:szCs w:val="22"/>
                <w:lang w:val="fr-FR"/>
              </w:rPr>
            </w:pPr>
            <w:r w:rsidRPr="00623A2B">
              <w:rPr>
                <w:rFonts w:ascii="Times New Roman" w:hAnsi="Times New Roman"/>
                <w:bCs/>
                <w:color w:val="000000"/>
                <w:lang w:val="fr-FR"/>
              </w:rPr>
              <w:t>Vingt-deuxième réunion ordinaire du Comité consultatif de la CIFTA</w:t>
            </w:r>
          </w:p>
        </w:tc>
        <w:tc>
          <w:tcPr>
            <w:tcW w:w="1450" w:type="dxa"/>
            <w:tcMar>
              <w:top w:w="0" w:type="dxa"/>
              <w:left w:w="108" w:type="dxa"/>
              <w:bottom w:w="0" w:type="dxa"/>
              <w:right w:w="108" w:type="dxa"/>
            </w:tcMar>
          </w:tcPr>
          <w:p w14:paraId="22B51158"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bCs/>
                <w:color w:val="000000"/>
                <w:szCs w:val="22"/>
                <w:lang w:val="fr-FR"/>
              </w:rPr>
            </w:pPr>
            <w:r w:rsidRPr="00623A2B">
              <w:rPr>
                <w:rFonts w:ascii="Times New Roman" w:hAnsi="Times New Roman"/>
                <w:bCs/>
                <w:color w:val="000000"/>
                <w:lang w:val="fr-FR"/>
              </w:rPr>
              <w:t>À préciser</w:t>
            </w:r>
          </w:p>
        </w:tc>
      </w:tr>
      <w:tr w:rsidR="00DF2371" w:rsidRPr="00623A2B" w14:paraId="730B8475" w14:textId="77777777" w:rsidTr="00C83EA7">
        <w:tc>
          <w:tcPr>
            <w:tcW w:w="1487" w:type="dxa"/>
            <w:shd w:val="clear" w:color="auto" w:fill="FFFFFF"/>
            <w:tcMar>
              <w:top w:w="0" w:type="dxa"/>
              <w:left w:w="108" w:type="dxa"/>
              <w:bottom w:w="0" w:type="dxa"/>
              <w:right w:w="108" w:type="dxa"/>
            </w:tcMar>
          </w:tcPr>
          <w:p w14:paraId="6802D62E"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623A2B">
              <w:rPr>
                <w:rFonts w:ascii="Times New Roman" w:hAnsi="Times New Roman"/>
                <w:bCs/>
                <w:color w:val="000000"/>
                <w:lang w:val="fr-FR"/>
              </w:rPr>
              <w:t>4</w:t>
            </w:r>
          </w:p>
        </w:tc>
        <w:tc>
          <w:tcPr>
            <w:tcW w:w="1671" w:type="dxa"/>
            <w:shd w:val="clear" w:color="auto" w:fill="FFFFFF"/>
            <w:tcMar>
              <w:top w:w="0" w:type="dxa"/>
              <w:left w:w="108" w:type="dxa"/>
              <w:bottom w:w="0" w:type="dxa"/>
              <w:right w:w="108" w:type="dxa"/>
            </w:tcMar>
          </w:tcPr>
          <w:p w14:paraId="4FDF859E"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bCs/>
                <w:color w:val="000000"/>
                <w:szCs w:val="22"/>
                <w:lang w:val="fr-FR"/>
              </w:rPr>
            </w:pPr>
            <w:r w:rsidRPr="00623A2B">
              <w:rPr>
                <w:rFonts w:ascii="Times New Roman" w:hAnsi="Times New Roman"/>
                <w:bCs/>
                <w:color w:val="000000"/>
                <w:lang w:val="fr-FR"/>
              </w:rPr>
              <w:t>CICTE</w:t>
            </w:r>
          </w:p>
        </w:tc>
        <w:tc>
          <w:tcPr>
            <w:tcW w:w="1512" w:type="dxa"/>
            <w:shd w:val="clear" w:color="auto" w:fill="FFFFFF"/>
            <w:tcMar>
              <w:top w:w="0" w:type="dxa"/>
              <w:left w:w="108" w:type="dxa"/>
              <w:bottom w:w="0" w:type="dxa"/>
              <w:right w:w="108" w:type="dxa"/>
            </w:tcMar>
          </w:tcPr>
          <w:p w14:paraId="4D15CF3F"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bCs/>
                <w:color w:val="000000"/>
                <w:szCs w:val="22"/>
                <w:lang w:val="fr-FR"/>
              </w:rPr>
            </w:pPr>
            <w:r w:rsidRPr="00623A2B">
              <w:rPr>
                <w:rFonts w:ascii="Times New Roman" w:hAnsi="Times New Roman"/>
                <w:bCs/>
                <w:color w:val="000000"/>
                <w:lang w:val="fr-FR"/>
              </w:rPr>
              <w:t>2022</w:t>
            </w:r>
          </w:p>
        </w:tc>
        <w:tc>
          <w:tcPr>
            <w:tcW w:w="3330" w:type="dxa"/>
            <w:shd w:val="clear" w:color="auto" w:fill="FFFFFF"/>
            <w:tcMar>
              <w:top w:w="0" w:type="dxa"/>
              <w:left w:w="108" w:type="dxa"/>
              <w:bottom w:w="0" w:type="dxa"/>
              <w:right w:w="108" w:type="dxa"/>
            </w:tcMar>
          </w:tcPr>
          <w:p w14:paraId="58BC7D5A"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bCs/>
                <w:color w:val="000000"/>
                <w:szCs w:val="22"/>
                <w:lang w:val="fr-FR"/>
              </w:rPr>
            </w:pPr>
            <w:r w:rsidRPr="00623A2B">
              <w:rPr>
                <w:rFonts w:ascii="Times New Roman" w:hAnsi="Times New Roman"/>
                <w:bCs/>
                <w:color w:val="000000"/>
                <w:lang w:val="fr-FR"/>
              </w:rPr>
              <w:t>Première réunion des États parties à la Convention interaméricaine contre le terrorisme</w:t>
            </w:r>
          </w:p>
        </w:tc>
        <w:tc>
          <w:tcPr>
            <w:tcW w:w="1450" w:type="dxa"/>
            <w:tcMar>
              <w:top w:w="0" w:type="dxa"/>
              <w:left w:w="108" w:type="dxa"/>
              <w:bottom w:w="0" w:type="dxa"/>
              <w:right w:w="108" w:type="dxa"/>
            </w:tcMar>
          </w:tcPr>
          <w:p w14:paraId="5221BAE3"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bCs/>
                <w:color w:val="000000"/>
                <w:szCs w:val="22"/>
                <w:lang w:val="fr-FR"/>
              </w:rPr>
            </w:pPr>
            <w:r w:rsidRPr="00623A2B">
              <w:rPr>
                <w:rFonts w:ascii="Times New Roman" w:hAnsi="Times New Roman"/>
                <w:bCs/>
                <w:color w:val="000000"/>
                <w:lang w:val="fr-FR"/>
              </w:rPr>
              <w:t>À préciser</w:t>
            </w:r>
          </w:p>
        </w:tc>
      </w:tr>
      <w:tr w:rsidR="00DF2371" w:rsidRPr="00623A2B" w14:paraId="0F2520C9" w14:textId="77777777" w:rsidTr="00C83EA7">
        <w:tc>
          <w:tcPr>
            <w:tcW w:w="1487" w:type="dxa"/>
            <w:shd w:val="clear" w:color="auto" w:fill="FFFFFF"/>
            <w:tcMar>
              <w:top w:w="0" w:type="dxa"/>
              <w:left w:w="108" w:type="dxa"/>
              <w:bottom w:w="0" w:type="dxa"/>
              <w:right w:w="108" w:type="dxa"/>
            </w:tcMar>
          </w:tcPr>
          <w:p w14:paraId="1BE56F39"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623A2B">
              <w:rPr>
                <w:rFonts w:ascii="Times New Roman" w:hAnsi="Times New Roman"/>
                <w:bCs/>
                <w:color w:val="000000"/>
                <w:lang w:val="fr-FR"/>
              </w:rPr>
              <w:t>5</w:t>
            </w:r>
          </w:p>
        </w:tc>
        <w:tc>
          <w:tcPr>
            <w:tcW w:w="1671" w:type="dxa"/>
            <w:shd w:val="clear" w:color="auto" w:fill="FFFFFF"/>
            <w:tcMar>
              <w:top w:w="0" w:type="dxa"/>
              <w:left w:w="108" w:type="dxa"/>
              <w:bottom w:w="0" w:type="dxa"/>
              <w:right w:w="108" w:type="dxa"/>
            </w:tcMar>
          </w:tcPr>
          <w:p w14:paraId="4BE894C7"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bCs/>
                <w:color w:val="000000"/>
                <w:szCs w:val="22"/>
                <w:lang w:val="fr-FR"/>
              </w:rPr>
            </w:pPr>
            <w:r w:rsidRPr="00623A2B">
              <w:rPr>
                <w:rFonts w:ascii="Times New Roman" w:hAnsi="Times New Roman"/>
                <w:bCs/>
                <w:color w:val="000000"/>
                <w:lang w:val="fr-FR"/>
              </w:rPr>
              <w:t>CICTE</w:t>
            </w:r>
          </w:p>
        </w:tc>
        <w:tc>
          <w:tcPr>
            <w:tcW w:w="1512" w:type="dxa"/>
            <w:shd w:val="clear" w:color="auto" w:fill="FFFFFF"/>
            <w:tcMar>
              <w:top w:w="0" w:type="dxa"/>
              <w:left w:w="108" w:type="dxa"/>
              <w:bottom w:w="0" w:type="dxa"/>
              <w:right w:w="108" w:type="dxa"/>
            </w:tcMar>
          </w:tcPr>
          <w:p w14:paraId="34A0838A"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bCs/>
                <w:color w:val="000000"/>
                <w:szCs w:val="22"/>
                <w:lang w:val="fr-FR"/>
              </w:rPr>
            </w:pPr>
            <w:r w:rsidRPr="00623A2B">
              <w:rPr>
                <w:rFonts w:ascii="Times New Roman" w:hAnsi="Times New Roman"/>
                <w:bCs/>
                <w:color w:val="000000"/>
                <w:lang w:val="fr-FR"/>
              </w:rPr>
              <w:t>Premier semestre de 2022</w:t>
            </w:r>
          </w:p>
        </w:tc>
        <w:tc>
          <w:tcPr>
            <w:tcW w:w="3330" w:type="dxa"/>
            <w:shd w:val="clear" w:color="auto" w:fill="FFFFFF"/>
            <w:tcMar>
              <w:top w:w="0" w:type="dxa"/>
              <w:left w:w="108" w:type="dxa"/>
              <w:bottom w:w="0" w:type="dxa"/>
              <w:right w:w="108" w:type="dxa"/>
            </w:tcMar>
          </w:tcPr>
          <w:p w14:paraId="0CE31888"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bCs/>
                <w:color w:val="000000"/>
                <w:szCs w:val="22"/>
                <w:lang w:val="fr-FR"/>
              </w:rPr>
            </w:pPr>
            <w:r w:rsidRPr="00623A2B">
              <w:rPr>
                <w:rFonts w:ascii="Times New Roman" w:hAnsi="Times New Roman"/>
                <w:bCs/>
                <w:color w:val="000000"/>
                <w:lang w:val="fr-FR"/>
              </w:rPr>
              <w:t>Quatrième réunion du Groupe de travail chargé des mesures de coopération et de confiance dans le cyberespace</w:t>
            </w:r>
          </w:p>
        </w:tc>
        <w:tc>
          <w:tcPr>
            <w:tcW w:w="1450" w:type="dxa"/>
            <w:tcMar>
              <w:top w:w="0" w:type="dxa"/>
              <w:left w:w="108" w:type="dxa"/>
              <w:bottom w:w="0" w:type="dxa"/>
              <w:right w:w="108" w:type="dxa"/>
            </w:tcMar>
          </w:tcPr>
          <w:p w14:paraId="7F30D33F"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bCs/>
                <w:color w:val="000000"/>
                <w:szCs w:val="22"/>
                <w:lang w:val="fr-FR"/>
              </w:rPr>
            </w:pPr>
            <w:r w:rsidRPr="00623A2B">
              <w:rPr>
                <w:rFonts w:ascii="Times New Roman" w:hAnsi="Times New Roman"/>
                <w:bCs/>
                <w:color w:val="000000"/>
                <w:lang w:val="fr-FR"/>
              </w:rPr>
              <w:t>À préciser</w:t>
            </w:r>
          </w:p>
        </w:tc>
      </w:tr>
      <w:tr w:rsidR="00DF2371" w:rsidRPr="00623A2B" w14:paraId="31801366" w14:textId="77777777" w:rsidTr="00C83EA7">
        <w:tc>
          <w:tcPr>
            <w:tcW w:w="1487" w:type="dxa"/>
            <w:shd w:val="clear" w:color="auto" w:fill="FFFFFF"/>
            <w:tcMar>
              <w:top w:w="0" w:type="dxa"/>
              <w:left w:w="108" w:type="dxa"/>
              <w:bottom w:w="0" w:type="dxa"/>
              <w:right w:w="108" w:type="dxa"/>
            </w:tcMar>
          </w:tcPr>
          <w:p w14:paraId="1E676D1A"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623A2B">
              <w:rPr>
                <w:rFonts w:ascii="Times New Roman" w:hAnsi="Times New Roman"/>
                <w:bCs/>
                <w:color w:val="000000"/>
                <w:lang w:val="fr-FR"/>
              </w:rPr>
              <w:t>6</w:t>
            </w:r>
          </w:p>
        </w:tc>
        <w:tc>
          <w:tcPr>
            <w:tcW w:w="1671" w:type="dxa"/>
            <w:shd w:val="clear" w:color="auto" w:fill="FFFFFF"/>
            <w:tcMar>
              <w:top w:w="0" w:type="dxa"/>
              <w:left w:w="108" w:type="dxa"/>
              <w:bottom w:w="0" w:type="dxa"/>
              <w:right w:w="108" w:type="dxa"/>
            </w:tcMar>
          </w:tcPr>
          <w:p w14:paraId="00D14D20"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bCs/>
                <w:color w:val="000000"/>
                <w:szCs w:val="22"/>
                <w:lang w:val="fr-FR"/>
              </w:rPr>
            </w:pPr>
            <w:r w:rsidRPr="00623A2B">
              <w:rPr>
                <w:rFonts w:ascii="Times New Roman" w:hAnsi="Times New Roman"/>
                <w:bCs/>
                <w:color w:val="000000"/>
                <w:lang w:val="fr-FR"/>
              </w:rPr>
              <w:t>CICTE</w:t>
            </w:r>
          </w:p>
        </w:tc>
        <w:tc>
          <w:tcPr>
            <w:tcW w:w="1512" w:type="dxa"/>
            <w:shd w:val="clear" w:color="auto" w:fill="FFFFFF"/>
            <w:tcMar>
              <w:top w:w="0" w:type="dxa"/>
              <w:left w:w="108" w:type="dxa"/>
              <w:bottom w:w="0" w:type="dxa"/>
              <w:right w:w="108" w:type="dxa"/>
            </w:tcMar>
          </w:tcPr>
          <w:p w14:paraId="78886D75"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bCs/>
                <w:color w:val="000000"/>
                <w:szCs w:val="22"/>
                <w:lang w:val="fr-FR"/>
              </w:rPr>
            </w:pPr>
            <w:r w:rsidRPr="00623A2B">
              <w:rPr>
                <w:rFonts w:ascii="Times New Roman" w:hAnsi="Times New Roman"/>
                <w:bCs/>
                <w:color w:val="000000"/>
                <w:lang w:val="fr-FR"/>
              </w:rPr>
              <w:t>Premier semestre de 2022</w:t>
            </w:r>
          </w:p>
        </w:tc>
        <w:tc>
          <w:tcPr>
            <w:tcW w:w="3330" w:type="dxa"/>
            <w:shd w:val="clear" w:color="auto" w:fill="FFFFFF"/>
            <w:tcMar>
              <w:top w:w="0" w:type="dxa"/>
              <w:left w:w="108" w:type="dxa"/>
              <w:bottom w:w="0" w:type="dxa"/>
              <w:right w:w="108" w:type="dxa"/>
            </w:tcMar>
          </w:tcPr>
          <w:p w14:paraId="24DC217C"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bCs/>
                <w:color w:val="000000"/>
                <w:szCs w:val="22"/>
                <w:lang w:val="fr-FR"/>
              </w:rPr>
            </w:pPr>
            <w:r w:rsidRPr="00623A2B">
              <w:rPr>
                <w:rFonts w:ascii="Times New Roman" w:hAnsi="Times New Roman"/>
                <w:bCs/>
                <w:color w:val="000000"/>
                <w:lang w:val="fr-FR"/>
              </w:rPr>
              <w:t>Vingt-deuxième session ordinaire du CICTE</w:t>
            </w:r>
          </w:p>
        </w:tc>
        <w:tc>
          <w:tcPr>
            <w:tcW w:w="1450" w:type="dxa"/>
            <w:tcMar>
              <w:top w:w="0" w:type="dxa"/>
              <w:left w:w="108" w:type="dxa"/>
              <w:bottom w:w="0" w:type="dxa"/>
              <w:right w:w="108" w:type="dxa"/>
            </w:tcMar>
          </w:tcPr>
          <w:p w14:paraId="2BFD5A5B"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bCs/>
                <w:color w:val="000000"/>
                <w:szCs w:val="22"/>
                <w:lang w:val="fr-FR"/>
              </w:rPr>
            </w:pPr>
            <w:r w:rsidRPr="00623A2B">
              <w:rPr>
                <w:rFonts w:ascii="Times New Roman" w:hAnsi="Times New Roman"/>
                <w:bCs/>
                <w:color w:val="000000"/>
                <w:lang w:val="fr-FR"/>
              </w:rPr>
              <w:t>À préciser</w:t>
            </w:r>
          </w:p>
        </w:tc>
      </w:tr>
      <w:tr w:rsidR="00DF2371" w:rsidRPr="00623A2B" w14:paraId="5A310418" w14:textId="77777777" w:rsidTr="00C83EA7">
        <w:tc>
          <w:tcPr>
            <w:tcW w:w="1487" w:type="dxa"/>
            <w:shd w:val="clear" w:color="auto" w:fill="FFFFFF"/>
            <w:tcMar>
              <w:top w:w="0" w:type="dxa"/>
              <w:left w:w="108" w:type="dxa"/>
              <w:bottom w:w="0" w:type="dxa"/>
              <w:right w:w="108" w:type="dxa"/>
            </w:tcMar>
          </w:tcPr>
          <w:p w14:paraId="19750EB1"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623A2B">
              <w:rPr>
                <w:rFonts w:ascii="Times New Roman" w:hAnsi="Times New Roman"/>
                <w:color w:val="000000"/>
                <w:lang w:val="fr-FR"/>
              </w:rPr>
              <w:t>7</w:t>
            </w:r>
          </w:p>
        </w:tc>
        <w:tc>
          <w:tcPr>
            <w:tcW w:w="1671" w:type="dxa"/>
            <w:shd w:val="clear" w:color="auto" w:fill="FFFFFF"/>
            <w:tcMar>
              <w:top w:w="0" w:type="dxa"/>
              <w:left w:w="108" w:type="dxa"/>
              <w:bottom w:w="0" w:type="dxa"/>
              <w:right w:w="108" w:type="dxa"/>
            </w:tcMar>
          </w:tcPr>
          <w:p w14:paraId="3AC15F96"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623A2B">
              <w:rPr>
                <w:rFonts w:ascii="Times New Roman" w:hAnsi="Times New Roman"/>
                <w:color w:val="000000"/>
                <w:lang w:val="fr-FR"/>
              </w:rPr>
              <w:t>CTO</w:t>
            </w:r>
          </w:p>
        </w:tc>
        <w:tc>
          <w:tcPr>
            <w:tcW w:w="1512" w:type="dxa"/>
            <w:shd w:val="clear" w:color="auto" w:fill="FFFFFF"/>
            <w:tcMar>
              <w:top w:w="0" w:type="dxa"/>
              <w:left w:w="108" w:type="dxa"/>
              <w:bottom w:w="0" w:type="dxa"/>
              <w:right w:w="108" w:type="dxa"/>
            </w:tcMar>
          </w:tcPr>
          <w:p w14:paraId="277CDBAE"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623A2B">
              <w:rPr>
                <w:rFonts w:ascii="Times New Roman" w:hAnsi="Times New Roman"/>
                <w:color w:val="000000"/>
                <w:lang w:val="fr-FR"/>
              </w:rPr>
              <w:t>Second semestre de 2022</w:t>
            </w:r>
          </w:p>
        </w:tc>
        <w:tc>
          <w:tcPr>
            <w:tcW w:w="3330" w:type="dxa"/>
            <w:shd w:val="clear" w:color="auto" w:fill="FFFFFF"/>
            <w:tcMar>
              <w:top w:w="0" w:type="dxa"/>
              <w:left w:w="108" w:type="dxa"/>
              <w:bottom w:w="0" w:type="dxa"/>
              <w:right w:w="108" w:type="dxa"/>
            </w:tcMar>
          </w:tcPr>
          <w:p w14:paraId="7C04620C"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623A2B">
              <w:rPr>
                <w:rFonts w:ascii="Times New Roman" w:hAnsi="Times New Roman"/>
                <w:color w:val="000000"/>
                <w:lang w:val="fr-FR"/>
              </w:rPr>
              <w:t>Réunion des points de contact nationaux en matière de criminalité transnationale organisée</w:t>
            </w:r>
          </w:p>
        </w:tc>
        <w:tc>
          <w:tcPr>
            <w:tcW w:w="1450" w:type="dxa"/>
            <w:tcMar>
              <w:top w:w="0" w:type="dxa"/>
              <w:left w:w="108" w:type="dxa"/>
              <w:bottom w:w="0" w:type="dxa"/>
              <w:right w:w="108" w:type="dxa"/>
            </w:tcMar>
          </w:tcPr>
          <w:p w14:paraId="4F325D45"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623A2B">
              <w:rPr>
                <w:rFonts w:ascii="Times New Roman" w:hAnsi="Times New Roman"/>
                <w:color w:val="000000"/>
                <w:lang w:val="fr-FR"/>
              </w:rPr>
              <w:t>Washington, D.C.</w:t>
            </w:r>
          </w:p>
        </w:tc>
      </w:tr>
      <w:tr w:rsidR="00DF2371" w:rsidRPr="00623A2B" w14:paraId="5E38E4DA" w14:textId="77777777" w:rsidTr="00C83EA7">
        <w:tc>
          <w:tcPr>
            <w:tcW w:w="1487" w:type="dxa"/>
            <w:shd w:val="clear" w:color="auto" w:fill="FFFFFF"/>
            <w:tcMar>
              <w:top w:w="0" w:type="dxa"/>
              <w:left w:w="108" w:type="dxa"/>
              <w:bottom w:w="0" w:type="dxa"/>
              <w:right w:w="108" w:type="dxa"/>
            </w:tcMar>
          </w:tcPr>
          <w:p w14:paraId="2576F95E"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p>
        </w:tc>
        <w:tc>
          <w:tcPr>
            <w:tcW w:w="1671" w:type="dxa"/>
            <w:shd w:val="clear" w:color="auto" w:fill="FFFFFF"/>
            <w:tcMar>
              <w:top w:w="0" w:type="dxa"/>
              <w:left w:w="108" w:type="dxa"/>
              <w:bottom w:w="0" w:type="dxa"/>
              <w:right w:w="108" w:type="dxa"/>
            </w:tcMar>
          </w:tcPr>
          <w:p w14:paraId="60494D29"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tc>
        <w:tc>
          <w:tcPr>
            <w:tcW w:w="1512" w:type="dxa"/>
            <w:shd w:val="clear" w:color="auto" w:fill="FFFFFF"/>
            <w:tcMar>
              <w:top w:w="0" w:type="dxa"/>
              <w:left w:w="108" w:type="dxa"/>
              <w:bottom w:w="0" w:type="dxa"/>
              <w:right w:w="108" w:type="dxa"/>
            </w:tcMar>
          </w:tcPr>
          <w:p w14:paraId="7721F8B4"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tc>
        <w:tc>
          <w:tcPr>
            <w:tcW w:w="3330" w:type="dxa"/>
            <w:shd w:val="clear" w:color="auto" w:fill="FFFFFF"/>
            <w:tcMar>
              <w:top w:w="0" w:type="dxa"/>
              <w:left w:w="108" w:type="dxa"/>
              <w:bottom w:w="0" w:type="dxa"/>
              <w:right w:w="108" w:type="dxa"/>
            </w:tcMar>
          </w:tcPr>
          <w:p w14:paraId="6D4F1749"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50" w:type="dxa"/>
            <w:shd w:val="clear" w:color="auto" w:fill="FFFFFF"/>
            <w:tcMar>
              <w:top w:w="0" w:type="dxa"/>
              <w:left w:w="108" w:type="dxa"/>
              <w:bottom w:w="0" w:type="dxa"/>
              <w:right w:w="108" w:type="dxa"/>
            </w:tcMar>
          </w:tcPr>
          <w:p w14:paraId="0E3D3C24" w14:textId="77777777" w:rsidR="00DF2371" w:rsidRPr="00623A2B" w:rsidRDefault="00DF2371" w:rsidP="00C83E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tc>
      </w:tr>
    </w:tbl>
    <w:p w14:paraId="47B06CBE"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fr-FR"/>
        </w:rPr>
      </w:pPr>
      <w:r w:rsidRPr="00623A2B">
        <w:rPr>
          <w:rFonts w:ascii="Times New Roman" w:hAnsi="Times New Roman"/>
          <w:szCs w:val="22"/>
          <w:lang w:val="fr-FR"/>
        </w:rPr>
        <w:br w:type="page"/>
      </w:r>
      <w:r w:rsidRPr="00623A2B">
        <w:rPr>
          <w:rFonts w:ascii="Times New Roman" w:hAnsi="Times New Roman"/>
          <w:sz w:val="20"/>
          <w:lang w:val="fr-FR"/>
        </w:rPr>
        <w:lastRenderedPageBreak/>
        <w:t>NOTES DE BAS DE PAGE</w:t>
      </w:r>
    </w:p>
    <w:p w14:paraId="56487DED"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3613E330"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33FF661B" w14:textId="77777777" w:rsidR="00DF2371" w:rsidRPr="00623A2B" w:rsidRDefault="00DF2371" w:rsidP="00DF2371">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1.</w:t>
      </w:r>
      <w:r w:rsidRPr="00623A2B">
        <w:rPr>
          <w:rFonts w:ascii="Times New Roman" w:hAnsi="Times New Roman"/>
          <w:sz w:val="20"/>
          <w:lang w:val="fr-FR"/>
        </w:rPr>
        <w:tab/>
        <w:t>… Cinquante-et-unième Session ordinaire de l’Assemblée générale de l’Organisation des États Américains (OEA), lesquelles constituent des actes contraires au droit international.</w:t>
      </w:r>
    </w:p>
    <w:p w14:paraId="67FCE017" w14:textId="77777777" w:rsidR="00DF2371" w:rsidRPr="00623A2B" w:rsidRDefault="00DF2371" w:rsidP="00DF2371">
      <w:pPr>
        <w:pStyle w:val="FootnoteText"/>
        <w:tabs>
          <w:tab w:val="clear" w:pos="360"/>
        </w:tabs>
        <w:ind w:left="0" w:firstLine="720"/>
        <w:rPr>
          <w:rFonts w:ascii="Times New Roman" w:hAnsi="Times New Roman"/>
          <w:sz w:val="20"/>
          <w:lang w:val="fr-FR"/>
        </w:rPr>
      </w:pPr>
    </w:p>
    <w:p w14:paraId="6B2DBABA" w14:textId="77777777" w:rsidR="00DF2371" w:rsidRPr="00623A2B" w:rsidRDefault="00DF2371" w:rsidP="00DF2371">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546172BF" w14:textId="77777777" w:rsidR="00DF2371" w:rsidRPr="00623A2B" w:rsidRDefault="00DF2371" w:rsidP="00DF2371">
      <w:pPr>
        <w:pStyle w:val="FootnoteText"/>
        <w:tabs>
          <w:tab w:val="clear" w:pos="360"/>
        </w:tabs>
        <w:ind w:left="0" w:firstLine="720"/>
        <w:rPr>
          <w:rFonts w:ascii="Times New Roman" w:hAnsi="Times New Roman"/>
          <w:sz w:val="20"/>
          <w:lang w:val="fr-FR"/>
        </w:rPr>
      </w:pPr>
    </w:p>
    <w:p w14:paraId="397BE8EC" w14:textId="77777777" w:rsidR="00DF2371" w:rsidRPr="00623A2B" w:rsidRDefault="00DF2371" w:rsidP="00DF2371">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61A36FE9" w14:textId="77777777" w:rsidR="00DF2371" w:rsidRPr="00623A2B" w:rsidRDefault="00DF2371" w:rsidP="00DF2371">
      <w:pPr>
        <w:pStyle w:val="FootnoteText"/>
        <w:tabs>
          <w:tab w:val="clear" w:pos="360"/>
        </w:tabs>
        <w:ind w:left="0" w:firstLine="720"/>
        <w:rPr>
          <w:rFonts w:ascii="Times New Roman" w:hAnsi="Times New Roman"/>
          <w:sz w:val="20"/>
          <w:lang w:val="fr-FR"/>
        </w:rPr>
      </w:pPr>
    </w:p>
    <w:p w14:paraId="5609371A" w14:textId="77777777" w:rsidR="00DF2371" w:rsidRPr="00623A2B" w:rsidRDefault="00DF2371" w:rsidP="00DF2371">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 xml:space="preserve">La reconnaissance d’un gouvernement est un acte souverain des États, et non des institutions internationales. L’OEA ne possède ni ne peut s’arroger des facultés de reconnaissance collective opposable à la qualité de </w:t>
      </w:r>
      <w:proofErr w:type="gramStart"/>
      <w:r w:rsidRPr="00623A2B">
        <w:rPr>
          <w:rFonts w:ascii="Times New Roman" w:hAnsi="Times New Roman"/>
          <w:sz w:val="20"/>
          <w:lang w:val="fr-FR"/>
        </w:rPr>
        <w:t>membre;</w:t>
      </w:r>
      <w:proofErr w:type="gramEnd"/>
      <w:r w:rsidRPr="00623A2B">
        <w:rPr>
          <w:rFonts w:ascii="Times New Roman" w:hAnsi="Times New Roman"/>
          <w:sz w:val="20"/>
          <w:lang w:val="fr-FR"/>
        </w:rPr>
        <w:t xml:space="preserve"> c’est pourquoi tout acte visant à atteindre cet objectif tombe en dehors de sa compétence et est matériellement nul.</w:t>
      </w:r>
    </w:p>
    <w:p w14:paraId="3A93CB25" w14:textId="77777777" w:rsidR="00DF2371" w:rsidRPr="00623A2B" w:rsidRDefault="00DF2371" w:rsidP="00DF2371">
      <w:pPr>
        <w:pStyle w:val="FootnoteText"/>
        <w:tabs>
          <w:tab w:val="clear" w:pos="360"/>
        </w:tabs>
        <w:ind w:left="0" w:firstLine="720"/>
        <w:rPr>
          <w:rFonts w:ascii="Times New Roman" w:hAnsi="Times New Roman"/>
          <w:sz w:val="20"/>
          <w:lang w:val="fr-FR"/>
        </w:rPr>
      </w:pPr>
    </w:p>
    <w:p w14:paraId="52E51718" w14:textId="77777777" w:rsidR="00DF2371" w:rsidRPr="00623A2B" w:rsidRDefault="00DF2371" w:rsidP="00DF2371">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39B3C697" w14:textId="77777777" w:rsidR="00DF2371" w:rsidRPr="00623A2B" w:rsidRDefault="00DF2371" w:rsidP="00DF2371">
      <w:pPr>
        <w:pStyle w:val="FootnoteText"/>
        <w:tabs>
          <w:tab w:val="clear" w:pos="360"/>
        </w:tabs>
        <w:ind w:left="0" w:firstLine="720"/>
        <w:rPr>
          <w:rFonts w:ascii="Times New Roman" w:hAnsi="Times New Roman"/>
          <w:sz w:val="20"/>
          <w:lang w:val="fr-FR"/>
        </w:rPr>
      </w:pPr>
    </w:p>
    <w:p w14:paraId="40D664A6" w14:textId="77777777" w:rsidR="00DF2371" w:rsidRPr="00623A2B" w:rsidRDefault="00DF2371" w:rsidP="00DF2371">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7BE00D51" w14:textId="77777777" w:rsidR="00DF2371" w:rsidRPr="00623A2B" w:rsidRDefault="00DF2371" w:rsidP="00DF2371">
      <w:pPr>
        <w:pStyle w:val="FootnoteText"/>
        <w:tabs>
          <w:tab w:val="clear" w:pos="360"/>
        </w:tabs>
        <w:ind w:left="0" w:firstLine="720"/>
        <w:rPr>
          <w:rFonts w:ascii="Times New Roman" w:hAnsi="Times New Roman"/>
          <w:sz w:val="20"/>
          <w:lang w:val="fr-FR"/>
        </w:rPr>
      </w:pPr>
    </w:p>
    <w:p w14:paraId="5D6BD489" w14:textId="77777777" w:rsidR="00DF2371" w:rsidRPr="00623A2B" w:rsidRDefault="00DF2371" w:rsidP="00DF2371">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0CC56C35" w14:textId="77777777" w:rsidR="00DF2371" w:rsidRPr="00623A2B" w:rsidRDefault="00DF2371" w:rsidP="00DF2371">
      <w:pPr>
        <w:pStyle w:val="FootnoteText"/>
        <w:tabs>
          <w:tab w:val="clear" w:pos="360"/>
        </w:tabs>
        <w:ind w:left="0" w:firstLine="720"/>
        <w:rPr>
          <w:rFonts w:ascii="Times New Roman" w:hAnsi="Times New Roman"/>
          <w:sz w:val="20"/>
          <w:lang w:val="fr-FR"/>
        </w:rPr>
      </w:pPr>
    </w:p>
    <w:p w14:paraId="0CD4D7F7" w14:textId="77777777" w:rsidR="00DF2371" w:rsidRPr="00623A2B" w:rsidRDefault="00DF2371" w:rsidP="00DF2371">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2.</w:t>
      </w:r>
      <w:r w:rsidRPr="00623A2B">
        <w:rPr>
          <w:rFonts w:ascii="Times New Roman" w:hAnsi="Times New Roman"/>
          <w:sz w:val="20"/>
          <w:lang w:val="fr-FR"/>
        </w:rPr>
        <w:tab/>
        <w:t xml:space="preserve">… de personnes qui prétendent usurper la représentation légale de la République bolivarienne du Venezuela et du Gouvernement légitime du Président </w:t>
      </w:r>
      <w:proofErr w:type="spellStart"/>
      <w:r w:rsidRPr="00623A2B">
        <w:rPr>
          <w:rFonts w:ascii="Times New Roman" w:hAnsi="Times New Roman"/>
          <w:sz w:val="20"/>
          <w:lang w:val="fr-FR"/>
        </w:rPr>
        <w:t>Nicolás</w:t>
      </w:r>
      <w:proofErr w:type="spellEnd"/>
      <w:r w:rsidRPr="00623A2B">
        <w:rPr>
          <w:rFonts w:ascii="Times New Roman" w:hAnsi="Times New Roman"/>
          <w:sz w:val="20"/>
          <w:lang w:val="fr-FR"/>
        </w:rPr>
        <w:t xml:space="preserve"> </w:t>
      </w:r>
      <w:proofErr w:type="spellStart"/>
      <w:r w:rsidRPr="00623A2B">
        <w:rPr>
          <w:rFonts w:ascii="Times New Roman" w:hAnsi="Times New Roman"/>
          <w:sz w:val="20"/>
          <w:lang w:val="fr-FR"/>
        </w:rPr>
        <w:t>Maduro</w:t>
      </w:r>
      <w:proofErr w:type="spellEnd"/>
      <w:r w:rsidRPr="00623A2B">
        <w:rPr>
          <w:rFonts w:ascii="Times New Roman" w:hAnsi="Times New Roman"/>
          <w:sz w:val="20"/>
          <w:lang w:val="fr-FR"/>
        </w:rPr>
        <w:t xml:space="preserve"> Moros. Nous demandons que notre refus soit consigné dans tous les documents qui seront traités lors de la présente Cinquante-et-unième Session de l’Assemblée générale de l’OEA.</w:t>
      </w:r>
    </w:p>
    <w:p w14:paraId="5C6DE6BC" w14:textId="77777777" w:rsidR="00DF2371" w:rsidRPr="00623A2B" w:rsidRDefault="00DF2371" w:rsidP="00DF2371">
      <w:pPr>
        <w:pStyle w:val="FootnoteText"/>
        <w:tabs>
          <w:tab w:val="clear" w:pos="360"/>
        </w:tabs>
        <w:ind w:left="0" w:firstLine="720"/>
        <w:rPr>
          <w:rFonts w:ascii="Times New Roman" w:hAnsi="Times New Roman"/>
          <w:sz w:val="20"/>
          <w:lang w:val="fr-FR"/>
        </w:rPr>
      </w:pPr>
    </w:p>
    <w:p w14:paraId="7F39A97D" w14:textId="77777777" w:rsidR="00DF2371" w:rsidRPr="00623A2B" w:rsidRDefault="00DF2371" w:rsidP="00DF2371">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3.</w:t>
      </w:r>
      <w:r w:rsidRPr="00623A2B">
        <w:rPr>
          <w:rFonts w:ascii="Times New Roman" w:hAnsi="Times New Roman"/>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62280F87" w14:textId="77777777" w:rsidR="00DF2371" w:rsidRPr="00623A2B" w:rsidRDefault="00DF2371" w:rsidP="00DF2371">
      <w:pPr>
        <w:pStyle w:val="FootnoteText"/>
        <w:tabs>
          <w:tab w:val="clear" w:pos="360"/>
        </w:tabs>
        <w:ind w:left="0" w:firstLine="720"/>
        <w:rPr>
          <w:rFonts w:ascii="Times New Roman" w:hAnsi="Times New Roman"/>
          <w:sz w:val="20"/>
          <w:lang w:val="fr-FR"/>
        </w:rPr>
      </w:pPr>
    </w:p>
    <w:p w14:paraId="35E89645" w14:textId="77777777" w:rsidR="00DF2371" w:rsidRPr="00623A2B" w:rsidRDefault="00DF2371" w:rsidP="00DF2371">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 xml:space="preserve">Antigua-et-Barbuda n'a pas soutenu la résolution CP/RES. 1124 (2217/19) du 9 avril 2019 qui visait à nommer M. Gustavo </w:t>
      </w:r>
      <w:proofErr w:type="spellStart"/>
      <w:r w:rsidRPr="00623A2B">
        <w:rPr>
          <w:rFonts w:ascii="Times New Roman" w:hAnsi="Times New Roman"/>
          <w:sz w:val="20"/>
          <w:lang w:val="fr-FR"/>
        </w:rPr>
        <w:t>Tarre</w:t>
      </w:r>
      <w:proofErr w:type="spellEnd"/>
      <w:r w:rsidRPr="00623A2B">
        <w:rPr>
          <w:rFonts w:ascii="Times New Roman" w:hAnsi="Times New Roman"/>
          <w:sz w:val="20"/>
          <w:lang w:val="fr-FR"/>
        </w:rPr>
        <w:t xml:space="preserve"> comme représentant de l'Assemblée nationale auprès de l'OEA et n'a pas accepté les </w:t>
      </w:r>
      <w:r w:rsidRPr="00623A2B">
        <w:rPr>
          <w:rFonts w:ascii="Times New Roman" w:hAnsi="Times New Roman"/>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36D9A1F2" w14:textId="77777777" w:rsidR="00DF2371" w:rsidRPr="00623A2B" w:rsidRDefault="00DF2371" w:rsidP="00DF2371">
      <w:pPr>
        <w:pStyle w:val="FootnoteText"/>
        <w:tabs>
          <w:tab w:val="clear" w:pos="360"/>
        </w:tabs>
        <w:ind w:left="0" w:firstLine="720"/>
        <w:rPr>
          <w:rFonts w:ascii="Times New Roman" w:hAnsi="Times New Roman"/>
          <w:sz w:val="20"/>
          <w:lang w:val="fr-FR"/>
        </w:rPr>
      </w:pPr>
    </w:p>
    <w:p w14:paraId="56268253" w14:textId="77777777" w:rsidR="00DF2371" w:rsidRPr="00623A2B" w:rsidRDefault="00DF2371" w:rsidP="00DF2371">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1E6299F3" w14:textId="77777777" w:rsidR="00DF2371" w:rsidRPr="00623A2B" w:rsidRDefault="00DF2371" w:rsidP="00DF2371">
      <w:pPr>
        <w:ind w:firstLine="720"/>
        <w:rPr>
          <w:rFonts w:ascii="Times New Roman" w:hAnsi="Times New Roman"/>
          <w:position w:val="-1"/>
          <w:sz w:val="20"/>
          <w:lang w:val="fr-CA"/>
        </w:rPr>
      </w:pPr>
    </w:p>
    <w:p w14:paraId="47B8B30D" w14:textId="77777777" w:rsidR="00DF2371" w:rsidRPr="00623A2B" w:rsidRDefault="00DF2371" w:rsidP="00DF2371">
      <w:pPr>
        <w:pStyle w:val="FootnoteText"/>
        <w:ind w:left="0" w:firstLine="720"/>
        <w:rPr>
          <w:rFonts w:ascii="Times New Roman" w:hAnsi="Times New Roman"/>
          <w:sz w:val="20"/>
          <w:lang w:val="fr-CA"/>
        </w:rPr>
      </w:pPr>
      <w:r w:rsidRPr="00623A2B">
        <w:rPr>
          <w:rFonts w:ascii="Times New Roman" w:hAnsi="Times New Roman"/>
          <w:sz w:val="20"/>
          <w:lang w:val="fr-FR"/>
        </w:rPr>
        <w:t>4.</w:t>
      </w:r>
      <w:r w:rsidRPr="00623A2B">
        <w:rPr>
          <w:rFonts w:ascii="Times New Roman" w:hAnsi="Times New Roman"/>
          <w:sz w:val="20"/>
          <w:lang w:val="fr-FR"/>
        </w:rPr>
        <w:tab/>
      </w:r>
      <w:r w:rsidRPr="00623A2B">
        <w:rPr>
          <w:rFonts w:ascii="Times New Roman" w:hAnsi="Times New Roman"/>
          <w:sz w:val="20"/>
          <w:lang w:val="fr-CA"/>
        </w:rPr>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13B9E745" w14:textId="77777777" w:rsidR="00DF2371" w:rsidRPr="00623A2B" w:rsidRDefault="00DF2371" w:rsidP="00DF2371">
      <w:pPr>
        <w:pStyle w:val="FootnoteText"/>
        <w:ind w:left="0" w:firstLine="720"/>
        <w:rPr>
          <w:rFonts w:ascii="Times New Roman" w:hAnsi="Times New Roman"/>
          <w:sz w:val="20"/>
          <w:lang w:val="fr-CA"/>
        </w:rPr>
      </w:pPr>
    </w:p>
    <w:p w14:paraId="5DEA0AF8"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r w:rsidRPr="00623A2B">
        <w:rPr>
          <w:rFonts w:ascii="Times New Roman" w:hAnsi="Times New Roman"/>
          <w:sz w:val="20"/>
          <w:lang w:val="fr-CA"/>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p>
    <w:p w14:paraId="76B3C22D"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fr-FR"/>
        </w:rPr>
      </w:pPr>
    </w:p>
    <w:p w14:paraId="692D42BD"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Style w:val="FootnoteReference"/>
          <w:rFonts w:ascii="Times New Roman" w:hAnsi="Times New Roman"/>
          <w:sz w:val="20"/>
          <w:lang w:val="fr-FR"/>
        </w:rPr>
      </w:pPr>
      <w:r w:rsidRPr="00623A2B">
        <w:rPr>
          <w:rFonts w:ascii="Times New Roman" w:hAnsi="Times New Roman"/>
          <w:sz w:val="20"/>
          <w:lang w:val="fr-FR"/>
        </w:rPr>
        <w:t>5.</w:t>
      </w:r>
      <w:r w:rsidRPr="00623A2B">
        <w:rPr>
          <w:rFonts w:ascii="Times New Roman" w:hAnsi="Times New Roman"/>
          <w:sz w:val="20"/>
          <w:lang w:val="fr-FR"/>
        </w:rPr>
        <w:tab/>
        <w:t>…</w:t>
      </w:r>
      <w:r w:rsidRPr="00623A2B">
        <w:rPr>
          <w:rStyle w:val="FootnoteReference"/>
          <w:rFonts w:ascii="Times New Roman" w:hAnsi="Times New Roman"/>
          <w:sz w:val="20"/>
          <w:lang w:val="fr-FR"/>
        </w:rPr>
        <w:t xml:space="preserve">virtuelle, le 17 décembre 2020 ; Sixième Réunion des autorités nationales en matière de traite des personnes, virtuelle, les 13 et 14 mai 2020 ; Troisième Réunion des autorités nationales en matière de criminalité transnationale organisée (RANDOT III), virtuelle, </w:t>
      </w:r>
      <w:r w:rsidRPr="00623A2B">
        <w:rPr>
          <w:rFonts w:ascii="Times New Roman" w:hAnsi="Times New Roman"/>
          <w:sz w:val="20"/>
          <w:lang w:val="fr-FR"/>
        </w:rPr>
        <w:t xml:space="preserve">les </w:t>
      </w:r>
      <w:r w:rsidRPr="00623A2B">
        <w:rPr>
          <w:rStyle w:val="FootnoteReference"/>
          <w:rFonts w:ascii="Times New Roman" w:hAnsi="Times New Roman"/>
          <w:sz w:val="20"/>
          <w:lang w:val="fr-FR"/>
        </w:rPr>
        <w:t>23</w:t>
      </w:r>
      <w:r w:rsidRPr="00623A2B">
        <w:rPr>
          <w:rFonts w:ascii="Times New Roman" w:hAnsi="Times New Roman"/>
          <w:sz w:val="20"/>
          <w:lang w:val="fr-FR"/>
        </w:rPr>
        <w:t xml:space="preserve"> et </w:t>
      </w:r>
      <w:r w:rsidRPr="00623A2B">
        <w:rPr>
          <w:rStyle w:val="FootnoteReference"/>
          <w:rFonts w:ascii="Times New Roman" w:hAnsi="Times New Roman"/>
          <w:sz w:val="20"/>
          <w:lang w:val="fr-FR"/>
        </w:rPr>
        <w:t>24 juin ; R</w:t>
      </w:r>
      <w:r w:rsidRPr="00623A2B">
        <w:rPr>
          <w:rFonts w:ascii="Times New Roman" w:hAnsi="Times New Roman"/>
          <w:sz w:val="20"/>
          <w:lang w:val="fr-FR"/>
        </w:rPr>
        <w:t>éunion sur les p</w:t>
      </w:r>
      <w:r w:rsidRPr="00623A2B">
        <w:rPr>
          <w:rStyle w:val="FootnoteReference"/>
          <w:rFonts w:ascii="Times New Roman" w:hAnsi="Times New Roman"/>
          <w:sz w:val="20"/>
          <w:lang w:val="fr-FR"/>
        </w:rPr>
        <w:t>réoccupations particulières des petits États insulaires côtiers de faible altitude et en développement des Caraïbes en matière de sécurité, le 1er juillet 2021 ; Neuvième Réunion du Forum sur les mesures d’encouragement de la confiance et de la sécurité, virtuel</w:t>
      </w:r>
      <w:r w:rsidRPr="00623A2B">
        <w:rPr>
          <w:rFonts w:ascii="Times New Roman" w:hAnsi="Times New Roman"/>
          <w:sz w:val="20"/>
          <w:lang w:val="fr-FR"/>
        </w:rPr>
        <w:t>le</w:t>
      </w:r>
      <w:r w:rsidRPr="00623A2B">
        <w:rPr>
          <w:rStyle w:val="FootnoteReference"/>
          <w:rFonts w:ascii="Times New Roman" w:hAnsi="Times New Roman"/>
          <w:sz w:val="20"/>
          <w:lang w:val="fr-FR"/>
        </w:rPr>
        <w:t xml:space="preserve">, </w:t>
      </w:r>
      <w:r w:rsidRPr="00623A2B">
        <w:rPr>
          <w:rFonts w:ascii="Times New Roman" w:hAnsi="Times New Roman"/>
          <w:sz w:val="20"/>
          <w:lang w:val="fr-FR"/>
        </w:rPr>
        <w:t xml:space="preserve">le </w:t>
      </w:r>
      <w:r w:rsidRPr="00623A2B">
        <w:rPr>
          <w:rStyle w:val="FootnoteReference"/>
          <w:rFonts w:ascii="Times New Roman" w:hAnsi="Times New Roman"/>
          <w:sz w:val="20"/>
          <w:lang w:val="fr-FR"/>
        </w:rPr>
        <w:t>22 juillet 2021 ;</w:t>
      </w:r>
      <w:r w:rsidRPr="00623A2B">
        <w:rPr>
          <w:rFonts w:ascii="Times New Roman" w:hAnsi="Times New Roman"/>
          <w:sz w:val="20"/>
          <w:lang w:val="fr-FR"/>
        </w:rPr>
        <w:t xml:space="preserve"> Soixante-neuvième session ordinaire de la CICAD, virtuelle, 30 juillet 2021 ; Réunion sur les préoccupations de l’Amérique centrale en matière de sécurité, virtuelle, 2 septembre 2021 ; Vingtième réunion ordinaire du Comité consultatif de la CIFTA, virtuelle, 4 octobre 2021 ; Vingt-et-unième session ordinaire du CICTE, virtuelle, 7-8 octobre 2021.</w:t>
      </w:r>
    </w:p>
    <w:p w14:paraId="08663963"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fr-FR"/>
        </w:rPr>
      </w:pPr>
    </w:p>
    <w:p w14:paraId="54B42D95" w14:textId="58FCD50B"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val="fr-FR"/>
        </w:rPr>
      </w:pPr>
      <w:r w:rsidRPr="00623A2B">
        <w:rPr>
          <w:rFonts w:ascii="Times New Roman" w:hAnsi="Times New Roman"/>
          <w:sz w:val="20"/>
          <w:lang w:val="fr-FR"/>
        </w:rPr>
        <w:t>6.</w:t>
      </w:r>
      <w:r w:rsidRPr="00623A2B">
        <w:rPr>
          <w:rFonts w:ascii="Times New Roman" w:hAnsi="Times New Roman"/>
          <w:sz w:val="20"/>
          <w:lang w:val="fr-FR"/>
        </w:rPr>
        <w:tab/>
        <w:t>…important contributeur d'aide humanitaire au déminage dans le monde et dans le continent américain. Nous avons contribué pour plus de 4 milliards de dollars à la destruction d'armes conventionnelles (ce qui inclut le déminage humanitaire) depuis 1993. Les États-Unis continueront à soutenir les efforts de l'OEA visant à éliminer la menace humanitaire des mines terrestres restantes et à déclarer les pays exempts d'impact de mines.</w:t>
      </w:r>
    </w:p>
    <w:p w14:paraId="1F4583D3" w14:textId="47C96C49"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90"/>
        <w:rPr>
          <w:rFonts w:ascii="Times New Roman" w:hAnsi="Times New Roman"/>
          <w:sz w:val="20"/>
          <w:lang w:val="fr-FR"/>
        </w:rPr>
      </w:pPr>
    </w:p>
    <w:p w14:paraId="154C19C5" w14:textId="77BAFAD1" w:rsidR="00486FF7" w:rsidRPr="00623A2B" w:rsidRDefault="00486FF7"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90"/>
        <w:rPr>
          <w:rFonts w:ascii="Times New Roman" w:hAnsi="Times New Roman"/>
          <w:sz w:val="20"/>
          <w:lang w:val="fr-FR"/>
        </w:rPr>
      </w:pPr>
      <w:r w:rsidRPr="00623A2B">
        <w:rPr>
          <w:rFonts w:ascii="Times New Roman" w:hAnsi="Times New Roman"/>
          <w:sz w:val="20"/>
          <w:lang w:val="fr-FR"/>
        </w:rPr>
        <w:tab/>
        <w:t>7.</w:t>
      </w:r>
      <w:r w:rsidRPr="00623A2B">
        <w:rPr>
          <w:rFonts w:ascii="Times New Roman" w:hAnsi="Times New Roman"/>
          <w:sz w:val="20"/>
          <w:lang w:val="fr-FR"/>
        </w:rPr>
        <w:tab/>
        <w:t>…dans sa législation nationale.</w:t>
      </w:r>
    </w:p>
    <w:p w14:paraId="5B351CEF" w14:textId="77777777" w:rsidR="00486FF7" w:rsidRPr="00623A2B" w:rsidRDefault="00486FF7"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90"/>
        <w:rPr>
          <w:rFonts w:ascii="Times New Roman" w:hAnsi="Times New Roman"/>
          <w:sz w:val="20"/>
          <w:lang w:val="fr-FR"/>
        </w:rPr>
      </w:pPr>
    </w:p>
    <w:p w14:paraId="48DEEF32" w14:textId="0BD2B8D8"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90"/>
        <w:rPr>
          <w:rFonts w:ascii="Times New Roman" w:hAnsi="Times New Roman"/>
          <w:lang w:val="fr-FR"/>
        </w:rPr>
      </w:pPr>
      <w:r w:rsidRPr="00623A2B">
        <w:rPr>
          <w:rFonts w:ascii="Times New Roman" w:hAnsi="Times New Roman"/>
          <w:sz w:val="20"/>
          <w:lang w:val="fr-FR"/>
        </w:rPr>
        <w:tab/>
        <w:t>9.</w:t>
      </w:r>
      <w:r w:rsidRPr="00623A2B">
        <w:rPr>
          <w:rFonts w:ascii="Times New Roman" w:hAnsi="Times New Roman"/>
          <w:sz w:val="20"/>
          <w:lang w:val="fr-FR"/>
        </w:rPr>
        <w:tab/>
        <w:t>…</w:t>
      </w:r>
      <w:r w:rsidR="00586FF9" w:rsidRPr="00623A2B">
        <w:rPr>
          <w:rStyle w:val="FootnoteReference"/>
          <w:rFonts w:ascii="Times New Roman" w:hAnsi="Times New Roman"/>
          <w:spacing w:val="-2"/>
          <w:sz w:val="20"/>
          <w:lang w:val="fr-FR"/>
        </w:rPr>
        <w:t xml:space="preserve"> attaché à la promotion et à</w:t>
      </w:r>
      <w:r w:rsidR="00586FF9" w:rsidRPr="00623A2B">
        <w:rPr>
          <w:rStyle w:val="FootnoteReference"/>
          <w:rFonts w:ascii="Times New Roman" w:hAnsi="Times New Roman"/>
          <w:lang w:val="fr-FR"/>
        </w:rPr>
        <w:t xml:space="preserve"> </w:t>
      </w:r>
      <w:r w:rsidRPr="00623A2B">
        <w:rPr>
          <w:rStyle w:val="FootnoteReference"/>
          <w:rFonts w:ascii="Times New Roman" w:hAnsi="Times New Roman"/>
          <w:lang w:val="fr-FR"/>
        </w:rPr>
        <w:t>la préservation de l'état de droit et à la protection des droits de l</w:t>
      </w:r>
      <w:r w:rsidRPr="00623A2B">
        <w:rPr>
          <w:rFonts w:ascii="Times New Roman" w:hAnsi="Times New Roman"/>
          <w:lang w:val="fr-FR"/>
        </w:rPr>
        <w:t>a personne</w:t>
      </w:r>
      <w:r w:rsidRPr="00623A2B">
        <w:rPr>
          <w:rStyle w:val="FootnoteReference"/>
          <w:rFonts w:ascii="Times New Roman" w:hAnsi="Times New Roman"/>
          <w:lang w:val="fr-FR"/>
        </w:rPr>
        <w:t xml:space="preserve"> et des libertés fondamentales de tous, comme le prévoit la Constitution de Trinité-et-Tobago.</w:t>
      </w:r>
    </w:p>
    <w:p w14:paraId="2B8B3E30"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fr-FR"/>
        </w:rPr>
      </w:pPr>
    </w:p>
    <w:p w14:paraId="17DD75EE" w14:textId="78A63C6B"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lang w:val="fr-FR"/>
        </w:rPr>
      </w:pPr>
      <w:r w:rsidRPr="00623A2B">
        <w:rPr>
          <w:rFonts w:ascii="Times New Roman" w:hAnsi="Times New Roman"/>
          <w:sz w:val="20"/>
          <w:lang w:val="fr-FR"/>
        </w:rPr>
        <w:tab/>
        <w:t>11.</w:t>
      </w:r>
      <w:r w:rsidRPr="00623A2B">
        <w:rPr>
          <w:rFonts w:ascii="Times New Roman" w:hAnsi="Times New Roman"/>
          <w:sz w:val="20"/>
          <w:lang w:val="fr-FR"/>
        </w:rPr>
        <w:tab/>
        <w:t>…</w:t>
      </w:r>
      <w:r w:rsidR="00A306CF" w:rsidRPr="00623A2B">
        <w:rPr>
          <w:rStyle w:val="FootnoteReference"/>
          <w:rFonts w:ascii="Times New Roman" w:hAnsi="Times New Roman"/>
          <w:sz w:val="20"/>
          <w:lang w:val="fr-FR"/>
        </w:rPr>
        <w:t xml:space="preserve"> résolution, elle présente sa réserve</w:t>
      </w:r>
      <w:r w:rsidR="00A306CF" w:rsidRPr="00623A2B">
        <w:rPr>
          <w:rStyle w:val="FootnoteReference"/>
          <w:rFonts w:ascii="Times New Roman" w:hAnsi="Times New Roman"/>
          <w:lang w:val="fr-FR"/>
        </w:rPr>
        <w:t xml:space="preserve"> </w:t>
      </w:r>
      <w:r w:rsidRPr="00623A2B">
        <w:rPr>
          <w:rStyle w:val="FootnoteReference"/>
          <w:rFonts w:ascii="Times New Roman" w:hAnsi="Times New Roman"/>
          <w:lang w:val="fr-FR"/>
        </w:rPr>
        <w:t>sur les articles qui sont contraires à la constitution de la République du Honduras.</w:t>
      </w:r>
    </w:p>
    <w:p w14:paraId="2601F1AC"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fr-FR"/>
        </w:rPr>
      </w:pPr>
    </w:p>
    <w:p w14:paraId="33A10E87" w14:textId="3356918F"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lang w:val="fr-FR"/>
        </w:rPr>
      </w:pPr>
      <w:r w:rsidRPr="00623A2B">
        <w:rPr>
          <w:rFonts w:ascii="Times New Roman" w:hAnsi="Times New Roman"/>
          <w:sz w:val="20"/>
          <w:lang w:val="fr-FR"/>
        </w:rPr>
        <w:tab/>
        <w:t>13.</w:t>
      </w:r>
      <w:r w:rsidRPr="00623A2B">
        <w:rPr>
          <w:rFonts w:ascii="Times New Roman" w:hAnsi="Times New Roman"/>
          <w:sz w:val="20"/>
          <w:lang w:val="fr-FR"/>
        </w:rPr>
        <w:tab/>
        <w:t>…</w:t>
      </w:r>
      <w:r w:rsidR="00A306CF" w:rsidRPr="00623A2B">
        <w:rPr>
          <w:rStyle w:val="FootnoteReference"/>
          <w:rFonts w:ascii="Times New Roman" w:hAnsi="Times New Roman"/>
          <w:sz w:val="20"/>
          <w:lang w:val="fr-FR"/>
        </w:rPr>
        <w:t xml:space="preserve"> qu'elle n’entre pas</w:t>
      </w:r>
      <w:r w:rsidR="00A306CF" w:rsidRPr="00623A2B">
        <w:rPr>
          <w:rStyle w:val="FootnoteReference"/>
          <w:rFonts w:ascii="Times New Roman" w:hAnsi="Times New Roman"/>
          <w:lang w:val="fr-FR"/>
        </w:rPr>
        <w:t xml:space="preserve"> </w:t>
      </w:r>
      <w:r w:rsidRPr="00623A2B">
        <w:rPr>
          <w:rStyle w:val="FootnoteReference"/>
          <w:rFonts w:ascii="Times New Roman" w:hAnsi="Times New Roman"/>
          <w:lang w:val="fr-FR"/>
        </w:rPr>
        <w:t>en conflit avec ses lois nationales en vigueur.</w:t>
      </w:r>
    </w:p>
    <w:p w14:paraId="44B72FFA"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lang w:val="fr-FR"/>
        </w:rPr>
      </w:pPr>
    </w:p>
    <w:p w14:paraId="4A2362A5" w14:textId="77777777" w:rsidR="002F4144" w:rsidRPr="00623A2B" w:rsidRDefault="002F414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fr-FR"/>
        </w:rPr>
      </w:pPr>
      <w:r w:rsidRPr="00623A2B">
        <w:rPr>
          <w:rFonts w:ascii="Times New Roman" w:hAnsi="Times New Roman"/>
          <w:lang w:val="fr-FR"/>
        </w:rPr>
        <w:br w:type="page"/>
      </w:r>
    </w:p>
    <w:p w14:paraId="42B868FB" w14:textId="223AF05A"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iCs/>
          <w:color w:val="000000" w:themeColor="text1"/>
          <w:lang w:val="fr-FR"/>
        </w:rPr>
      </w:pPr>
      <w:r w:rsidRPr="00623A2B">
        <w:rPr>
          <w:rFonts w:ascii="Times New Roman" w:hAnsi="Times New Roman"/>
          <w:lang w:val="fr-FR"/>
        </w:rPr>
        <w:lastRenderedPageBreak/>
        <w:tab/>
        <w:t>14.</w:t>
      </w:r>
      <w:r w:rsidRPr="00623A2B">
        <w:rPr>
          <w:rFonts w:ascii="Times New Roman" w:hAnsi="Times New Roman"/>
          <w:lang w:val="fr-FR"/>
        </w:rPr>
        <w:tab/>
        <w:t>…</w:t>
      </w:r>
      <w:r w:rsidR="002F4144" w:rsidRPr="00623A2B">
        <w:rPr>
          <w:rStyle w:val="FootnoteReference"/>
          <w:rFonts w:ascii="Times New Roman" w:hAnsi="Times New Roman"/>
          <w:sz w:val="20"/>
          <w:lang w:val="fr-FR"/>
        </w:rPr>
        <w:t xml:space="preserve"> en ce qui concerne certains</w:t>
      </w:r>
      <w:r w:rsidR="002F4144" w:rsidRPr="00623A2B">
        <w:rPr>
          <w:rStyle w:val="FootnoteReference"/>
          <w:rFonts w:ascii="Times New Roman" w:hAnsi="Times New Roman"/>
          <w:lang w:val="fr-FR"/>
        </w:rPr>
        <w:t xml:space="preserve"> </w:t>
      </w:r>
      <w:r w:rsidRPr="00623A2B">
        <w:rPr>
          <w:rStyle w:val="FootnoteReference"/>
          <w:rFonts w:ascii="Times New Roman" w:hAnsi="Times New Roman"/>
          <w:lang w:val="fr-FR"/>
        </w:rPr>
        <w:t>des termes utilisés, Saint-Vincent-et-les-Grenadines regrette qu'une question technique aussi importante ait dû être inutilement politisée.  Par conséquent, Saint-Vincent-et-les-Grenadines se dissocie de ces termes, qui sont incompatibles avec ses lois nationales et leur sont contraires, et se réserve le droit d’interpréter les termes de ce paragraphe comme il l’entend, et ne sera lié par aucun mandat</w:t>
      </w:r>
      <w:r w:rsidRPr="00623A2B">
        <w:rPr>
          <w:rFonts w:ascii="Times New Roman" w:hAnsi="Times New Roman"/>
          <w:iCs/>
          <w:color w:val="000000" w:themeColor="text1"/>
          <w:lang w:val="fr-FR"/>
        </w:rPr>
        <w:t xml:space="preserve"> illégal ou inapproprié en résultant.</w:t>
      </w:r>
    </w:p>
    <w:p w14:paraId="37A032E3" w14:textId="519D1DF8"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fr-FR"/>
        </w:rPr>
      </w:pPr>
    </w:p>
    <w:p w14:paraId="79DC39F0" w14:textId="40C7B376" w:rsidR="006F6A96" w:rsidRPr="00623A2B" w:rsidRDefault="006F6A96" w:rsidP="006F6A96">
      <w:pPr>
        <w:tabs>
          <w:tab w:val="clear" w:pos="720"/>
        </w:tabs>
        <w:ind w:firstLine="720"/>
        <w:rPr>
          <w:rFonts w:ascii="Times New Roman" w:hAnsi="Times New Roman"/>
          <w:noProof/>
          <w:sz w:val="20"/>
          <w:lang w:val="fr-FR"/>
        </w:rPr>
      </w:pPr>
      <w:r w:rsidRPr="00623A2B">
        <w:rPr>
          <w:rFonts w:ascii="Times New Roman" w:hAnsi="Times New Roman"/>
          <w:sz w:val="20"/>
          <w:lang w:val="fr-FR"/>
        </w:rPr>
        <w:t>1</w:t>
      </w:r>
      <w:r w:rsidR="00BF1DC8" w:rsidRPr="00623A2B">
        <w:rPr>
          <w:rFonts w:ascii="Times New Roman" w:hAnsi="Times New Roman"/>
          <w:sz w:val="20"/>
          <w:lang w:val="fr-FR"/>
        </w:rPr>
        <w:t>5</w:t>
      </w:r>
      <w:r w:rsidRPr="00623A2B">
        <w:rPr>
          <w:rFonts w:ascii="Times New Roman" w:hAnsi="Times New Roman"/>
          <w:sz w:val="20"/>
          <w:lang w:val="fr-FR"/>
        </w:rPr>
        <w:t>.</w:t>
      </w:r>
      <w:r w:rsidRPr="00623A2B">
        <w:rPr>
          <w:rFonts w:ascii="Times New Roman" w:hAnsi="Times New Roman"/>
          <w:sz w:val="20"/>
          <w:lang w:val="fr-FR"/>
        </w:rPr>
        <w:tab/>
        <w:t>… centraméricaine (SICA) et de la Commission sur la sécurité de l’Amérique centrale (CSC), conformément aux règlements qui la régissent, les décisions sont prises par consensus, dont celles liées au processus d’examen et de mise à jour de la Stratégie de sécurité de l’Amérique centrale (ESCA).</w:t>
      </w:r>
    </w:p>
    <w:p w14:paraId="651C32A8" w14:textId="77777777" w:rsidR="006F6A96" w:rsidRPr="00623A2B" w:rsidRDefault="006F6A96" w:rsidP="006F6A9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fr-FR"/>
        </w:rPr>
      </w:pPr>
    </w:p>
    <w:p w14:paraId="139383B8" w14:textId="4F9D6AEF" w:rsidR="006F6A96" w:rsidRPr="00623A2B" w:rsidRDefault="006F6A96" w:rsidP="006F6A9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val="fr-FR"/>
        </w:rPr>
      </w:pPr>
      <w:r w:rsidRPr="00623A2B">
        <w:rPr>
          <w:rFonts w:ascii="Times New Roman" w:hAnsi="Times New Roman"/>
          <w:sz w:val="20"/>
          <w:lang w:val="fr-FR"/>
        </w:rPr>
        <w:t>À ce jour, la Commission sur la sécurité de l’Amérique centrale (CSC) n'a pas envisagé ni convenu de la participation du Secrétariat général de l'Organisation des États Américains (OEA) et de l'Organisation interaméricaine de défense au processus d’examen et de mise à jour de cette Stratégie.</w:t>
      </w:r>
    </w:p>
    <w:p w14:paraId="5FAB7467" w14:textId="77777777" w:rsidR="006F6A96" w:rsidRPr="00623A2B" w:rsidRDefault="006F6A96" w:rsidP="006F6A9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fr-FR"/>
        </w:rPr>
      </w:pPr>
    </w:p>
    <w:p w14:paraId="17CCEFCE" w14:textId="24804712"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fr-FR"/>
        </w:rPr>
      </w:pPr>
      <w:r w:rsidRPr="00623A2B">
        <w:rPr>
          <w:rFonts w:ascii="Times New Roman" w:hAnsi="Times New Roman"/>
          <w:sz w:val="20"/>
          <w:lang w:val="fr-FR"/>
        </w:rPr>
        <w:tab/>
        <w:t>1</w:t>
      </w:r>
      <w:r w:rsidR="004C340F" w:rsidRPr="00623A2B">
        <w:rPr>
          <w:rFonts w:ascii="Times New Roman" w:hAnsi="Times New Roman"/>
          <w:sz w:val="20"/>
          <w:lang w:val="fr-FR"/>
        </w:rPr>
        <w:t>6</w:t>
      </w:r>
      <w:r w:rsidRPr="00623A2B">
        <w:rPr>
          <w:rFonts w:ascii="Times New Roman" w:hAnsi="Times New Roman"/>
          <w:sz w:val="20"/>
          <w:lang w:val="fr-FR"/>
        </w:rPr>
        <w:t>.</w:t>
      </w:r>
      <w:r w:rsidRPr="00623A2B">
        <w:rPr>
          <w:rFonts w:ascii="Times New Roman" w:hAnsi="Times New Roman"/>
          <w:sz w:val="20"/>
          <w:lang w:val="fr-FR"/>
        </w:rPr>
        <w:tab/>
        <w:t>…</w:t>
      </w:r>
      <w:r w:rsidRPr="00623A2B">
        <w:rPr>
          <w:rFonts w:ascii="Times New Roman" w:eastAsia="MS Mincho" w:hAnsi="Times New Roman"/>
          <w:color w:val="000000"/>
          <w:sz w:val="20"/>
          <w:lang w:val="fr-FR" w:eastAsia="es-ES_tradnl"/>
        </w:rPr>
        <w:t xml:space="preserve"> multilatéral adopté dans le cadre des Nations Unies, lequel, selon le paragraphe 26 de la résolution 2349 (2017) du Conseil de sécurité des Nations Unies, se limite aux potentiels « effets néfastes des changements climatiques sur la sécurité ».</w:t>
      </w:r>
    </w:p>
    <w:p w14:paraId="2C18744D"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MS Mincho" w:hAnsi="Times New Roman"/>
          <w:color w:val="000000"/>
          <w:sz w:val="20"/>
          <w:lang w:val="fr-FR" w:eastAsia="es-ES_tradnl"/>
        </w:rPr>
      </w:pPr>
    </w:p>
    <w:p w14:paraId="413265DF"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fr-FR"/>
        </w:rPr>
      </w:pPr>
      <w:r w:rsidRPr="00623A2B">
        <w:rPr>
          <w:rFonts w:ascii="Times New Roman" w:eastAsia="MS Mincho" w:hAnsi="Times New Roman"/>
          <w:color w:val="000000"/>
          <w:sz w:val="20"/>
          <w:lang w:val="fr-FR" w:eastAsia="es-ES_tradnl"/>
        </w:rPr>
        <w:tab/>
        <w:t>En ce qui concerne le Brésil, la Commission sur la sécurité continentale de l’OEA ne constitue pas une enceinte appropriée pour traiter du thème du changement climatique. La structure adéquate pour traiter celui-ci est le cadre de négociation lié à la Convention-cadre des Nations Unies sur les changements climatiques (CCNUCC). Le Brésil soutient que les effets néfastes potentiels du changement climatique ne constituent pas nécessairement une menace à la paix et à la sécurité dans le continent américain, raison pour laquelle cette relation doit être vue sous l’angle du développement socioéconomique des pays de la région, lequel affecte substantiellement les capacités de ces sociétés à répondre et à s’adapter de manière adéquate aux possibles effets néfastes du changement climatique. Il n’est donc pas clair comment le langage sécuritaire de la sous-section peut contribuer à un traitement adéquat des éventuels effets néfastes du changement climatique sur la sécurité des pays de la région par rapport aux exigences du paradigme du développement durable et aux prévisions convenues sur le plan multilatéral dans le cadre du régime international applicable au changement climatique</w:t>
      </w:r>
      <w:r w:rsidRPr="00623A2B">
        <w:rPr>
          <w:rFonts w:ascii="Times New Roman" w:hAnsi="Times New Roman"/>
          <w:sz w:val="20"/>
          <w:lang w:val="fr-FR"/>
        </w:rPr>
        <w:t>.</w:t>
      </w:r>
    </w:p>
    <w:p w14:paraId="457AE2D2"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fr-FR"/>
        </w:rPr>
      </w:pPr>
    </w:p>
    <w:p w14:paraId="165C5EB8" w14:textId="13924296"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fr-FR"/>
        </w:rPr>
      </w:pPr>
      <w:r w:rsidRPr="00623A2B">
        <w:rPr>
          <w:rFonts w:ascii="Times New Roman" w:hAnsi="Times New Roman"/>
          <w:sz w:val="20"/>
          <w:lang w:val="fr-FR"/>
        </w:rPr>
        <w:tab/>
        <w:t>1</w:t>
      </w:r>
      <w:r w:rsidR="004C340F" w:rsidRPr="00623A2B">
        <w:rPr>
          <w:rFonts w:ascii="Times New Roman" w:hAnsi="Times New Roman"/>
          <w:sz w:val="20"/>
          <w:lang w:val="fr-FR"/>
        </w:rPr>
        <w:t>7</w:t>
      </w:r>
      <w:r w:rsidRPr="00623A2B">
        <w:rPr>
          <w:rFonts w:ascii="Times New Roman" w:hAnsi="Times New Roman"/>
          <w:sz w:val="20"/>
          <w:lang w:val="fr-FR"/>
        </w:rPr>
        <w:t>.</w:t>
      </w:r>
      <w:r w:rsidRPr="00623A2B">
        <w:rPr>
          <w:rFonts w:ascii="Times New Roman" w:hAnsi="Times New Roman"/>
          <w:sz w:val="20"/>
          <w:lang w:val="fr-FR"/>
        </w:rPr>
        <w:tab/>
        <w:t>… de la Cinquième Conférence des États parties qui entrent dans le champ d'application de la CIFTA et sont compatibles avec celle-ci, de manière à en faciliter la mise en œuvre.</w:t>
      </w:r>
    </w:p>
    <w:p w14:paraId="70AA76CF"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fr-FR"/>
        </w:rPr>
      </w:pPr>
    </w:p>
    <w:p w14:paraId="569CC55B" w14:textId="77777777" w:rsidR="00DF2371" w:rsidRPr="00623A2B" w:rsidRDefault="00DF2371" w:rsidP="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fr-FR"/>
        </w:rPr>
      </w:pPr>
    </w:p>
    <w:p w14:paraId="1D76E9DA" w14:textId="77777777" w:rsidR="001F5D49" w:rsidRPr="00623A2B" w:rsidRDefault="001F5D49" w:rsidP="009A129C">
      <w:pPr>
        <w:pStyle w:val="FootnoteText"/>
        <w:tabs>
          <w:tab w:val="clear" w:pos="360"/>
        </w:tabs>
        <w:rPr>
          <w:rFonts w:ascii="Times New Roman" w:hAnsi="Times New Roman"/>
          <w:sz w:val="20"/>
          <w:lang w:val="fr-FR"/>
        </w:rPr>
        <w:sectPr w:rsidR="001F5D49" w:rsidRPr="00623A2B" w:rsidSect="00623A2B">
          <w:headerReference w:type="default" r:id="rId86"/>
          <w:footnotePr>
            <w:numRestart w:val="eachSect"/>
          </w:footnotePr>
          <w:type w:val="oddPage"/>
          <w:pgSz w:w="12240" w:h="15840" w:code="1"/>
          <w:pgMar w:top="2160" w:right="1570" w:bottom="1296" w:left="1699" w:header="720" w:footer="720" w:gutter="0"/>
          <w:cols w:space="720"/>
          <w:noEndnote/>
          <w:titlePg/>
        </w:sectPr>
      </w:pPr>
    </w:p>
    <w:p w14:paraId="1EBFB04E" w14:textId="15995A59" w:rsidR="008B1794" w:rsidRPr="00623A2B" w:rsidRDefault="008B1794" w:rsidP="00ED77CA">
      <w:pPr>
        <w:pStyle w:val="Heading1"/>
        <w:spacing w:before="0"/>
        <w:jc w:val="center"/>
        <w:rPr>
          <w:rFonts w:ascii="Times New Roman" w:eastAsia="Calibri" w:hAnsi="Times New Roman" w:cs="Times New Roman"/>
          <w:color w:val="auto"/>
          <w:sz w:val="22"/>
          <w:szCs w:val="22"/>
          <w:lang w:val="fr-FR"/>
        </w:rPr>
      </w:pPr>
      <w:bookmarkStart w:id="34" w:name="_Toc89177461"/>
      <w:r w:rsidRPr="00623A2B">
        <w:rPr>
          <w:rFonts w:ascii="Times New Roman" w:hAnsi="Times New Roman" w:cs="Times New Roman"/>
          <w:color w:val="auto"/>
          <w:sz w:val="22"/>
          <w:szCs w:val="22"/>
          <w:lang w:val="fr-FR"/>
        </w:rPr>
        <w:lastRenderedPageBreak/>
        <w:t>AG/RES. 2971 (LI-O/21)</w:t>
      </w:r>
      <w:r w:rsidR="003B7A14" w:rsidRPr="00623A2B">
        <w:rPr>
          <w:rFonts w:ascii="Times New Roman" w:hAnsi="Times New Roman" w:cs="Times New Roman"/>
          <w:color w:val="auto"/>
          <w:sz w:val="22"/>
          <w:szCs w:val="22"/>
          <w:lang w:val="fr-FR"/>
        </w:rPr>
        <w:br/>
      </w:r>
      <w:r w:rsidR="003B7A14" w:rsidRPr="00623A2B">
        <w:rPr>
          <w:rFonts w:ascii="Times New Roman" w:hAnsi="Times New Roman" w:cs="Times New Roman"/>
          <w:color w:val="auto"/>
          <w:sz w:val="22"/>
          <w:szCs w:val="22"/>
          <w:lang w:val="fr-FR"/>
        </w:rPr>
        <w:br/>
      </w:r>
      <w:r w:rsidRPr="00623A2B">
        <w:rPr>
          <w:rFonts w:ascii="Times New Roman" w:eastAsia="Calibri" w:hAnsi="Times New Roman" w:cs="Times New Roman"/>
          <w:color w:val="auto"/>
          <w:sz w:val="22"/>
          <w:szCs w:val="22"/>
          <w:lang w:val="fr-FR"/>
        </w:rPr>
        <w:t>PROGRAMME-BUDGET 2022 DE L’ORGANISATION</w:t>
      </w:r>
      <w:r w:rsidR="004E5820" w:rsidRPr="00623A2B">
        <w:rPr>
          <w:rStyle w:val="FootnoteReference"/>
          <w:rFonts w:ascii="Times New Roman" w:hAnsi="Times New Roman" w:cs="Times New Roman"/>
          <w:sz w:val="22"/>
          <w:szCs w:val="22"/>
          <w:u w:val="single"/>
          <w:vertAlign w:val="superscript"/>
          <w:lang w:val="pt-BR"/>
        </w:rPr>
        <w:footnoteReference w:id="56"/>
      </w:r>
      <w:r w:rsidR="004E5820" w:rsidRPr="00623A2B">
        <w:rPr>
          <w:rFonts w:ascii="Times New Roman" w:hAnsi="Times New Roman" w:cs="Times New Roman"/>
          <w:color w:val="auto"/>
          <w:sz w:val="22"/>
          <w:szCs w:val="22"/>
          <w:vertAlign w:val="superscript"/>
          <w:lang w:val="fr-CA"/>
        </w:rPr>
        <w:t>/</w:t>
      </w:r>
      <w:r w:rsidR="004E5820" w:rsidRPr="00623A2B">
        <w:rPr>
          <w:rStyle w:val="FootnoteReference"/>
          <w:rFonts w:ascii="Times New Roman" w:hAnsi="Times New Roman" w:cs="Times New Roman"/>
          <w:sz w:val="22"/>
          <w:szCs w:val="22"/>
          <w:u w:val="single"/>
          <w:vertAlign w:val="superscript"/>
          <w:lang w:val="pt-BR"/>
        </w:rPr>
        <w:footnoteReference w:id="57"/>
      </w:r>
      <w:r w:rsidR="004E5820" w:rsidRPr="00623A2B">
        <w:rPr>
          <w:rFonts w:ascii="Times New Roman" w:hAnsi="Times New Roman" w:cs="Times New Roman"/>
          <w:color w:val="auto"/>
          <w:sz w:val="22"/>
          <w:szCs w:val="22"/>
          <w:vertAlign w:val="superscript"/>
          <w:lang w:val="fr-CA"/>
        </w:rPr>
        <w:t>/</w:t>
      </w:r>
      <w:r w:rsidR="004E5820" w:rsidRPr="00623A2B">
        <w:rPr>
          <w:rStyle w:val="FootnoteReference"/>
          <w:rFonts w:ascii="Times New Roman" w:hAnsi="Times New Roman" w:cs="Times New Roman"/>
          <w:sz w:val="22"/>
          <w:szCs w:val="22"/>
          <w:u w:val="single"/>
          <w:vertAlign w:val="superscript"/>
          <w:lang w:val="pt-BR"/>
        </w:rPr>
        <w:footnoteReference w:id="58"/>
      </w:r>
      <w:r w:rsidR="004E5820" w:rsidRPr="00623A2B">
        <w:rPr>
          <w:rFonts w:ascii="Times New Roman" w:hAnsi="Times New Roman" w:cs="Times New Roman"/>
          <w:color w:val="auto"/>
          <w:sz w:val="22"/>
          <w:szCs w:val="22"/>
          <w:vertAlign w:val="superscript"/>
          <w:lang w:val="fr-CA"/>
        </w:rPr>
        <w:t>/</w:t>
      </w:r>
      <w:r w:rsidR="004E5820" w:rsidRPr="00623A2B">
        <w:rPr>
          <w:rStyle w:val="FootnoteReference"/>
          <w:rFonts w:ascii="Times New Roman" w:hAnsi="Times New Roman" w:cs="Times New Roman"/>
          <w:sz w:val="22"/>
          <w:szCs w:val="22"/>
          <w:u w:val="single"/>
          <w:vertAlign w:val="superscript"/>
          <w:lang w:val="pt-BR"/>
        </w:rPr>
        <w:footnoteReference w:id="59"/>
      </w:r>
      <w:r w:rsidR="004E5820" w:rsidRPr="00623A2B">
        <w:rPr>
          <w:rFonts w:ascii="Times New Roman" w:hAnsi="Times New Roman" w:cs="Times New Roman"/>
          <w:color w:val="auto"/>
          <w:sz w:val="22"/>
          <w:szCs w:val="22"/>
          <w:vertAlign w:val="superscript"/>
          <w:lang w:val="fr-CA"/>
        </w:rPr>
        <w:t>/</w:t>
      </w:r>
      <w:bookmarkEnd w:id="34"/>
    </w:p>
    <w:p w14:paraId="3ADB662B" w14:textId="77777777" w:rsidR="008B1794" w:rsidRPr="00623A2B" w:rsidRDefault="008B1794" w:rsidP="008B1794">
      <w:pPr>
        <w:outlineLvl w:val="0"/>
        <w:rPr>
          <w:rFonts w:ascii="Times New Roman" w:eastAsia="Calibri" w:hAnsi="Times New Roman"/>
          <w:lang w:val="fr-FR"/>
        </w:rPr>
      </w:pPr>
    </w:p>
    <w:p w14:paraId="0DEB648E" w14:textId="1F302FD3" w:rsidR="008B1794" w:rsidRPr="00623A2B" w:rsidRDefault="008B1794" w:rsidP="004E5D09">
      <w:pPr>
        <w:jc w:val="center"/>
        <w:rPr>
          <w:rFonts w:ascii="Times New Roman" w:eastAsia="Calibri" w:hAnsi="Times New Roman"/>
          <w:bCs/>
          <w:lang w:val="fr-FR"/>
        </w:rPr>
      </w:pPr>
      <w:r w:rsidRPr="00623A2B">
        <w:rPr>
          <w:rFonts w:ascii="Times New Roman" w:eastAsia="Calibri" w:hAnsi="Times New Roman"/>
          <w:lang w:val="fr-FR"/>
        </w:rPr>
        <w:t>(</w:t>
      </w:r>
      <w:r w:rsidR="004E5820" w:rsidRPr="00623A2B">
        <w:rPr>
          <w:rFonts w:ascii="Times New Roman" w:hAnsi="Times New Roman"/>
          <w:szCs w:val="22"/>
          <w:lang w:val="fr-FR"/>
        </w:rPr>
        <w:t xml:space="preserve">Résolution adoptée à la deuxième séance plénière, </w:t>
      </w:r>
      <w:r w:rsidR="004E5820" w:rsidRPr="00623A2B">
        <w:rPr>
          <w:rFonts w:ascii="Times New Roman" w:hAnsi="Times New Roman"/>
          <w:szCs w:val="22"/>
          <w:lang w:val="fr-CA"/>
        </w:rPr>
        <w:t>le 11 novembre 2021</w:t>
      </w:r>
      <w:r w:rsidRPr="00623A2B">
        <w:rPr>
          <w:rFonts w:ascii="Times New Roman" w:eastAsia="Calibri" w:hAnsi="Times New Roman"/>
          <w:lang w:val="fr-FR"/>
        </w:rPr>
        <w:t>)</w:t>
      </w:r>
    </w:p>
    <w:p w14:paraId="1A7D4267" w14:textId="77777777" w:rsidR="008B1794" w:rsidRPr="00623A2B" w:rsidRDefault="008B1794" w:rsidP="008B1794">
      <w:pPr>
        <w:suppressAutoHyphens/>
        <w:rPr>
          <w:rFonts w:ascii="Times New Roman" w:hAnsi="Times New Roman"/>
          <w:color w:val="000000"/>
          <w:lang w:val="fr-FR" w:eastAsia="es-ES"/>
        </w:rPr>
      </w:pPr>
    </w:p>
    <w:p w14:paraId="52692057" w14:textId="77777777" w:rsidR="008B1794" w:rsidRPr="00623A2B" w:rsidRDefault="008B1794" w:rsidP="008B1794">
      <w:pPr>
        <w:suppressAutoHyphens/>
        <w:rPr>
          <w:rFonts w:ascii="Times New Roman" w:hAnsi="Times New Roman"/>
          <w:color w:val="000000"/>
          <w:lang w:val="fr-FR" w:eastAsia="es-ES"/>
        </w:rPr>
      </w:pPr>
    </w:p>
    <w:p w14:paraId="260A88EB" w14:textId="77777777" w:rsidR="008B1794" w:rsidRPr="00623A2B" w:rsidRDefault="008B1794" w:rsidP="008B1794">
      <w:pPr>
        <w:suppressAutoHyphens/>
        <w:rPr>
          <w:rFonts w:ascii="Times New Roman" w:eastAsia="Calibri" w:hAnsi="Times New Roman"/>
          <w:color w:val="000000"/>
          <w:lang w:val="fr-FR"/>
        </w:rPr>
      </w:pPr>
      <w:r w:rsidRPr="00623A2B">
        <w:rPr>
          <w:rFonts w:ascii="Times New Roman" w:eastAsia="Calibri" w:hAnsi="Times New Roman"/>
          <w:color w:val="000000"/>
          <w:lang w:val="fr-FR"/>
        </w:rPr>
        <w:tab/>
        <w:t>L’ASSEMBLÉE GÉNÉRALE,</w:t>
      </w:r>
    </w:p>
    <w:p w14:paraId="7D3354A4" w14:textId="77777777" w:rsidR="008B1794" w:rsidRPr="00623A2B" w:rsidRDefault="008B1794" w:rsidP="008B1794">
      <w:pPr>
        <w:suppressAutoHyphens/>
        <w:rPr>
          <w:rFonts w:ascii="Times New Roman" w:hAnsi="Times New Roman"/>
          <w:color w:val="000000"/>
          <w:lang w:val="fr-FR" w:eastAsia="es-ES"/>
        </w:rPr>
      </w:pPr>
    </w:p>
    <w:p w14:paraId="35431D67" w14:textId="77777777" w:rsidR="008B1794" w:rsidRPr="00623A2B" w:rsidRDefault="008B1794" w:rsidP="008B1794">
      <w:pPr>
        <w:suppressAutoHyphens/>
        <w:rPr>
          <w:rFonts w:ascii="Times New Roman" w:hAnsi="Times New Roman"/>
          <w:color w:val="000000"/>
          <w:lang w:val="fr-FR"/>
        </w:rPr>
      </w:pPr>
      <w:r w:rsidRPr="00623A2B">
        <w:rPr>
          <w:rFonts w:ascii="Times New Roman" w:eastAsia="Calibri" w:hAnsi="Times New Roman"/>
          <w:color w:val="000000"/>
          <w:lang w:val="fr-FR"/>
        </w:rPr>
        <w:t>PRENANT EN COMPTE :</w:t>
      </w:r>
    </w:p>
    <w:p w14:paraId="6ACBBBC7" w14:textId="77777777" w:rsidR="008B1794" w:rsidRPr="00623A2B" w:rsidRDefault="008B1794" w:rsidP="008B1794">
      <w:pPr>
        <w:suppressAutoHyphens/>
        <w:rPr>
          <w:rFonts w:ascii="Times New Roman" w:hAnsi="Times New Roman"/>
          <w:color w:val="000000"/>
          <w:lang w:val="fr-FR" w:eastAsia="es-ES"/>
        </w:rPr>
      </w:pPr>
    </w:p>
    <w:p w14:paraId="24EFA673" w14:textId="77777777" w:rsidR="008B1794" w:rsidRPr="00623A2B" w:rsidRDefault="008B1794" w:rsidP="008B1794">
      <w:pPr>
        <w:suppressAutoHyphens/>
        <w:ind w:firstLine="720"/>
        <w:rPr>
          <w:rFonts w:ascii="Times New Roman" w:hAnsi="Times New Roman"/>
          <w:color w:val="000000"/>
          <w:lang w:val="fr-FR"/>
        </w:rPr>
      </w:pPr>
      <w:r w:rsidRPr="00623A2B">
        <w:rPr>
          <w:rFonts w:ascii="Times New Roman" w:eastAsia="Calibri" w:hAnsi="Times New Roman"/>
          <w:color w:val="000000"/>
          <w:lang w:val="fr-FR"/>
        </w:rPr>
        <w:t xml:space="preserve">Qu’aux termes des articles 54 </w:t>
      </w:r>
      <w:r w:rsidRPr="00623A2B">
        <w:rPr>
          <w:rFonts w:ascii="Times New Roman" w:eastAsia="Calibri" w:hAnsi="Times New Roman"/>
          <w:i/>
          <w:iCs/>
          <w:color w:val="000000"/>
          <w:lang w:val="fr-FR"/>
        </w:rPr>
        <w:t>e</w:t>
      </w:r>
      <w:r w:rsidRPr="00623A2B">
        <w:rPr>
          <w:rFonts w:ascii="Times New Roman" w:eastAsia="Calibri" w:hAnsi="Times New Roman"/>
          <w:color w:val="000000"/>
          <w:lang w:val="fr-FR"/>
        </w:rPr>
        <w:t xml:space="preserve"> et 55 de la Charte de l’Organisation des États Américains, l’Assemblée générale approuve le programme-budget de l’Organisation et établit les bases qui serviront à fixer la quote-part que doit verser chaque gouvernement pour contribuer au fonctionnement de l’Organisation, en tenant compte de la capacité de paiement des pays respectifs et de leur détermination à y souscrire d’une façon équitable ; </w:t>
      </w:r>
    </w:p>
    <w:p w14:paraId="18D145A6" w14:textId="77777777" w:rsidR="008B1794" w:rsidRPr="00623A2B" w:rsidRDefault="008B1794" w:rsidP="008B1794">
      <w:pPr>
        <w:suppressAutoHyphens/>
        <w:spacing w:line="360" w:lineRule="auto"/>
        <w:rPr>
          <w:rFonts w:ascii="Times New Roman" w:hAnsi="Times New Roman"/>
          <w:color w:val="000000"/>
          <w:lang w:val="fr-FR" w:eastAsia="es-ES"/>
        </w:rPr>
      </w:pPr>
    </w:p>
    <w:p w14:paraId="2F69A9CD" w14:textId="77777777" w:rsidR="008B1794" w:rsidRPr="00623A2B" w:rsidRDefault="008B1794" w:rsidP="008B1794">
      <w:pPr>
        <w:suppressAutoHyphens/>
        <w:ind w:firstLine="720"/>
        <w:rPr>
          <w:rFonts w:ascii="Times New Roman" w:eastAsia="Arial Unicode MS" w:hAnsi="Times New Roman"/>
          <w:lang w:val="fr-FR"/>
        </w:rPr>
      </w:pPr>
      <w:r w:rsidRPr="00623A2B">
        <w:rPr>
          <w:rFonts w:ascii="Times New Roman" w:eastAsia="Calibri" w:hAnsi="Times New Roman"/>
          <w:lang w:val="fr-FR"/>
        </w:rPr>
        <w:t xml:space="preserve">Qu’aux termes de l’article 86 des Normes générales de fonctionnement du Secrétariat général (Normes générales), il revient au Secrétariat général de soumettre au Conseil permanent une proposition de budget pour l’emploi des ressources provenant du recouvrement des coûts indirects (RCI), lequel sera basé sur les recettes anticipées équivalant à 90 % de la moyenne du RCI obtenu durant les trois années précédant immédiatement l’année d’approbation du programme-budget, étant entendu que ce budget de RCI sera également approuvé par l’Assemblée générale ; </w:t>
      </w:r>
    </w:p>
    <w:p w14:paraId="03A3F5AB" w14:textId="77777777" w:rsidR="008B1794" w:rsidRPr="00623A2B" w:rsidRDefault="008B1794" w:rsidP="008B1794">
      <w:pPr>
        <w:suppressAutoHyphens/>
        <w:rPr>
          <w:rFonts w:ascii="Times New Roman" w:eastAsia="Arial Unicode MS" w:hAnsi="Times New Roman"/>
          <w:lang w:val="fr-FR"/>
        </w:rPr>
      </w:pPr>
    </w:p>
    <w:p w14:paraId="44144C94" w14:textId="77777777" w:rsidR="008B1794" w:rsidRPr="00623A2B" w:rsidRDefault="008B1794" w:rsidP="008B1794">
      <w:pPr>
        <w:suppressAutoHyphens/>
        <w:ind w:firstLine="720"/>
        <w:rPr>
          <w:rFonts w:ascii="Times New Roman" w:eastAsia="Calibri" w:hAnsi="Times New Roman"/>
          <w:color w:val="000000"/>
          <w:lang w:val="fr-FR"/>
        </w:rPr>
      </w:pPr>
      <w:r w:rsidRPr="00623A2B">
        <w:rPr>
          <w:rFonts w:ascii="Times New Roman" w:eastAsia="Calibri" w:hAnsi="Times New Roman"/>
          <w:lang w:val="fr-FR"/>
        </w:rPr>
        <w:t xml:space="preserve">Que le financement du programme-budget comprend les recettes au titre des quotes-parts, les recettes au titre des intérêts et des remboursements ainsi que d’autres recettes, conformément au chapitre IV des Normes générales ; </w:t>
      </w:r>
    </w:p>
    <w:p w14:paraId="59CAB117" w14:textId="77777777" w:rsidR="008B1794" w:rsidRPr="00623A2B" w:rsidRDefault="008B1794" w:rsidP="008B1794">
      <w:pPr>
        <w:suppressAutoHyphens/>
        <w:rPr>
          <w:rFonts w:ascii="Times New Roman" w:eastAsia="Arial Unicode MS" w:hAnsi="Times New Roman"/>
          <w:bCs/>
          <w:lang w:val="fr-FR"/>
        </w:rPr>
      </w:pPr>
    </w:p>
    <w:p w14:paraId="4FF8ABB3" w14:textId="77777777" w:rsidR="008B1794" w:rsidRPr="00623A2B" w:rsidRDefault="008B1794" w:rsidP="008B1794">
      <w:pPr>
        <w:suppressAutoHyphens/>
        <w:ind w:firstLine="720"/>
        <w:rPr>
          <w:rFonts w:ascii="Times New Roman" w:eastAsia="Arial Unicode MS" w:hAnsi="Times New Roman"/>
          <w:bCs/>
          <w:lang w:val="fr-FR"/>
        </w:rPr>
      </w:pPr>
      <w:r w:rsidRPr="00623A2B">
        <w:rPr>
          <w:rFonts w:ascii="Times New Roman" w:eastAsia="Calibri" w:hAnsi="Times New Roman"/>
          <w:lang w:val="fr-FR"/>
        </w:rPr>
        <w:t>La proposition de programme-budget 2022 de l'Organisation (</w:t>
      </w:r>
      <w:hyperlink r:id="rId87" w:history="1">
        <w:r w:rsidRPr="00623A2B">
          <w:rPr>
            <w:rFonts w:ascii="Times New Roman" w:eastAsia="Arial Unicode MS" w:hAnsi="Times New Roman"/>
            <w:bCs/>
            <w:color w:val="0563C1"/>
            <w:u w:val="single"/>
            <w:lang w:val="fr-FR"/>
          </w:rPr>
          <w:t>CP/doc.5720/21</w:t>
        </w:r>
      </w:hyperlink>
      <w:r w:rsidRPr="00623A2B">
        <w:rPr>
          <w:rFonts w:ascii="Times New Roman" w:eastAsia="Calibri" w:hAnsi="Times New Roman"/>
          <w:lang w:val="fr-FR"/>
        </w:rPr>
        <w:t>) présentée par le Secrétariat général le 23 aout 2021 et le rapport annuel de la Commission des vérificateurs extérieurs (</w:t>
      </w:r>
      <w:hyperlink r:id="rId88" w:history="1">
        <w:r w:rsidRPr="00623A2B">
          <w:rPr>
            <w:rFonts w:ascii="Times New Roman" w:eastAsia="Calibri" w:hAnsi="Times New Roman"/>
            <w:color w:val="0000FF"/>
            <w:lang w:val="fr-FR"/>
          </w:rPr>
          <w:t>CP/doc.5700/21</w:t>
        </w:r>
      </w:hyperlink>
      <w:r w:rsidRPr="00623A2B">
        <w:rPr>
          <w:rFonts w:ascii="Times New Roman" w:eastAsia="Calibri" w:hAnsi="Times New Roman"/>
          <w:lang w:val="fr-FR"/>
        </w:rPr>
        <w:t xml:space="preserve">) présenté au Conseil permanent le 12 mai 2021 ; </w:t>
      </w:r>
    </w:p>
    <w:p w14:paraId="11DFE4E5" w14:textId="77777777" w:rsidR="008B1794" w:rsidRPr="00623A2B" w:rsidRDefault="008B1794" w:rsidP="008B1794">
      <w:pPr>
        <w:suppressAutoHyphens/>
        <w:rPr>
          <w:rFonts w:ascii="Times New Roman" w:eastAsia="Arial Unicode MS" w:hAnsi="Times New Roman"/>
          <w:bCs/>
          <w:lang w:val="fr-FR"/>
        </w:rPr>
      </w:pPr>
    </w:p>
    <w:p w14:paraId="555CEA20" w14:textId="77777777" w:rsidR="008B1794" w:rsidRPr="00623A2B" w:rsidRDefault="008B1794" w:rsidP="008B1794">
      <w:pPr>
        <w:suppressAutoHyphens/>
        <w:ind w:firstLine="720"/>
        <w:rPr>
          <w:rFonts w:ascii="Times New Roman" w:hAnsi="Times New Roman"/>
          <w:bCs/>
          <w:color w:val="000000"/>
          <w:lang w:val="fr-FR"/>
        </w:rPr>
      </w:pPr>
      <w:r w:rsidRPr="00623A2B">
        <w:rPr>
          <w:rFonts w:ascii="Times New Roman" w:eastAsia="Calibri" w:hAnsi="Times New Roman"/>
          <w:color w:val="000000"/>
          <w:lang w:val="fr-FR"/>
        </w:rPr>
        <w:t xml:space="preserve">Le « Rapport de la présidence de la Commission des questions administratives et budgétaires sur la proposition de programme-budget 2022 de l’Organisation » (CP/CAAP-3788/21), lequel a été présenté conformément à l'article 60 </w:t>
      </w:r>
      <w:r w:rsidRPr="00623A2B">
        <w:rPr>
          <w:rFonts w:ascii="Times New Roman" w:eastAsia="Calibri" w:hAnsi="Times New Roman"/>
          <w:i/>
          <w:iCs/>
          <w:color w:val="000000"/>
          <w:lang w:val="fr-FR"/>
        </w:rPr>
        <w:t>b</w:t>
      </w:r>
      <w:r w:rsidRPr="00623A2B">
        <w:rPr>
          <w:rFonts w:ascii="Times New Roman" w:eastAsia="Calibri" w:hAnsi="Times New Roman"/>
          <w:color w:val="000000"/>
          <w:lang w:val="fr-FR"/>
        </w:rPr>
        <w:t xml:space="preserve"> de la Charte de l’OEA ; </w:t>
      </w:r>
    </w:p>
    <w:p w14:paraId="688EABA8" w14:textId="77777777" w:rsidR="008B1794" w:rsidRPr="00623A2B" w:rsidRDefault="008B1794" w:rsidP="008B1794">
      <w:pPr>
        <w:suppressAutoHyphens/>
        <w:rPr>
          <w:rFonts w:ascii="Times New Roman" w:hAnsi="Times New Roman"/>
          <w:color w:val="000000"/>
          <w:lang w:val="fr-FR" w:eastAsia="es-ES"/>
        </w:rPr>
      </w:pPr>
    </w:p>
    <w:p w14:paraId="66A0DF36" w14:textId="77777777" w:rsidR="003B7A14" w:rsidRPr="00623A2B" w:rsidRDefault="003B7A1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lang w:val="fr-FR"/>
        </w:rPr>
      </w:pPr>
      <w:r w:rsidRPr="00623A2B">
        <w:rPr>
          <w:rFonts w:ascii="Times New Roman" w:eastAsia="Calibri" w:hAnsi="Times New Roman"/>
          <w:color w:val="000000"/>
          <w:lang w:val="fr-FR"/>
        </w:rPr>
        <w:br w:type="page"/>
      </w:r>
    </w:p>
    <w:p w14:paraId="445C4AA9" w14:textId="0BEB8D85" w:rsidR="008B1794" w:rsidRPr="00623A2B" w:rsidRDefault="008B1794" w:rsidP="008B1794">
      <w:pPr>
        <w:suppressAutoHyphens/>
        <w:ind w:firstLine="720"/>
        <w:rPr>
          <w:rFonts w:ascii="Times New Roman" w:hAnsi="Times New Roman"/>
          <w:color w:val="000000"/>
          <w:lang w:val="fr-FR"/>
        </w:rPr>
      </w:pPr>
      <w:r w:rsidRPr="00623A2B">
        <w:rPr>
          <w:rFonts w:ascii="Times New Roman" w:eastAsia="Calibri" w:hAnsi="Times New Roman"/>
          <w:color w:val="000000"/>
          <w:lang w:val="fr-FR"/>
        </w:rPr>
        <w:lastRenderedPageBreak/>
        <w:t xml:space="preserve">Les résolutions suivantes : </w:t>
      </w:r>
    </w:p>
    <w:p w14:paraId="23A90E30" w14:textId="77777777" w:rsidR="008B1794" w:rsidRPr="00623A2B" w:rsidRDefault="008B1794" w:rsidP="008B1794">
      <w:pPr>
        <w:suppressAutoHyphens/>
        <w:rPr>
          <w:rFonts w:ascii="Times New Roman" w:hAnsi="Times New Roman"/>
          <w:color w:val="000000"/>
          <w:lang w:val="fr-FR" w:eastAsia="es-ES"/>
        </w:rPr>
      </w:pPr>
    </w:p>
    <w:p w14:paraId="27920448" w14:textId="77777777" w:rsidR="008B1794" w:rsidRPr="00623A2B" w:rsidRDefault="004A47F0" w:rsidP="008B1794">
      <w:pPr>
        <w:suppressAutoHyphens/>
        <w:ind w:firstLine="720"/>
        <w:rPr>
          <w:rFonts w:ascii="Times New Roman" w:hAnsi="Times New Roman"/>
          <w:color w:val="000000"/>
          <w:lang w:val="fr-FR"/>
        </w:rPr>
      </w:pPr>
      <w:hyperlink r:id="rId89" w:history="1">
        <w:r w:rsidR="008B1794" w:rsidRPr="00623A2B">
          <w:rPr>
            <w:rFonts w:ascii="Times New Roman" w:eastAsia="Calibri" w:hAnsi="Times New Roman"/>
            <w:color w:val="0563C1"/>
            <w:u w:val="single"/>
            <w:lang w:val="fr-FR"/>
          </w:rPr>
          <w:t>AG/RES.</w:t>
        </w:r>
      </w:hyperlink>
      <w:hyperlink r:id="rId90" w:history="1">
        <w:r w:rsidR="008B1794" w:rsidRPr="00623A2B">
          <w:rPr>
            <w:rFonts w:ascii="Times New Roman" w:eastAsia="Calibri" w:hAnsi="Times New Roman"/>
            <w:color w:val="0563C1"/>
            <w:u w:val="single"/>
            <w:lang w:val="fr-FR"/>
          </w:rPr>
          <w:t xml:space="preserve"> 1319 (XXV-O/95</w:t>
        </w:r>
      </w:hyperlink>
      <w:r w:rsidR="008B1794" w:rsidRPr="00623A2B">
        <w:rPr>
          <w:rFonts w:ascii="Times New Roman" w:eastAsia="Calibri" w:hAnsi="Times New Roman"/>
          <w:color w:val="000000"/>
          <w:lang w:val="fr-FR"/>
        </w:rPr>
        <w:t>)</w:t>
      </w:r>
      <w:r w:rsidR="008B1794" w:rsidRPr="00623A2B">
        <w:rPr>
          <w:rFonts w:ascii="Times New Roman" w:eastAsia="Calibri" w:hAnsi="Times New Roman"/>
          <w:lang w:val="fr-FR"/>
        </w:rPr>
        <w:t>, « Modification et explication des résolutions AG/RES.</w:t>
      </w:r>
      <w:r w:rsidR="008B1794" w:rsidRPr="00623A2B">
        <w:rPr>
          <w:rFonts w:ascii="Times New Roman" w:eastAsia="Calibri" w:hAnsi="Times New Roman"/>
          <w:color w:val="000000"/>
          <w:lang w:val="fr-FR"/>
        </w:rPr>
        <w:t xml:space="preserve"> 1275 (XXIV-O/94) et CP/RES. 631 (989/94) portant modification du régime de rémunération du personnel du Secrétariat général » ;</w:t>
      </w:r>
    </w:p>
    <w:p w14:paraId="27BB0484" w14:textId="77777777" w:rsidR="008B1794" w:rsidRPr="00623A2B" w:rsidRDefault="008B1794" w:rsidP="008B1794">
      <w:pPr>
        <w:suppressAutoHyphens/>
        <w:rPr>
          <w:rFonts w:ascii="Times New Roman" w:hAnsi="Times New Roman"/>
          <w:color w:val="000000"/>
          <w:lang w:val="fr-FR" w:eastAsia="es-ES"/>
        </w:rPr>
      </w:pPr>
    </w:p>
    <w:p w14:paraId="4CA904EF" w14:textId="77777777" w:rsidR="008B1794" w:rsidRPr="00623A2B" w:rsidRDefault="008B1794" w:rsidP="008B1794">
      <w:pPr>
        <w:suppressAutoHyphens/>
        <w:ind w:firstLine="720"/>
        <w:rPr>
          <w:rFonts w:ascii="Times New Roman" w:eastAsia="Calibri" w:hAnsi="Times New Roman"/>
          <w:lang w:val="fr-FR"/>
        </w:rPr>
      </w:pPr>
      <w:r w:rsidRPr="00623A2B">
        <w:rPr>
          <w:rFonts w:ascii="Times New Roman" w:eastAsia="Calibri" w:hAnsi="Times New Roman"/>
          <w:color w:val="000000"/>
          <w:lang w:val="fr-FR"/>
        </w:rPr>
        <w:t xml:space="preserve">AG/RES. </w:t>
      </w:r>
      <w:r w:rsidRPr="00623A2B">
        <w:rPr>
          <w:rFonts w:ascii="Times New Roman" w:eastAsia="Calibri" w:hAnsi="Times New Roman"/>
          <w:lang w:val="fr-FR"/>
        </w:rPr>
        <w:t>1757 (XXX-O/00), « </w:t>
      </w:r>
      <w:r w:rsidRPr="00623A2B">
        <w:rPr>
          <w:rFonts w:ascii="Times New Roman" w:eastAsia="Calibri" w:hAnsi="Times New Roman"/>
          <w:color w:val="000000"/>
          <w:lang w:val="fr-FR"/>
        </w:rPr>
        <w:t>Mesures appelées à encourager le versement ponctuel des quotes-parts », modifiée par les résolutions AG/RES.</w:t>
      </w:r>
      <w:r w:rsidRPr="00623A2B">
        <w:rPr>
          <w:rFonts w:ascii="Times New Roman" w:eastAsia="Calibri" w:hAnsi="Times New Roman"/>
          <w:lang w:val="fr-FR"/>
        </w:rPr>
        <w:t xml:space="preserve"> 2157 (XXXV-O/05) et AG/RES. 1 (XLII-E/11) </w:t>
      </w:r>
      <w:proofErr w:type="spellStart"/>
      <w:r w:rsidRPr="00623A2B">
        <w:rPr>
          <w:rFonts w:ascii="Times New Roman" w:eastAsia="Calibri" w:hAnsi="Times New Roman"/>
          <w:lang w:val="fr-FR"/>
        </w:rPr>
        <w:t>rev</w:t>
      </w:r>
      <w:proofErr w:type="spellEnd"/>
      <w:r w:rsidRPr="00623A2B">
        <w:rPr>
          <w:rFonts w:ascii="Times New Roman" w:eastAsia="Calibri" w:hAnsi="Times New Roman"/>
          <w:lang w:val="fr-FR"/>
        </w:rPr>
        <w:t>. 1 ;</w:t>
      </w:r>
    </w:p>
    <w:p w14:paraId="0B2F1B85" w14:textId="77777777" w:rsidR="008B1794" w:rsidRPr="00623A2B" w:rsidRDefault="008B1794" w:rsidP="008B1794">
      <w:pPr>
        <w:suppressAutoHyphens/>
        <w:rPr>
          <w:rFonts w:ascii="Times New Roman" w:hAnsi="Times New Roman"/>
          <w:color w:val="000000"/>
          <w:lang w:val="fr-FR" w:eastAsia="es-ES"/>
        </w:rPr>
      </w:pPr>
    </w:p>
    <w:p w14:paraId="293F76DD" w14:textId="77777777" w:rsidR="008B1794" w:rsidRPr="00623A2B" w:rsidRDefault="004A47F0" w:rsidP="008B1794">
      <w:pPr>
        <w:suppressAutoHyphens/>
        <w:ind w:firstLine="720"/>
        <w:rPr>
          <w:rFonts w:ascii="Times New Roman" w:hAnsi="Times New Roman"/>
          <w:color w:val="000000"/>
          <w:lang w:val="fr-FR"/>
        </w:rPr>
      </w:pPr>
      <w:hyperlink r:id="rId91" w:history="1">
        <w:r w:rsidR="008B1794" w:rsidRPr="00623A2B">
          <w:rPr>
            <w:rFonts w:ascii="Times New Roman" w:eastAsia="Calibri" w:hAnsi="Times New Roman"/>
            <w:color w:val="0563C1"/>
            <w:u w:val="single"/>
            <w:lang w:val="fr-FR"/>
          </w:rPr>
          <w:t>AG/RES.</w:t>
        </w:r>
      </w:hyperlink>
      <w:hyperlink r:id="rId92" w:history="1">
        <w:r w:rsidR="008B1794" w:rsidRPr="00623A2B">
          <w:rPr>
            <w:rFonts w:ascii="Times New Roman" w:eastAsia="Calibri" w:hAnsi="Times New Roman"/>
            <w:color w:val="0563C1"/>
            <w:u w:val="single"/>
            <w:lang w:val="fr-FR"/>
          </w:rPr>
          <w:t xml:space="preserve"> 1 (XXXIV-E/07) </w:t>
        </w:r>
        <w:proofErr w:type="spellStart"/>
        <w:r w:rsidR="008B1794" w:rsidRPr="00623A2B">
          <w:rPr>
            <w:rFonts w:ascii="Times New Roman" w:eastAsia="Calibri" w:hAnsi="Times New Roman"/>
            <w:color w:val="0563C1"/>
            <w:u w:val="single"/>
            <w:lang w:val="fr-FR"/>
          </w:rPr>
          <w:t>rev</w:t>
        </w:r>
        <w:proofErr w:type="spellEnd"/>
        <w:r w:rsidR="008B1794" w:rsidRPr="00623A2B">
          <w:rPr>
            <w:rFonts w:ascii="Times New Roman" w:eastAsia="Calibri" w:hAnsi="Times New Roman"/>
            <w:color w:val="0563C1"/>
            <w:u w:val="single"/>
            <w:lang w:val="fr-FR"/>
          </w:rPr>
          <w:t>. 1</w:t>
        </w:r>
      </w:hyperlink>
      <w:r w:rsidR="008B1794" w:rsidRPr="00623A2B">
        <w:rPr>
          <w:rFonts w:ascii="Times New Roman" w:eastAsia="Calibri" w:hAnsi="Times New Roman"/>
          <w:lang w:val="fr-FR"/>
        </w:rPr>
        <w:t>, « Méthodologie de calcul du barème des quotes-parts pour le financement du Fonds ordinaire de l'Organisation » ;</w:t>
      </w:r>
    </w:p>
    <w:p w14:paraId="02BFC2F2" w14:textId="77777777" w:rsidR="008B1794" w:rsidRPr="00623A2B" w:rsidRDefault="008B1794" w:rsidP="008B1794">
      <w:pPr>
        <w:suppressAutoHyphens/>
        <w:rPr>
          <w:rFonts w:ascii="Times New Roman" w:hAnsi="Times New Roman"/>
          <w:color w:val="000000"/>
          <w:lang w:val="fr-FR" w:eastAsia="es-ES"/>
        </w:rPr>
      </w:pPr>
    </w:p>
    <w:p w14:paraId="11A67C68" w14:textId="77777777" w:rsidR="008B1794" w:rsidRPr="00623A2B" w:rsidRDefault="004A47F0" w:rsidP="008B1794">
      <w:pPr>
        <w:suppressAutoHyphens/>
        <w:ind w:firstLine="720"/>
        <w:rPr>
          <w:rFonts w:ascii="Times New Roman" w:hAnsi="Times New Roman"/>
          <w:color w:val="000000"/>
          <w:lang w:val="fr-FR"/>
        </w:rPr>
      </w:pPr>
      <w:hyperlink r:id="rId93" w:history="1">
        <w:r w:rsidR="008B1794" w:rsidRPr="00623A2B">
          <w:rPr>
            <w:rFonts w:ascii="Times New Roman" w:eastAsia="Calibri" w:hAnsi="Times New Roman"/>
            <w:color w:val="0563C1"/>
            <w:u w:val="single"/>
            <w:lang w:val="fr-FR"/>
          </w:rPr>
          <w:t>CP/RES.</w:t>
        </w:r>
      </w:hyperlink>
      <w:hyperlink r:id="rId94" w:history="1">
        <w:r w:rsidR="008B1794" w:rsidRPr="00623A2B">
          <w:rPr>
            <w:rFonts w:ascii="Times New Roman" w:eastAsia="Calibri" w:hAnsi="Times New Roman"/>
            <w:color w:val="0563C1"/>
            <w:u w:val="single"/>
            <w:lang w:val="fr-FR"/>
          </w:rPr>
          <w:t xml:space="preserve"> 1103 (2168/18) </w:t>
        </w:r>
        <w:proofErr w:type="spellStart"/>
        <w:r w:rsidR="008B1794" w:rsidRPr="00623A2B">
          <w:rPr>
            <w:rFonts w:ascii="Times New Roman" w:eastAsia="Calibri" w:hAnsi="Times New Roman"/>
            <w:color w:val="0563C1"/>
            <w:u w:val="single"/>
            <w:lang w:val="fr-FR"/>
          </w:rPr>
          <w:t>rev</w:t>
        </w:r>
        <w:proofErr w:type="spellEnd"/>
        <w:r w:rsidR="008B1794" w:rsidRPr="00623A2B">
          <w:rPr>
            <w:rFonts w:ascii="Times New Roman" w:eastAsia="Calibri" w:hAnsi="Times New Roman"/>
            <w:color w:val="0563C1"/>
            <w:u w:val="single"/>
            <w:lang w:val="fr-FR"/>
          </w:rPr>
          <w:t>. 1</w:t>
        </w:r>
      </w:hyperlink>
      <w:r w:rsidR="008B1794" w:rsidRPr="00623A2B">
        <w:rPr>
          <w:rFonts w:ascii="Times New Roman" w:eastAsia="Calibri" w:hAnsi="Times New Roman"/>
          <w:lang w:val="fr-FR"/>
        </w:rPr>
        <w:t>, « Modifications à la méthodologie pour le calcul du barème des quotes-parts pour le financement du Fonds ordinaire de l’Organisation 2019-2023 » ;</w:t>
      </w:r>
    </w:p>
    <w:p w14:paraId="3AFF67FE" w14:textId="77777777" w:rsidR="008B1794" w:rsidRPr="00623A2B" w:rsidRDefault="008B1794" w:rsidP="008B1794">
      <w:pPr>
        <w:suppressAutoHyphens/>
        <w:rPr>
          <w:rFonts w:ascii="Times New Roman" w:hAnsi="Times New Roman"/>
          <w:color w:val="000000"/>
          <w:lang w:val="fr-FR" w:eastAsia="es-ES"/>
        </w:rPr>
      </w:pPr>
    </w:p>
    <w:p w14:paraId="73454D51" w14:textId="77777777" w:rsidR="008B1794" w:rsidRPr="00623A2B" w:rsidRDefault="008B1794" w:rsidP="008B1794">
      <w:pPr>
        <w:suppressAutoHyphens/>
        <w:ind w:firstLine="720"/>
        <w:rPr>
          <w:rFonts w:ascii="Times New Roman" w:hAnsi="Times New Roman"/>
          <w:color w:val="000000"/>
          <w:lang w:val="fr-FR"/>
        </w:rPr>
      </w:pPr>
      <w:r w:rsidRPr="00623A2B">
        <w:rPr>
          <w:rFonts w:ascii="Times New Roman" w:eastAsia="Calibri" w:hAnsi="Times New Roman"/>
          <w:color w:val="000000"/>
          <w:lang w:val="fr-FR"/>
        </w:rPr>
        <w:t>AG/RES. 2942 (XLIX-O/19), « Renforcement de la déontologie, de la surveillance et de la transparence au sein de l’Organisation des États Américains » ;</w:t>
      </w:r>
    </w:p>
    <w:p w14:paraId="44B418A8" w14:textId="77777777" w:rsidR="008B1794" w:rsidRPr="00623A2B" w:rsidRDefault="008B1794" w:rsidP="008B1794">
      <w:pPr>
        <w:suppressAutoHyphens/>
        <w:rPr>
          <w:rFonts w:ascii="Times New Roman" w:hAnsi="Times New Roman"/>
          <w:color w:val="000000"/>
          <w:lang w:val="fr-FR" w:eastAsia="es-ES"/>
        </w:rPr>
      </w:pPr>
    </w:p>
    <w:p w14:paraId="4C22C52A" w14:textId="77777777" w:rsidR="008B1794" w:rsidRPr="00623A2B" w:rsidRDefault="004A47F0" w:rsidP="008B1794">
      <w:pPr>
        <w:suppressAutoHyphens/>
        <w:ind w:firstLine="720"/>
        <w:rPr>
          <w:rFonts w:ascii="Times New Roman" w:hAnsi="Times New Roman"/>
          <w:color w:val="000000"/>
          <w:lang w:val="fr-FR"/>
        </w:rPr>
      </w:pPr>
      <w:hyperlink r:id="rId95" w:history="1">
        <w:r w:rsidR="008B1794" w:rsidRPr="00623A2B">
          <w:rPr>
            <w:rFonts w:ascii="Times New Roman" w:eastAsia="Calibri" w:hAnsi="Times New Roman"/>
            <w:color w:val="0563C1"/>
            <w:u w:val="single"/>
            <w:lang w:val="fr-FR"/>
          </w:rPr>
          <w:t>AG/RES.</w:t>
        </w:r>
      </w:hyperlink>
      <w:hyperlink r:id="rId96" w:history="1">
        <w:r w:rsidR="008B1794" w:rsidRPr="00623A2B">
          <w:rPr>
            <w:rFonts w:ascii="Times New Roman" w:eastAsia="Calibri" w:hAnsi="Times New Roman"/>
            <w:color w:val="0563C1"/>
            <w:u w:val="single"/>
            <w:lang w:val="fr-FR"/>
          </w:rPr>
          <w:t xml:space="preserve"> 1 (LI-E/16) </w:t>
        </w:r>
        <w:proofErr w:type="spellStart"/>
        <w:r w:rsidR="008B1794" w:rsidRPr="00623A2B">
          <w:rPr>
            <w:rFonts w:ascii="Times New Roman" w:eastAsia="Calibri" w:hAnsi="Times New Roman"/>
            <w:color w:val="0563C1"/>
            <w:u w:val="single"/>
            <w:lang w:val="fr-FR"/>
          </w:rPr>
          <w:t>rev</w:t>
        </w:r>
        <w:proofErr w:type="spellEnd"/>
        <w:r w:rsidR="008B1794" w:rsidRPr="00623A2B">
          <w:rPr>
            <w:rFonts w:ascii="Times New Roman" w:eastAsia="Calibri" w:hAnsi="Times New Roman"/>
            <w:color w:val="0563C1"/>
            <w:u w:val="single"/>
            <w:lang w:val="fr-FR"/>
          </w:rPr>
          <w:t>. 1</w:t>
        </w:r>
      </w:hyperlink>
      <w:r w:rsidR="008B1794" w:rsidRPr="00623A2B">
        <w:rPr>
          <w:rFonts w:ascii="Times New Roman" w:eastAsia="Calibri" w:hAnsi="Times New Roman"/>
          <w:lang w:val="fr-FR"/>
        </w:rPr>
        <w:t>, « Plan stratégique intégral de l’Organisation » ;</w:t>
      </w:r>
    </w:p>
    <w:p w14:paraId="6CF2B7D1" w14:textId="77777777" w:rsidR="008B1794" w:rsidRPr="00623A2B" w:rsidRDefault="008B1794" w:rsidP="008B1794">
      <w:pPr>
        <w:suppressAutoHyphens/>
        <w:rPr>
          <w:rFonts w:ascii="Times New Roman" w:hAnsi="Times New Roman"/>
          <w:color w:val="000000"/>
          <w:lang w:val="fr-FR" w:eastAsia="es-ES"/>
        </w:rPr>
      </w:pPr>
    </w:p>
    <w:p w14:paraId="3682CBC8" w14:textId="77777777" w:rsidR="008B1794" w:rsidRPr="00623A2B" w:rsidRDefault="004A47F0" w:rsidP="008B1794">
      <w:pPr>
        <w:suppressAutoHyphens/>
        <w:ind w:firstLine="720"/>
        <w:rPr>
          <w:rFonts w:ascii="Times New Roman" w:hAnsi="Times New Roman"/>
          <w:color w:val="000000"/>
          <w:lang w:val="fr-FR"/>
        </w:rPr>
      </w:pPr>
      <w:hyperlink r:id="rId97" w:history="1">
        <w:r w:rsidR="008B1794" w:rsidRPr="00623A2B">
          <w:rPr>
            <w:rFonts w:ascii="Times New Roman" w:eastAsia="Calibri" w:hAnsi="Times New Roman"/>
            <w:color w:val="0563C1"/>
            <w:u w:val="single"/>
            <w:lang w:val="fr-FR"/>
          </w:rPr>
          <w:t>CP/RES.</w:t>
        </w:r>
      </w:hyperlink>
      <w:hyperlink r:id="rId98" w:history="1">
        <w:r w:rsidR="008B1794" w:rsidRPr="00623A2B">
          <w:rPr>
            <w:rFonts w:ascii="Times New Roman" w:eastAsia="Calibri" w:hAnsi="Times New Roman"/>
            <w:color w:val="0563C1"/>
            <w:u w:val="single"/>
            <w:lang w:val="fr-FR"/>
          </w:rPr>
          <w:t xml:space="preserve"> 1121 (2209/19)</w:t>
        </w:r>
      </w:hyperlink>
      <w:r w:rsidR="008B1794" w:rsidRPr="00623A2B">
        <w:rPr>
          <w:rFonts w:ascii="Times New Roman" w:eastAsia="Calibri" w:hAnsi="Times New Roman"/>
          <w:lang w:val="fr-FR"/>
        </w:rPr>
        <w:t>, « Planification stratégique de l’Organisation »,</w:t>
      </w:r>
    </w:p>
    <w:p w14:paraId="52D07F10" w14:textId="77777777" w:rsidR="008B1794" w:rsidRPr="00623A2B" w:rsidRDefault="008B1794" w:rsidP="008B1794">
      <w:pPr>
        <w:suppressAutoHyphens/>
        <w:rPr>
          <w:rFonts w:ascii="Times New Roman" w:hAnsi="Times New Roman"/>
          <w:color w:val="000000"/>
          <w:lang w:val="fr-FR" w:eastAsia="es-ES"/>
        </w:rPr>
      </w:pPr>
    </w:p>
    <w:p w14:paraId="23A766A0" w14:textId="77777777" w:rsidR="008B1794" w:rsidRPr="00623A2B" w:rsidRDefault="008B1794" w:rsidP="008B1794">
      <w:pPr>
        <w:suppressAutoHyphens/>
        <w:rPr>
          <w:rFonts w:ascii="Times New Roman" w:hAnsi="Times New Roman"/>
          <w:color w:val="000000"/>
          <w:lang w:val="fr-FR"/>
        </w:rPr>
      </w:pPr>
      <w:r w:rsidRPr="00623A2B">
        <w:rPr>
          <w:rFonts w:ascii="Times New Roman" w:eastAsia="Calibri" w:hAnsi="Times New Roman"/>
          <w:color w:val="000000"/>
          <w:lang w:val="fr-FR"/>
        </w:rPr>
        <w:t>AYANT À L’ESPRIT :</w:t>
      </w:r>
    </w:p>
    <w:p w14:paraId="6818CB7C" w14:textId="77777777" w:rsidR="008B1794" w:rsidRPr="00623A2B" w:rsidRDefault="008B1794" w:rsidP="008B1794">
      <w:pPr>
        <w:suppressAutoHyphens/>
        <w:rPr>
          <w:rFonts w:ascii="Times New Roman" w:hAnsi="Times New Roman"/>
          <w:color w:val="000000"/>
          <w:lang w:val="fr-FR" w:eastAsia="es-ES"/>
        </w:rPr>
      </w:pPr>
    </w:p>
    <w:p w14:paraId="1A433934" w14:textId="77777777" w:rsidR="008B1794" w:rsidRPr="00623A2B" w:rsidRDefault="008B1794" w:rsidP="008B1794">
      <w:pPr>
        <w:suppressAutoHyphens/>
        <w:ind w:firstLine="720"/>
        <w:rPr>
          <w:rFonts w:ascii="Times New Roman" w:hAnsi="Times New Roman"/>
          <w:bCs/>
          <w:color w:val="000000"/>
          <w:lang w:val="fr-FR"/>
        </w:rPr>
      </w:pPr>
      <w:r w:rsidRPr="00623A2B">
        <w:rPr>
          <w:rFonts w:ascii="Times New Roman" w:eastAsia="Calibri" w:hAnsi="Times New Roman"/>
          <w:color w:val="000000"/>
          <w:lang w:val="fr-FR"/>
        </w:rPr>
        <w:t>Qu’en dehors du Fonds ordinaire, les fonds spécifiques constituent une importante source de financement complémentaire des activités de l’Organisation, et qu’ils doivent par conséquent respecter la nature, les buts et les principes de l’Organisation énoncés dans la Charte de l'Organisation des États Américains (OEA) ;</w:t>
      </w:r>
    </w:p>
    <w:p w14:paraId="1FF63B9C" w14:textId="77777777" w:rsidR="008B1794" w:rsidRPr="00623A2B" w:rsidRDefault="008B1794" w:rsidP="008B1794">
      <w:pPr>
        <w:suppressAutoHyphens/>
        <w:rPr>
          <w:rFonts w:ascii="Times New Roman" w:hAnsi="Times New Roman"/>
          <w:bCs/>
          <w:color w:val="000000"/>
          <w:lang w:val="fr-FR" w:eastAsia="es-ES"/>
        </w:rPr>
      </w:pPr>
    </w:p>
    <w:p w14:paraId="4459A098" w14:textId="77777777" w:rsidR="008B1794" w:rsidRPr="00623A2B" w:rsidRDefault="008B1794" w:rsidP="008B1794">
      <w:pPr>
        <w:suppressAutoHyphens/>
        <w:ind w:firstLine="720"/>
        <w:rPr>
          <w:rFonts w:ascii="Times New Roman" w:hAnsi="Times New Roman"/>
          <w:bCs/>
          <w:lang w:val="fr-FR"/>
        </w:rPr>
      </w:pPr>
      <w:r w:rsidRPr="00623A2B">
        <w:rPr>
          <w:rFonts w:ascii="Times New Roman" w:eastAsia="Calibri" w:hAnsi="Times New Roman"/>
          <w:lang w:val="fr-FR"/>
        </w:rPr>
        <w:t xml:space="preserve">Que, conformément à l’article 78 </w:t>
      </w:r>
      <w:r w:rsidRPr="00623A2B">
        <w:rPr>
          <w:rFonts w:ascii="Times New Roman" w:eastAsia="Calibri" w:hAnsi="Times New Roman"/>
          <w:i/>
          <w:iCs/>
          <w:lang w:val="fr-FR"/>
        </w:rPr>
        <w:t>b</w:t>
      </w:r>
      <w:r w:rsidRPr="00623A2B">
        <w:rPr>
          <w:rFonts w:ascii="Times New Roman" w:eastAsia="Calibri" w:hAnsi="Times New Roman"/>
          <w:lang w:val="fr-FR"/>
        </w:rPr>
        <w:t xml:space="preserve"> des Normes générales, pour assurer un fonctionnement régulier et continu du Secrétariat général sur le plan financier, le Sous-fonds de réserve du Fonds ordinaire doit correspondre à 30 % du total des quotes-parts annuelles des États membres ; </w:t>
      </w:r>
    </w:p>
    <w:p w14:paraId="3D72C7A7" w14:textId="77777777" w:rsidR="008B1794" w:rsidRPr="00623A2B" w:rsidRDefault="008B1794" w:rsidP="008B1794">
      <w:pPr>
        <w:suppressAutoHyphens/>
        <w:rPr>
          <w:rFonts w:ascii="Times New Roman" w:hAnsi="Times New Roman"/>
          <w:bCs/>
          <w:color w:val="000000"/>
          <w:lang w:val="fr-FR" w:eastAsia="es-ES"/>
        </w:rPr>
      </w:pPr>
    </w:p>
    <w:p w14:paraId="776222BD" w14:textId="77777777" w:rsidR="008B1794" w:rsidRPr="00623A2B" w:rsidRDefault="008B1794" w:rsidP="008B1794">
      <w:pPr>
        <w:suppressAutoHyphens/>
        <w:ind w:firstLine="720"/>
        <w:rPr>
          <w:rFonts w:ascii="Times New Roman" w:eastAsia="Arial Unicode MS" w:hAnsi="Times New Roman"/>
          <w:bCs/>
          <w:lang w:val="fr-FR"/>
        </w:rPr>
      </w:pPr>
      <w:r w:rsidRPr="00623A2B">
        <w:rPr>
          <w:rFonts w:ascii="Times New Roman" w:eastAsia="Calibri" w:hAnsi="Times New Roman"/>
          <w:lang w:val="fr-FR"/>
        </w:rPr>
        <w:t xml:space="preserve">Que ce fonds ne dispose pas de ressources suffisantes pour remplir sa mission, et qu’il est donc souhaitable de déployer des efforts afin d’augmenter ces réserves notamment par l’établissement, a priori, d’une limite des dépenses dans le Fonds ordinaire à un niveau inférieur au montant total brut des quotes-parts ; </w:t>
      </w:r>
    </w:p>
    <w:p w14:paraId="0ADB9B08" w14:textId="77777777" w:rsidR="008B1794" w:rsidRPr="00623A2B" w:rsidRDefault="008B1794" w:rsidP="008B1794">
      <w:pPr>
        <w:suppressAutoHyphens/>
        <w:rPr>
          <w:rFonts w:ascii="Times New Roman" w:eastAsia="Arial Unicode MS" w:hAnsi="Times New Roman"/>
          <w:bCs/>
          <w:lang w:val="fr-FR"/>
        </w:rPr>
      </w:pPr>
    </w:p>
    <w:p w14:paraId="25D74AD0" w14:textId="77777777" w:rsidR="008B1794" w:rsidRPr="00623A2B" w:rsidRDefault="008B1794" w:rsidP="008B1794">
      <w:pPr>
        <w:ind w:firstLine="720"/>
        <w:rPr>
          <w:rFonts w:ascii="Times New Roman" w:eastAsia="Calibri" w:hAnsi="Times New Roman"/>
          <w:lang w:val="fr-FR"/>
        </w:rPr>
      </w:pPr>
      <w:r w:rsidRPr="00623A2B">
        <w:rPr>
          <w:rFonts w:ascii="Times New Roman" w:eastAsia="Calibri" w:hAnsi="Times New Roman"/>
          <w:color w:val="000000"/>
          <w:lang w:val="fr-FR"/>
        </w:rPr>
        <w:t>Que le Conseil permanent peut continuer d’étudier par l’intermédiaire de la CAAP des mesures appelées à encourager le paiement ponctuel des quotes-parts et à augmenter les liquidités ;</w:t>
      </w:r>
      <w:r w:rsidRPr="00623A2B">
        <w:rPr>
          <w:rFonts w:ascii="Times New Roman" w:eastAsia="Calibri" w:hAnsi="Times New Roman"/>
          <w:i/>
          <w:color w:val="000000"/>
          <w:lang w:val="fr-FR"/>
        </w:rPr>
        <w:t xml:space="preserve"> </w:t>
      </w:r>
    </w:p>
    <w:p w14:paraId="4F5DDD49" w14:textId="77777777" w:rsidR="008B1794" w:rsidRPr="00623A2B" w:rsidRDefault="008B1794" w:rsidP="008B1794">
      <w:pPr>
        <w:suppressAutoHyphens/>
        <w:rPr>
          <w:rFonts w:ascii="Times New Roman" w:eastAsia="Arial Unicode MS" w:hAnsi="Times New Roman"/>
          <w:bCs/>
          <w:i/>
          <w:iCs/>
          <w:color w:val="000000"/>
          <w:lang w:val="fr-FR"/>
        </w:rPr>
      </w:pPr>
    </w:p>
    <w:p w14:paraId="5EFF1D8C" w14:textId="77777777" w:rsidR="008B1794" w:rsidRPr="00623A2B" w:rsidRDefault="008B1794" w:rsidP="008B1794">
      <w:pPr>
        <w:suppressAutoHyphens/>
        <w:ind w:firstLine="720"/>
        <w:rPr>
          <w:rFonts w:ascii="Times New Roman" w:hAnsi="Times New Roman"/>
          <w:bCs/>
          <w:color w:val="000000"/>
          <w:lang w:val="fr-FR"/>
        </w:rPr>
      </w:pPr>
      <w:r w:rsidRPr="00623A2B">
        <w:rPr>
          <w:rFonts w:ascii="Times New Roman" w:eastAsia="Calibri" w:hAnsi="Times New Roman"/>
          <w:color w:val="000000"/>
          <w:lang w:val="fr-FR"/>
        </w:rPr>
        <w:t>Qu’il importe de maintenir une culture et une pratique d’austérité, d’efficacité, de responsabilité, d’efficience, de transparence et de prudence dans l’emploi, l’exécution et la gestion des ressources de l’Organisation ainsi que d’assurer une affectation financière adéquate et durable pour réaliser les tâches qui lui reviennent ;</w:t>
      </w:r>
    </w:p>
    <w:p w14:paraId="7C1D7081" w14:textId="77777777" w:rsidR="008B1794" w:rsidRPr="00623A2B" w:rsidRDefault="008B1794" w:rsidP="008B1794">
      <w:pPr>
        <w:suppressAutoHyphens/>
        <w:rPr>
          <w:rFonts w:ascii="Times New Roman" w:hAnsi="Times New Roman"/>
          <w:color w:val="000000"/>
          <w:lang w:val="fr-FR" w:eastAsia="es-ES"/>
        </w:rPr>
      </w:pPr>
    </w:p>
    <w:p w14:paraId="4A579CCF" w14:textId="77777777" w:rsidR="003B7A14" w:rsidRPr="00623A2B" w:rsidRDefault="003B7A1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lang w:val="fr-FR"/>
        </w:rPr>
      </w:pPr>
      <w:r w:rsidRPr="00623A2B">
        <w:rPr>
          <w:rFonts w:ascii="Times New Roman" w:eastAsia="Calibri" w:hAnsi="Times New Roman"/>
          <w:lang w:val="fr-FR"/>
        </w:rPr>
        <w:br w:type="page"/>
      </w:r>
    </w:p>
    <w:p w14:paraId="1071ED3E" w14:textId="44A007CA" w:rsidR="008B1794" w:rsidRPr="00623A2B" w:rsidRDefault="008B1794" w:rsidP="008B1794">
      <w:pPr>
        <w:suppressAutoHyphens/>
        <w:ind w:firstLine="720"/>
        <w:rPr>
          <w:rFonts w:ascii="Times New Roman" w:hAnsi="Times New Roman"/>
          <w:color w:val="000000"/>
          <w:lang w:val="fr-FR"/>
        </w:rPr>
      </w:pPr>
      <w:r w:rsidRPr="00623A2B">
        <w:rPr>
          <w:rFonts w:ascii="Times New Roman" w:eastAsia="Calibri" w:hAnsi="Times New Roman"/>
          <w:lang w:val="fr-FR"/>
        </w:rPr>
        <w:lastRenderedPageBreak/>
        <w:t xml:space="preserve">L’importance des quatre piliers de l’Organisation, soit la démocratie, les droits de la personne, la sécurité et le développement intégré, elle exprime la nécessité qu’ils reçoivent tous un financement adéquat pour leur bon fonctionnement grâce à une affectation de crédits équitable, qui vise la stricte réalisation des mandats convenus par les organes politiques de l’Organisation, </w:t>
      </w:r>
    </w:p>
    <w:p w14:paraId="7DA7180B" w14:textId="77777777" w:rsidR="008B1794" w:rsidRPr="00623A2B" w:rsidRDefault="008B1794" w:rsidP="008B1794">
      <w:pPr>
        <w:suppressAutoHyphens/>
        <w:ind w:left="360" w:hanging="360"/>
        <w:rPr>
          <w:rFonts w:ascii="Times New Roman" w:eastAsia="Calibri" w:hAnsi="Times New Roman"/>
          <w:color w:val="000000"/>
          <w:lang w:val="fr-FR"/>
        </w:rPr>
      </w:pPr>
    </w:p>
    <w:p w14:paraId="0E526ADD" w14:textId="77777777" w:rsidR="008B1794" w:rsidRPr="00623A2B" w:rsidRDefault="008B1794" w:rsidP="008B1794">
      <w:pPr>
        <w:keepNext/>
        <w:suppressAutoHyphens/>
        <w:rPr>
          <w:rFonts w:ascii="Times New Roman" w:eastAsia="Calibri" w:hAnsi="Times New Roman"/>
          <w:color w:val="000000"/>
          <w:lang w:val="fr-FR"/>
        </w:rPr>
      </w:pPr>
      <w:r w:rsidRPr="00623A2B">
        <w:rPr>
          <w:rFonts w:ascii="Times New Roman" w:eastAsia="Calibri" w:hAnsi="Times New Roman"/>
          <w:color w:val="000000"/>
          <w:lang w:val="fr-FR"/>
        </w:rPr>
        <w:t>DÉCIDE :</w:t>
      </w:r>
    </w:p>
    <w:p w14:paraId="0ADA6659" w14:textId="77777777" w:rsidR="008B1794" w:rsidRPr="00623A2B" w:rsidRDefault="008B1794" w:rsidP="008B1794">
      <w:pPr>
        <w:keepNext/>
        <w:suppressAutoHyphens/>
        <w:rPr>
          <w:rFonts w:ascii="Times New Roman" w:hAnsi="Times New Roman"/>
          <w:color w:val="000000"/>
          <w:lang w:val="fr-FR" w:eastAsia="es-ES"/>
        </w:rPr>
      </w:pPr>
    </w:p>
    <w:p w14:paraId="77951170" w14:textId="77777777" w:rsidR="008B1794" w:rsidRPr="00623A2B" w:rsidRDefault="008B1794" w:rsidP="00573617">
      <w:pPr>
        <w:keepNext/>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hAnsi="Times New Roman"/>
          <w:color w:val="000000"/>
          <w:u w:val="single"/>
          <w:lang w:val="fr-FR"/>
        </w:rPr>
      </w:pPr>
      <w:r w:rsidRPr="00623A2B">
        <w:rPr>
          <w:rFonts w:ascii="Times New Roman" w:eastAsia="Calibri" w:hAnsi="Times New Roman"/>
          <w:color w:val="000000"/>
          <w:u w:val="single"/>
          <w:lang w:val="fr-FR"/>
        </w:rPr>
        <w:t>FINANCEMENT DES CRÉDITS BUDGÉTAIRES</w:t>
      </w:r>
    </w:p>
    <w:p w14:paraId="2CCADCDE" w14:textId="77777777" w:rsidR="008B1794" w:rsidRPr="00623A2B" w:rsidRDefault="008B1794" w:rsidP="008B1794">
      <w:pPr>
        <w:keepNext/>
        <w:suppressAutoHyphens/>
        <w:rPr>
          <w:rFonts w:ascii="Times New Roman" w:hAnsi="Times New Roman"/>
          <w:color w:val="000000"/>
          <w:lang w:val="fr-FR" w:eastAsia="es-ES"/>
        </w:rPr>
      </w:pPr>
    </w:p>
    <w:p w14:paraId="7D87E8C4" w14:textId="77777777" w:rsidR="008B1794" w:rsidRPr="00623A2B" w:rsidRDefault="008B1794" w:rsidP="00573617">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color w:val="000000"/>
          <w:lang w:val="fr-FR"/>
        </w:rPr>
      </w:pPr>
      <w:r w:rsidRPr="00623A2B">
        <w:rPr>
          <w:rFonts w:ascii="Times New Roman" w:eastAsia="Calibri" w:hAnsi="Times New Roman"/>
          <w:color w:val="000000"/>
          <w:lang w:val="fr-FR"/>
        </w:rPr>
        <w:t xml:space="preserve">De fixer le montant des quotes-parts par lesquelles les États membres financeront le Fonds ordinaire de l’Organisation en 2022 ainsi que la contribution au titre du remboursement des impôts sur le revenu, conformément à la méthode adoptée au moyen des résolutions AG/RES. 1 (XXXIV-E/07) </w:t>
      </w:r>
      <w:proofErr w:type="spellStart"/>
      <w:r w:rsidRPr="00623A2B">
        <w:rPr>
          <w:rFonts w:ascii="Times New Roman" w:eastAsia="Calibri" w:hAnsi="Times New Roman"/>
          <w:color w:val="000000"/>
          <w:lang w:val="fr-FR"/>
        </w:rPr>
        <w:t>rev</w:t>
      </w:r>
      <w:proofErr w:type="spellEnd"/>
      <w:r w:rsidRPr="00623A2B">
        <w:rPr>
          <w:rFonts w:ascii="Times New Roman" w:eastAsia="Calibri" w:hAnsi="Times New Roman"/>
          <w:color w:val="000000"/>
          <w:lang w:val="fr-FR"/>
        </w:rPr>
        <w:t xml:space="preserve">. 1 et AG/RES. 41 (I-O/71), la résolution CP/RES. 1103 (2168/18) du Conseil permanent et la résolution AG/RES. 1 (LIII- E/18), en utilisant le barème et les montants qui figurent à l’annexe I, « Attribution de quotes-parts pour le Fonds ordinaire 2022 ». </w:t>
      </w:r>
    </w:p>
    <w:p w14:paraId="61F9A947" w14:textId="77777777" w:rsidR="008B1794" w:rsidRPr="00623A2B" w:rsidRDefault="008B1794" w:rsidP="008B1794">
      <w:pPr>
        <w:suppressAutoHyphens/>
        <w:rPr>
          <w:rFonts w:ascii="Times New Roman" w:eastAsia="MS Mincho" w:hAnsi="Times New Roman"/>
          <w:color w:val="000000"/>
          <w:lang w:val="fr-FR" w:eastAsia="es-ES_tradnl"/>
        </w:rPr>
      </w:pPr>
    </w:p>
    <w:p w14:paraId="41DFEF38" w14:textId="77777777" w:rsidR="008B1794" w:rsidRPr="00623A2B" w:rsidRDefault="008B1794" w:rsidP="00573617">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i/>
          <w:iCs/>
          <w:color w:val="000000"/>
          <w:lang w:val="fr-FR"/>
        </w:rPr>
      </w:pPr>
      <w:r w:rsidRPr="00623A2B">
        <w:rPr>
          <w:rFonts w:ascii="Times New Roman" w:eastAsia="Calibri" w:hAnsi="Times New Roman"/>
          <w:lang w:val="fr-FR"/>
        </w:rPr>
        <w:t>D'établir à 84 968 407 USD le niveau budgétaire global du programme-budget 2022 du Fonds ordinaire, incluant l’ajustement au titre du coût de la vie et de l’inflation, et de le financer comme suit :</w:t>
      </w:r>
      <w:r w:rsidRPr="00623A2B">
        <w:rPr>
          <w:rFonts w:ascii="Times New Roman" w:eastAsia="Calibri" w:hAnsi="Times New Roman"/>
          <w:color w:val="000000"/>
          <w:lang w:val="fr-FR"/>
        </w:rPr>
        <w:t xml:space="preserve"> </w:t>
      </w:r>
    </w:p>
    <w:p w14:paraId="46E91CCC" w14:textId="77777777" w:rsidR="008B1794" w:rsidRPr="00623A2B" w:rsidRDefault="008B1794" w:rsidP="008B1794">
      <w:pPr>
        <w:suppressAutoHyphens/>
        <w:rPr>
          <w:rFonts w:ascii="Times New Roman" w:eastAsia="MS Mincho" w:hAnsi="Times New Roman"/>
          <w:color w:val="000000"/>
          <w:lang w:val="fr-FR" w:eastAsia="es-ES_tradnl"/>
        </w:rPr>
      </w:pPr>
    </w:p>
    <w:p w14:paraId="780295B3" w14:textId="77777777" w:rsidR="008B1794" w:rsidRPr="00623A2B" w:rsidRDefault="008B1794" w:rsidP="00573617">
      <w:pPr>
        <w:widowControl/>
        <w:numPr>
          <w:ilvl w:val="1"/>
          <w:numId w:val="3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MS Mincho" w:hAnsi="Times New Roman"/>
          <w:color w:val="000000"/>
          <w:lang w:val="fr-FR"/>
        </w:rPr>
      </w:pPr>
      <w:r w:rsidRPr="00623A2B">
        <w:rPr>
          <w:rFonts w:ascii="Times New Roman" w:eastAsia="Calibri" w:hAnsi="Times New Roman"/>
          <w:color w:val="000000"/>
          <w:lang w:val="fr-FR"/>
        </w:rPr>
        <w:t>Contributions nettes des États membres sous forme de versements de quotes-parts au Fonds ordinaire totalisant 84 489 287, calculés comme suit :</w:t>
      </w:r>
    </w:p>
    <w:p w14:paraId="1635DAD5" w14:textId="77777777" w:rsidR="008B1794" w:rsidRPr="00623A2B" w:rsidRDefault="008B1794" w:rsidP="008B1794">
      <w:pPr>
        <w:suppressAutoHyphens/>
        <w:rPr>
          <w:rFonts w:ascii="Times New Roman" w:eastAsia="MS Mincho" w:hAnsi="Times New Roman"/>
          <w:color w:val="000000"/>
          <w:lang w:val="fr-FR" w:eastAsia="es-ES_tradnl"/>
        </w:rPr>
      </w:pPr>
    </w:p>
    <w:p w14:paraId="2B18D8F3" w14:textId="77777777" w:rsidR="008B1794" w:rsidRPr="00623A2B" w:rsidRDefault="008B1794" w:rsidP="00573617">
      <w:pPr>
        <w:widowControl/>
        <w:numPr>
          <w:ilvl w:val="2"/>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MS Mincho" w:hAnsi="Times New Roman"/>
          <w:color w:val="000000"/>
          <w:lang w:val="fr-FR"/>
        </w:rPr>
      </w:pPr>
      <w:r w:rsidRPr="00623A2B">
        <w:rPr>
          <w:rFonts w:ascii="Times New Roman" w:eastAsia="Calibri" w:hAnsi="Times New Roman"/>
          <w:color w:val="000000"/>
          <w:lang w:val="fr-FR"/>
        </w:rPr>
        <w:t xml:space="preserve">Un montant total brut de 84 929 900 USD réparti selon la méthode de calcul du barème d’attribution des quotes-parts en vigueur ; </w:t>
      </w:r>
    </w:p>
    <w:p w14:paraId="7347A543" w14:textId="77777777" w:rsidR="008B1794" w:rsidRPr="00623A2B" w:rsidRDefault="008B1794" w:rsidP="008B1794">
      <w:pPr>
        <w:suppressAutoHyphens/>
        <w:rPr>
          <w:rFonts w:ascii="Times New Roman" w:eastAsia="MS Mincho" w:hAnsi="Times New Roman"/>
          <w:color w:val="000000"/>
          <w:lang w:val="fr-FR" w:eastAsia="es-ES_tradnl"/>
        </w:rPr>
      </w:pPr>
    </w:p>
    <w:p w14:paraId="1E9BE404" w14:textId="77777777" w:rsidR="008B1794" w:rsidRPr="00623A2B" w:rsidRDefault="008B1794" w:rsidP="00573617">
      <w:pPr>
        <w:widowControl/>
        <w:numPr>
          <w:ilvl w:val="2"/>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MS Mincho" w:hAnsi="Times New Roman"/>
          <w:color w:val="000000"/>
          <w:lang w:val="fr-FR"/>
        </w:rPr>
      </w:pPr>
      <w:r w:rsidRPr="00623A2B">
        <w:rPr>
          <w:rFonts w:ascii="Times New Roman" w:eastAsia="Calibri" w:hAnsi="Times New Roman"/>
          <w:color w:val="000000"/>
          <w:lang w:val="fr-FR"/>
        </w:rPr>
        <w:t xml:space="preserve">Une réduction de 440 613 USD au titre des rabais pour paiement ponctuel conformément aux mesures destinées à encourager le versement ponctuel des quotes-parts, prévues dans la résolution AG/RES. 1757 (XXX-O/00) telle que modifiée par les résolutions AG/RES. 2157 (XXXV-O/05) et AG/RES. 1 (XLII-E/11) </w:t>
      </w:r>
      <w:proofErr w:type="spellStart"/>
      <w:r w:rsidRPr="00623A2B">
        <w:rPr>
          <w:rFonts w:ascii="Times New Roman" w:eastAsia="Calibri" w:hAnsi="Times New Roman"/>
          <w:color w:val="000000"/>
          <w:lang w:val="fr-FR"/>
        </w:rPr>
        <w:t>rev</w:t>
      </w:r>
      <w:proofErr w:type="spellEnd"/>
      <w:r w:rsidRPr="00623A2B">
        <w:rPr>
          <w:rFonts w:ascii="Times New Roman" w:eastAsia="Calibri" w:hAnsi="Times New Roman"/>
          <w:color w:val="000000"/>
          <w:lang w:val="fr-FR"/>
        </w:rPr>
        <w:t>. 1.</w:t>
      </w:r>
    </w:p>
    <w:p w14:paraId="5D873DDA" w14:textId="77777777" w:rsidR="008B1794" w:rsidRPr="00623A2B" w:rsidRDefault="008B1794" w:rsidP="008B1794">
      <w:pPr>
        <w:suppressAutoHyphens/>
        <w:rPr>
          <w:rFonts w:ascii="Times New Roman" w:eastAsia="MS Mincho" w:hAnsi="Times New Roman"/>
          <w:color w:val="000000"/>
          <w:lang w:val="fr-FR" w:eastAsia="es-ES_tradnl"/>
        </w:rPr>
      </w:pPr>
    </w:p>
    <w:p w14:paraId="285CAA37" w14:textId="77777777" w:rsidR="008B1794" w:rsidRPr="00623A2B" w:rsidRDefault="008B1794" w:rsidP="00573617">
      <w:pPr>
        <w:widowControl/>
        <w:numPr>
          <w:ilvl w:val="1"/>
          <w:numId w:val="3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MS Mincho" w:hAnsi="Times New Roman"/>
          <w:color w:val="000000"/>
          <w:lang w:val="fr-FR"/>
        </w:rPr>
      </w:pPr>
      <w:r w:rsidRPr="00623A2B">
        <w:rPr>
          <w:rFonts w:ascii="Times New Roman" w:eastAsia="Calibri" w:hAnsi="Times New Roman"/>
          <w:color w:val="000000"/>
          <w:lang w:val="fr-FR"/>
        </w:rPr>
        <w:t xml:space="preserve">Des recettes d’un montant de 479 120 USD au titre des intérêts et des remboursements, ainsi que d’autres recettes, conformément à l’article 78 des Normes générales de fonctionnement du Secrétariat général (Normes générales). </w:t>
      </w:r>
    </w:p>
    <w:p w14:paraId="05FAC78A" w14:textId="77777777" w:rsidR="008B1794" w:rsidRPr="00623A2B" w:rsidRDefault="008B1794" w:rsidP="008B1794">
      <w:pPr>
        <w:suppressAutoHyphens/>
        <w:rPr>
          <w:rFonts w:ascii="Times New Roman" w:eastAsia="MS Mincho" w:hAnsi="Times New Roman"/>
          <w:color w:val="000000"/>
          <w:lang w:val="fr-FR"/>
        </w:rPr>
      </w:pPr>
    </w:p>
    <w:p w14:paraId="00C5BE85" w14:textId="77777777" w:rsidR="008B1794" w:rsidRPr="00623A2B" w:rsidRDefault="008B1794" w:rsidP="00573617">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MS Mincho" w:hAnsi="Times New Roman"/>
          <w:i/>
          <w:iCs/>
          <w:color w:val="000000"/>
          <w:lang w:val="fr-FR"/>
        </w:rPr>
      </w:pPr>
      <w:r w:rsidRPr="00623A2B">
        <w:rPr>
          <w:rFonts w:ascii="Times New Roman" w:eastAsia="Calibri" w:hAnsi="Times New Roman"/>
          <w:color w:val="000000"/>
          <w:lang w:val="fr-FR"/>
        </w:rPr>
        <w:t>De fixer le niveau de dépenses du Fonds ordinaire pour 2022 à 81 000 000 USD.</w:t>
      </w:r>
    </w:p>
    <w:p w14:paraId="3D2AAF6F" w14:textId="77777777" w:rsidR="008B1794" w:rsidRPr="00623A2B" w:rsidRDefault="008B1794" w:rsidP="008B1794">
      <w:pPr>
        <w:suppressAutoHyphens/>
        <w:rPr>
          <w:rFonts w:ascii="Times New Roman" w:eastAsia="MS Mincho" w:hAnsi="Times New Roman"/>
          <w:i/>
          <w:iCs/>
          <w:color w:val="000000"/>
          <w:lang w:val="fr-FR"/>
        </w:rPr>
      </w:pPr>
    </w:p>
    <w:p w14:paraId="29991B3B" w14:textId="77777777" w:rsidR="008B1794" w:rsidRPr="00623A2B" w:rsidRDefault="008B1794" w:rsidP="00573617">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bCs/>
          <w:i/>
          <w:iCs/>
          <w:color w:val="000000"/>
          <w:lang w:val="fr-FR"/>
        </w:rPr>
      </w:pPr>
      <w:r w:rsidRPr="00623A2B">
        <w:rPr>
          <w:rFonts w:ascii="Times New Roman" w:eastAsia="Calibri" w:hAnsi="Times New Roman"/>
          <w:bCs/>
          <w:color w:val="000000"/>
          <w:lang w:val="fr-FR"/>
        </w:rPr>
        <w:t>De charger le Secrétaire général de réaliser les ajustements, les réductions et les restructurations s’avérant nécessaires pour se conformer aux dispositions des paragraphes précédents et en vertu des dispositions juridiques du Secrétariat général.</w:t>
      </w:r>
    </w:p>
    <w:p w14:paraId="71B66692" w14:textId="77777777" w:rsidR="008B1794" w:rsidRPr="00623A2B" w:rsidRDefault="008B1794" w:rsidP="008B1794">
      <w:pPr>
        <w:rPr>
          <w:rFonts w:ascii="Times New Roman" w:eastAsia="Arial Unicode MS" w:hAnsi="Times New Roman"/>
          <w:color w:val="000000"/>
          <w:lang w:val="fr-FR"/>
        </w:rPr>
      </w:pPr>
    </w:p>
    <w:p w14:paraId="7D89DB75" w14:textId="77777777" w:rsidR="008B1794" w:rsidRPr="00623A2B" w:rsidRDefault="008B1794" w:rsidP="00573617">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i/>
          <w:iCs/>
          <w:color w:val="000000"/>
          <w:lang w:val="fr-FR"/>
        </w:rPr>
      </w:pPr>
      <w:r w:rsidRPr="00623A2B">
        <w:rPr>
          <w:rFonts w:ascii="Times New Roman" w:eastAsia="Calibri" w:hAnsi="Times New Roman"/>
          <w:color w:val="000000"/>
          <w:lang w:val="fr-FR"/>
        </w:rPr>
        <w:t xml:space="preserve">D’autoriser le Secrétariat général à utiliser durant l’exercice budgétaire 2022, à titre de prêt interne, un montant ne dépassant pas 30 % des quotes-parts annuelles (25,4 millions USD) à partir du Fonds de trésorerie de sorte à lui permettre de couvrir les dépenses courantes inscrites au budget du Fonds ordinaire correspondant à l’exercice budgétaire 2022. L’emploi temporaire de ces ressources ne sera pas assorti d’intérêts. </w:t>
      </w:r>
      <w:r w:rsidRPr="00623A2B">
        <w:rPr>
          <w:rFonts w:ascii="Times New Roman" w:eastAsia="Calibri" w:hAnsi="Times New Roman"/>
          <w:lang w:val="fr-FR"/>
        </w:rPr>
        <w:t xml:space="preserve">Le Secrétariat général devra rembourser sans retard le solde </w:t>
      </w:r>
      <w:r w:rsidRPr="00623A2B">
        <w:rPr>
          <w:rFonts w:ascii="Times New Roman" w:eastAsia="Calibri" w:hAnsi="Times New Roman"/>
          <w:lang w:val="fr-FR"/>
        </w:rPr>
        <w:lastRenderedPageBreak/>
        <w:t>du prêt interne sur les ressources employées à partir du Fonds de trésorerie durant l’exercice budgétaire 2022 aussitôt que les quotes-parts des États membres auront été inscrites au Fonds ordinaire.</w:t>
      </w:r>
      <w:r w:rsidRPr="00623A2B">
        <w:rPr>
          <w:rFonts w:ascii="Times New Roman" w:eastAsia="Calibri" w:hAnsi="Times New Roman"/>
          <w:color w:val="000000"/>
          <w:lang w:val="fr-FR"/>
        </w:rPr>
        <w:t xml:space="preserve"> Le Secrétariat général communiquera au Conseil permanent par écrit chaque emploi des ressources du Fonds de trésorerie et présentera à la Commission des questions administratives et budgétaires (CAAP) des rapports mensuels sur la situation du fonds précité.</w:t>
      </w:r>
    </w:p>
    <w:p w14:paraId="2CB5116A" w14:textId="77777777" w:rsidR="008B1794" w:rsidRPr="00623A2B" w:rsidRDefault="008B1794" w:rsidP="008B1794">
      <w:pPr>
        <w:rPr>
          <w:rFonts w:ascii="Times New Roman" w:eastAsia="Arial Unicode MS" w:hAnsi="Times New Roman"/>
          <w:color w:val="000000"/>
          <w:lang w:val="fr-FR"/>
        </w:rPr>
      </w:pPr>
    </w:p>
    <w:p w14:paraId="3969D75D" w14:textId="77777777" w:rsidR="008B1794" w:rsidRPr="00623A2B" w:rsidRDefault="008B1794" w:rsidP="00573617">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i/>
          <w:iCs/>
          <w:color w:val="000000"/>
          <w:lang w:val="fr-FR"/>
        </w:rPr>
      </w:pPr>
      <w:r w:rsidRPr="00623A2B">
        <w:rPr>
          <w:rFonts w:ascii="Times New Roman" w:eastAsia="Calibri" w:hAnsi="Times New Roman"/>
          <w:color w:val="000000"/>
          <w:lang w:val="fr-FR"/>
        </w:rPr>
        <w:t>De fixer à 7 192 000 USD le plafond global des dépenses du compte du Fonds de recouvrement des coûts indirects conformément aux Normes générales.</w:t>
      </w:r>
    </w:p>
    <w:p w14:paraId="2C77EC0B" w14:textId="77777777" w:rsidR="008B1794" w:rsidRPr="00623A2B" w:rsidRDefault="008B1794" w:rsidP="008B1794">
      <w:pPr>
        <w:rPr>
          <w:rFonts w:ascii="Times New Roman" w:eastAsia="Arial Unicode MS" w:hAnsi="Times New Roman"/>
          <w:color w:val="000000"/>
          <w:lang w:val="fr-FR"/>
        </w:rPr>
      </w:pPr>
    </w:p>
    <w:p w14:paraId="0FA732FF" w14:textId="77777777" w:rsidR="008B1794" w:rsidRPr="00623A2B" w:rsidRDefault="008B1794" w:rsidP="00573617">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i/>
          <w:iCs/>
          <w:color w:val="000000"/>
          <w:lang w:val="fr-FR"/>
        </w:rPr>
      </w:pPr>
      <w:r w:rsidRPr="00623A2B">
        <w:rPr>
          <w:rFonts w:ascii="Times New Roman" w:eastAsia="Calibri" w:hAnsi="Times New Roman"/>
          <w:color w:val="000000"/>
          <w:lang w:val="fr-FR"/>
        </w:rPr>
        <w:t>De fixer provisoirement à 84 968 407 USD le niveau budgétaire global correspondant à 2023.</w:t>
      </w:r>
    </w:p>
    <w:p w14:paraId="1C5C21AD" w14:textId="77777777" w:rsidR="008B1794" w:rsidRPr="00623A2B" w:rsidRDefault="008B1794" w:rsidP="00573617">
      <w:pPr>
        <w:keepNext/>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u w:val="single"/>
          <w:lang w:val="fr-FR"/>
        </w:rPr>
      </w:pPr>
      <w:bookmarkStart w:id="35" w:name="_Toc14803674"/>
      <w:r w:rsidRPr="00623A2B">
        <w:rPr>
          <w:rFonts w:ascii="Times New Roman" w:eastAsia="Calibri" w:hAnsi="Times New Roman"/>
          <w:color w:val="000000"/>
          <w:u w:val="single"/>
          <w:lang w:val="fr-FR"/>
        </w:rPr>
        <w:t>CRÉDITS BUDGÉTAIRES</w:t>
      </w:r>
      <w:bookmarkEnd w:id="35"/>
    </w:p>
    <w:p w14:paraId="1584B6CD" w14:textId="77777777" w:rsidR="008B1794" w:rsidRPr="00623A2B" w:rsidRDefault="008B1794" w:rsidP="008B1794">
      <w:pPr>
        <w:keepNext/>
        <w:suppressAutoHyphens/>
        <w:outlineLvl w:val="0"/>
        <w:rPr>
          <w:rFonts w:ascii="Times New Roman" w:hAnsi="Times New Roman"/>
          <w:color w:val="000000"/>
          <w:lang w:val="fr-FR" w:eastAsia="es-ES"/>
        </w:rPr>
      </w:pPr>
    </w:p>
    <w:p w14:paraId="1F659EDB" w14:textId="77777777" w:rsidR="008B1794" w:rsidRPr="00623A2B" w:rsidRDefault="008B1794" w:rsidP="00573617">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color w:val="000000"/>
          <w:lang w:val="fr-FR"/>
        </w:rPr>
      </w:pPr>
      <w:r w:rsidRPr="00623A2B">
        <w:rPr>
          <w:rFonts w:ascii="Times New Roman" w:eastAsia="Calibri" w:hAnsi="Times New Roman"/>
          <w:color w:val="000000"/>
          <w:lang w:val="fr-FR"/>
        </w:rPr>
        <w:t>D’adopter et d’autoriser le programme-budget de l’Organisation pour l’exercice budgétaire compris entre le 1</w:t>
      </w:r>
      <w:r w:rsidRPr="00623A2B">
        <w:rPr>
          <w:rFonts w:ascii="Times New Roman" w:eastAsia="Calibri" w:hAnsi="Times New Roman"/>
          <w:color w:val="000000"/>
          <w:vertAlign w:val="superscript"/>
          <w:lang w:val="fr-FR"/>
        </w:rPr>
        <w:t>er</w:t>
      </w:r>
      <w:r w:rsidRPr="00623A2B">
        <w:rPr>
          <w:rFonts w:ascii="Times New Roman" w:eastAsia="Calibri" w:hAnsi="Times New Roman"/>
          <w:color w:val="000000"/>
          <w:lang w:val="fr-FR"/>
        </w:rPr>
        <w:t xml:space="preserve"> janvier et le 31 décembre 2022, financé par les fonds suivants et sans dépasser les montants indiqués ci-après : </w:t>
      </w:r>
    </w:p>
    <w:p w14:paraId="188BFCDF" w14:textId="77777777" w:rsidR="008B1794" w:rsidRPr="00623A2B" w:rsidRDefault="008B1794" w:rsidP="008B1794">
      <w:pPr>
        <w:suppressAutoHyphens/>
        <w:rPr>
          <w:rFonts w:ascii="Times New Roman" w:hAnsi="Times New Roman"/>
          <w:color w:val="000000"/>
          <w:lang w:val="fr-FR" w:eastAsia="es-ES"/>
        </w:rPr>
      </w:pPr>
    </w:p>
    <w:p w14:paraId="4D70AB29" w14:textId="77777777" w:rsidR="008B1794" w:rsidRPr="00623A2B" w:rsidRDefault="008B1794" w:rsidP="00573617">
      <w:pPr>
        <w:widowControl/>
        <w:numPr>
          <w:ilvl w:val="1"/>
          <w:numId w:val="3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0"/>
        <w:rPr>
          <w:rFonts w:ascii="Times New Roman" w:hAnsi="Times New Roman"/>
          <w:color w:val="000000"/>
          <w:lang w:val="fr-FR"/>
        </w:rPr>
      </w:pPr>
      <w:r w:rsidRPr="00623A2B">
        <w:rPr>
          <w:rFonts w:ascii="Times New Roman" w:eastAsia="Calibri" w:hAnsi="Times New Roman"/>
          <w:lang w:val="fr-FR"/>
        </w:rPr>
        <w:t>Fonds ordinaire (FO)</w:t>
      </w:r>
      <w:r w:rsidRPr="00623A2B">
        <w:rPr>
          <w:rFonts w:ascii="Times New Roman" w:eastAsia="Calibri" w:hAnsi="Times New Roman"/>
          <w:lang w:val="fr-FR"/>
        </w:rPr>
        <w:tab/>
      </w:r>
      <w:r w:rsidRPr="00623A2B">
        <w:rPr>
          <w:rFonts w:ascii="Times New Roman" w:eastAsia="Calibri" w:hAnsi="Times New Roman"/>
          <w:lang w:val="fr-FR"/>
        </w:rPr>
        <w:tab/>
      </w:r>
      <w:r w:rsidRPr="00623A2B">
        <w:rPr>
          <w:rFonts w:ascii="Times New Roman" w:eastAsia="Calibri" w:hAnsi="Times New Roman"/>
          <w:lang w:val="fr-FR"/>
        </w:rPr>
        <w:tab/>
      </w:r>
      <w:r w:rsidRPr="00623A2B">
        <w:rPr>
          <w:rFonts w:ascii="Times New Roman" w:eastAsia="Calibri" w:hAnsi="Times New Roman"/>
          <w:lang w:val="fr-FR"/>
        </w:rPr>
        <w:tab/>
      </w:r>
      <w:r w:rsidRPr="00623A2B">
        <w:rPr>
          <w:rFonts w:ascii="Times New Roman" w:eastAsia="Calibri" w:hAnsi="Times New Roman"/>
          <w:color w:val="000000"/>
          <w:lang w:val="fr-FR"/>
        </w:rPr>
        <w:t>81 000 000</w:t>
      </w:r>
      <w:r w:rsidRPr="00623A2B">
        <w:rPr>
          <w:rFonts w:ascii="Times New Roman" w:eastAsia="Calibri" w:hAnsi="Times New Roman"/>
          <w:lang w:val="fr-FR"/>
        </w:rPr>
        <w:t xml:space="preserve"> USD</w:t>
      </w:r>
    </w:p>
    <w:p w14:paraId="76632DEA" w14:textId="77777777" w:rsidR="008B1794" w:rsidRPr="00623A2B" w:rsidRDefault="008B1794" w:rsidP="00573617">
      <w:pPr>
        <w:widowControl/>
        <w:numPr>
          <w:ilvl w:val="1"/>
          <w:numId w:val="3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0"/>
        <w:rPr>
          <w:rFonts w:ascii="Times New Roman" w:hAnsi="Times New Roman"/>
          <w:color w:val="000000"/>
          <w:lang w:val="fr-FR"/>
        </w:rPr>
      </w:pPr>
      <w:r w:rsidRPr="00623A2B">
        <w:rPr>
          <w:rFonts w:ascii="Times New Roman" w:eastAsia="Calibri" w:hAnsi="Times New Roman"/>
          <w:lang w:val="fr-FR"/>
        </w:rPr>
        <w:t>Recouvrement des coûts indirects (RCI)</w:t>
      </w:r>
      <w:r w:rsidRPr="00623A2B">
        <w:rPr>
          <w:rFonts w:ascii="Times New Roman" w:eastAsia="Calibri" w:hAnsi="Times New Roman"/>
          <w:lang w:val="fr-FR"/>
        </w:rPr>
        <w:tab/>
      </w:r>
      <w:proofErr w:type="gramStart"/>
      <w:r w:rsidRPr="00623A2B">
        <w:rPr>
          <w:rFonts w:ascii="Times New Roman" w:eastAsia="Calibri" w:hAnsi="Times New Roman"/>
          <w:lang w:val="fr-FR"/>
        </w:rPr>
        <w:tab/>
        <w:t xml:space="preserve">  7</w:t>
      </w:r>
      <w:proofErr w:type="gramEnd"/>
      <w:r w:rsidRPr="00623A2B">
        <w:rPr>
          <w:rFonts w:ascii="Times New Roman" w:eastAsia="Calibri" w:hAnsi="Times New Roman"/>
          <w:lang w:val="fr-FR"/>
        </w:rPr>
        <w:t> 192 000 USD</w:t>
      </w:r>
    </w:p>
    <w:p w14:paraId="55E56B09" w14:textId="77777777" w:rsidR="008B1794" w:rsidRPr="00623A2B" w:rsidRDefault="008B1794" w:rsidP="008B1794">
      <w:pPr>
        <w:suppressAutoHyphens/>
        <w:rPr>
          <w:rFonts w:ascii="Times New Roman" w:hAnsi="Times New Roman"/>
          <w:color w:val="000000"/>
          <w:lang w:val="fr-FR" w:eastAsia="es-ES"/>
        </w:rPr>
      </w:pPr>
    </w:p>
    <w:p w14:paraId="5D480A04" w14:textId="77777777" w:rsidR="008B1794" w:rsidRPr="00623A2B" w:rsidRDefault="008B1794" w:rsidP="00573617">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color w:val="000000"/>
          <w:lang w:val="fr-FR"/>
        </w:rPr>
      </w:pPr>
      <w:r w:rsidRPr="00623A2B">
        <w:rPr>
          <w:rFonts w:ascii="Times New Roman" w:eastAsia="Calibri" w:hAnsi="Times New Roman"/>
          <w:color w:val="000000"/>
          <w:lang w:val="fr-FR"/>
        </w:rPr>
        <w:t xml:space="preserve">D’approuver </w:t>
      </w:r>
      <w:r w:rsidRPr="00623A2B">
        <w:rPr>
          <w:rFonts w:ascii="Times New Roman" w:eastAsia="Calibri" w:hAnsi="Times New Roman"/>
          <w:bCs/>
          <w:color w:val="000000"/>
          <w:shd w:val="clear" w:color="auto" w:fill="FFFFFF"/>
          <w:lang w:val="fr-FR"/>
        </w:rPr>
        <w:t>l’affectation de crédits</w:t>
      </w:r>
      <w:r w:rsidRPr="00623A2B">
        <w:rPr>
          <w:rFonts w:ascii="Times New Roman" w:eastAsia="Calibri" w:hAnsi="Times New Roman"/>
          <w:b/>
          <w:color w:val="000000"/>
          <w:shd w:val="clear" w:color="auto" w:fill="FFFFFF"/>
          <w:lang w:val="fr-FR"/>
        </w:rPr>
        <w:t xml:space="preserve"> </w:t>
      </w:r>
      <w:r w:rsidRPr="00623A2B">
        <w:rPr>
          <w:rFonts w:ascii="Times New Roman" w:eastAsia="Calibri" w:hAnsi="Times New Roman"/>
          <w:color w:val="000000"/>
          <w:lang w:val="fr-FR"/>
        </w:rPr>
        <w:t xml:space="preserve">du Fonds ordinaire et du Recouvrement des coûts indirects, par chapitre, et sous-programmes, avec les recommandations, directives ou mandats spécifiés ci-après : </w:t>
      </w:r>
    </w:p>
    <w:tbl>
      <w:tblPr>
        <w:tblW w:w="8460" w:type="dxa"/>
        <w:jc w:val="center"/>
        <w:tblLook w:val="04A0" w:firstRow="1" w:lastRow="0" w:firstColumn="1" w:lastColumn="0" w:noHBand="0" w:noVBand="1"/>
      </w:tblPr>
      <w:tblGrid>
        <w:gridCol w:w="1350"/>
        <w:gridCol w:w="5220"/>
        <w:gridCol w:w="990"/>
        <w:gridCol w:w="900"/>
      </w:tblGrid>
      <w:tr w:rsidR="008B1794" w:rsidRPr="00623A2B" w14:paraId="225E7C73"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51F8C4AA" w14:textId="77777777" w:rsidR="008B1794" w:rsidRPr="00623A2B" w:rsidRDefault="008B1794" w:rsidP="00C83EA7">
            <w:pPr>
              <w:rPr>
                <w:rFonts w:ascii="Times New Roman" w:hAnsi="Times New Roman"/>
                <w:lang w:val="fr-FR"/>
              </w:rPr>
            </w:pPr>
          </w:p>
        </w:tc>
        <w:tc>
          <w:tcPr>
            <w:tcW w:w="5220" w:type="dxa"/>
            <w:tcBorders>
              <w:top w:val="nil"/>
              <w:left w:val="nil"/>
              <w:bottom w:val="nil"/>
              <w:right w:val="nil"/>
            </w:tcBorders>
            <w:shd w:val="clear" w:color="auto" w:fill="auto"/>
            <w:vAlign w:val="bottom"/>
            <w:hideMark/>
          </w:tcPr>
          <w:p w14:paraId="4F9DA03F" w14:textId="77777777" w:rsidR="008B1794" w:rsidRPr="00623A2B" w:rsidRDefault="008B1794" w:rsidP="00C83EA7">
            <w:pPr>
              <w:rPr>
                <w:rFonts w:ascii="Times New Roman" w:hAnsi="Times New Roman"/>
                <w:lang w:val="fr-FR"/>
              </w:rPr>
            </w:pPr>
          </w:p>
        </w:tc>
        <w:tc>
          <w:tcPr>
            <w:tcW w:w="990" w:type="dxa"/>
            <w:tcBorders>
              <w:top w:val="nil"/>
              <w:left w:val="nil"/>
              <w:bottom w:val="nil"/>
              <w:right w:val="nil"/>
            </w:tcBorders>
            <w:shd w:val="clear" w:color="auto" w:fill="auto"/>
            <w:noWrap/>
            <w:vAlign w:val="center"/>
            <w:hideMark/>
          </w:tcPr>
          <w:p w14:paraId="6D197FB4" w14:textId="77777777" w:rsidR="008B1794" w:rsidRPr="00623A2B" w:rsidRDefault="008B1794" w:rsidP="00C83EA7">
            <w:pPr>
              <w:jc w:val="center"/>
              <w:rPr>
                <w:rFonts w:ascii="Times New Roman" w:hAnsi="Times New Roman"/>
                <w:b/>
                <w:bCs/>
                <w:color w:val="000000"/>
                <w:lang w:val="fr-FR"/>
              </w:rPr>
            </w:pPr>
            <w:r w:rsidRPr="00623A2B">
              <w:rPr>
                <w:rFonts w:ascii="Times New Roman" w:eastAsia="Calibri" w:hAnsi="Times New Roman"/>
                <w:b/>
                <w:color w:val="000000"/>
                <w:lang w:val="fr-FR"/>
              </w:rPr>
              <w:t>FO</w:t>
            </w:r>
          </w:p>
        </w:tc>
        <w:tc>
          <w:tcPr>
            <w:tcW w:w="900" w:type="dxa"/>
            <w:tcBorders>
              <w:top w:val="nil"/>
              <w:left w:val="nil"/>
              <w:bottom w:val="nil"/>
              <w:right w:val="nil"/>
            </w:tcBorders>
            <w:shd w:val="clear" w:color="auto" w:fill="auto"/>
            <w:noWrap/>
            <w:vAlign w:val="center"/>
            <w:hideMark/>
          </w:tcPr>
          <w:p w14:paraId="06450F09" w14:textId="77777777" w:rsidR="008B1794" w:rsidRPr="00623A2B" w:rsidRDefault="008B1794" w:rsidP="00C83EA7">
            <w:pPr>
              <w:jc w:val="center"/>
              <w:rPr>
                <w:rFonts w:ascii="Times New Roman" w:hAnsi="Times New Roman"/>
                <w:b/>
                <w:bCs/>
                <w:color w:val="000000"/>
                <w:lang w:val="fr-FR"/>
              </w:rPr>
            </w:pPr>
            <w:r w:rsidRPr="00623A2B">
              <w:rPr>
                <w:rFonts w:ascii="Times New Roman" w:eastAsia="Calibri" w:hAnsi="Times New Roman"/>
                <w:b/>
                <w:color w:val="000000"/>
                <w:lang w:val="fr-FR"/>
              </w:rPr>
              <w:t>RCI</w:t>
            </w:r>
          </w:p>
        </w:tc>
      </w:tr>
      <w:tr w:rsidR="008B1794" w:rsidRPr="00213B6A" w14:paraId="509B6E65" w14:textId="77777777" w:rsidTr="00C83EA7">
        <w:trPr>
          <w:trHeight w:val="263"/>
          <w:jc w:val="center"/>
        </w:trPr>
        <w:tc>
          <w:tcPr>
            <w:tcW w:w="6570" w:type="dxa"/>
            <w:gridSpan w:val="2"/>
            <w:tcBorders>
              <w:top w:val="nil"/>
              <w:left w:val="nil"/>
              <w:bottom w:val="nil"/>
              <w:right w:val="nil"/>
            </w:tcBorders>
            <w:shd w:val="clear" w:color="auto" w:fill="auto"/>
            <w:noWrap/>
            <w:vAlign w:val="center"/>
            <w:hideMark/>
          </w:tcPr>
          <w:p w14:paraId="1DD919C0"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bCs/>
                <w:color w:val="000000"/>
                <w:lang w:val="fr-FR"/>
              </w:rPr>
              <w:t>Chapitre 1</w:t>
            </w:r>
            <w:r w:rsidRPr="00623A2B">
              <w:rPr>
                <w:rFonts w:ascii="Times New Roman" w:eastAsia="Calibri" w:hAnsi="Times New Roman"/>
                <w:b/>
                <w:color w:val="000000"/>
                <w:lang w:val="fr-FR"/>
              </w:rPr>
              <w:t xml:space="preserve"> – Bureau du Secrétaire général</w:t>
            </w:r>
          </w:p>
        </w:tc>
        <w:tc>
          <w:tcPr>
            <w:tcW w:w="990" w:type="dxa"/>
            <w:tcBorders>
              <w:top w:val="nil"/>
              <w:left w:val="nil"/>
              <w:bottom w:val="nil"/>
              <w:right w:val="nil"/>
            </w:tcBorders>
            <w:shd w:val="clear" w:color="auto" w:fill="auto"/>
            <w:noWrap/>
            <w:vAlign w:val="center"/>
            <w:hideMark/>
          </w:tcPr>
          <w:p w14:paraId="2CBDA9A7" w14:textId="77777777" w:rsidR="008B1794" w:rsidRPr="00623A2B" w:rsidRDefault="008B1794" w:rsidP="00C83EA7">
            <w:pPr>
              <w:rPr>
                <w:rFonts w:ascii="Times New Roman" w:hAnsi="Times New Roman"/>
                <w:b/>
                <w:bCs/>
                <w:color w:val="000000"/>
                <w:lang w:val="fr-FR"/>
              </w:rPr>
            </w:pPr>
          </w:p>
        </w:tc>
        <w:tc>
          <w:tcPr>
            <w:tcW w:w="900" w:type="dxa"/>
            <w:tcBorders>
              <w:top w:val="nil"/>
              <w:left w:val="nil"/>
              <w:bottom w:val="nil"/>
              <w:right w:val="nil"/>
            </w:tcBorders>
            <w:shd w:val="clear" w:color="auto" w:fill="auto"/>
            <w:noWrap/>
            <w:vAlign w:val="center"/>
            <w:hideMark/>
          </w:tcPr>
          <w:p w14:paraId="0322296A" w14:textId="77777777" w:rsidR="008B1794" w:rsidRPr="00623A2B" w:rsidRDefault="008B1794" w:rsidP="00C83EA7">
            <w:pPr>
              <w:rPr>
                <w:rFonts w:ascii="Times New Roman" w:hAnsi="Times New Roman"/>
                <w:lang w:val="fr-FR"/>
              </w:rPr>
            </w:pPr>
          </w:p>
        </w:tc>
      </w:tr>
      <w:tr w:rsidR="008B1794" w:rsidRPr="00623A2B" w14:paraId="304E2645"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75E6FCF2"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14A</w:t>
            </w:r>
          </w:p>
        </w:tc>
        <w:tc>
          <w:tcPr>
            <w:tcW w:w="5220" w:type="dxa"/>
            <w:tcBorders>
              <w:top w:val="nil"/>
              <w:left w:val="nil"/>
              <w:bottom w:val="nil"/>
              <w:right w:val="nil"/>
            </w:tcBorders>
            <w:shd w:val="clear" w:color="auto" w:fill="auto"/>
            <w:vAlign w:val="center"/>
            <w:hideMark/>
          </w:tcPr>
          <w:p w14:paraId="3982C21B"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Bureau du Secrétaire général</w:t>
            </w:r>
          </w:p>
        </w:tc>
        <w:tc>
          <w:tcPr>
            <w:tcW w:w="990" w:type="dxa"/>
            <w:tcBorders>
              <w:top w:val="nil"/>
              <w:left w:val="nil"/>
              <w:bottom w:val="nil"/>
              <w:right w:val="nil"/>
            </w:tcBorders>
            <w:shd w:val="clear" w:color="auto" w:fill="auto"/>
            <w:noWrap/>
            <w:vAlign w:val="center"/>
            <w:hideMark/>
          </w:tcPr>
          <w:p w14:paraId="685D58C1"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2 095,5</w:t>
            </w:r>
          </w:p>
        </w:tc>
        <w:tc>
          <w:tcPr>
            <w:tcW w:w="900" w:type="dxa"/>
            <w:tcBorders>
              <w:top w:val="nil"/>
              <w:left w:val="nil"/>
              <w:bottom w:val="nil"/>
              <w:right w:val="nil"/>
            </w:tcBorders>
            <w:shd w:val="clear" w:color="auto" w:fill="auto"/>
            <w:noWrap/>
            <w:vAlign w:val="center"/>
            <w:hideMark/>
          </w:tcPr>
          <w:p w14:paraId="6022C0DF"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24,9</w:t>
            </w:r>
          </w:p>
        </w:tc>
      </w:tr>
      <w:tr w:rsidR="008B1794" w:rsidRPr="00623A2B" w14:paraId="297B1B19"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411EF730"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14B</w:t>
            </w:r>
          </w:p>
        </w:tc>
        <w:tc>
          <w:tcPr>
            <w:tcW w:w="5220" w:type="dxa"/>
            <w:tcBorders>
              <w:top w:val="nil"/>
              <w:left w:val="nil"/>
              <w:bottom w:val="nil"/>
              <w:right w:val="nil"/>
            </w:tcBorders>
            <w:shd w:val="clear" w:color="auto" w:fill="auto"/>
            <w:vAlign w:val="center"/>
            <w:hideMark/>
          </w:tcPr>
          <w:p w14:paraId="5BFDC946"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Bureau du Protocole</w:t>
            </w:r>
          </w:p>
        </w:tc>
        <w:tc>
          <w:tcPr>
            <w:tcW w:w="990" w:type="dxa"/>
            <w:tcBorders>
              <w:top w:val="nil"/>
              <w:left w:val="nil"/>
              <w:bottom w:val="nil"/>
              <w:right w:val="nil"/>
            </w:tcBorders>
            <w:shd w:val="clear" w:color="auto" w:fill="auto"/>
            <w:noWrap/>
            <w:vAlign w:val="center"/>
            <w:hideMark/>
          </w:tcPr>
          <w:p w14:paraId="321F5E4B"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617,1</w:t>
            </w:r>
          </w:p>
        </w:tc>
        <w:tc>
          <w:tcPr>
            <w:tcW w:w="900" w:type="dxa"/>
            <w:tcBorders>
              <w:top w:val="nil"/>
              <w:left w:val="nil"/>
              <w:bottom w:val="nil"/>
              <w:right w:val="nil"/>
            </w:tcBorders>
            <w:shd w:val="clear" w:color="auto" w:fill="auto"/>
            <w:noWrap/>
            <w:vAlign w:val="center"/>
            <w:hideMark/>
          </w:tcPr>
          <w:p w14:paraId="7871313E"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72EA1EE5" w14:textId="77777777" w:rsidTr="00C83EA7">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72CB666B"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bCs/>
                <w:color w:val="000000"/>
                <w:lang w:val="fr-FR"/>
              </w:rPr>
              <w:t>Chapitre 1</w:t>
            </w:r>
            <w:r w:rsidRPr="00623A2B">
              <w:rPr>
                <w:rFonts w:ascii="Times New Roman" w:eastAsia="Calibri" w:hAnsi="Times New Roman"/>
                <w:b/>
                <w:color w:val="000000"/>
                <w:lang w:val="fr-FR"/>
              </w:rPr>
              <w:t xml:space="preserve"> – Bureau du Secrétaire général Total</w:t>
            </w:r>
          </w:p>
        </w:tc>
        <w:tc>
          <w:tcPr>
            <w:tcW w:w="990" w:type="dxa"/>
            <w:tcBorders>
              <w:top w:val="single" w:sz="4" w:space="0" w:color="auto"/>
              <w:left w:val="nil"/>
              <w:bottom w:val="single" w:sz="4" w:space="0" w:color="auto"/>
              <w:right w:val="nil"/>
            </w:tcBorders>
            <w:shd w:val="clear" w:color="auto" w:fill="auto"/>
            <w:noWrap/>
            <w:vAlign w:val="center"/>
            <w:hideMark/>
          </w:tcPr>
          <w:p w14:paraId="00251CFF"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2 712,6</w:t>
            </w:r>
          </w:p>
        </w:tc>
        <w:tc>
          <w:tcPr>
            <w:tcW w:w="900" w:type="dxa"/>
            <w:tcBorders>
              <w:top w:val="single" w:sz="4" w:space="0" w:color="auto"/>
              <w:left w:val="nil"/>
              <w:bottom w:val="single" w:sz="4" w:space="0" w:color="auto"/>
              <w:right w:val="nil"/>
            </w:tcBorders>
            <w:shd w:val="clear" w:color="auto" w:fill="auto"/>
            <w:noWrap/>
            <w:vAlign w:val="center"/>
            <w:hideMark/>
          </w:tcPr>
          <w:p w14:paraId="2AD61B82"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24,9</w:t>
            </w:r>
          </w:p>
        </w:tc>
      </w:tr>
      <w:tr w:rsidR="008B1794" w:rsidRPr="00623A2B" w14:paraId="7F87A33F"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1AB02929" w14:textId="77777777" w:rsidR="008B1794" w:rsidRPr="00623A2B" w:rsidRDefault="008B1794" w:rsidP="00C83EA7">
            <w:pPr>
              <w:jc w:val="right"/>
              <w:rPr>
                <w:rFonts w:ascii="Times New Roman" w:hAnsi="Times New Roman"/>
                <w:b/>
                <w:bCs/>
                <w:color w:val="000000"/>
                <w:lang w:val="fr-FR"/>
              </w:rPr>
            </w:pPr>
          </w:p>
        </w:tc>
        <w:tc>
          <w:tcPr>
            <w:tcW w:w="5220" w:type="dxa"/>
            <w:tcBorders>
              <w:top w:val="nil"/>
              <w:left w:val="nil"/>
              <w:bottom w:val="nil"/>
              <w:right w:val="nil"/>
            </w:tcBorders>
            <w:shd w:val="clear" w:color="auto" w:fill="auto"/>
            <w:vAlign w:val="bottom"/>
            <w:hideMark/>
          </w:tcPr>
          <w:p w14:paraId="7327C802" w14:textId="77777777" w:rsidR="008B1794" w:rsidRPr="00623A2B" w:rsidRDefault="008B1794" w:rsidP="00C83EA7">
            <w:pPr>
              <w:rPr>
                <w:rFonts w:ascii="Times New Roman" w:hAnsi="Times New Roman"/>
                <w:lang w:val="fr-FR"/>
              </w:rPr>
            </w:pPr>
          </w:p>
        </w:tc>
        <w:tc>
          <w:tcPr>
            <w:tcW w:w="990" w:type="dxa"/>
            <w:tcBorders>
              <w:top w:val="nil"/>
              <w:left w:val="nil"/>
              <w:bottom w:val="nil"/>
              <w:right w:val="nil"/>
            </w:tcBorders>
            <w:shd w:val="clear" w:color="auto" w:fill="auto"/>
            <w:noWrap/>
            <w:vAlign w:val="center"/>
            <w:hideMark/>
          </w:tcPr>
          <w:p w14:paraId="5830E4D1" w14:textId="77777777" w:rsidR="008B1794" w:rsidRPr="00623A2B" w:rsidRDefault="008B1794" w:rsidP="00C83EA7">
            <w:pPr>
              <w:rPr>
                <w:rFonts w:ascii="Times New Roman" w:hAnsi="Times New Roman"/>
                <w:lang w:val="fr-FR"/>
              </w:rPr>
            </w:pPr>
          </w:p>
        </w:tc>
        <w:tc>
          <w:tcPr>
            <w:tcW w:w="900" w:type="dxa"/>
            <w:tcBorders>
              <w:top w:val="nil"/>
              <w:left w:val="nil"/>
              <w:bottom w:val="nil"/>
              <w:right w:val="nil"/>
            </w:tcBorders>
            <w:shd w:val="clear" w:color="auto" w:fill="auto"/>
            <w:noWrap/>
            <w:vAlign w:val="center"/>
            <w:hideMark/>
          </w:tcPr>
          <w:p w14:paraId="66C71BF0" w14:textId="77777777" w:rsidR="008B1794" w:rsidRPr="00623A2B" w:rsidRDefault="008B1794" w:rsidP="00C83EA7">
            <w:pPr>
              <w:rPr>
                <w:rFonts w:ascii="Times New Roman" w:hAnsi="Times New Roman"/>
                <w:lang w:val="fr-FR"/>
              </w:rPr>
            </w:pPr>
          </w:p>
        </w:tc>
      </w:tr>
      <w:tr w:rsidR="008B1794" w:rsidRPr="00213B6A" w14:paraId="071B5C2D" w14:textId="77777777" w:rsidTr="00C83EA7">
        <w:trPr>
          <w:trHeight w:val="263"/>
          <w:jc w:val="center"/>
        </w:trPr>
        <w:tc>
          <w:tcPr>
            <w:tcW w:w="6570" w:type="dxa"/>
            <w:gridSpan w:val="2"/>
            <w:tcBorders>
              <w:top w:val="nil"/>
              <w:left w:val="nil"/>
              <w:bottom w:val="nil"/>
              <w:right w:val="nil"/>
            </w:tcBorders>
            <w:shd w:val="clear" w:color="auto" w:fill="auto"/>
            <w:noWrap/>
            <w:vAlign w:val="center"/>
            <w:hideMark/>
          </w:tcPr>
          <w:p w14:paraId="118E98A8"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bCs/>
                <w:color w:val="000000"/>
                <w:lang w:val="fr-FR"/>
              </w:rPr>
              <w:t>Chapitre 2</w:t>
            </w:r>
            <w:r w:rsidRPr="00623A2B">
              <w:rPr>
                <w:rFonts w:ascii="Times New Roman" w:eastAsia="Calibri" w:hAnsi="Times New Roman"/>
                <w:b/>
                <w:color w:val="000000"/>
                <w:lang w:val="fr-FR"/>
              </w:rPr>
              <w:t xml:space="preserve"> – Bureau du Secrétaire général adjoint</w:t>
            </w:r>
          </w:p>
        </w:tc>
        <w:tc>
          <w:tcPr>
            <w:tcW w:w="990" w:type="dxa"/>
            <w:tcBorders>
              <w:top w:val="nil"/>
              <w:left w:val="nil"/>
              <w:bottom w:val="nil"/>
              <w:right w:val="nil"/>
            </w:tcBorders>
            <w:shd w:val="clear" w:color="auto" w:fill="auto"/>
            <w:noWrap/>
            <w:vAlign w:val="center"/>
            <w:hideMark/>
          </w:tcPr>
          <w:p w14:paraId="268326BF" w14:textId="77777777" w:rsidR="008B1794" w:rsidRPr="00623A2B" w:rsidRDefault="008B1794" w:rsidP="00C83EA7">
            <w:pPr>
              <w:rPr>
                <w:rFonts w:ascii="Times New Roman" w:hAnsi="Times New Roman"/>
                <w:b/>
                <w:bCs/>
                <w:color w:val="000000"/>
                <w:lang w:val="fr-FR"/>
              </w:rPr>
            </w:pPr>
          </w:p>
        </w:tc>
        <w:tc>
          <w:tcPr>
            <w:tcW w:w="900" w:type="dxa"/>
            <w:tcBorders>
              <w:top w:val="nil"/>
              <w:left w:val="nil"/>
              <w:bottom w:val="nil"/>
              <w:right w:val="nil"/>
            </w:tcBorders>
            <w:shd w:val="clear" w:color="auto" w:fill="auto"/>
            <w:noWrap/>
            <w:vAlign w:val="center"/>
            <w:hideMark/>
          </w:tcPr>
          <w:p w14:paraId="10722C54" w14:textId="77777777" w:rsidR="008B1794" w:rsidRPr="00623A2B" w:rsidRDefault="008B1794" w:rsidP="00C83EA7">
            <w:pPr>
              <w:rPr>
                <w:rFonts w:ascii="Times New Roman" w:hAnsi="Times New Roman"/>
                <w:lang w:val="fr-FR"/>
              </w:rPr>
            </w:pPr>
          </w:p>
        </w:tc>
      </w:tr>
      <w:tr w:rsidR="008B1794" w:rsidRPr="00623A2B" w14:paraId="3FE3A576"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3FABCCAA"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24A</w:t>
            </w:r>
          </w:p>
        </w:tc>
        <w:tc>
          <w:tcPr>
            <w:tcW w:w="5220" w:type="dxa"/>
            <w:tcBorders>
              <w:top w:val="nil"/>
              <w:left w:val="nil"/>
              <w:bottom w:val="nil"/>
              <w:right w:val="nil"/>
            </w:tcBorders>
            <w:shd w:val="clear" w:color="auto" w:fill="auto"/>
            <w:vAlign w:val="center"/>
            <w:hideMark/>
          </w:tcPr>
          <w:p w14:paraId="3CD776F1"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Bureau du Secrétaire général adjoint</w:t>
            </w:r>
          </w:p>
        </w:tc>
        <w:tc>
          <w:tcPr>
            <w:tcW w:w="990" w:type="dxa"/>
            <w:tcBorders>
              <w:top w:val="nil"/>
              <w:left w:val="nil"/>
              <w:bottom w:val="nil"/>
              <w:right w:val="nil"/>
            </w:tcBorders>
            <w:shd w:val="clear" w:color="auto" w:fill="auto"/>
            <w:noWrap/>
            <w:vAlign w:val="center"/>
            <w:hideMark/>
          </w:tcPr>
          <w:p w14:paraId="30FAC595"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2 058,6</w:t>
            </w:r>
          </w:p>
        </w:tc>
        <w:tc>
          <w:tcPr>
            <w:tcW w:w="900" w:type="dxa"/>
            <w:tcBorders>
              <w:top w:val="nil"/>
              <w:left w:val="nil"/>
              <w:bottom w:val="nil"/>
              <w:right w:val="nil"/>
            </w:tcBorders>
            <w:shd w:val="clear" w:color="auto" w:fill="auto"/>
            <w:noWrap/>
            <w:vAlign w:val="center"/>
            <w:hideMark/>
          </w:tcPr>
          <w:p w14:paraId="1F7AAA4A"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1E7203D6" w14:textId="77777777" w:rsidTr="00C83EA7">
        <w:trPr>
          <w:trHeight w:val="788"/>
          <w:jc w:val="center"/>
        </w:trPr>
        <w:tc>
          <w:tcPr>
            <w:tcW w:w="1350" w:type="dxa"/>
            <w:tcBorders>
              <w:top w:val="nil"/>
              <w:left w:val="nil"/>
              <w:bottom w:val="nil"/>
              <w:right w:val="nil"/>
            </w:tcBorders>
            <w:shd w:val="clear" w:color="auto" w:fill="auto"/>
            <w:noWrap/>
            <w:vAlign w:val="center"/>
            <w:hideMark/>
          </w:tcPr>
          <w:p w14:paraId="1B4F6BC6"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24B</w:t>
            </w:r>
          </w:p>
        </w:tc>
        <w:tc>
          <w:tcPr>
            <w:tcW w:w="5220" w:type="dxa"/>
            <w:tcBorders>
              <w:top w:val="nil"/>
              <w:left w:val="nil"/>
              <w:bottom w:val="nil"/>
              <w:right w:val="nil"/>
            </w:tcBorders>
            <w:shd w:val="clear" w:color="auto" w:fill="auto"/>
            <w:vAlign w:val="center"/>
            <w:hideMark/>
          </w:tcPr>
          <w:p w14:paraId="50E63E7B"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Bureau du Secrétariat de l'Assemblée générale, de la Réunion de consultation, du Conseil permanent et des organes subsidiaires</w:t>
            </w:r>
          </w:p>
        </w:tc>
        <w:tc>
          <w:tcPr>
            <w:tcW w:w="990" w:type="dxa"/>
            <w:tcBorders>
              <w:top w:val="nil"/>
              <w:left w:val="nil"/>
              <w:bottom w:val="nil"/>
              <w:right w:val="nil"/>
            </w:tcBorders>
            <w:shd w:val="clear" w:color="auto" w:fill="auto"/>
            <w:noWrap/>
            <w:vAlign w:val="center"/>
            <w:hideMark/>
          </w:tcPr>
          <w:p w14:paraId="2BF7CD53"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1 209,2</w:t>
            </w:r>
          </w:p>
        </w:tc>
        <w:tc>
          <w:tcPr>
            <w:tcW w:w="900" w:type="dxa"/>
            <w:tcBorders>
              <w:top w:val="nil"/>
              <w:left w:val="nil"/>
              <w:bottom w:val="nil"/>
              <w:right w:val="nil"/>
            </w:tcBorders>
            <w:shd w:val="clear" w:color="auto" w:fill="auto"/>
            <w:noWrap/>
            <w:vAlign w:val="center"/>
            <w:hideMark/>
          </w:tcPr>
          <w:p w14:paraId="5C8CBE6B"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760A6971" w14:textId="77777777" w:rsidTr="00C83EA7">
        <w:trPr>
          <w:trHeight w:val="525"/>
          <w:jc w:val="center"/>
        </w:trPr>
        <w:tc>
          <w:tcPr>
            <w:tcW w:w="1350" w:type="dxa"/>
            <w:tcBorders>
              <w:top w:val="nil"/>
              <w:left w:val="nil"/>
              <w:bottom w:val="nil"/>
              <w:right w:val="nil"/>
            </w:tcBorders>
            <w:shd w:val="clear" w:color="auto" w:fill="auto"/>
            <w:noWrap/>
            <w:vAlign w:val="center"/>
            <w:hideMark/>
          </w:tcPr>
          <w:p w14:paraId="1709F0FA"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24C</w:t>
            </w:r>
          </w:p>
        </w:tc>
        <w:tc>
          <w:tcPr>
            <w:tcW w:w="5220" w:type="dxa"/>
            <w:tcBorders>
              <w:top w:val="nil"/>
              <w:left w:val="nil"/>
              <w:bottom w:val="nil"/>
              <w:right w:val="nil"/>
            </w:tcBorders>
            <w:shd w:val="clear" w:color="auto" w:fill="auto"/>
            <w:vAlign w:val="center"/>
            <w:hideMark/>
          </w:tcPr>
          <w:p w14:paraId="736E5E31"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Bureau de coordination des bureaux et unités hors siège du Secrétariat général</w:t>
            </w:r>
          </w:p>
        </w:tc>
        <w:tc>
          <w:tcPr>
            <w:tcW w:w="990" w:type="dxa"/>
            <w:tcBorders>
              <w:top w:val="nil"/>
              <w:left w:val="nil"/>
              <w:bottom w:val="nil"/>
              <w:right w:val="nil"/>
            </w:tcBorders>
            <w:shd w:val="clear" w:color="auto" w:fill="auto"/>
            <w:noWrap/>
            <w:vAlign w:val="center"/>
            <w:hideMark/>
          </w:tcPr>
          <w:p w14:paraId="6C20608E"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4 563,5</w:t>
            </w:r>
          </w:p>
        </w:tc>
        <w:tc>
          <w:tcPr>
            <w:tcW w:w="900" w:type="dxa"/>
            <w:tcBorders>
              <w:top w:val="nil"/>
              <w:left w:val="nil"/>
              <w:bottom w:val="nil"/>
              <w:right w:val="nil"/>
            </w:tcBorders>
            <w:shd w:val="clear" w:color="auto" w:fill="auto"/>
            <w:noWrap/>
            <w:vAlign w:val="center"/>
            <w:hideMark/>
          </w:tcPr>
          <w:p w14:paraId="31251103"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7314BF54"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087C0D97"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24D</w:t>
            </w:r>
          </w:p>
        </w:tc>
        <w:tc>
          <w:tcPr>
            <w:tcW w:w="5220" w:type="dxa"/>
            <w:tcBorders>
              <w:top w:val="nil"/>
              <w:left w:val="nil"/>
              <w:bottom w:val="nil"/>
              <w:right w:val="nil"/>
            </w:tcBorders>
            <w:shd w:val="clear" w:color="auto" w:fill="auto"/>
            <w:vAlign w:val="center"/>
            <w:hideMark/>
          </w:tcPr>
          <w:p w14:paraId="1A21FEF3"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Conférences et réunions</w:t>
            </w:r>
          </w:p>
        </w:tc>
        <w:tc>
          <w:tcPr>
            <w:tcW w:w="990" w:type="dxa"/>
            <w:tcBorders>
              <w:top w:val="nil"/>
              <w:left w:val="nil"/>
              <w:bottom w:val="nil"/>
              <w:right w:val="nil"/>
            </w:tcBorders>
            <w:shd w:val="clear" w:color="auto" w:fill="auto"/>
            <w:noWrap/>
            <w:vAlign w:val="center"/>
            <w:hideMark/>
          </w:tcPr>
          <w:p w14:paraId="253E6062"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2 872,2</w:t>
            </w:r>
          </w:p>
        </w:tc>
        <w:tc>
          <w:tcPr>
            <w:tcW w:w="900" w:type="dxa"/>
            <w:tcBorders>
              <w:top w:val="nil"/>
              <w:left w:val="nil"/>
              <w:bottom w:val="nil"/>
              <w:right w:val="nil"/>
            </w:tcBorders>
            <w:shd w:val="clear" w:color="auto" w:fill="auto"/>
            <w:noWrap/>
            <w:vAlign w:val="center"/>
            <w:hideMark/>
          </w:tcPr>
          <w:p w14:paraId="65045A9A"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32283FCB"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7DFCDD3E"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24E</w:t>
            </w:r>
          </w:p>
        </w:tc>
        <w:tc>
          <w:tcPr>
            <w:tcW w:w="5220" w:type="dxa"/>
            <w:tcBorders>
              <w:top w:val="nil"/>
              <w:left w:val="nil"/>
              <w:bottom w:val="nil"/>
              <w:right w:val="nil"/>
            </w:tcBorders>
            <w:shd w:val="clear" w:color="auto" w:fill="auto"/>
            <w:vAlign w:val="center"/>
            <w:hideMark/>
          </w:tcPr>
          <w:p w14:paraId="68C08ABB"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Sessions ordinaires de l’Assemblée générale</w:t>
            </w:r>
          </w:p>
        </w:tc>
        <w:tc>
          <w:tcPr>
            <w:tcW w:w="990" w:type="dxa"/>
            <w:tcBorders>
              <w:top w:val="nil"/>
              <w:left w:val="nil"/>
              <w:bottom w:val="nil"/>
              <w:right w:val="nil"/>
            </w:tcBorders>
            <w:shd w:val="clear" w:color="auto" w:fill="auto"/>
            <w:noWrap/>
            <w:vAlign w:val="center"/>
            <w:hideMark/>
          </w:tcPr>
          <w:p w14:paraId="3D9727D6"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110,0</w:t>
            </w:r>
          </w:p>
        </w:tc>
        <w:tc>
          <w:tcPr>
            <w:tcW w:w="900" w:type="dxa"/>
            <w:tcBorders>
              <w:top w:val="nil"/>
              <w:left w:val="nil"/>
              <w:bottom w:val="nil"/>
              <w:right w:val="nil"/>
            </w:tcBorders>
            <w:shd w:val="clear" w:color="auto" w:fill="auto"/>
            <w:noWrap/>
            <w:vAlign w:val="center"/>
            <w:hideMark/>
          </w:tcPr>
          <w:p w14:paraId="6AE018E7"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139E48D4"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4D241B8C"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24F</w:t>
            </w:r>
          </w:p>
        </w:tc>
        <w:tc>
          <w:tcPr>
            <w:tcW w:w="5220" w:type="dxa"/>
            <w:tcBorders>
              <w:top w:val="nil"/>
              <w:left w:val="nil"/>
              <w:bottom w:val="nil"/>
              <w:right w:val="nil"/>
            </w:tcBorders>
            <w:shd w:val="clear" w:color="auto" w:fill="auto"/>
            <w:vAlign w:val="center"/>
            <w:hideMark/>
          </w:tcPr>
          <w:p w14:paraId="7D41AAAA"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Séances du Conseil permanent</w:t>
            </w:r>
          </w:p>
        </w:tc>
        <w:tc>
          <w:tcPr>
            <w:tcW w:w="990" w:type="dxa"/>
            <w:tcBorders>
              <w:top w:val="nil"/>
              <w:left w:val="nil"/>
              <w:bottom w:val="nil"/>
              <w:right w:val="nil"/>
            </w:tcBorders>
            <w:shd w:val="clear" w:color="auto" w:fill="auto"/>
            <w:noWrap/>
            <w:vAlign w:val="center"/>
            <w:hideMark/>
          </w:tcPr>
          <w:p w14:paraId="5B3D2FAC"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291,0</w:t>
            </w:r>
          </w:p>
        </w:tc>
        <w:tc>
          <w:tcPr>
            <w:tcW w:w="900" w:type="dxa"/>
            <w:tcBorders>
              <w:top w:val="nil"/>
              <w:left w:val="nil"/>
              <w:bottom w:val="nil"/>
              <w:right w:val="nil"/>
            </w:tcBorders>
            <w:shd w:val="clear" w:color="auto" w:fill="auto"/>
            <w:noWrap/>
            <w:vAlign w:val="center"/>
            <w:hideMark/>
          </w:tcPr>
          <w:p w14:paraId="555AB353"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0180FB5B"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3A5CA00B"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24G</w:t>
            </w:r>
          </w:p>
        </w:tc>
        <w:tc>
          <w:tcPr>
            <w:tcW w:w="5220" w:type="dxa"/>
            <w:tcBorders>
              <w:top w:val="nil"/>
              <w:left w:val="nil"/>
              <w:bottom w:val="nil"/>
              <w:right w:val="nil"/>
            </w:tcBorders>
            <w:shd w:val="clear" w:color="auto" w:fill="auto"/>
            <w:vAlign w:val="center"/>
            <w:hideMark/>
          </w:tcPr>
          <w:p w14:paraId="0E749439"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Réunions de la Commission préparatoire</w:t>
            </w:r>
          </w:p>
        </w:tc>
        <w:tc>
          <w:tcPr>
            <w:tcW w:w="990" w:type="dxa"/>
            <w:tcBorders>
              <w:top w:val="nil"/>
              <w:left w:val="nil"/>
              <w:bottom w:val="nil"/>
              <w:right w:val="nil"/>
            </w:tcBorders>
            <w:shd w:val="clear" w:color="auto" w:fill="auto"/>
            <w:noWrap/>
            <w:vAlign w:val="center"/>
            <w:hideMark/>
          </w:tcPr>
          <w:p w14:paraId="29671A76"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33,3</w:t>
            </w:r>
          </w:p>
        </w:tc>
        <w:tc>
          <w:tcPr>
            <w:tcW w:w="900" w:type="dxa"/>
            <w:tcBorders>
              <w:top w:val="nil"/>
              <w:left w:val="nil"/>
              <w:bottom w:val="nil"/>
              <w:right w:val="nil"/>
            </w:tcBorders>
            <w:shd w:val="clear" w:color="auto" w:fill="auto"/>
            <w:noWrap/>
            <w:vAlign w:val="center"/>
            <w:hideMark/>
          </w:tcPr>
          <w:p w14:paraId="736EECD7"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161CD7FD"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4C37804A"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24H</w:t>
            </w:r>
          </w:p>
        </w:tc>
        <w:tc>
          <w:tcPr>
            <w:tcW w:w="5220" w:type="dxa"/>
            <w:tcBorders>
              <w:top w:val="nil"/>
              <w:left w:val="nil"/>
              <w:bottom w:val="nil"/>
              <w:right w:val="nil"/>
            </w:tcBorders>
            <w:shd w:val="clear" w:color="auto" w:fill="auto"/>
            <w:vAlign w:val="center"/>
            <w:hideMark/>
          </w:tcPr>
          <w:p w14:paraId="08417380"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Réunions de la Commission générale</w:t>
            </w:r>
          </w:p>
        </w:tc>
        <w:tc>
          <w:tcPr>
            <w:tcW w:w="990" w:type="dxa"/>
            <w:tcBorders>
              <w:top w:val="nil"/>
              <w:left w:val="nil"/>
              <w:bottom w:val="nil"/>
              <w:right w:val="nil"/>
            </w:tcBorders>
            <w:shd w:val="clear" w:color="auto" w:fill="auto"/>
            <w:noWrap/>
            <w:vAlign w:val="center"/>
            <w:hideMark/>
          </w:tcPr>
          <w:p w14:paraId="51F8A18F"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20,0</w:t>
            </w:r>
          </w:p>
        </w:tc>
        <w:tc>
          <w:tcPr>
            <w:tcW w:w="900" w:type="dxa"/>
            <w:tcBorders>
              <w:top w:val="nil"/>
              <w:left w:val="nil"/>
              <w:bottom w:val="nil"/>
              <w:right w:val="nil"/>
            </w:tcBorders>
            <w:shd w:val="clear" w:color="auto" w:fill="auto"/>
            <w:noWrap/>
            <w:vAlign w:val="center"/>
            <w:hideMark/>
          </w:tcPr>
          <w:p w14:paraId="4A5ABD4C"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4F6B5087"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6B96D468"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24I</w:t>
            </w:r>
          </w:p>
        </w:tc>
        <w:tc>
          <w:tcPr>
            <w:tcW w:w="5220" w:type="dxa"/>
            <w:tcBorders>
              <w:top w:val="nil"/>
              <w:left w:val="nil"/>
              <w:bottom w:val="nil"/>
              <w:right w:val="nil"/>
            </w:tcBorders>
            <w:shd w:val="clear" w:color="auto" w:fill="auto"/>
            <w:vAlign w:val="center"/>
            <w:hideMark/>
          </w:tcPr>
          <w:p w14:paraId="145F8F46"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Réunions de la CAJP</w:t>
            </w:r>
          </w:p>
        </w:tc>
        <w:tc>
          <w:tcPr>
            <w:tcW w:w="990" w:type="dxa"/>
            <w:tcBorders>
              <w:top w:val="nil"/>
              <w:left w:val="nil"/>
              <w:bottom w:val="nil"/>
              <w:right w:val="nil"/>
            </w:tcBorders>
            <w:shd w:val="clear" w:color="auto" w:fill="auto"/>
            <w:noWrap/>
            <w:vAlign w:val="center"/>
            <w:hideMark/>
          </w:tcPr>
          <w:p w14:paraId="31081CB7"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100,0</w:t>
            </w:r>
          </w:p>
        </w:tc>
        <w:tc>
          <w:tcPr>
            <w:tcW w:w="900" w:type="dxa"/>
            <w:tcBorders>
              <w:top w:val="nil"/>
              <w:left w:val="nil"/>
              <w:bottom w:val="nil"/>
              <w:right w:val="nil"/>
            </w:tcBorders>
            <w:shd w:val="clear" w:color="auto" w:fill="auto"/>
            <w:noWrap/>
            <w:vAlign w:val="center"/>
            <w:hideMark/>
          </w:tcPr>
          <w:p w14:paraId="1F42595F"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58CEDED1"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62FD1BAA"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24J</w:t>
            </w:r>
          </w:p>
        </w:tc>
        <w:tc>
          <w:tcPr>
            <w:tcW w:w="5220" w:type="dxa"/>
            <w:tcBorders>
              <w:top w:val="nil"/>
              <w:left w:val="nil"/>
              <w:bottom w:val="nil"/>
              <w:right w:val="nil"/>
            </w:tcBorders>
            <w:shd w:val="clear" w:color="auto" w:fill="auto"/>
            <w:vAlign w:val="center"/>
            <w:hideMark/>
          </w:tcPr>
          <w:p w14:paraId="231B33AF"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Réunions de la CSH</w:t>
            </w:r>
          </w:p>
        </w:tc>
        <w:tc>
          <w:tcPr>
            <w:tcW w:w="990" w:type="dxa"/>
            <w:tcBorders>
              <w:top w:val="nil"/>
              <w:left w:val="nil"/>
              <w:bottom w:val="nil"/>
              <w:right w:val="nil"/>
            </w:tcBorders>
            <w:shd w:val="clear" w:color="auto" w:fill="auto"/>
            <w:noWrap/>
            <w:vAlign w:val="center"/>
            <w:hideMark/>
          </w:tcPr>
          <w:p w14:paraId="659A7BC4"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100,0</w:t>
            </w:r>
          </w:p>
        </w:tc>
        <w:tc>
          <w:tcPr>
            <w:tcW w:w="900" w:type="dxa"/>
            <w:tcBorders>
              <w:top w:val="nil"/>
              <w:left w:val="nil"/>
              <w:bottom w:val="nil"/>
              <w:right w:val="nil"/>
            </w:tcBorders>
            <w:shd w:val="clear" w:color="auto" w:fill="auto"/>
            <w:noWrap/>
            <w:vAlign w:val="center"/>
            <w:hideMark/>
          </w:tcPr>
          <w:p w14:paraId="728AFB12"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283A488E"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1346ECBE"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24K</w:t>
            </w:r>
          </w:p>
        </w:tc>
        <w:tc>
          <w:tcPr>
            <w:tcW w:w="5220" w:type="dxa"/>
            <w:tcBorders>
              <w:top w:val="nil"/>
              <w:left w:val="nil"/>
              <w:bottom w:val="nil"/>
              <w:right w:val="nil"/>
            </w:tcBorders>
            <w:shd w:val="clear" w:color="auto" w:fill="auto"/>
            <w:vAlign w:val="center"/>
            <w:hideMark/>
          </w:tcPr>
          <w:p w14:paraId="22F4EF52"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Réunions de la CAAP</w:t>
            </w:r>
          </w:p>
        </w:tc>
        <w:tc>
          <w:tcPr>
            <w:tcW w:w="990" w:type="dxa"/>
            <w:tcBorders>
              <w:top w:val="nil"/>
              <w:left w:val="nil"/>
              <w:bottom w:val="nil"/>
              <w:right w:val="nil"/>
            </w:tcBorders>
            <w:shd w:val="clear" w:color="auto" w:fill="auto"/>
            <w:noWrap/>
            <w:vAlign w:val="center"/>
            <w:hideMark/>
          </w:tcPr>
          <w:p w14:paraId="298DDC68"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99,8</w:t>
            </w:r>
          </w:p>
        </w:tc>
        <w:tc>
          <w:tcPr>
            <w:tcW w:w="900" w:type="dxa"/>
            <w:tcBorders>
              <w:top w:val="nil"/>
              <w:left w:val="nil"/>
              <w:bottom w:val="nil"/>
              <w:right w:val="nil"/>
            </w:tcBorders>
            <w:shd w:val="clear" w:color="auto" w:fill="auto"/>
            <w:noWrap/>
            <w:vAlign w:val="center"/>
            <w:hideMark/>
          </w:tcPr>
          <w:p w14:paraId="424D3D6D"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0BC2AC88"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5EFE2DC6"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24M</w:t>
            </w:r>
          </w:p>
        </w:tc>
        <w:tc>
          <w:tcPr>
            <w:tcW w:w="5220" w:type="dxa"/>
            <w:tcBorders>
              <w:top w:val="nil"/>
              <w:left w:val="nil"/>
              <w:bottom w:val="nil"/>
              <w:right w:val="nil"/>
            </w:tcBorders>
            <w:shd w:val="clear" w:color="auto" w:fill="auto"/>
            <w:vAlign w:val="center"/>
            <w:hideMark/>
          </w:tcPr>
          <w:p w14:paraId="582EFBFD"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Réunions de la CISC</w:t>
            </w:r>
          </w:p>
        </w:tc>
        <w:tc>
          <w:tcPr>
            <w:tcW w:w="990" w:type="dxa"/>
            <w:tcBorders>
              <w:top w:val="nil"/>
              <w:left w:val="nil"/>
              <w:bottom w:val="nil"/>
              <w:right w:val="nil"/>
            </w:tcBorders>
            <w:shd w:val="clear" w:color="auto" w:fill="auto"/>
            <w:noWrap/>
            <w:vAlign w:val="center"/>
            <w:hideMark/>
          </w:tcPr>
          <w:p w14:paraId="1D860ACE"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25,0</w:t>
            </w:r>
          </w:p>
        </w:tc>
        <w:tc>
          <w:tcPr>
            <w:tcW w:w="900" w:type="dxa"/>
            <w:tcBorders>
              <w:top w:val="nil"/>
              <w:left w:val="nil"/>
              <w:bottom w:val="nil"/>
              <w:right w:val="nil"/>
            </w:tcBorders>
            <w:shd w:val="clear" w:color="auto" w:fill="auto"/>
            <w:noWrap/>
            <w:vAlign w:val="center"/>
            <w:hideMark/>
          </w:tcPr>
          <w:p w14:paraId="3A5937E9"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5A7E2B79"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46618A70"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24N</w:t>
            </w:r>
          </w:p>
        </w:tc>
        <w:tc>
          <w:tcPr>
            <w:tcW w:w="5220" w:type="dxa"/>
            <w:tcBorders>
              <w:top w:val="nil"/>
              <w:left w:val="nil"/>
              <w:bottom w:val="nil"/>
              <w:right w:val="nil"/>
            </w:tcBorders>
            <w:shd w:val="clear" w:color="auto" w:fill="auto"/>
            <w:vAlign w:val="center"/>
            <w:hideMark/>
          </w:tcPr>
          <w:p w14:paraId="2708CAE6"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Réunions du CIDI</w:t>
            </w:r>
          </w:p>
        </w:tc>
        <w:tc>
          <w:tcPr>
            <w:tcW w:w="990" w:type="dxa"/>
            <w:tcBorders>
              <w:top w:val="nil"/>
              <w:left w:val="nil"/>
              <w:bottom w:val="nil"/>
              <w:right w:val="nil"/>
            </w:tcBorders>
            <w:shd w:val="clear" w:color="auto" w:fill="auto"/>
            <w:noWrap/>
            <w:vAlign w:val="center"/>
            <w:hideMark/>
          </w:tcPr>
          <w:p w14:paraId="175C95BA"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90,0</w:t>
            </w:r>
          </w:p>
        </w:tc>
        <w:tc>
          <w:tcPr>
            <w:tcW w:w="900" w:type="dxa"/>
            <w:tcBorders>
              <w:top w:val="nil"/>
              <w:left w:val="nil"/>
              <w:bottom w:val="nil"/>
              <w:right w:val="nil"/>
            </w:tcBorders>
            <w:shd w:val="clear" w:color="auto" w:fill="auto"/>
            <w:noWrap/>
            <w:vAlign w:val="center"/>
            <w:hideMark/>
          </w:tcPr>
          <w:p w14:paraId="55E8AE93"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11025FF2" w14:textId="77777777" w:rsidTr="00C83EA7">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35569447"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bCs/>
                <w:color w:val="000000"/>
                <w:lang w:val="fr-FR"/>
              </w:rPr>
              <w:t>Chapitre 2</w:t>
            </w:r>
            <w:r w:rsidRPr="00623A2B">
              <w:rPr>
                <w:rFonts w:ascii="Times New Roman" w:eastAsia="Calibri" w:hAnsi="Times New Roman"/>
                <w:b/>
                <w:color w:val="000000"/>
                <w:lang w:val="fr-FR"/>
              </w:rPr>
              <w:t xml:space="preserve"> – Bureau du Secrétaire général adjoint Total</w:t>
            </w:r>
          </w:p>
        </w:tc>
        <w:tc>
          <w:tcPr>
            <w:tcW w:w="990" w:type="dxa"/>
            <w:tcBorders>
              <w:top w:val="single" w:sz="4" w:space="0" w:color="auto"/>
              <w:left w:val="nil"/>
              <w:bottom w:val="single" w:sz="4" w:space="0" w:color="auto"/>
              <w:right w:val="nil"/>
            </w:tcBorders>
            <w:shd w:val="clear" w:color="auto" w:fill="auto"/>
            <w:noWrap/>
            <w:vAlign w:val="center"/>
            <w:hideMark/>
          </w:tcPr>
          <w:p w14:paraId="55834108"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11 572,6</w:t>
            </w:r>
          </w:p>
        </w:tc>
        <w:tc>
          <w:tcPr>
            <w:tcW w:w="900" w:type="dxa"/>
            <w:tcBorders>
              <w:top w:val="single" w:sz="4" w:space="0" w:color="auto"/>
              <w:left w:val="nil"/>
              <w:bottom w:val="single" w:sz="4" w:space="0" w:color="auto"/>
              <w:right w:val="nil"/>
            </w:tcBorders>
            <w:shd w:val="clear" w:color="auto" w:fill="auto"/>
            <w:noWrap/>
            <w:vAlign w:val="center"/>
            <w:hideMark/>
          </w:tcPr>
          <w:p w14:paraId="2762B68F"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0,0</w:t>
            </w:r>
          </w:p>
        </w:tc>
      </w:tr>
      <w:tr w:rsidR="008B1794" w:rsidRPr="00213B6A" w14:paraId="0188AA37" w14:textId="77777777" w:rsidTr="00C83EA7">
        <w:trPr>
          <w:trHeight w:val="263"/>
          <w:jc w:val="center"/>
        </w:trPr>
        <w:tc>
          <w:tcPr>
            <w:tcW w:w="6570" w:type="dxa"/>
            <w:gridSpan w:val="2"/>
            <w:tcBorders>
              <w:top w:val="nil"/>
              <w:left w:val="nil"/>
              <w:bottom w:val="nil"/>
              <w:right w:val="nil"/>
            </w:tcBorders>
            <w:shd w:val="clear" w:color="auto" w:fill="auto"/>
            <w:noWrap/>
            <w:vAlign w:val="center"/>
            <w:hideMark/>
          </w:tcPr>
          <w:p w14:paraId="5CC52CF9" w14:textId="77777777" w:rsidR="008B1794" w:rsidRPr="00623A2B" w:rsidRDefault="008B1794" w:rsidP="00C83EA7">
            <w:pPr>
              <w:keepNext/>
              <w:rPr>
                <w:rFonts w:ascii="Times New Roman" w:hAnsi="Times New Roman"/>
                <w:b/>
                <w:bCs/>
                <w:color w:val="000000"/>
                <w:lang w:val="fr-FR"/>
              </w:rPr>
            </w:pPr>
            <w:r w:rsidRPr="00623A2B">
              <w:rPr>
                <w:rFonts w:ascii="Times New Roman" w:eastAsia="Calibri" w:hAnsi="Times New Roman"/>
                <w:b/>
                <w:bCs/>
                <w:color w:val="000000"/>
                <w:lang w:val="fr-FR"/>
              </w:rPr>
              <w:lastRenderedPageBreak/>
              <w:t>C</w:t>
            </w:r>
            <w:r w:rsidRPr="00623A2B">
              <w:rPr>
                <w:rFonts w:ascii="Times New Roman" w:eastAsia="Calibri" w:hAnsi="Times New Roman"/>
                <w:b/>
                <w:color w:val="000000"/>
                <w:lang w:val="fr-FR"/>
              </w:rPr>
              <w:t>hapitre 3 – Organes principaux et spécialisés</w:t>
            </w:r>
          </w:p>
        </w:tc>
        <w:tc>
          <w:tcPr>
            <w:tcW w:w="990" w:type="dxa"/>
            <w:tcBorders>
              <w:top w:val="nil"/>
              <w:left w:val="nil"/>
              <w:bottom w:val="nil"/>
              <w:right w:val="nil"/>
            </w:tcBorders>
            <w:shd w:val="clear" w:color="auto" w:fill="auto"/>
            <w:noWrap/>
            <w:vAlign w:val="center"/>
            <w:hideMark/>
          </w:tcPr>
          <w:p w14:paraId="135B343C" w14:textId="77777777" w:rsidR="008B1794" w:rsidRPr="00623A2B" w:rsidRDefault="008B1794" w:rsidP="00C83EA7">
            <w:pPr>
              <w:rPr>
                <w:rFonts w:ascii="Times New Roman" w:hAnsi="Times New Roman"/>
                <w:b/>
                <w:bCs/>
                <w:color w:val="000000"/>
                <w:lang w:val="fr-FR"/>
              </w:rPr>
            </w:pPr>
          </w:p>
        </w:tc>
        <w:tc>
          <w:tcPr>
            <w:tcW w:w="900" w:type="dxa"/>
            <w:tcBorders>
              <w:top w:val="nil"/>
              <w:left w:val="nil"/>
              <w:bottom w:val="nil"/>
              <w:right w:val="nil"/>
            </w:tcBorders>
            <w:shd w:val="clear" w:color="auto" w:fill="auto"/>
            <w:noWrap/>
            <w:vAlign w:val="center"/>
            <w:hideMark/>
          </w:tcPr>
          <w:p w14:paraId="2CEFAB3A" w14:textId="77777777" w:rsidR="008B1794" w:rsidRPr="00623A2B" w:rsidRDefault="008B1794" w:rsidP="00C83EA7">
            <w:pPr>
              <w:rPr>
                <w:rFonts w:ascii="Times New Roman" w:hAnsi="Times New Roman"/>
                <w:lang w:val="fr-FR"/>
              </w:rPr>
            </w:pPr>
          </w:p>
        </w:tc>
      </w:tr>
      <w:tr w:rsidR="008B1794" w:rsidRPr="00623A2B" w14:paraId="31446643"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72F6A0CC"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34A</w:t>
            </w:r>
          </w:p>
        </w:tc>
        <w:tc>
          <w:tcPr>
            <w:tcW w:w="5220" w:type="dxa"/>
            <w:tcBorders>
              <w:top w:val="nil"/>
              <w:left w:val="nil"/>
              <w:bottom w:val="nil"/>
              <w:right w:val="nil"/>
            </w:tcBorders>
            <w:shd w:val="clear" w:color="auto" w:fill="auto"/>
            <w:vAlign w:val="center"/>
            <w:hideMark/>
          </w:tcPr>
          <w:p w14:paraId="7A83A160"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Secrétariat de la Cour interaméricaine des droits de l’homme</w:t>
            </w:r>
          </w:p>
        </w:tc>
        <w:tc>
          <w:tcPr>
            <w:tcW w:w="990" w:type="dxa"/>
            <w:tcBorders>
              <w:top w:val="nil"/>
              <w:left w:val="nil"/>
              <w:bottom w:val="nil"/>
              <w:right w:val="nil"/>
            </w:tcBorders>
            <w:shd w:val="clear" w:color="auto" w:fill="auto"/>
            <w:noWrap/>
            <w:vAlign w:val="center"/>
            <w:hideMark/>
          </w:tcPr>
          <w:p w14:paraId="26D2E194"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5 024,0</w:t>
            </w:r>
          </w:p>
        </w:tc>
        <w:tc>
          <w:tcPr>
            <w:tcW w:w="900" w:type="dxa"/>
            <w:tcBorders>
              <w:top w:val="nil"/>
              <w:left w:val="nil"/>
              <w:bottom w:val="nil"/>
              <w:right w:val="nil"/>
            </w:tcBorders>
            <w:shd w:val="clear" w:color="auto" w:fill="auto"/>
            <w:noWrap/>
            <w:vAlign w:val="center"/>
            <w:hideMark/>
          </w:tcPr>
          <w:p w14:paraId="0324AE6E"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27352BEA" w14:textId="77777777" w:rsidTr="00C83EA7">
        <w:trPr>
          <w:trHeight w:val="525"/>
          <w:jc w:val="center"/>
        </w:trPr>
        <w:tc>
          <w:tcPr>
            <w:tcW w:w="1350" w:type="dxa"/>
            <w:tcBorders>
              <w:top w:val="nil"/>
              <w:left w:val="nil"/>
              <w:bottom w:val="nil"/>
              <w:right w:val="nil"/>
            </w:tcBorders>
            <w:shd w:val="clear" w:color="auto" w:fill="auto"/>
            <w:noWrap/>
            <w:vAlign w:val="center"/>
            <w:hideMark/>
          </w:tcPr>
          <w:p w14:paraId="2813E9F1"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34B</w:t>
            </w:r>
          </w:p>
        </w:tc>
        <w:tc>
          <w:tcPr>
            <w:tcW w:w="5220" w:type="dxa"/>
            <w:tcBorders>
              <w:top w:val="nil"/>
              <w:left w:val="nil"/>
              <w:bottom w:val="nil"/>
              <w:right w:val="nil"/>
            </w:tcBorders>
            <w:shd w:val="clear" w:color="auto" w:fill="auto"/>
            <w:vAlign w:val="center"/>
            <w:hideMark/>
          </w:tcPr>
          <w:p w14:paraId="1F02859D"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Secrétariat exécutif de la Commission interaméricaine des droits de l'homme (CIDH)</w:t>
            </w:r>
          </w:p>
        </w:tc>
        <w:tc>
          <w:tcPr>
            <w:tcW w:w="990" w:type="dxa"/>
            <w:tcBorders>
              <w:top w:val="nil"/>
              <w:left w:val="nil"/>
              <w:bottom w:val="nil"/>
              <w:right w:val="nil"/>
            </w:tcBorders>
            <w:shd w:val="clear" w:color="auto" w:fill="auto"/>
            <w:noWrap/>
            <w:vAlign w:val="center"/>
            <w:hideMark/>
          </w:tcPr>
          <w:p w14:paraId="3ECCA151"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10 256,8</w:t>
            </w:r>
          </w:p>
        </w:tc>
        <w:tc>
          <w:tcPr>
            <w:tcW w:w="900" w:type="dxa"/>
            <w:tcBorders>
              <w:top w:val="nil"/>
              <w:left w:val="nil"/>
              <w:bottom w:val="nil"/>
              <w:right w:val="nil"/>
            </w:tcBorders>
            <w:shd w:val="clear" w:color="auto" w:fill="auto"/>
            <w:noWrap/>
            <w:vAlign w:val="center"/>
            <w:hideMark/>
          </w:tcPr>
          <w:p w14:paraId="4B556CA1"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90,9</w:t>
            </w:r>
          </w:p>
        </w:tc>
      </w:tr>
      <w:tr w:rsidR="008B1794" w:rsidRPr="00623A2B" w14:paraId="2F169CC7" w14:textId="77777777" w:rsidTr="00C83EA7">
        <w:trPr>
          <w:trHeight w:val="525"/>
          <w:jc w:val="center"/>
        </w:trPr>
        <w:tc>
          <w:tcPr>
            <w:tcW w:w="1350" w:type="dxa"/>
            <w:tcBorders>
              <w:top w:val="nil"/>
              <w:left w:val="nil"/>
              <w:bottom w:val="nil"/>
              <w:right w:val="nil"/>
            </w:tcBorders>
            <w:shd w:val="clear" w:color="auto" w:fill="auto"/>
            <w:noWrap/>
            <w:vAlign w:val="center"/>
            <w:hideMark/>
          </w:tcPr>
          <w:p w14:paraId="3DE2782A"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34C</w:t>
            </w:r>
          </w:p>
        </w:tc>
        <w:tc>
          <w:tcPr>
            <w:tcW w:w="5220" w:type="dxa"/>
            <w:tcBorders>
              <w:top w:val="nil"/>
              <w:left w:val="nil"/>
              <w:bottom w:val="nil"/>
              <w:right w:val="nil"/>
            </w:tcBorders>
            <w:shd w:val="clear" w:color="auto" w:fill="auto"/>
            <w:vAlign w:val="center"/>
            <w:hideMark/>
          </w:tcPr>
          <w:p w14:paraId="3428BA07"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Secrétariat de la Commission interaméricaine des femmes (CIM)</w:t>
            </w:r>
          </w:p>
        </w:tc>
        <w:tc>
          <w:tcPr>
            <w:tcW w:w="990" w:type="dxa"/>
            <w:tcBorders>
              <w:top w:val="nil"/>
              <w:left w:val="nil"/>
              <w:bottom w:val="nil"/>
              <w:right w:val="nil"/>
            </w:tcBorders>
            <w:shd w:val="clear" w:color="auto" w:fill="auto"/>
            <w:noWrap/>
            <w:vAlign w:val="center"/>
            <w:hideMark/>
          </w:tcPr>
          <w:p w14:paraId="19755F0F"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1 621,6</w:t>
            </w:r>
          </w:p>
        </w:tc>
        <w:tc>
          <w:tcPr>
            <w:tcW w:w="900" w:type="dxa"/>
            <w:tcBorders>
              <w:top w:val="nil"/>
              <w:left w:val="nil"/>
              <w:bottom w:val="nil"/>
              <w:right w:val="nil"/>
            </w:tcBorders>
            <w:shd w:val="clear" w:color="auto" w:fill="auto"/>
            <w:noWrap/>
            <w:vAlign w:val="center"/>
            <w:hideMark/>
          </w:tcPr>
          <w:p w14:paraId="46CC84FC"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73,0</w:t>
            </w:r>
          </w:p>
        </w:tc>
      </w:tr>
      <w:tr w:rsidR="008B1794" w:rsidRPr="00623A2B" w14:paraId="7906FB6F" w14:textId="77777777" w:rsidTr="00C83EA7">
        <w:trPr>
          <w:trHeight w:val="525"/>
          <w:jc w:val="center"/>
        </w:trPr>
        <w:tc>
          <w:tcPr>
            <w:tcW w:w="1350" w:type="dxa"/>
            <w:tcBorders>
              <w:top w:val="nil"/>
              <w:left w:val="nil"/>
              <w:bottom w:val="nil"/>
              <w:right w:val="nil"/>
            </w:tcBorders>
            <w:shd w:val="clear" w:color="auto" w:fill="auto"/>
            <w:noWrap/>
            <w:vAlign w:val="center"/>
            <w:hideMark/>
          </w:tcPr>
          <w:p w14:paraId="118940FB"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34D</w:t>
            </w:r>
          </w:p>
        </w:tc>
        <w:tc>
          <w:tcPr>
            <w:tcW w:w="5220" w:type="dxa"/>
            <w:tcBorders>
              <w:top w:val="nil"/>
              <w:left w:val="nil"/>
              <w:bottom w:val="nil"/>
              <w:right w:val="nil"/>
            </w:tcBorders>
            <w:shd w:val="clear" w:color="auto" w:fill="auto"/>
            <w:vAlign w:val="center"/>
            <w:hideMark/>
          </w:tcPr>
          <w:p w14:paraId="598EA9FC"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Bureau du Directeur général de l’Institut interaméricain de l'enfance et de l'adolescence</w:t>
            </w:r>
          </w:p>
        </w:tc>
        <w:tc>
          <w:tcPr>
            <w:tcW w:w="990" w:type="dxa"/>
            <w:tcBorders>
              <w:top w:val="nil"/>
              <w:left w:val="nil"/>
              <w:bottom w:val="nil"/>
              <w:right w:val="nil"/>
            </w:tcBorders>
            <w:shd w:val="clear" w:color="auto" w:fill="auto"/>
            <w:noWrap/>
            <w:vAlign w:val="center"/>
            <w:hideMark/>
          </w:tcPr>
          <w:p w14:paraId="511C095A"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971,4</w:t>
            </w:r>
          </w:p>
        </w:tc>
        <w:tc>
          <w:tcPr>
            <w:tcW w:w="900" w:type="dxa"/>
            <w:tcBorders>
              <w:top w:val="nil"/>
              <w:left w:val="nil"/>
              <w:bottom w:val="nil"/>
              <w:right w:val="nil"/>
            </w:tcBorders>
            <w:shd w:val="clear" w:color="auto" w:fill="auto"/>
            <w:noWrap/>
            <w:vAlign w:val="center"/>
            <w:hideMark/>
          </w:tcPr>
          <w:p w14:paraId="3B9FB59C"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14,4</w:t>
            </w:r>
          </w:p>
        </w:tc>
      </w:tr>
      <w:tr w:rsidR="008B1794" w:rsidRPr="00623A2B" w14:paraId="7A770E93"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1BE8C265"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34E</w:t>
            </w:r>
          </w:p>
        </w:tc>
        <w:tc>
          <w:tcPr>
            <w:tcW w:w="5220" w:type="dxa"/>
            <w:tcBorders>
              <w:top w:val="nil"/>
              <w:left w:val="nil"/>
              <w:bottom w:val="nil"/>
              <w:right w:val="nil"/>
            </w:tcBorders>
            <w:shd w:val="clear" w:color="auto" w:fill="auto"/>
            <w:vAlign w:val="center"/>
            <w:hideMark/>
          </w:tcPr>
          <w:p w14:paraId="4B7653EA"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Comité juridique interaméricain (CJI)</w:t>
            </w:r>
          </w:p>
        </w:tc>
        <w:tc>
          <w:tcPr>
            <w:tcW w:w="990" w:type="dxa"/>
            <w:tcBorders>
              <w:top w:val="nil"/>
              <w:left w:val="nil"/>
              <w:bottom w:val="nil"/>
              <w:right w:val="nil"/>
            </w:tcBorders>
            <w:shd w:val="clear" w:color="auto" w:fill="auto"/>
            <w:noWrap/>
            <w:vAlign w:val="center"/>
            <w:hideMark/>
          </w:tcPr>
          <w:p w14:paraId="157E0CD4"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405,0</w:t>
            </w:r>
          </w:p>
        </w:tc>
        <w:tc>
          <w:tcPr>
            <w:tcW w:w="900" w:type="dxa"/>
            <w:tcBorders>
              <w:top w:val="nil"/>
              <w:left w:val="nil"/>
              <w:bottom w:val="nil"/>
              <w:right w:val="nil"/>
            </w:tcBorders>
            <w:shd w:val="clear" w:color="auto" w:fill="auto"/>
            <w:noWrap/>
            <w:vAlign w:val="center"/>
            <w:hideMark/>
          </w:tcPr>
          <w:p w14:paraId="1FBEEC2C"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107BA991" w14:textId="77777777" w:rsidTr="00C83EA7">
        <w:trPr>
          <w:trHeight w:val="525"/>
          <w:jc w:val="center"/>
        </w:trPr>
        <w:tc>
          <w:tcPr>
            <w:tcW w:w="1350" w:type="dxa"/>
            <w:tcBorders>
              <w:top w:val="nil"/>
              <w:left w:val="nil"/>
              <w:bottom w:val="nil"/>
              <w:right w:val="nil"/>
            </w:tcBorders>
            <w:shd w:val="clear" w:color="auto" w:fill="auto"/>
            <w:noWrap/>
            <w:vAlign w:val="center"/>
            <w:hideMark/>
          </w:tcPr>
          <w:p w14:paraId="44771F41"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34F</w:t>
            </w:r>
          </w:p>
        </w:tc>
        <w:tc>
          <w:tcPr>
            <w:tcW w:w="5220" w:type="dxa"/>
            <w:tcBorders>
              <w:top w:val="nil"/>
              <w:left w:val="nil"/>
              <w:bottom w:val="nil"/>
              <w:right w:val="nil"/>
            </w:tcBorders>
            <w:shd w:val="clear" w:color="auto" w:fill="auto"/>
            <w:vAlign w:val="center"/>
            <w:hideMark/>
          </w:tcPr>
          <w:p w14:paraId="28F6D236"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Secrétariat de la Commission interaméricaine des télécommunications (CITEL)</w:t>
            </w:r>
          </w:p>
        </w:tc>
        <w:tc>
          <w:tcPr>
            <w:tcW w:w="990" w:type="dxa"/>
            <w:tcBorders>
              <w:top w:val="nil"/>
              <w:left w:val="nil"/>
              <w:bottom w:val="nil"/>
              <w:right w:val="nil"/>
            </w:tcBorders>
            <w:shd w:val="clear" w:color="auto" w:fill="auto"/>
            <w:noWrap/>
            <w:vAlign w:val="center"/>
            <w:hideMark/>
          </w:tcPr>
          <w:p w14:paraId="1FEB340A"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597,3</w:t>
            </w:r>
          </w:p>
        </w:tc>
        <w:tc>
          <w:tcPr>
            <w:tcW w:w="900" w:type="dxa"/>
            <w:tcBorders>
              <w:top w:val="nil"/>
              <w:left w:val="nil"/>
              <w:bottom w:val="nil"/>
              <w:right w:val="nil"/>
            </w:tcBorders>
            <w:shd w:val="clear" w:color="auto" w:fill="auto"/>
            <w:noWrap/>
            <w:vAlign w:val="center"/>
            <w:hideMark/>
          </w:tcPr>
          <w:p w14:paraId="1D3835FB"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25,7</w:t>
            </w:r>
          </w:p>
        </w:tc>
      </w:tr>
      <w:tr w:rsidR="008B1794" w:rsidRPr="00623A2B" w14:paraId="0005499F"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7324C8CF"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34G</w:t>
            </w:r>
          </w:p>
        </w:tc>
        <w:tc>
          <w:tcPr>
            <w:tcW w:w="5220" w:type="dxa"/>
            <w:tcBorders>
              <w:top w:val="nil"/>
              <w:left w:val="nil"/>
              <w:bottom w:val="nil"/>
              <w:right w:val="nil"/>
            </w:tcBorders>
            <w:shd w:val="clear" w:color="auto" w:fill="auto"/>
            <w:vAlign w:val="center"/>
            <w:hideMark/>
          </w:tcPr>
          <w:p w14:paraId="6538A2AF"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Réunions de l’Assemblée de la CITEL</w:t>
            </w:r>
          </w:p>
        </w:tc>
        <w:tc>
          <w:tcPr>
            <w:tcW w:w="990" w:type="dxa"/>
            <w:tcBorders>
              <w:top w:val="nil"/>
              <w:left w:val="nil"/>
              <w:bottom w:val="nil"/>
              <w:right w:val="nil"/>
            </w:tcBorders>
            <w:shd w:val="clear" w:color="auto" w:fill="auto"/>
            <w:noWrap/>
            <w:vAlign w:val="center"/>
            <w:hideMark/>
          </w:tcPr>
          <w:p w14:paraId="48C60C95"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81,6</w:t>
            </w:r>
          </w:p>
        </w:tc>
        <w:tc>
          <w:tcPr>
            <w:tcW w:w="900" w:type="dxa"/>
            <w:tcBorders>
              <w:top w:val="nil"/>
              <w:left w:val="nil"/>
              <w:bottom w:val="nil"/>
              <w:right w:val="nil"/>
            </w:tcBorders>
            <w:shd w:val="clear" w:color="auto" w:fill="auto"/>
            <w:noWrap/>
            <w:vAlign w:val="center"/>
            <w:hideMark/>
          </w:tcPr>
          <w:p w14:paraId="70DD9761"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14,3</w:t>
            </w:r>
          </w:p>
        </w:tc>
      </w:tr>
      <w:tr w:rsidR="008B1794" w:rsidRPr="00623A2B" w14:paraId="466CBA54"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65E60318"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34H</w:t>
            </w:r>
          </w:p>
        </w:tc>
        <w:tc>
          <w:tcPr>
            <w:tcW w:w="5220" w:type="dxa"/>
            <w:tcBorders>
              <w:top w:val="nil"/>
              <w:left w:val="nil"/>
              <w:bottom w:val="nil"/>
              <w:right w:val="nil"/>
            </w:tcBorders>
            <w:shd w:val="clear" w:color="auto" w:fill="auto"/>
            <w:vAlign w:val="center"/>
            <w:hideMark/>
          </w:tcPr>
          <w:p w14:paraId="4411A19C"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Organisation interaméricaine de défense (JID)</w:t>
            </w:r>
          </w:p>
        </w:tc>
        <w:tc>
          <w:tcPr>
            <w:tcW w:w="990" w:type="dxa"/>
            <w:tcBorders>
              <w:top w:val="nil"/>
              <w:left w:val="nil"/>
              <w:bottom w:val="nil"/>
              <w:right w:val="nil"/>
            </w:tcBorders>
            <w:shd w:val="clear" w:color="auto" w:fill="auto"/>
            <w:noWrap/>
            <w:vAlign w:val="center"/>
            <w:hideMark/>
          </w:tcPr>
          <w:p w14:paraId="7371C8F7"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745,4</w:t>
            </w:r>
          </w:p>
        </w:tc>
        <w:tc>
          <w:tcPr>
            <w:tcW w:w="900" w:type="dxa"/>
            <w:tcBorders>
              <w:top w:val="nil"/>
              <w:left w:val="nil"/>
              <w:bottom w:val="nil"/>
              <w:right w:val="nil"/>
            </w:tcBorders>
            <w:shd w:val="clear" w:color="auto" w:fill="auto"/>
            <w:noWrap/>
            <w:vAlign w:val="center"/>
            <w:hideMark/>
          </w:tcPr>
          <w:p w14:paraId="6F37B020"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46B12583"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54350859"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34I</w:t>
            </w:r>
          </w:p>
        </w:tc>
        <w:tc>
          <w:tcPr>
            <w:tcW w:w="5220" w:type="dxa"/>
            <w:tcBorders>
              <w:top w:val="nil"/>
              <w:left w:val="nil"/>
              <w:bottom w:val="nil"/>
              <w:right w:val="nil"/>
            </w:tcBorders>
            <w:shd w:val="clear" w:color="auto" w:fill="auto"/>
            <w:vAlign w:val="center"/>
            <w:hideMark/>
          </w:tcPr>
          <w:p w14:paraId="118E2463"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Fondation panaméricaine de développement</w:t>
            </w:r>
          </w:p>
        </w:tc>
        <w:tc>
          <w:tcPr>
            <w:tcW w:w="990" w:type="dxa"/>
            <w:tcBorders>
              <w:top w:val="nil"/>
              <w:left w:val="nil"/>
              <w:bottom w:val="nil"/>
              <w:right w:val="nil"/>
            </w:tcBorders>
            <w:shd w:val="clear" w:color="auto" w:fill="auto"/>
            <w:noWrap/>
            <w:vAlign w:val="center"/>
            <w:hideMark/>
          </w:tcPr>
          <w:p w14:paraId="1516AC94"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66,1</w:t>
            </w:r>
          </w:p>
        </w:tc>
        <w:tc>
          <w:tcPr>
            <w:tcW w:w="900" w:type="dxa"/>
            <w:tcBorders>
              <w:top w:val="nil"/>
              <w:left w:val="nil"/>
              <w:bottom w:val="nil"/>
              <w:right w:val="nil"/>
            </w:tcBorders>
            <w:shd w:val="clear" w:color="auto" w:fill="auto"/>
            <w:noWrap/>
            <w:vAlign w:val="center"/>
            <w:hideMark/>
          </w:tcPr>
          <w:p w14:paraId="21E76F9A"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1B3F6925"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14F8DFC5"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34J</w:t>
            </w:r>
          </w:p>
        </w:tc>
        <w:tc>
          <w:tcPr>
            <w:tcW w:w="5220" w:type="dxa"/>
            <w:tcBorders>
              <w:top w:val="nil"/>
              <w:left w:val="nil"/>
              <w:bottom w:val="nil"/>
              <w:right w:val="nil"/>
            </w:tcBorders>
            <w:shd w:val="clear" w:color="auto" w:fill="auto"/>
            <w:vAlign w:val="center"/>
            <w:hideMark/>
          </w:tcPr>
          <w:p w14:paraId="2AAD3F7E"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Fondation pour les Amériques</w:t>
            </w:r>
          </w:p>
        </w:tc>
        <w:tc>
          <w:tcPr>
            <w:tcW w:w="990" w:type="dxa"/>
            <w:tcBorders>
              <w:top w:val="nil"/>
              <w:left w:val="nil"/>
              <w:bottom w:val="nil"/>
              <w:right w:val="nil"/>
            </w:tcBorders>
            <w:shd w:val="clear" w:color="auto" w:fill="auto"/>
            <w:noWrap/>
            <w:vAlign w:val="center"/>
            <w:hideMark/>
          </w:tcPr>
          <w:p w14:paraId="53697DB8"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228,6</w:t>
            </w:r>
          </w:p>
        </w:tc>
        <w:tc>
          <w:tcPr>
            <w:tcW w:w="900" w:type="dxa"/>
            <w:tcBorders>
              <w:top w:val="nil"/>
              <w:left w:val="nil"/>
              <w:bottom w:val="nil"/>
              <w:right w:val="nil"/>
            </w:tcBorders>
            <w:shd w:val="clear" w:color="auto" w:fill="auto"/>
            <w:noWrap/>
            <w:vAlign w:val="center"/>
            <w:hideMark/>
          </w:tcPr>
          <w:p w14:paraId="1108D77C"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052B1A0C"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6AB173A6"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34K</w:t>
            </w:r>
          </w:p>
        </w:tc>
        <w:tc>
          <w:tcPr>
            <w:tcW w:w="5220" w:type="dxa"/>
            <w:tcBorders>
              <w:top w:val="nil"/>
              <w:left w:val="nil"/>
              <w:bottom w:val="nil"/>
              <w:right w:val="nil"/>
            </w:tcBorders>
            <w:shd w:val="clear" w:color="auto" w:fill="auto"/>
            <w:vAlign w:val="center"/>
            <w:hideMark/>
          </w:tcPr>
          <w:p w14:paraId="34AEA4E3" w14:textId="77777777" w:rsidR="008B1794" w:rsidRPr="00623A2B" w:rsidRDefault="008B1794" w:rsidP="00C83EA7">
            <w:pPr>
              <w:rPr>
                <w:rFonts w:ascii="Times New Roman" w:hAnsi="Times New Roman"/>
                <w:color w:val="000000"/>
              </w:rPr>
            </w:pPr>
            <w:r w:rsidRPr="00623A2B">
              <w:rPr>
                <w:rFonts w:ascii="Times New Roman" w:eastAsia="Calibri" w:hAnsi="Times New Roman"/>
                <w:color w:val="000000"/>
              </w:rPr>
              <w:t xml:space="preserve">JID - </w:t>
            </w:r>
            <w:proofErr w:type="spellStart"/>
            <w:r w:rsidRPr="00623A2B">
              <w:rPr>
                <w:rFonts w:ascii="Times New Roman" w:eastAsia="Calibri" w:hAnsi="Times New Roman"/>
                <w:color w:val="000000"/>
              </w:rPr>
              <w:t>Entretien</w:t>
            </w:r>
            <w:proofErr w:type="spellEnd"/>
            <w:r w:rsidRPr="00623A2B">
              <w:rPr>
                <w:rFonts w:ascii="Times New Roman" w:eastAsia="Calibri" w:hAnsi="Times New Roman"/>
                <w:color w:val="000000"/>
              </w:rPr>
              <w:t xml:space="preserve"> de la Casa del Soldado</w:t>
            </w:r>
          </w:p>
        </w:tc>
        <w:tc>
          <w:tcPr>
            <w:tcW w:w="990" w:type="dxa"/>
            <w:tcBorders>
              <w:top w:val="nil"/>
              <w:left w:val="nil"/>
              <w:bottom w:val="nil"/>
              <w:right w:val="nil"/>
            </w:tcBorders>
            <w:shd w:val="clear" w:color="auto" w:fill="auto"/>
            <w:noWrap/>
            <w:vAlign w:val="center"/>
            <w:hideMark/>
          </w:tcPr>
          <w:p w14:paraId="2AF85C6D"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171,0</w:t>
            </w:r>
          </w:p>
        </w:tc>
        <w:tc>
          <w:tcPr>
            <w:tcW w:w="900" w:type="dxa"/>
            <w:tcBorders>
              <w:top w:val="nil"/>
              <w:left w:val="nil"/>
              <w:bottom w:val="nil"/>
              <w:right w:val="nil"/>
            </w:tcBorders>
            <w:shd w:val="clear" w:color="auto" w:fill="auto"/>
            <w:noWrap/>
            <w:vAlign w:val="center"/>
            <w:hideMark/>
          </w:tcPr>
          <w:p w14:paraId="14FE91C6"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61D064C2" w14:textId="77777777" w:rsidTr="00C83EA7">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6192EBEA"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bCs/>
                <w:color w:val="000000"/>
                <w:lang w:val="fr-FR"/>
              </w:rPr>
              <w:t>C</w:t>
            </w:r>
            <w:r w:rsidRPr="00623A2B">
              <w:rPr>
                <w:rFonts w:ascii="Times New Roman" w:eastAsia="Calibri" w:hAnsi="Times New Roman"/>
                <w:b/>
                <w:color w:val="000000"/>
                <w:lang w:val="fr-FR"/>
              </w:rPr>
              <w:t>hapitre 3 – Organes principaux et spécialisés Total</w:t>
            </w:r>
          </w:p>
        </w:tc>
        <w:tc>
          <w:tcPr>
            <w:tcW w:w="990" w:type="dxa"/>
            <w:tcBorders>
              <w:top w:val="single" w:sz="4" w:space="0" w:color="auto"/>
              <w:left w:val="nil"/>
              <w:bottom w:val="single" w:sz="4" w:space="0" w:color="auto"/>
              <w:right w:val="nil"/>
            </w:tcBorders>
            <w:shd w:val="clear" w:color="auto" w:fill="auto"/>
            <w:noWrap/>
            <w:vAlign w:val="center"/>
            <w:hideMark/>
          </w:tcPr>
          <w:p w14:paraId="5C715AA1"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20 168,8</w:t>
            </w:r>
          </w:p>
        </w:tc>
        <w:tc>
          <w:tcPr>
            <w:tcW w:w="900" w:type="dxa"/>
            <w:tcBorders>
              <w:top w:val="single" w:sz="4" w:space="0" w:color="auto"/>
              <w:left w:val="nil"/>
              <w:bottom w:val="single" w:sz="4" w:space="0" w:color="auto"/>
              <w:right w:val="nil"/>
            </w:tcBorders>
            <w:shd w:val="clear" w:color="auto" w:fill="auto"/>
            <w:noWrap/>
            <w:vAlign w:val="center"/>
            <w:hideMark/>
          </w:tcPr>
          <w:p w14:paraId="03AEBE8A"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218,3</w:t>
            </w:r>
          </w:p>
        </w:tc>
      </w:tr>
      <w:tr w:rsidR="008B1794" w:rsidRPr="00623A2B" w14:paraId="404241B9"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12B66243" w14:textId="77777777" w:rsidR="008B1794" w:rsidRPr="00623A2B" w:rsidRDefault="008B1794" w:rsidP="00C83EA7">
            <w:pPr>
              <w:jc w:val="right"/>
              <w:rPr>
                <w:rFonts w:ascii="Times New Roman" w:hAnsi="Times New Roman"/>
                <w:b/>
                <w:bCs/>
                <w:color w:val="000000"/>
                <w:lang w:val="fr-FR"/>
              </w:rPr>
            </w:pPr>
          </w:p>
        </w:tc>
        <w:tc>
          <w:tcPr>
            <w:tcW w:w="5220" w:type="dxa"/>
            <w:tcBorders>
              <w:top w:val="nil"/>
              <w:left w:val="nil"/>
              <w:bottom w:val="nil"/>
              <w:right w:val="nil"/>
            </w:tcBorders>
            <w:shd w:val="clear" w:color="auto" w:fill="auto"/>
            <w:vAlign w:val="bottom"/>
            <w:hideMark/>
          </w:tcPr>
          <w:p w14:paraId="79E45A83" w14:textId="77777777" w:rsidR="008B1794" w:rsidRPr="00623A2B" w:rsidRDefault="008B1794" w:rsidP="00C83EA7">
            <w:pPr>
              <w:rPr>
                <w:rFonts w:ascii="Times New Roman" w:hAnsi="Times New Roman"/>
                <w:lang w:val="fr-FR"/>
              </w:rPr>
            </w:pPr>
          </w:p>
        </w:tc>
        <w:tc>
          <w:tcPr>
            <w:tcW w:w="990" w:type="dxa"/>
            <w:tcBorders>
              <w:top w:val="nil"/>
              <w:left w:val="nil"/>
              <w:bottom w:val="nil"/>
              <w:right w:val="nil"/>
            </w:tcBorders>
            <w:shd w:val="clear" w:color="auto" w:fill="auto"/>
            <w:noWrap/>
            <w:vAlign w:val="center"/>
            <w:hideMark/>
          </w:tcPr>
          <w:p w14:paraId="487139F1" w14:textId="77777777" w:rsidR="008B1794" w:rsidRPr="00623A2B" w:rsidRDefault="008B1794" w:rsidP="00C83EA7">
            <w:pPr>
              <w:rPr>
                <w:rFonts w:ascii="Times New Roman" w:hAnsi="Times New Roman"/>
                <w:lang w:val="fr-FR"/>
              </w:rPr>
            </w:pPr>
          </w:p>
        </w:tc>
        <w:tc>
          <w:tcPr>
            <w:tcW w:w="900" w:type="dxa"/>
            <w:tcBorders>
              <w:top w:val="nil"/>
              <w:left w:val="nil"/>
              <w:bottom w:val="nil"/>
              <w:right w:val="nil"/>
            </w:tcBorders>
            <w:shd w:val="clear" w:color="auto" w:fill="auto"/>
            <w:noWrap/>
            <w:vAlign w:val="center"/>
            <w:hideMark/>
          </w:tcPr>
          <w:p w14:paraId="3AC8B130" w14:textId="77777777" w:rsidR="008B1794" w:rsidRPr="00623A2B" w:rsidRDefault="008B1794" w:rsidP="00C83EA7">
            <w:pPr>
              <w:rPr>
                <w:rFonts w:ascii="Times New Roman" w:hAnsi="Times New Roman"/>
                <w:lang w:val="fr-FR"/>
              </w:rPr>
            </w:pPr>
          </w:p>
        </w:tc>
      </w:tr>
      <w:tr w:rsidR="008B1794" w:rsidRPr="00213B6A" w14:paraId="5C46C687" w14:textId="77777777" w:rsidTr="00C83EA7">
        <w:trPr>
          <w:trHeight w:val="623"/>
          <w:jc w:val="center"/>
        </w:trPr>
        <w:tc>
          <w:tcPr>
            <w:tcW w:w="8460" w:type="dxa"/>
            <w:gridSpan w:val="4"/>
            <w:tcBorders>
              <w:top w:val="nil"/>
              <w:left w:val="nil"/>
              <w:bottom w:val="nil"/>
              <w:right w:val="nil"/>
            </w:tcBorders>
            <w:shd w:val="clear" w:color="auto" w:fill="auto"/>
            <w:vAlign w:val="bottom"/>
            <w:hideMark/>
          </w:tcPr>
          <w:p w14:paraId="48E03464"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color w:val="000000"/>
                <w:lang w:val="fr-FR"/>
              </w:rPr>
              <w:t>Chapitre 4 – Conseiller stratégique pour le développement institutionnel et la gestion axée sur les résultats</w:t>
            </w:r>
          </w:p>
        </w:tc>
      </w:tr>
      <w:tr w:rsidR="008B1794" w:rsidRPr="00623A2B" w14:paraId="59B10260" w14:textId="77777777" w:rsidTr="00C83EA7">
        <w:trPr>
          <w:trHeight w:val="525"/>
          <w:jc w:val="center"/>
        </w:trPr>
        <w:tc>
          <w:tcPr>
            <w:tcW w:w="1350" w:type="dxa"/>
            <w:tcBorders>
              <w:top w:val="nil"/>
              <w:left w:val="nil"/>
              <w:bottom w:val="nil"/>
              <w:right w:val="nil"/>
            </w:tcBorders>
            <w:shd w:val="clear" w:color="auto" w:fill="auto"/>
            <w:noWrap/>
            <w:vAlign w:val="center"/>
            <w:hideMark/>
          </w:tcPr>
          <w:p w14:paraId="223B1FF5"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44A</w:t>
            </w:r>
          </w:p>
        </w:tc>
        <w:tc>
          <w:tcPr>
            <w:tcW w:w="5220" w:type="dxa"/>
            <w:tcBorders>
              <w:top w:val="nil"/>
              <w:left w:val="nil"/>
              <w:bottom w:val="nil"/>
              <w:right w:val="nil"/>
            </w:tcBorders>
            <w:shd w:val="clear" w:color="auto" w:fill="auto"/>
            <w:vAlign w:val="center"/>
            <w:hideMark/>
          </w:tcPr>
          <w:p w14:paraId="5145B798"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Bureau du Conseiller stratégique pour le développement institutionnel et la gestion axée sur les résultats</w:t>
            </w:r>
          </w:p>
        </w:tc>
        <w:tc>
          <w:tcPr>
            <w:tcW w:w="990" w:type="dxa"/>
            <w:tcBorders>
              <w:top w:val="nil"/>
              <w:left w:val="nil"/>
              <w:bottom w:val="nil"/>
              <w:right w:val="nil"/>
            </w:tcBorders>
            <w:shd w:val="clear" w:color="auto" w:fill="auto"/>
            <w:noWrap/>
            <w:vAlign w:val="center"/>
            <w:hideMark/>
          </w:tcPr>
          <w:p w14:paraId="7AA127E5"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474,1</w:t>
            </w:r>
          </w:p>
        </w:tc>
        <w:tc>
          <w:tcPr>
            <w:tcW w:w="900" w:type="dxa"/>
            <w:tcBorders>
              <w:top w:val="nil"/>
              <w:left w:val="nil"/>
              <w:bottom w:val="nil"/>
              <w:right w:val="nil"/>
            </w:tcBorders>
            <w:shd w:val="clear" w:color="auto" w:fill="auto"/>
            <w:noWrap/>
            <w:vAlign w:val="center"/>
            <w:hideMark/>
          </w:tcPr>
          <w:p w14:paraId="138468B1"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173,4</w:t>
            </w:r>
          </w:p>
        </w:tc>
      </w:tr>
      <w:tr w:rsidR="008B1794" w:rsidRPr="00623A2B" w14:paraId="51433F60"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76B4FFED"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44C</w:t>
            </w:r>
          </w:p>
        </w:tc>
        <w:tc>
          <w:tcPr>
            <w:tcW w:w="5220" w:type="dxa"/>
            <w:tcBorders>
              <w:top w:val="nil"/>
              <w:left w:val="nil"/>
              <w:bottom w:val="nil"/>
              <w:right w:val="nil"/>
            </w:tcBorders>
            <w:shd w:val="clear" w:color="auto" w:fill="auto"/>
            <w:vAlign w:val="center"/>
            <w:hideMark/>
          </w:tcPr>
          <w:p w14:paraId="18CB2C3F"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Département de la presse et de la communication</w:t>
            </w:r>
          </w:p>
        </w:tc>
        <w:tc>
          <w:tcPr>
            <w:tcW w:w="990" w:type="dxa"/>
            <w:tcBorders>
              <w:top w:val="nil"/>
              <w:left w:val="nil"/>
              <w:bottom w:val="nil"/>
              <w:right w:val="nil"/>
            </w:tcBorders>
            <w:shd w:val="clear" w:color="auto" w:fill="auto"/>
            <w:noWrap/>
            <w:vAlign w:val="center"/>
            <w:hideMark/>
          </w:tcPr>
          <w:p w14:paraId="456D3E2F"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906,7</w:t>
            </w:r>
          </w:p>
        </w:tc>
        <w:tc>
          <w:tcPr>
            <w:tcW w:w="900" w:type="dxa"/>
            <w:tcBorders>
              <w:top w:val="nil"/>
              <w:left w:val="nil"/>
              <w:bottom w:val="nil"/>
              <w:right w:val="nil"/>
            </w:tcBorders>
            <w:shd w:val="clear" w:color="auto" w:fill="auto"/>
            <w:noWrap/>
            <w:vAlign w:val="center"/>
            <w:hideMark/>
          </w:tcPr>
          <w:p w14:paraId="0AF76DFD"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120,1</w:t>
            </w:r>
          </w:p>
        </w:tc>
      </w:tr>
      <w:tr w:rsidR="008B1794" w:rsidRPr="00623A2B" w14:paraId="7EBF5F80"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1BE3361F"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44E</w:t>
            </w:r>
          </w:p>
        </w:tc>
        <w:tc>
          <w:tcPr>
            <w:tcW w:w="5220" w:type="dxa"/>
            <w:tcBorders>
              <w:top w:val="nil"/>
              <w:left w:val="nil"/>
              <w:bottom w:val="nil"/>
              <w:right w:val="nil"/>
            </w:tcBorders>
            <w:shd w:val="clear" w:color="auto" w:fill="auto"/>
            <w:vAlign w:val="center"/>
            <w:hideMark/>
          </w:tcPr>
          <w:p w14:paraId="769FFA7B"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Département des relations extérieures et institutionnelles</w:t>
            </w:r>
          </w:p>
        </w:tc>
        <w:tc>
          <w:tcPr>
            <w:tcW w:w="990" w:type="dxa"/>
            <w:tcBorders>
              <w:top w:val="nil"/>
              <w:left w:val="nil"/>
              <w:bottom w:val="nil"/>
              <w:right w:val="nil"/>
            </w:tcBorders>
            <w:shd w:val="clear" w:color="auto" w:fill="auto"/>
            <w:noWrap/>
            <w:vAlign w:val="center"/>
            <w:hideMark/>
          </w:tcPr>
          <w:p w14:paraId="72593BDD"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393,5</w:t>
            </w:r>
          </w:p>
        </w:tc>
        <w:tc>
          <w:tcPr>
            <w:tcW w:w="900" w:type="dxa"/>
            <w:tcBorders>
              <w:top w:val="nil"/>
              <w:left w:val="nil"/>
              <w:bottom w:val="nil"/>
              <w:right w:val="nil"/>
            </w:tcBorders>
            <w:shd w:val="clear" w:color="auto" w:fill="auto"/>
            <w:noWrap/>
            <w:vAlign w:val="center"/>
            <w:hideMark/>
          </w:tcPr>
          <w:p w14:paraId="645A7ECD"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111,2</w:t>
            </w:r>
          </w:p>
        </w:tc>
      </w:tr>
      <w:tr w:rsidR="008B1794" w:rsidRPr="00623A2B" w14:paraId="21F12F5E" w14:textId="77777777" w:rsidTr="00C83EA7">
        <w:trPr>
          <w:trHeight w:val="555"/>
          <w:jc w:val="center"/>
        </w:trPr>
        <w:tc>
          <w:tcPr>
            <w:tcW w:w="6570" w:type="dxa"/>
            <w:gridSpan w:val="2"/>
            <w:tcBorders>
              <w:top w:val="single" w:sz="4" w:space="0" w:color="auto"/>
              <w:left w:val="nil"/>
              <w:bottom w:val="single" w:sz="4" w:space="0" w:color="auto"/>
              <w:right w:val="nil"/>
            </w:tcBorders>
            <w:shd w:val="clear" w:color="auto" w:fill="auto"/>
            <w:vAlign w:val="bottom"/>
            <w:hideMark/>
          </w:tcPr>
          <w:p w14:paraId="0EBFBA53"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color w:val="000000"/>
                <w:lang w:val="fr-FR"/>
              </w:rPr>
              <w:t>Chapitre 4 – Conseiller stratégique pour le développement institutionnel et la gestion axée sur les résultats Total</w:t>
            </w:r>
          </w:p>
        </w:tc>
        <w:tc>
          <w:tcPr>
            <w:tcW w:w="990" w:type="dxa"/>
            <w:tcBorders>
              <w:top w:val="single" w:sz="4" w:space="0" w:color="auto"/>
              <w:left w:val="nil"/>
              <w:bottom w:val="single" w:sz="4" w:space="0" w:color="auto"/>
              <w:right w:val="nil"/>
            </w:tcBorders>
            <w:shd w:val="clear" w:color="auto" w:fill="auto"/>
            <w:noWrap/>
            <w:vAlign w:val="center"/>
            <w:hideMark/>
          </w:tcPr>
          <w:p w14:paraId="6C5BA956"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1 774,3</w:t>
            </w:r>
          </w:p>
        </w:tc>
        <w:tc>
          <w:tcPr>
            <w:tcW w:w="900" w:type="dxa"/>
            <w:tcBorders>
              <w:top w:val="single" w:sz="4" w:space="0" w:color="auto"/>
              <w:left w:val="nil"/>
              <w:bottom w:val="single" w:sz="4" w:space="0" w:color="auto"/>
              <w:right w:val="nil"/>
            </w:tcBorders>
            <w:shd w:val="clear" w:color="auto" w:fill="auto"/>
            <w:noWrap/>
            <w:vAlign w:val="center"/>
            <w:hideMark/>
          </w:tcPr>
          <w:p w14:paraId="137C485F"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404,7</w:t>
            </w:r>
          </w:p>
        </w:tc>
      </w:tr>
      <w:tr w:rsidR="008B1794" w:rsidRPr="00623A2B" w14:paraId="1EC4810A"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3CB2EE3C" w14:textId="77777777" w:rsidR="008B1794" w:rsidRPr="00623A2B" w:rsidRDefault="008B1794" w:rsidP="00C83EA7">
            <w:pPr>
              <w:jc w:val="right"/>
              <w:rPr>
                <w:rFonts w:ascii="Times New Roman" w:hAnsi="Times New Roman"/>
                <w:b/>
                <w:bCs/>
                <w:color w:val="000000"/>
                <w:lang w:val="fr-FR"/>
              </w:rPr>
            </w:pPr>
          </w:p>
        </w:tc>
        <w:tc>
          <w:tcPr>
            <w:tcW w:w="5220" w:type="dxa"/>
            <w:tcBorders>
              <w:top w:val="nil"/>
              <w:left w:val="nil"/>
              <w:bottom w:val="nil"/>
              <w:right w:val="nil"/>
            </w:tcBorders>
            <w:shd w:val="clear" w:color="auto" w:fill="auto"/>
            <w:vAlign w:val="center"/>
            <w:hideMark/>
          </w:tcPr>
          <w:p w14:paraId="376A3968" w14:textId="77777777" w:rsidR="008B1794" w:rsidRPr="00623A2B" w:rsidRDefault="008B1794" w:rsidP="00C83EA7">
            <w:pPr>
              <w:rPr>
                <w:rFonts w:ascii="Times New Roman" w:hAnsi="Times New Roman"/>
                <w:lang w:val="fr-FR"/>
              </w:rPr>
            </w:pPr>
          </w:p>
        </w:tc>
        <w:tc>
          <w:tcPr>
            <w:tcW w:w="990" w:type="dxa"/>
            <w:tcBorders>
              <w:top w:val="nil"/>
              <w:left w:val="nil"/>
              <w:bottom w:val="nil"/>
              <w:right w:val="nil"/>
            </w:tcBorders>
            <w:shd w:val="clear" w:color="auto" w:fill="auto"/>
            <w:noWrap/>
            <w:vAlign w:val="center"/>
            <w:hideMark/>
          </w:tcPr>
          <w:p w14:paraId="01291ACF" w14:textId="77777777" w:rsidR="008B1794" w:rsidRPr="00623A2B" w:rsidRDefault="008B1794" w:rsidP="00C83EA7">
            <w:pPr>
              <w:rPr>
                <w:rFonts w:ascii="Times New Roman" w:hAnsi="Times New Roman"/>
                <w:lang w:val="fr-FR"/>
              </w:rPr>
            </w:pPr>
          </w:p>
        </w:tc>
        <w:tc>
          <w:tcPr>
            <w:tcW w:w="900" w:type="dxa"/>
            <w:tcBorders>
              <w:top w:val="nil"/>
              <w:left w:val="nil"/>
              <w:bottom w:val="nil"/>
              <w:right w:val="nil"/>
            </w:tcBorders>
            <w:shd w:val="clear" w:color="auto" w:fill="auto"/>
            <w:noWrap/>
            <w:vAlign w:val="center"/>
            <w:hideMark/>
          </w:tcPr>
          <w:p w14:paraId="20F62A61" w14:textId="77777777" w:rsidR="008B1794" w:rsidRPr="00623A2B" w:rsidRDefault="008B1794" w:rsidP="00C83EA7">
            <w:pPr>
              <w:rPr>
                <w:rFonts w:ascii="Times New Roman" w:hAnsi="Times New Roman"/>
                <w:lang w:val="fr-FR"/>
              </w:rPr>
            </w:pPr>
          </w:p>
        </w:tc>
      </w:tr>
      <w:tr w:rsidR="008B1794" w:rsidRPr="00213B6A" w14:paraId="2FD8FE9A" w14:textId="77777777" w:rsidTr="00C83EA7">
        <w:trPr>
          <w:trHeight w:val="263"/>
          <w:jc w:val="center"/>
        </w:trPr>
        <w:tc>
          <w:tcPr>
            <w:tcW w:w="6570" w:type="dxa"/>
            <w:gridSpan w:val="2"/>
            <w:tcBorders>
              <w:top w:val="nil"/>
              <w:left w:val="nil"/>
              <w:bottom w:val="nil"/>
              <w:right w:val="nil"/>
            </w:tcBorders>
            <w:shd w:val="clear" w:color="auto" w:fill="auto"/>
            <w:noWrap/>
            <w:vAlign w:val="center"/>
            <w:hideMark/>
          </w:tcPr>
          <w:p w14:paraId="73972BA4"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color w:val="000000"/>
                <w:lang w:val="fr-FR"/>
              </w:rPr>
              <w:t>Chapitre 5 – Secrétariat à l'accès aux droits et à l'équité</w:t>
            </w:r>
          </w:p>
        </w:tc>
        <w:tc>
          <w:tcPr>
            <w:tcW w:w="990" w:type="dxa"/>
            <w:tcBorders>
              <w:top w:val="nil"/>
              <w:left w:val="nil"/>
              <w:bottom w:val="nil"/>
              <w:right w:val="nil"/>
            </w:tcBorders>
            <w:shd w:val="clear" w:color="auto" w:fill="auto"/>
            <w:noWrap/>
            <w:vAlign w:val="center"/>
            <w:hideMark/>
          </w:tcPr>
          <w:p w14:paraId="09723452" w14:textId="77777777" w:rsidR="008B1794" w:rsidRPr="00623A2B" w:rsidRDefault="008B1794" w:rsidP="00C83EA7">
            <w:pPr>
              <w:rPr>
                <w:rFonts w:ascii="Times New Roman" w:hAnsi="Times New Roman"/>
                <w:b/>
                <w:bCs/>
                <w:color w:val="000000"/>
                <w:lang w:val="fr-FR"/>
              </w:rPr>
            </w:pPr>
          </w:p>
        </w:tc>
        <w:tc>
          <w:tcPr>
            <w:tcW w:w="900" w:type="dxa"/>
            <w:tcBorders>
              <w:top w:val="nil"/>
              <w:left w:val="nil"/>
              <w:bottom w:val="nil"/>
              <w:right w:val="nil"/>
            </w:tcBorders>
            <w:shd w:val="clear" w:color="auto" w:fill="auto"/>
            <w:noWrap/>
            <w:vAlign w:val="center"/>
            <w:hideMark/>
          </w:tcPr>
          <w:p w14:paraId="7D4DE1B6" w14:textId="77777777" w:rsidR="008B1794" w:rsidRPr="00623A2B" w:rsidRDefault="008B1794" w:rsidP="00C83EA7">
            <w:pPr>
              <w:rPr>
                <w:rFonts w:ascii="Times New Roman" w:hAnsi="Times New Roman"/>
                <w:lang w:val="fr-FR"/>
              </w:rPr>
            </w:pPr>
          </w:p>
        </w:tc>
      </w:tr>
      <w:tr w:rsidR="008B1794" w:rsidRPr="00623A2B" w14:paraId="4A45C8D0"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32AC1A9C"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54A</w:t>
            </w:r>
          </w:p>
        </w:tc>
        <w:tc>
          <w:tcPr>
            <w:tcW w:w="5220" w:type="dxa"/>
            <w:tcBorders>
              <w:top w:val="nil"/>
              <w:left w:val="nil"/>
              <w:bottom w:val="nil"/>
              <w:right w:val="nil"/>
            </w:tcBorders>
            <w:shd w:val="clear" w:color="auto" w:fill="auto"/>
            <w:vAlign w:val="center"/>
            <w:hideMark/>
          </w:tcPr>
          <w:p w14:paraId="0F85A326"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Secrétariat à l'accès aux droits et à l'équité</w:t>
            </w:r>
          </w:p>
        </w:tc>
        <w:tc>
          <w:tcPr>
            <w:tcW w:w="990" w:type="dxa"/>
            <w:tcBorders>
              <w:top w:val="nil"/>
              <w:left w:val="nil"/>
              <w:bottom w:val="nil"/>
              <w:right w:val="nil"/>
            </w:tcBorders>
            <w:shd w:val="clear" w:color="auto" w:fill="auto"/>
            <w:noWrap/>
            <w:vAlign w:val="center"/>
            <w:hideMark/>
          </w:tcPr>
          <w:p w14:paraId="14D09F6E"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482,8</w:t>
            </w:r>
          </w:p>
        </w:tc>
        <w:tc>
          <w:tcPr>
            <w:tcW w:w="900" w:type="dxa"/>
            <w:tcBorders>
              <w:top w:val="nil"/>
              <w:left w:val="nil"/>
              <w:bottom w:val="nil"/>
              <w:right w:val="nil"/>
            </w:tcBorders>
            <w:shd w:val="clear" w:color="auto" w:fill="auto"/>
            <w:noWrap/>
            <w:vAlign w:val="center"/>
            <w:hideMark/>
          </w:tcPr>
          <w:p w14:paraId="22810266"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5A1FFFF9"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7235B185"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54B</w:t>
            </w:r>
          </w:p>
        </w:tc>
        <w:tc>
          <w:tcPr>
            <w:tcW w:w="5220" w:type="dxa"/>
            <w:tcBorders>
              <w:top w:val="nil"/>
              <w:left w:val="nil"/>
              <w:bottom w:val="nil"/>
              <w:right w:val="nil"/>
            </w:tcBorders>
            <w:shd w:val="clear" w:color="auto" w:fill="auto"/>
            <w:vAlign w:val="center"/>
            <w:hideMark/>
          </w:tcPr>
          <w:p w14:paraId="10E832FB"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Département de l'inclusion sociale</w:t>
            </w:r>
          </w:p>
        </w:tc>
        <w:tc>
          <w:tcPr>
            <w:tcW w:w="990" w:type="dxa"/>
            <w:tcBorders>
              <w:top w:val="nil"/>
              <w:left w:val="nil"/>
              <w:bottom w:val="nil"/>
              <w:right w:val="nil"/>
            </w:tcBorders>
            <w:shd w:val="clear" w:color="auto" w:fill="auto"/>
            <w:noWrap/>
            <w:vAlign w:val="center"/>
            <w:hideMark/>
          </w:tcPr>
          <w:p w14:paraId="36F87DCF"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1 250,4</w:t>
            </w:r>
          </w:p>
        </w:tc>
        <w:tc>
          <w:tcPr>
            <w:tcW w:w="900" w:type="dxa"/>
            <w:tcBorders>
              <w:top w:val="nil"/>
              <w:left w:val="nil"/>
              <w:bottom w:val="nil"/>
              <w:right w:val="nil"/>
            </w:tcBorders>
            <w:shd w:val="clear" w:color="auto" w:fill="auto"/>
            <w:noWrap/>
            <w:vAlign w:val="center"/>
            <w:hideMark/>
          </w:tcPr>
          <w:p w14:paraId="75FF31A2"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08412971" w14:textId="77777777" w:rsidTr="00C83EA7">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18ABD17F"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color w:val="000000"/>
                <w:lang w:val="fr-FR"/>
              </w:rPr>
              <w:t xml:space="preserve">Chapitre 5 – Secrétariat à l'accès aux droits et à l'équité Total </w:t>
            </w:r>
          </w:p>
        </w:tc>
        <w:tc>
          <w:tcPr>
            <w:tcW w:w="990" w:type="dxa"/>
            <w:tcBorders>
              <w:top w:val="single" w:sz="4" w:space="0" w:color="auto"/>
              <w:left w:val="nil"/>
              <w:bottom w:val="single" w:sz="4" w:space="0" w:color="auto"/>
              <w:right w:val="nil"/>
            </w:tcBorders>
            <w:shd w:val="clear" w:color="auto" w:fill="auto"/>
            <w:noWrap/>
            <w:vAlign w:val="center"/>
            <w:hideMark/>
          </w:tcPr>
          <w:p w14:paraId="1290A70B"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1 733,2</w:t>
            </w:r>
          </w:p>
        </w:tc>
        <w:tc>
          <w:tcPr>
            <w:tcW w:w="900" w:type="dxa"/>
            <w:tcBorders>
              <w:top w:val="single" w:sz="4" w:space="0" w:color="auto"/>
              <w:left w:val="nil"/>
              <w:bottom w:val="single" w:sz="4" w:space="0" w:color="auto"/>
              <w:right w:val="nil"/>
            </w:tcBorders>
            <w:shd w:val="clear" w:color="auto" w:fill="auto"/>
            <w:noWrap/>
            <w:vAlign w:val="center"/>
            <w:hideMark/>
          </w:tcPr>
          <w:p w14:paraId="5265036C"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0,0</w:t>
            </w:r>
          </w:p>
        </w:tc>
      </w:tr>
      <w:tr w:rsidR="008B1794" w:rsidRPr="00623A2B" w14:paraId="4F0D45E6"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46DF9A69" w14:textId="77777777" w:rsidR="008B1794" w:rsidRPr="00623A2B" w:rsidRDefault="008B1794" w:rsidP="00C83EA7">
            <w:pPr>
              <w:jc w:val="right"/>
              <w:rPr>
                <w:rFonts w:ascii="Times New Roman" w:hAnsi="Times New Roman"/>
                <w:b/>
                <w:bCs/>
                <w:color w:val="000000"/>
                <w:lang w:val="fr-FR"/>
              </w:rPr>
            </w:pPr>
          </w:p>
        </w:tc>
        <w:tc>
          <w:tcPr>
            <w:tcW w:w="5220" w:type="dxa"/>
            <w:tcBorders>
              <w:top w:val="nil"/>
              <w:left w:val="nil"/>
              <w:bottom w:val="nil"/>
              <w:right w:val="nil"/>
            </w:tcBorders>
            <w:shd w:val="clear" w:color="auto" w:fill="auto"/>
            <w:vAlign w:val="center"/>
            <w:hideMark/>
          </w:tcPr>
          <w:p w14:paraId="0B337721" w14:textId="77777777" w:rsidR="008B1794" w:rsidRPr="00623A2B" w:rsidRDefault="008B1794" w:rsidP="00C83EA7">
            <w:pPr>
              <w:rPr>
                <w:rFonts w:ascii="Times New Roman" w:hAnsi="Times New Roman"/>
                <w:lang w:val="fr-FR"/>
              </w:rPr>
            </w:pPr>
          </w:p>
        </w:tc>
        <w:tc>
          <w:tcPr>
            <w:tcW w:w="990" w:type="dxa"/>
            <w:tcBorders>
              <w:top w:val="nil"/>
              <w:left w:val="nil"/>
              <w:bottom w:val="nil"/>
              <w:right w:val="nil"/>
            </w:tcBorders>
            <w:shd w:val="clear" w:color="auto" w:fill="auto"/>
            <w:noWrap/>
            <w:vAlign w:val="center"/>
            <w:hideMark/>
          </w:tcPr>
          <w:p w14:paraId="506DDD51" w14:textId="77777777" w:rsidR="008B1794" w:rsidRPr="00623A2B" w:rsidRDefault="008B1794" w:rsidP="00C83EA7">
            <w:pPr>
              <w:rPr>
                <w:rFonts w:ascii="Times New Roman" w:hAnsi="Times New Roman"/>
                <w:lang w:val="fr-FR"/>
              </w:rPr>
            </w:pPr>
          </w:p>
        </w:tc>
        <w:tc>
          <w:tcPr>
            <w:tcW w:w="900" w:type="dxa"/>
            <w:tcBorders>
              <w:top w:val="nil"/>
              <w:left w:val="nil"/>
              <w:bottom w:val="nil"/>
              <w:right w:val="nil"/>
            </w:tcBorders>
            <w:shd w:val="clear" w:color="auto" w:fill="auto"/>
            <w:noWrap/>
            <w:vAlign w:val="center"/>
            <w:hideMark/>
          </w:tcPr>
          <w:p w14:paraId="21D04C56" w14:textId="77777777" w:rsidR="008B1794" w:rsidRPr="00623A2B" w:rsidRDefault="008B1794" w:rsidP="00C83EA7">
            <w:pPr>
              <w:rPr>
                <w:rFonts w:ascii="Times New Roman" w:hAnsi="Times New Roman"/>
                <w:lang w:val="fr-FR"/>
              </w:rPr>
            </w:pPr>
          </w:p>
        </w:tc>
      </w:tr>
      <w:tr w:rsidR="008B1794" w:rsidRPr="00213B6A" w14:paraId="0D5A1D62" w14:textId="77777777" w:rsidTr="00C83EA7">
        <w:trPr>
          <w:trHeight w:val="263"/>
          <w:jc w:val="center"/>
        </w:trPr>
        <w:tc>
          <w:tcPr>
            <w:tcW w:w="6570" w:type="dxa"/>
            <w:gridSpan w:val="2"/>
            <w:tcBorders>
              <w:top w:val="nil"/>
              <w:left w:val="nil"/>
              <w:bottom w:val="nil"/>
              <w:right w:val="nil"/>
            </w:tcBorders>
            <w:shd w:val="clear" w:color="auto" w:fill="auto"/>
            <w:noWrap/>
            <w:vAlign w:val="center"/>
            <w:hideMark/>
          </w:tcPr>
          <w:p w14:paraId="4B3F6D68"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color w:val="000000"/>
                <w:lang w:val="fr-FR"/>
              </w:rPr>
              <w:t>Chapitre 6 – Secrétariat au renforcement de la démocratie</w:t>
            </w:r>
          </w:p>
        </w:tc>
        <w:tc>
          <w:tcPr>
            <w:tcW w:w="990" w:type="dxa"/>
            <w:tcBorders>
              <w:top w:val="nil"/>
              <w:left w:val="nil"/>
              <w:bottom w:val="nil"/>
              <w:right w:val="nil"/>
            </w:tcBorders>
            <w:shd w:val="clear" w:color="auto" w:fill="auto"/>
            <w:noWrap/>
            <w:vAlign w:val="center"/>
            <w:hideMark/>
          </w:tcPr>
          <w:p w14:paraId="5B551B5A" w14:textId="77777777" w:rsidR="008B1794" w:rsidRPr="00623A2B" w:rsidRDefault="008B1794" w:rsidP="00C83EA7">
            <w:pPr>
              <w:rPr>
                <w:rFonts w:ascii="Times New Roman" w:hAnsi="Times New Roman"/>
                <w:b/>
                <w:bCs/>
                <w:color w:val="000000"/>
                <w:lang w:val="fr-FR"/>
              </w:rPr>
            </w:pPr>
          </w:p>
        </w:tc>
        <w:tc>
          <w:tcPr>
            <w:tcW w:w="900" w:type="dxa"/>
            <w:tcBorders>
              <w:top w:val="nil"/>
              <w:left w:val="nil"/>
              <w:bottom w:val="nil"/>
              <w:right w:val="nil"/>
            </w:tcBorders>
            <w:shd w:val="clear" w:color="auto" w:fill="auto"/>
            <w:noWrap/>
            <w:vAlign w:val="center"/>
            <w:hideMark/>
          </w:tcPr>
          <w:p w14:paraId="6B072D1A" w14:textId="77777777" w:rsidR="008B1794" w:rsidRPr="00623A2B" w:rsidRDefault="008B1794" w:rsidP="00C83EA7">
            <w:pPr>
              <w:rPr>
                <w:rFonts w:ascii="Times New Roman" w:hAnsi="Times New Roman"/>
                <w:lang w:val="fr-FR"/>
              </w:rPr>
            </w:pPr>
          </w:p>
        </w:tc>
      </w:tr>
      <w:tr w:rsidR="008B1794" w:rsidRPr="00623A2B" w14:paraId="3002A998"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5525F179"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64A</w:t>
            </w:r>
          </w:p>
        </w:tc>
        <w:tc>
          <w:tcPr>
            <w:tcW w:w="5220" w:type="dxa"/>
            <w:tcBorders>
              <w:top w:val="nil"/>
              <w:left w:val="nil"/>
              <w:bottom w:val="nil"/>
              <w:right w:val="nil"/>
            </w:tcBorders>
            <w:shd w:val="clear" w:color="auto" w:fill="auto"/>
            <w:vAlign w:val="center"/>
            <w:hideMark/>
          </w:tcPr>
          <w:p w14:paraId="2BAD83A1"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Secrétariat au renforcement de la démocratie</w:t>
            </w:r>
          </w:p>
        </w:tc>
        <w:tc>
          <w:tcPr>
            <w:tcW w:w="990" w:type="dxa"/>
            <w:tcBorders>
              <w:top w:val="nil"/>
              <w:left w:val="nil"/>
              <w:bottom w:val="nil"/>
              <w:right w:val="nil"/>
            </w:tcBorders>
            <w:shd w:val="clear" w:color="auto" w:fill="auto"/>
            <w:noWrap/>
            <w:vAlign w:val="center"/>
            <w:hideMark/>
          </w:tcPr>
          <w:p w14:paraId="3A9F74B5"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1 153,5</w:t>
            </w:r>
          </w:p>
        </w:tc>
        <w:tc>
          <w:tcPr>
            <w:tcW w:w="900" w:type="dxa"/>
            <w:tcBorders>
              <w:top w:val="nil"/>
              <w:left w:val="nil"/>
              <w:bottom w:val="nil"/>
              <w:right w:val="nil"/>
            </w:tcBorders>
            <w:shd w:val="clear" w:color="auto" w:fill="auto"/>
            <w:noWrap/>
            <w:vAlign w:val="center"/>
            <w:hideMark/>
          </w:tcPr>
          <w:p w14:paraId="124D0698"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893,5</w:t>
            </w:r>
          </w:p>
        </w:tc>
      </w:tr>
      <w:tr w:rsidR="008B1794" w:rsidRPr="00623A2B" w14:paraId="71C27206"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713104C8"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64C</w:t>
            </w:r>
          </w:p>
        </w:tc>
        <w:tc>
          <w:tcPr>
            <w:tcW w:w="5220" w:type="dxa"/>
            <w:tcBorders>
              <w:top w:val="nil"/>
              <w:left w:val="nil"/>
              <w:bottom w:val="nil"/>
              <w:right w:val="nil"/>
            </w:tcBorders>
            <w:shd w:val="clear" w:color="auto" w:fill="auto"/>
            <w:vAlign w:val="center"/>
            <w:hideMark/>
          </w:tcPr>
          <w:p w14:paraId="00916153"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Département de la coopération électorale et de l’observation des élections</w:t>
            </w:r>
          </w:p>
        </w:tc>
        <w:tc>
          <w:tcPr>
            <w:tcW w:w="990" w:type="dxa"/>
            <w:tcBorders>
              <w:top w:val="nil"/>
              <w:left w:val="nil"/>
              <w:bottom w:val="nil"/>
              <w:right w:val="nil"/>
            </w:tcBorders>
            <w:shd w:val="clear" w:color="auto" w:fill="auto"/>
            <w:noWrap/>
            <w:vAlign w:val="center"/>
            <w:hideMark/>
          </w:tcPr>
          <w:p w14:paraId="644F5995"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1 463,3</w:t>
            </w:r>
          </w:p>
        </w:tc>
        <w:tc>
          <w:tcPr>
            <w:tcW w:w="900" w:type="dxa"/>
            <w:tcBorders>
              <w:top w:val="nil"/>
              <w:left w:val="nil"/>
              <w:bottom w:val="nil"/>
              <w:right w:val="nil"/>
            </w:tcBorders>
            <w:shd w:val="clear" w:color="auto" w:fill="auto"/>
            <w:noWrap/>
            <w:vAlign w:val="center"/>
            <w:hideMark/>
          </w:tcPr>
          <w:p w14:paraId="532C9E51"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656D97CD" w14:textId="77777777" w:rsidTr="00C83EA7">
        <w:trPr>
          <w:trHeight w:val="525"/>
          <w:jc w:val="center"/>
        </w:trPr>
        <w:tc>
          <w:tcPr>
            <w:tcW w:w="1350" w:type="dxa"/>
            <w:tcBorders>
              <w:top w:val="nil"/>
              <w:left w:val="nil"/>
              <w:bottom w:val="nil"/>
              <w:right w:val="nil"/>
            </w:tcBorders>
            <w:shd w:val="clear" w:color="auto" w:fill="auto"/>
            <w:noWrap/>
            <w:vAlign w:val="center"/>
            <w:hideMark/>
          </w:tcPr>
          <w:p w14:paraId="4B9D3FE6"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64D</w:t>
            </w:r>
          </w:p>
        </w:tc>
        <w:tc>
          <w:tcPr>
            <w:tcW w:w="5220" w:type="dxa"/>
            <w:tcBorders>
              <w:top w:val="nil"/>
              <w:left w:val="nil"/>
              <w:bottom w:val="nil"/>
              <w:right w:val="nil"/>
            </w:tcBorders>
            <w:shd w:val="clear" w:color="auto" w:fill="auto"/>
            <w:vAlign w:val="center"/>
            <w:hideMark/>
          </w:tcPr>
          <w:p w14:paraId="6AA92DCC"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Département de la démocratie durable et des missions spéciales</w:t>
            </w:r>
          </w:p>
        </w:tc>
        <w:tc>
          <w:tcPr>
            <w:tcW w:w="990" w:type="dxa"/>
            <w:tcBorders>
              <w:top w:val="nil"/>
              <w:left w:val="nil"/>
              <w:bottom w:val="nil"/>
              <w:right w:val="nil"/>
            </w:tcBorders>
            <w:shd w:val="clear" w:color="auto" w:fill="auto"/>
            <w:noWrap/>
            <w:vAlign w:val="center"/>
            <w:hideMark/>
          </w:tcPr>
          <w:p w14:paraId="774EE3BE"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657,4</w:t>
            </w:r>
          </w:p>
        </w:tc>
        <w:tc>
          <w:tcPr>
            <w:tcW w:w="900" w:type="dxa"/>
            <w:tcBorders>
              <w:top w:val="nil"/>
              <w:left w:val="nil"/>
              <w:bottom w:val="nil"/>
              <w:right w:val="nil"/>
            </w:tcBorders>
            <w:shd w:val="clear" w:color="auto" w:fill="auto"/>
            <w:noWrap/>
            <w:vAlign w:val="center"/>
            <w:hideMark/>
          </w:tcPr>
          <w:p w14:paraId="2883DACC"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213E34B8" w14:textId="77777777" w:rsidTr="00C83EA7">
        <w:trPr>
          <w:trHeight w:val="525"/>
          <w:jc w:val="center"/>
        </w:trPr>
        <w:tc>
          <w:tcPr>
            <w:tcW w:w="1350" w:type="dxa"/>
            <w:tcBorders>
              <w:top w:val="nil"/>
              <w:left w:val="nil"/>
              <w:bottom w:val="nil"/>
              <w:right w:val="nil"/>
            </w:tcBorders>
            <w:shd w:val="clear" w:color="auto" w:fill="auto"/>
            <w:noWrap/>
            <w:vAlign w:val="center"/>
            <w:hideMark/>
          </w:tcPr>
          <w:p w14:paraId="38658F8E"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64F</w:t>
            </w:r>
          </w:p>
        </w:tc>
        <w:tc>
          <w:tcPr>
            <w:tcW w:w="5220" w:type="dxa"/>
            <w:tcBorders>
              <w:top w:val="nil"/>
              <w:left w:val="nil"/>
              <w:bottom w:val="nil"/>
              <w:right w:val="nil"/>
            </w:tcBorders>
            <w:shd w:val="clear" w:color="auto" w:fill="auto"/>
            <w:vAlign w:val="center"/>
            <w:hideMark/>
          </w:tcPr>
          <w:p w14:paraId="2B410CA2"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Département de la promotion de la paix et de la coordination avec les administrations territoriales</w:t>
            </w:r>
          </w:p>
        </w:tc>
        <w:tc>
          <w:tcPr>
            <w:tcW w:w="990" w:type="dxa"/>
            <w:tcBorders>
              <w:top w:val="nil"/>
              <w:left w:val="nil"/>
              <w:bottom w:val="nil"/>
              <w:right w:val="nil"/>
            </w:tcBorders>
            <w:shd w:val="clear" w:color="auto" w:fill="auto"/>
            <w:noWrap/>
            <w:vAlign w:val="center"/>
            <w:hideMark/>
          </w:tcPr>
          <w:p w14:paraId="798E78B7"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219,1</w:t>
            </w:r>
          </w:p>
        </w:tc>
        <w:tc>
          <w:tcPr>
            <w:tcW w:w="900" w:type="dxa"/>
            <w:tcBorders>
              <w:top w:val="nil"/>
              <w:left w:val="nil"/>
              <w:bottom w:val="nil"/>
              <w:right w:val="nil"/>
            </w:tcBorders>
            <w:shd w:val="clear" w:color="auto" w:fill="auto"/>
            <w:noWrap/>
            <w:vAlign w:val="center"/>
            <w:hideMark/>
          </w:tcPr>
          <w:p w14:paraId="69BA0AD3"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2F5714B7" w14:textId="77777777" w:rsidTr="00C83EA7">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6A79382E"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color w:val="000000"/>
                <w:lang w:val="fr-FR"/>
              </w:rPr>
              <w:t>Chapitre 6 – Secrétariat au renforcement de la démocratie Total</w:t>
            </w:r>
          </w:p>
        </w:tc>
        <w:tc>
          <w:tcPr>
            <w:tcW w:w="990" w:type="dxa"/>
            <w:tcBorders>
              <w:top w:val="single" w:sz="4" w:space="0" w:color="auto"/>
              <w:left w:val="nil"/>
              <w:bottom w:val="single" w:sz="4" w:space="0" w:color="auto"/>
              <w:right w:val="nil"/>
            </w:tcBorders>
            <w:shd w:val="clear" w:color="auto" w:fill="auto"/>
            <w:noWrap/>
            <w:vAlign w:val="center"/>
            <w:hideMark/>
          </w:tcPr>
          <w:p w14:paraId="476D2589"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3 493,3</w:t>
            </w:r>
          </w:p>
        </w:tc>
        <w:tc>
          <w:tcPr>
            <w:tcW w:w="900" w:type="dxa"/>
            <w:tcBorders>
              <w:top w:val="single" w:sz="4" w:space="0" w:color="auto"/>
              <w:left w:val="nil"/>
              <w:bottom w:val="single" w:sz="4" w:space="0" w:color="auto"/>
              <w:right w:val="nil"/>
            </w:tcBorders>
            <w:shd w:val="clear" w:color="auto" w:fill="auto"/>
            <w:noWrap/>
            <w:vAlign w:val="center"/>
            <w:hideMark/>
          </w:tcPr>
          <w:p w14:paraId="4145D708"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893,5</w:t>
            </w:r>
          </w:p>
        </w:tc>
      </w:tr>
      <w:tr w:rsidR="008B1794" w:rsidRPr="00623A2B" w14:paraId="5F97A297"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3AC27CE8" w14:textId="77777777" w:rsidR="008B1794" w:rsidRPr="00623A2B" w:rsidRDefault="008B1794" w:rsidP="00C83EA7">
            <w:pPr>
              <w:jc w:val="right"/>
              <w:rPr>
                <w:rFonts w:ascii="Times New Roman" w:hAnsi="Times New Roman"/>
                <w:b/>
                <w:bCs/>
                <w:color w:val="000000"/>
                <w:lang w:val="fr-FR"/>
              </w:rPr>
            </w:pPr>
          </w:p>
        </w:tc>
        <w:tc>
          <w:tcPr>
            <w:tcW w:w="5220" w:type="dxa"/>
            <w:tcBorders>
              <w:top w:val="nil"/>
              <w:left w:val="nil"/>
              <w:bottom w:val="nil"/>
              <w:right w:val="nil"/>
            </w:tcBorders>
            <w:shd w:val="clear" w:color="auto" w:fill="auto"/>
            <w:vAlign w:val="bottom"/>
            <w:hideMark/>
          </w:tcPr>
          <w:p w14:paraId="523EB49C" w14:textId="77777777" w:rsidR="008B1794" w:rsidRPr="00623A2B" w:rsidRDefault="008B1794" w:rsidP="00C83EA7">
            <w:pPr>
              <w:rPr>
                <w:rFonts w:ascii="Times New Roman" w:hAnsi="Times New Roman"/>
                <w:lang w:val="fr-FR"/>
              </w:rPr>
            </w:pPr>
          </w:p>
        </w:tc>
        <w:tc>
          <w:tcPr>
            <w:tcW w:w="990" w:type="dxa"/>
            <w:tcBorders>
              <w:top w:val="nil"/>
              <w:left w:val="nil"/>
              <w:bottom w:val="nil"/>
              <w:right w:val="nil"/>
            </w:tcBorders>
            <w:shd w:val="clear" w:color="auto" w:fill="auto"/>
            <w:noWrap/>
            <w:vAlign w:val="center"/>
            <w:hideMark/>
          </w:tcPr>
          <w:p w14:paraId="4AA3A6D4" w14:textId="77777777" w:rsidR="008B1794" w:rsidRPr="00623A2B" w:rsidRDefault="008B1794" w:rsidP="00C83EA7">
            <w:pPr>
              <w:rPr>
                <w:rFonts w:ascii="Times New Roman" w:hAnsi="Times New Roman"/>
                <w:lang w:val="fr-FR"/>
              </w:rPr>
            </w:pPr>
          </w:p>
        </w:tc>
        <w:tc>
          <w:tcPr>
            <w:tcW w:w="900" w:type="dxa"/>
            <w:tcBorders>
              <w:top w:val="nil"/>
              <w:left w:val="nil"/>
              <w:bottom w:val="nil"/>
              <w:right w:val="nil"/>
            </w:tcBorders>
            <w:shd w:val="clear" w:color="auto" w:fill="auto"/>
            <w:noWrap/>
            <w:vAlign w:val="center"/>
            <w:hideMark/>
          </w:tcPr>
          <w:p w14:paraId="0343EAE9" w14:textId="77777777" w:rsidR="008B1794" w:rsidRPr="00623A2B" w:rsidRDefault="008B1794" w:rsidP="00C83EA7">
            <w:pPr>
              <w:rPr>
                <w:rFonts w:ascii="Times New Roman" w:hAnsi="Times New Roman"/>
                <w:lang w:val="fr-FR"/>
              </w:rPr>
            </w:pPr>
          </w:p>
        </w:tc>
      </w:tr>
    </w:tbl>
    <w:p w14:paraId="574572AB" w14:textId="77777777" w:rsidR="008B1794" w:rsidRPr="00623A2B" w:rsidRDefault="008B1794" w:rsidP="008B1794">
      <w:pPr>
        <w:rPr>
          <w:rFonts w:ascii="Times New Roman" w:hAnsi="Times New Roman"/>
        </w:rPr>
      </w:pPr>
      <w:r w:rsidRPr="00623A2B">
        <w:rPr>
          <w:rFonts w:ascii="Times New Roman" w:hAnsi="Times New Roman"/>
        </w:rPr>
        <w:br w:type="page"/>
      </w:r>
    </w:p>
    <w:tbl>
      <w:tblPr>
        <w:tblW w:w="8460" w:type="dxa"/>
        <w:jc w:val="center"/>
        <w:tblLook w:val="04A0" w:firstRow="1" w:lastRow="0" w:firstColumn="1" w:lastColumn="0" w:noHBand="0" w:noVBand="1"/>
      </w:tblPr>
      <w:tblGrid>
        <w:gridCol w:w="1350"/>
        <w:gridCol w:w="5220"/>
        <w:gridCol w:w="990"/>
        <w:gridCol w:w="900"/>
      </w:tblGrid>
      <w:tr w:rsidR="008B1794" w:rsidRPr="00213B6A" w14:paraId="3416C3DE" w14:textId="77777777" w:rsidTr="00C83EA7">
        <w:trPr>
          <w:trHeight w:val="263"/>
          <w:jc w:val="center"/>
        </w:trPr>
        <w:tc>
          <w:tcPr>
            <w:tcW w:w="6570" w:type="dxa"/>
            <w:gridSpan w:val="2"/>
            <w:tcBorders>
              <w:top w:val="nil"/>
              <w:left w:val="nil"/>
              <w:bottom w:val="nil"/>
              <w:right w:val="nil"/>
            </w:tcBorders>
            <w:shd w:val="clear" w:color="auto" w:fill="auto"/>
            <w:noWrap/>
            <w:vAlign w:val="center"/>
            <w:hideMark/>
          </w:tcPr>
          <w:p w14:paraId="1E4CE59C"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color w:val="000000"/>
                <w:lang w:val="fr-FR"/>
              </w:rPr>
              <w:lastRenderedPageBreak/>
              <w:t>Chapitre 7 – Secrétariat exécutif au développement intégré</w:t>
            </w:r>
          </w:p>
        </w:tc>
        <w:tc>
          <w:tcPr>
            <w:tcW w:w="990" w:type="dxa"/>
            <w:tcBorders>
              <w:top w:val="nil"/>
              <w:left w:val="nil"/>
              <w:bottom w:val="nil"/>
              <w:right w:val="nil"/>
            </w:tcBorders>
            <w:shd w:val="clear" w:color="auto" w:fill="auto"/>
            <w:noWrap/>
            <w:vAlign w:val="center"/>
            <w:hideMark/>
          </w:tcPr>
          <w:p w14:paraId="07116333" w14:textId="77777777" w:rsidR="008B1794" w:rsidRPr="00623A2B" w:rsidRDefault="008B1794" w:rsidP="00C83EA7">
            <w:pPr>
              <w:rPr>
                <w:rFonts w:ascii="Times New Roman" w:hAnsi="Times New Roman"/>
                <w:b/>
                <w:bCs/>
                <w:color w:val="000000"/>
                <w:lang w:val="fr-FR"/>
              </w:rPr>
            </w:pPr>
          </w:p>
        </w:tc>
        <w:tc>
          <w:tcPr>
            <w:tcW w:w="900" w:type="dxa"/>
            <w:tcBorders>
              <w:top w:val="nil"/>
              <w:left w:val="nil"/>
              <w:bottom w:val="nil"/>
              <w:right w:val="nil"/>
            </w:tcBorders>
            <w:shd w:val="clear" w:color="auto" w:fill="auto"/>
            <w:noWrap/>
            <w:vAlign w:val="center"/>
            <w:hideMark/>
          </w:tcPr>
          <w:p w14:paraId="4117409E" w14:textId="77777777" w:rsidR="008B1794" w:rsidRPr="00623A2B" w:rsidRDefault="008B1794" w:rsidP="00C83EA7">
            <w:pPr>
              <w:rPr>
                <w:rFonts w:ascii="Times New Roman" w:hAnsi="Times New Roman"/>
                <w:lang w:val="fr-FR"/>
              </w:rPr>
            </w:pPr>
          </w:p>
        </w:tc>
      </w:tr>
      <w:tr w:rsidR="008B1794" w:rsidRPr="00623A2B" w14:paraId="7F3F88B0"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6864E6A6"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74A</w:t>
            </w:r>
          </w:p>
        </w:tc>
        <w:tc>
          <w:tcPr>
            <w:tcW w:w="5220" w:type="dxa"/>
            <w:tcBorders>
              <w:top w:val="nil"/>
              <w:left w:val="nil"/>
              <w:bottom w:val="nil"/>
              <w:right w:val="nil"/>
            </w:tcBorders>
            <w:shd w:val="clear" w:color="auto" w:fill="auto"/>
            <w:vAlign w:val="center"/>
            <w:hideMark/>
          </w:tcPr>
          <w:p w14:paraId="01F167B1"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Secrétariat exécutif au développement intégré</w:t>
            </w:r>
          </w:p>
        </w:tc>
        <w:tc>
          <w:tcPr>
            <w:tcW w:w="990" w:type="dxa"/>
            <w:tcBorders>
              <w:top w:val="nil"/>
              <w:left w:val="nil"/>
              <w:bottom w:val="nil"/>
              <w:right w:val="nil"/>
            </w:tcBorders>
            <w:shd w:val="clear" w:color="auto" w:fill="auto"/>
            <w:noWrap/>
            <w:vAlign w:val="center"/>
            <w:hideMark/>
          </w:tcPr>
          <w:p w14:paraId="2523AEAB"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1 776,8</w:t>
            </w:r>
          </w:p>
        </w:tc>
        <w:tc>
          <w:tcPr>
            <w:tcW w:w="900" w:type="dxa"/>
            <w:tcBorders>
              <w:top w:val="nil"/>
              <w:left w:val="nil"/>
              <w:bottom w:val="nil"/>
              <w:right w:val="nil"/>
            </w:tcBorders>
            <w:shd w:val="clear" w:color="auto" w:fill="auto"/>
            <w:noWrap/>
            <w:vAlign w:val="center"/>
            <w:hideMark/>
          </w:tcPr>
          <w:p w14:paraId="64F0A6E5"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282,9</w:t>
            </w:r>
          </w:p>
        </w:tc>
      </w:tr>
      <w:tr w:rsidR="008B1794" w:rsidRPr="00623A2B" w14:paraId="3239D110"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436BBE8D"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74C</w:t>
            </w:r>
          </w:p>
        </w:tc>
        <w:tc>
          <w:tcPr>
            <w:tcW w:w="5220" w:type="dxa"/>
            <w:tcBorders>
              <w:top w:val="nil"/>
              <w:left w:val="nil"/>
              <w:bottom w:val="nil"/>
              <w:right w:val="nil"/>
            </w:tcBorders>
            <w:shd w:val="clear" w:color="auto" w:fill="auto"/>
            <w:vAlign w:val="center"/>
            <w:hideMark/>
          </w:tcPr>
          <w:p w14:paraId="1779EF62"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Département du développement économique</w:t>
            </w:r>
          </w:p>
        </w:tc>
        <w:tc>
          <w:tcPr>
            <w:tcW w:w="990" w:type="dxa"/>
            <w:tcBorders>
              <w:top w:val="nil"/>
              <w:left w:val="nil"/>
              <w:bottom w:val="nil"/>
              <w:right w:val="nil"/>
            </w:tcBorders>
            <w:shd w:val="clear" w:color="auto" w:fill="auto"/>
            <w:noWrap/>
            <w:vAlign w:val="center"/>
            <w:hideMark/>
          </w:tcPr>
          <w:p w14:paraId="3BE13301"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1 529,2</w:t>
            </w:r>
          </w:p>
        </w:tc>
        <w:tc>
          <w:tcPr>
            <w:tcW w:w="900" w:type="dxa"/>
            <w:tcBorders>
              <w:top w:val="nil"/>
              <w:left w:val="nil"/>
              <w:bottom w:val="nil"/>
              <w:right w:val="nil"/>
            </w:tcBorders>
            <w:shd w:val="clear" w:color="auto" w:fill="auto"/>
            <w:noWrap/>
            <w:vAlign w:val="center"/>
            <w:hideMark/>
          </w:tcPr>
          <w:p w14:paraId="496E943D"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5823EB21" w14:textId="77777777" w:rsidTr="00C83EA7">
        <w:trPr>
          <w:trHeight w:val="525"/>
          <w:jc w:val="center"/>
        </w:trPr>
        <w:tc>
          <w:tcPr>
            <w:tcW w:w="1350" w:type="dxa"/>
            <w:tcBorders>
              <w:top w:val="nil"/>
              <w:left w:val="nil"/>
              <w:bottom w:val="nil"/>
              <w:right w:val="nil"/>
            </w:tcBorders>
            <w:shd w:val="clear" w:color="auto" w:fill="auto"/>
            <w:noWrap/>
            <w:vAlign w:val="center"/>
            <w:hideMark/>
          </w:tcPr>
          <w:p w14:paraId="6F1611AD"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74D</w:t>
            </w:r>
          </w:p>
        </w:tc>
        <w:tc>
          <w:tcPr>
            <w:tcW w:w="5220" w:type="dxa"/>
            <w:tcBorders>
              <w:top w:val="nil"/>
              <w:left w:val="nil"/>
              <w:bottom w:val="nil"/>
              <w:right w:val="nil"/>
            </w:tcBorders>
            <w:shd w:val="clear" w:color="auto" w:fill="auto"/>
            <w:vAlign w:val="center"/>
            <w:hideMark/>
          </w:tcPr>
          <w:p w14:paraId="3CB102E6"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Département du développement humain, de l'éducation et de l’emploi</w:t>
            </w:r>
          </w:p>
        </w:tc>
        <w:tc>
          <w:tcPr>
            <w:tcW w:w="990" w:type="dxa"/>
            <w:tcBorders>
              <w:top w:val="nil"/>
              <w:left w:val="nil"/>
              <w:bottom w:val="nil"/>
              <w:right w:val="nil"/>
            </w:tcBorders>
            <w:shd w:val="clear" w:color="auto" w:fill="auto"/>
            <w:noWrap/>
            <w:vAlign w:val="center"/>
            <w:hideMark/>
          </w:tcPr>
          <w:p w14:paraId="6DC8FE81"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3 066,9</w:t>
            </w:r>
          </w:p>
        </w:tc>
        <w:tc>
          <w:tcPr>
            <w:tcW w:w="900" w:type="dxa"/>
            <w:tcBorders>
              <w:top w:val="nil"/>
              <w:left w:val="nil"/>
              <w:bottom w:val="nil"/>
              <w:right w:val="nil"/>
            </w:tcBorders>
            <w:shd w:val="clear" w:color="auto" w:fill="auto"/>
            <w:noWrap/>
            <w:vAlign w:val="center"/>
            <w:hideMark/>
          </w:tcPr>
          <w:p w14:paraId="52D8899B"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55FD089F"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7500396F"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74F</w:t>
            </w:r>
          </w:p>
        </w:tc>
        <w:tc>
          <w:tcPr>
            <w:tcW w:w="5220" w:type="dxa"/>
            <w:tcBorders>
              <w:top w:val="nil"/>
              <w:left w:val="nil"/>
              <w:bottom w:val="nil"/>
              <w:right w:val="nil"/>
            </w:tcBorders>
            <w:shd w:val="clear" w:color="auto" w:fill="auto"/>
            <w:vAlign w:val="center"/>
            <w:hideMark/>
          </w:tcPr>
          <w:p w14:paraId="24A85F79"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Réunions ministérielles et réunions des commissions interaméricaines du CIDI</w:t>
            </w:r>
          </w:p>
        </w:tc>
        <w:tc>
          <w:tcPr>
            <w:tcW w:w="990" w:type="dxa"/>
            <w:tcBorders>
              <w:top w:val="nil"/>
              <w:left w:val="nil"/>
              <w:bottom w:val="nil"/>
              <w:right w:val="nil"/>
            </w:tcBorders>
            <w:shd w:val="clear" w:color="auto" w:fill="auto"/>
            <w:noWrap/>
            <w:vAlign w:val="center"/>
            <w:hideMark/>
          </w:tcPr>
          <w:p w14:paraId="6A635A14"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149,8</w:t>
            </w:r>
          </w:p>
        </w:tc>
        <w:tc>
          <w:tcPr>
            <w:tcW w:w="900" w:type="dxa"/>
            <w:tcBorders>
              <w:top w:val="nil"/>
              <w:left w:val="nil"/>
              <w:bottom w:val="nil"/>
              <w:right w:val="nil"/>
            </w:tcBorders>
            <w:shd w:val="clear" w:color="auto" w:fill="auto"/>
            <w:noWrap/>
            <w:vAlign w:val="center"/>
            <w:hideMark/>
          </w:tcPr>
          <w:p w14:paraId="0083A928"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26D57AD8"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6740923A"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74G</w:t>
            </w:r>
          </w:p>
        </w:tc>
        <w:tc>
          <w:tcPr>
            <w:tcW w:w="5220" w:type="dxa"/>
            <w:tcBorders>
              <w:top w:val="nil"/>
              <w:left w:val="nil"/>
              <w:bottom w:val="nil"/>
              <w:right w:val="nil"/>
            </w:tcBorders>
            <w:shd w:val="clear" w:color="auto" w:fill="auto"/>
            <w:vAlign w:val="center"/>
            <w:hideMark/>
          </w:tcPr>
          <w:p w14:paraId="3336B7E7"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Secrétariat de la Commission interaméricaine des ports</w:t>
            </w:r>
          </w:p>
        </w:tc>
        <w:tc>
          <w:tcPr>
            <w:tcW w:w="990" w:type="dxa"/>
            <w:tcBorders>
              <w:top w:val="nil"/>
              <w:left w:val="nil"/>
              <w:bottom w:val="nil"/>
              <w:right w:val="nil"/>
            </w:tcBorders>
            <w:shd w:val="clear" w:color="auto" w:fill="auto"/>
            <w:noWrap/>
            <w:vAlign w:val="center"/>
            <w:hideMark/>
          </w:tcPr>
          <w:p w14:paraId="5539E3EC"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214,4</w:t>
            </w:r>
          </w:p>
        </w:tc>
        <w:tc>
          <w:tcPr>
            <w:tcW w:w="900" w:type="dxa"/>
            <w:tcBorders>
              <w:top w:val="nil"/>
              <w:left w:val="nil"/>
              <w:bottom w:val="nil"/>
              <w:right w:val="nil"/>
            </w:tcBorders>
            <w:shd w:val="clear" w:color="auto" w:fill="auto"/>
            <w:noWrap/>
            <w:vAlign w:val="center"/>
            <w:hideMark/>
          </w:tcPr>
          <w:p w14:paraId="28E9A7C2"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1E7B368C"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66D6813D"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74I</w:t>
            </w:r>
          </w:p>
        </w:tc>
        <w:tc>
          <w:tcPr>
            <w:tcW w:w="5220" w:type="dxa"/>
            <w:tcBorders>
              <w:top w:val="nil"/>
              <w:left w:val="nil"/>
              <w:bottom w:val="nil"/>
              <w:right w:val="nil"/>
            </w:tcBorders>
            <w:shd w:val="clear" w:color="auto" w:fill="auto"/>
            <w:vAlign w:val="center"/>
            <w:hideMark/>
          </w:tcPr>
          <w:p w14:paraId="4E28FA05"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Département du développement durable</w:t>
            </w:r>
          </w:p>
        </w:tc>
        <w:tc>
          <w:tcPr>
            <w:tcW w:w="990" w:type="dxa"/>
            <w:tcBorders>
              <w:top w:val="nil"/>
              <w:left w:val="nil"/>
              <w:bottom w:val="nil"/>
              <w:right w:val="nil"/>
            </w:tcBorders>
            <w:shd w:val="clear" w:color="auto" w:fill="auto"/>
            <w:noWrap/>
            <w:vAlign w:val="center"/>
            <w:hideMark/>
          </w:tcPr>
          <w:p w14:paraId="150C6B22"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838,1</w:t>
            </w:r>
          </w:p>
        </w:tc>
        <w:tc>
          <w:tcPr>
            <w:tcW w:w="900" w:type="dxa"/>
            <w:tcBorders>
              <w:top w:val="nil"/>
              <w:left w:val="nil"/>
              <w:bottom w:val="nil"/>
              <w:right w:val="nil"/>
            </w:tcBorders>
            <w:shd w:val="clear" w:color="auto" w:fill="auto"/>
            <w:noWrap/>
            <w:vAlign w:val="center"/>
            <w:hideMark/>
          </w:tcPr>
          <w:p w14:paraId="1876BE9C"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4238CA92" w14:textId="77777777" w:rsidTr="00C83EA7">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77E86475"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color w:val="000000"/>
                <w:lang w:val="fr-FR"/>
              </w:rPr>
              <w:t>Chapitre 7 – Secrétariat exécutif au développement intégré Total</w:t>
            </w:r>
          </w:p>
        </w:tc>
        <w:tc>
          <w:tcPr>
            <w:tcW w:w="990" w:type="dxa"/>
            <w:tcBorders>
              <w:top w:val="single" w:sz="4" w:space="0" w:color="auto"/>
              <w:left w:val="nil"/>
              <w:bottom w:val="single" w:sz="4" w:space="0" w:color="auto"/>
              <w:right w:val="nil"/>
            </w:tcBorders>
            <w:shd w:val="clear" w:color="auto" w:fill="auto"/>
            <w:noWrap/>
            <w:vAlign w:val="center"/>
            <w:hideMark/>
          </w:tcPr>
          <w:p w14:paraId="2962E746"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7 575,2</w:t>
            </w:r>
          </w:p>
        </w:tc>
        <w:tc>
          <w:tcPr>
            <w:tcW w:w="900" w:type="dxa"/>
            <w:tcBorders>
              <w:top w:val="single" w:sz="4" w:space="0" w:color="auto"/>
              <w:left w:val="nil"/>
              <w:bottom w:val="single" w:sz="4" w:space="0" w:color="auto"/>
              <w:right w:val="nil"/>
            </w:tcBorders>
            <w:shd w:val="clear" w:color="auto" w:fill="auto"/>
            <w:noWrap/>
            <w:vAlign w:val="center"/>
            <w:hideMark/>
          </w:tcPr>
          <w:p w14:paraId="524F2B31"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282,9</w:t>
            </w:r>
          </w:p>
        </w:tc>
      </w:tr>
      <w:tr w:rsidR="008B1794" w:rsidRPr="00623A2B" w14:paraId="704A6169"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17C01FBA" w14:textId="77777777" w:rsidR="008B1794" w:rsidRPr="00623A2B" w:rsidRDefault="008B1794" w:rsidP="00C83EA7">
            <w:pPr>
              <w:jc w:val="right"/>
              <w:rPr>
                <w:rFonts w:ascii="Times New Roman" w:hAnsi="Times New Roman"/>
                <w:b/>
                <w:bCs/>
                <w:color w:val="000000"/>
                <w:lang w:val="fr-FR"/>
              </w:rPr>
            </w:pPr>
          </w:p>
        </w:tc>
        <w:tc>
          <w:tcPr>
            <w:tcW w:w="5220" w:type="dxa"/>
            <w:tcBorders>
              <w:top w:val="nil"/>
              <w:left w:val="nil"/>
              <w:bottom w:val="nil"/>
              <w:right w:val="nil"/>
            </w:tcBorders>
            <w:shd w:val="clear" w:color="auto" w:fill="auto"/>
            <w:vAlign w:val="center"/>
            <w:hideMark/>
          </w:tcPr>
          <w:p w14:paraId="408DF07F" w14:textId="77777777" w:rsidR="008B1794" w:rsidRPr="00623A2B" w:rsidRDefault="008B1794" w:rsidP="00C83EA7">
            <w:pPr>
              <w:rPr>
                <w:rFonts w:ascii="Times New Roman" w:hAnsi="Times New Roman"/>
                <w:lang w:val="fr-FR"/>
              </w:rPr>
            </w:pPr>
          </w:p>
        </w:tc>
        <w:tc>
          <w:tcPr>
            <w:tcW w:w="990" w:type="dxa"/>
            <w:tcBorders>
              <w:top w:val="nil"/>
              <w:left w:val="nil"/>
              <w:bottom w:val="nil"/>
              <w:right w:val="nil"/>
            </w:tcBorders>
            <w:shd w:val="clear" w:color="auto" w:fill="auto"/>
            <w:noWrap/>
            <w:vAlign w:val="center"/>
            <w:hideMark/>
          </w:tcPr>
          <w:p w14:paraId="20500E62" w14:textId="77777777" w:rsidR="008B1794" w:rsidRPr="00623A2B" w:rsidRDefault="008B1794" w:rsidP="00C83EA7">
            <w:pPr>
              <w:rPr>
                <w:rFonts w:ascii="Times New Roman" w:hAnsi="Times New Roman"/>
                <w:lang w:val="fr-FR"/>
              </w:rPr>
            </w:pPr>
          </w:p>
        </w:tc>
        <w:tc>
          <w:tcPr>
            <w:tcW w:w="900" w:type="dxa"/>
            <w:tcBorders>
              <w:top w:val="nil"/>
              <w:left w:val="nil"/>
              <w:bottom w:val="nil"/>
              <w:right w:val="nil"/>
            </w:tcBorders>
            <w:shd w:val="clear" w:color="auto" w:fill="auto"/>
            <w:noWrap/>
            <w:vAlign w:val="center"/>
            <w:hideMark/>
          </w:tcPr>
          <w:p w14:paraId="3A447BB3" w14:textId="77777777" w:rsidR="008B1794" w:rsidRPr="00623A2B" w:rsidRDefault="008B1794" w:rsidP="00C83EA7">
            <w:pPr>
              <w:rPr>
                <w:rFonts w:ascii="Times New Roman" w:hAnsi="Times New Roman"/>
                <w:lang w:val="fr-FR"/>
              </w:rPr>
            </w:pPr>
          </w:p>
        </w:tc>
      </w:tr>
      <w:tr w:rsidR="008B1794" w:rsidRPr="00213B6A" w14:paraId="5D40C21D" w14:textId="77777777" w:rsidTr="00C83EA7">
        <w:trPr>
          <w:trHeight w:val="263"/>
          <w:jc w:val="center"/>
        </w:trPr>
        <w:tc>
          <w:tcPr>
            <w:tcW w:w="6570" w:type="dxa"/>
            <w:gridSpan w:val="2"/>
            <w:tcBorders>
              <w:top w:val="nil"/>
              <w:left w:val="nil"/>
              <w:bottom w:val="nil"/>
              <w:right w:val="nil"/>
            </w:tcBorders>
            <w:shd w:val="clear" w:color="auto" w:fill="auto"/>
            <w:noWrap/>
            <w:vAlign w:val="center"/>
            <w:hideMark/>
          </w:tcPr>
          <w:p w14:paraId="7087DBBF"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color w:val="000000"/>
                <w:lang w:val="fr-FR"/>
              </w:rPr>
              <w:t>Chapitre 8 – Secrétariat à la sécurité multidimensionnelle</w:t>
            </w:r>
          </w:p>
        </w:tc>
        <w:tc>
          <w:tcPr>
            <w:tcW w:w="990" w:type="dxa"/>
            <w:tcBorders>
              <w:top w:val="nil"/>
              <w:left w:val="nil"/>
              <w:bottom w:val="nil"/>
              <w:right w:val="nil"/>
            </w:tcBorders>
            <w:shd w:val="clear" w:color="auto" w:fill="auto"/>
            <w:noWrap/>
            <w:vAlign w:val="center"/>
            <w:hideMark/>
          </w:tcPr>
          <w:p w14:paraId="27063017" w14:textId="77777777" w:rsidR="008B1794" w:rsidRPr="00623A2B" w:rsidRDefault="008B1794" w:rsidP="00C83EA7">
            <w:pPr>
              <w:rPr>
                <w:rFonts w:ascii="Times New Roman" w:hAnsi="Times New Roman"/>
                <w:b/>
                <w:bCs/>
                <w:color w:val="000000"/>
                <w:lang w:val="fr-FR"/>
              </w:rPr>
            </w:pPr>
          </w:p>
        </w:tc>
        <w:tc>
          <w:tcPr>
            <w:tcW w:w="900" w:type="dxa"/>
            <w:tcBorders>
              <w:top w:val="nil"/>
              <w:left w:val="nil"/>
              <w:bottom w:val="nil"/>
              <w:right w:val="nil"/>
            </w:tcBorders>
            <w:shd w:val="clear" w:color="auto" w:fill="auto"/>
            <w:noWrap/>
            <w:vAlign w:val="center"/>
            <w:hideMark/>
          </w:tcPr>
          <w:p w14:paraId="336FA604" w14:textId="77777777" w:rsidR="008B1794" w:rsidRPr="00623A2B" w:rsidRDefault="008B1794" w:rsidP="00C83EA7">
            <w:pPr>
              <w:rPr>
                <w:rFonts w:ascii="Times New Roman" w:hAnsi="Times New Roman"/>
                <w:lang w:val="fr-FR"/>
              </w:rPr>
            </w:pPr>
          </w:p>
        </w:tc>
      </w:tr>
      <w:tr w:rsidR="008B1794" w:rsidRPr="00623A2B" w14:paraId="48A0DB69"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1863CA80"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84A</w:t>
            </w:r>
          </w:p>
        </w:tc>
        <w:tc>
          <w:tcPr>
            <w:tcW w:w="5220" w:type="dxa"/>
            <w:tcBorders>
              <w:top w:val="nil"/>
              <w:left w:val="nil"/>
              <w:bottom w:val="nil"/>
              <w:right w:val="nil"/>
            </w:tcBorders>
            <w:shd w:val="clear" w:color="auto" w:fill="auto"/>
            <w:vAlign w:val="center"/>
            <w:hideMark/>
          </w:tcPr>
          <w:p w14:paraId="475C3C8F"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Secrétariat à la sécurité multidimensionnelle</w:t>
            </w:r>
          </w:p>
        </w:tc>
        <w:tc>
          <w:tcPr>
            <w:tcW w:w="990" w:type="dxa"/>
            <w:tcBorders>
              <w:top w:val="nil"/>
              <w:left w:val="nil"/>
              <w:bottom w:val="nil"/>
              <w:right w:val="nil"/>
            </w:tcBorders>
            <w:shd w:val="clear" w:color="auto" w:fill="auto"/>
            <w:noWrap/>
            <w:vAlign w:val="center"/>
            <w:hideMark/>
          </w:tcPr>
          <w:p w14:paraId="388C0C4C"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910,5</w:t>
            </w:r>
          </w:p>
        </w:tc>
        <w:tc>
          <w:tcPr>
            <w:tcW w:w="900" w:type="dxa"/>
            <w:tcBorders>
              <w:top w:val="nil"/>
              <w:left w:val="nil"/>
              <w:bottom w:val="nil"/>
              <w:right w:val="nil"/>
            </w:tcBorders>
            <w:shd w:val="clear" w:color="auto" w:fill="auto"/>
            <w:noWrap/>
            <w:vAlign w:val="center"/>
            <w:hideMark/>
          </w:tcPr>
          <w:p w14:paraId="6FC08AFC"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318,0</w:t>
            </w:r>
          </w:p>
        </w:tc>
      </w:tr>
      <w:tr w:rsidR="008B1794" w:rsidRPr="00623A2B" w14:paraId="2B0A6E30" w14:textId="77777777" w:rsidTr="00C83EA7">
        <w:trPr>
          <w:trHeight w:val="525"/>
          <w:jc w:val="center"/>
        </w:trPr>
        <w:tc>
          <w:tcPr>
            <w:tcW w:w="1350" w:type="dxa"/>
            <w:tcBorders>
              <w:top w:val="nil"/>
              <w:left w:val="nil"/>
              <w:bottom w:val="nil"/>
              <w:right w:val="nil"/>
            </w:tcBorders>
            <w:shd w:val="clear" w:color="auto" w:fill="auto"/>
            <w:noWrap/>
            <w:vAlign w:val="center"/>
            <w:hideMark/>
          </w:tcPr>
          <w:p w14:paraId="5E0E1A58"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84D</w:t>
            </w:r>
          </w:p>
        </w:tc>
        <w:tc>
          <w:tcPr>
            <w:tcW w:w="5220" w:type="dxa"/>
            <w:tcBorders>
              <w:top w:val="nil"/>
              <w:left w:val="nil"/>
              <w:bottom w:val="nil"/>
              <w:right w:val="nil"/>
            </w:tcBorders>
            <w:shd w:val="clear" w:color="auto" w:fill="auto"/>
            <w:vAlign w:val="center"/>
            <w:hideMark/>
          </w:tcPr>
          <w:p w14:paraId="5E157B95"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Secrétariat du Comité interaméricain contre le terrorisme (CICTE)</w:t>
            </w:r>
          </w:p>
        </w:tc>
        <w:tc>
          <w:tcPr>
            <w:tcW w:w="990" w:type="dxa"/>
            <w:tcBorders>
              <w:top w:val="nil"/>
              <w:left w:val="nil"/>
              <w:bottom w:val="nil"/>
              <w:right w:val="nil"/>
            </w:tcBorders>
            <w:shd w:val="clear" w:color="auto" w:fill="auto"/>
            <w:noWrap/>
            <w:vAlign w:val="center"/>
            <w:hideMark/>
          </w:tcPr>
          <w:p w14:paraId="7932E642"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546,5</w:t>
            </w:r>
          </w:p>
        </w:tc>
        <w:tc>
          <w:tcPr>
            <w:tcW w:w="900" w:type="dxa"/>
            <w:tcBorders>
              <w:top w:val="nil"/>
              <w:left w:val="nil"/>
              <w:bottom w:val="nil"/>
              <w:right w:val="nil"/>
            </w:tcBorders>
            <w:shd w:val="clear" w:color="auto" w:fill="auto"/>
            <w:noWrap/>
            <w:vAlign w:val="center"/>
            <w:hideMark/>
          </w:tcPr>
          <w:p w14:paraId="30B857BB"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152,5</w:t>
            </w:r>
          </w:p>
        </w:tc>
      </w:tr>
      <w:tr w:rsidR="008B1794" w:rsidRPr="00623A2B" w14:paraId="1DB11E08"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4A31E554"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84E</w:t>
            </w:r>
          </w:p>
        </w:tc>
        <w:tc>
          <w:tcPr>
            <w:tcW w:w="5220" w:type="dxa"/>
            <w:tcBorders>
              <w:top w:val="nil"/>
              <w:left w:val="nil"/>
              <w:bottom w:val="nil"/>
              <w:right w:val="nil"/>
            </w:tcBorders>
            <w:shd w:val="clear" w:color="auto" w:fill="auto"/>
            <w:vAlign w:val="center"/>
            <w:hideMark/>
          </w:tcPr>
          <w:p w14:paraId="7737A2B3"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Département de la sécurité publique</w:t>
            </w:r>
          </w:p>
        </w:tc>
        <w:tc>
          <w:tcPr>
            <w:tcW w:w="990" w:type="dxa"/>
            <w:tcBorders>
              <w:top w:val="nil"/>
              <w:left w:val="nil"/>
              <w:bottom w:val="nil"/>
              <w:right w:val="nil"/>
            </w:tcBorders>
            <w:shd w:val="clear" w:color="auto" w:fill="auto"/>
            <w:noWrap/>
            <w:vAlign w:val="center"/>
            <w:hideMark/>
          </w:tcPr>
          <w:p w14:paraId="2C69AF67"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801,7</w:t>
            </w:r>
          </w:p>
        </w:tc>
        <w:tc>
          <w:tcPr>
            <w:tcW w:w="900" w:type="dxa"/>
            <w:tcBorders>
              <w:top w:val="nil"/>
              <w:left w:val="nil"/>
              <w:bottom w:val="nil"/>
              <w:right w:val="nil"/>
            </w:tcBorders>
            <w:shd w:val="clear" w:color="auto" w:fill="auto"/>
            <w:noWrap/>
            <w:vAlign w:val="center"/>
            <w:hideMark/>
          </w:tcPr>
          <w:p w14:paraId="6D7ADE5A"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86,1</w:t>
            </w:r>
          </w:p>
        </w:tc>
      </w:tr>
      <w:tr w:rsidR="008B1794" w:rsidRPr="00623A2B" w14:paraId="399BBDA0"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2ED9CBC9"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84F</w:t>
            </w:r>
          </w:p>
        </w:tc>
        <w:tc>
          <w:tcPr>
            <w:tcW w:w="5220" w:type="dxa"/>
            <w:tcBorders>
              <w:top w:val="nil"/>
              <w:left w:val="nil"/>
              <w:bottom w:val="nil"/>
              <w:right w:val="nil"/>
            </w:tcBorders>
            <w:shd w:val="clear" w:color="auto" w:fill="auto"/>
            <w:vAlign w:val="center"/>
            <w:hideMark/>
          </w:tcPr>
          <w:p w14:paraId="746B9E4E"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Réunions sur la sécurité multidimensionnelle</w:t>
            </w:r>
          </w:p>
        </w:tc>
        <w:tc>
          <w:tcPr>
            <w:tcW w:w="990" w:type="dxa"/>
            <w:tcBorders>
              <w:top w:val="nil"/>
              <w:left w:val="nil"/>
              <w:bottom w:val="nil"/>
              <w:right w:val="nil"/>
            </w:tcBorders>
            <w:shd w:val="clear" w:color="auto" w:fill="auto"/>
            <w:noWrap/>
            <w:vAlign w:val="center"/>
            <w:hideMark/>
          </w:tcPr>
          <w:p w14:paraId="5FA510B1"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42,0</w:t>
            </w:r>
          </w:p>
        </w:tc>
        <w:tc>
          <w:tcPr>
            <w:tcW w:w="900" w:type="dxa"/>
            <w:tcBorders>
              <w:top w:val="nil"/>
              <w:left w:val="nil"/>
              <w:bottom w:val="nil"/>
              <w:right w:val="nil"/>
            </w:tcBorders>
            <w:shd w:val="clear" w:color="auto" w:fill="auto"/>
            <w:noWrap/>
            <w:vAlign w:val="center"/>
            <w:hideMark/>
          </w:tcPr>
          <w:p w14:paraId="5A7E47F7"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1FBDACE1" w14:textId="77777777" w:rsidTr="00C83EA7">
        <w:trPr>
          <w:trHeight w:val="525"/>
          <w:jc w:val="center"/>
        </w:trPr>
        <w:tc>
          <w:tcPr>
            <w:tcW w:w="1350" w:type="dxa"/>
            <w:tcBorders>
              <w:top w:val="nil"/>
              <w:left w:val="nil"/>
              <w:bottom w:val="nil"/>
              <w:right w:val="nil"/>
            </w:tcBorders>
            <w:shd w:val="clear" w:color="auto" w:fill="auto"/>
            <w:noWrap/>
            <w:vAlign w:val="center"/>
            <w:hideMark/>
          </w:tcPr>
          <w:p w14:paraId="26C6765F"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84G</w:t>
            </w:r>
          </w:p>
        </w:tc>
        <w:tc>
          <w:tcPr>
            <w:tcW w:w="5220" w:type="dxa"/>
            <w:tcBorders>
              <w:top w:val="nil"/>
              <w:left w:val="nil"/>
              <w:bottom w:val="nil"/>
              <w:right w:val="nil"/>
            </w:tcBorders>
            <w:shd w:val="clear" w:color="auto" w:fill="auto"/>
            <w:vAlign w:val="center"/>
            <w:hideMark/>
          </w:tcPr>
          <w:p w14:paraId="26B7ECC9"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Secrétariat exécutif de la Commission interaméricaine de lutte contre l’abus des drogues (CICAD)</w:t>
            </w:r>
          </w:p>
        </w:tc>
        <w:tc>
          <w:tcPr>
            <w:tcW w:w="990" w:type="dxa"/>
            <w:tcBorders>
              <w:top w:val="nil"/>
              <w:left w:val="nil"/>
              <w:bottom w:val="nil"/>
              <w:right w:val="nil"/>
            </w:tcBorders>
            <w:shd w:val="clear" w:color="auto" w:fill="auto"/>
            <w:noWrap/>
            <w:vAlign w:val="center"/>
            <w:hideMark/>
          </w:tcPr>
          <w:p w14:paraId="79039F6D"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1 137,6</w:t>
            </w:r>
          </w:p>
        </w:tc>
        <w:tc>
          <w:tcPr>
            <w:tcW w:w="900" w:type="dxa"/>
            <w:tcBorders>
              <w:top w:val="nil"/>
              <w:left w:val="nil"/>
              <w:bottom w:val="nil"/>
              <w:right w:val="nil"/>
            </w:tcBorders>
            <w:shd w:val="clear" w:color="auto" w:fill="auto"/>
            <w:noWrap/>
            <w:vAlign w:val="center"/>
            <w:hideMark/>
          </w:tcPr>
          <w:p w14:paraId="1B081295"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207,2</w:t>
            </w:r>
          </w:p>
        </w:tc>
      </w:tr>
      <w:tr w:rsidR="008B1794" w:rsidRPr="00623A2B" w14:paraId="3A8AB772"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4A9E09E8"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84H</w:t>
            </w:r>
          </w:p>
        </w:tc>
        <w:tc>
          <w:tcPr>
            <w:tcW w:w="5220" w:type="dxa"/>
            <w:tcBorders>
              <w:top w:val="nil"/>
              <w:left w:val="nil"/>
              <w:bottom w:val="nil"/>
              <w:right w:val="nil"/>
            </w:tcBorders>
            <w:shd w:val="clear" w:color="auto" w:fill="auto"/>
            <w:vAlign w:val="center"/>
            <w:hideMark/>
          </w:tcPr>
          <w:p w14:paraId="2BEEDEC7"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Département contre la criminalité transnationale organisée</w:t>
            </w:r>
          </w:p>
        </w:tc>
        <w:tc>
          <w:tcPr>
            <w:tcW w:w="990" w:type="dxa"/>
            <w:tcBorders>
              <w:top w:val="nil"/>
              <w:left w:val="nil"/>
              <w:bottom w:val="nil"/>
              <w:right w:val="nil"/>
            </w:tcBorders>
            <w:shd w:val="clear" w:color="auto" w:fill="auto"/>
            <w:noWrap/>
            <w:vAlign w:val="center"/>
            <w:hideMark/>
          </w:tcPr>
          <w:p w14:paraId="05E53570"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396,8</w:t>
            </w:r>
          </w:p>
        </w:tc>
        <w:tc>
          <w:tcPr>
            <w:tcW w:w="900" w:type="dxa"/>
            <w:tcBorders>
              <w:top w:val="nil"/>
              <w:left w:val="nil"/>
              <w:bottom w:val="nil"/>
              <w:right w:val="nil"/>
            </w:tcBorders>
            <w:shd w:val="clear" w:color="auto" w:fill="auto"/>
            <w:noWrap/>
            <w:vAlign w:val="center"/>
            <w:hideMark/>
          </w:tcPr>
          <w:p w14:paraId="453FC58E"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31923269" w14:textId="77777777" w:rsidTr="00C83EA7">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76AC689A"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color w:val="000000"/>
                <w:lang w:val="fr-FR"/>
              </w:rPr>
              <w:t>Chapitre 8 – Secrétariat à la sécurité multidimensionnelle Total</w:t>
            </w:r>
          </w:p>
        </w:tc>
        <w:tc>
          <w:tcPr>
            <w:tcW w:w="990" w:type="dxa"/>
            <w:tcBorders>
              <w:top w:val="single" w:sz="4" w:space="0" w:color="auto"/>
              <w:left w:val="nil"/>
              <w:bottom w:val="single" w:sz="4" w:space="0" w:color="auto"/>
              <w:right w:val="nil"/>
            </w:tcBorders>
            <w:shd w:val="clear" w:color="auto" w:fill="auto"/>
            <w:noWrap/>
            <w:vAlign w:val="center"/>
            <w:hideMark/>
          </w:tcPr>
          <w:p w14:paraId="4F35D421"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3 835,1</w:t>
            </w:r>
          </w:p>
        </w:tc>
        <w:tc>
          <w:tcPr>
            <w:tcW w:w="900" w:type="dxa"/>
            <w:tcBorders>
              <w:top w:val="single" w:sz="4" w:space="0" w:color="auto"/>
              <w:left w:val="nil"/>
              <w:bottom w:val="single" w:sz="4" w:space="0" w:color="auto"/>
              <w:right w:val="nil"/>
            </w:tcBorders>
            <w:shd w:val="clear" w:color="auto" w:fill="auto"/>
            <w:noWrap/>
            <w:vAlign w:val="center"/>
            <w:hideMark/>
          </w:tcPr>
          <w:p w14:paraId="5F17DD50"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763,8</w:t>
            </w:r>
          </w:p>
        </w:tc>
      </w:tr>
      <w:tr w:rsidR="008B1794" w:rsidRPr="00623A2B" w14:paraId="41BDAFC0"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50A4B2A5" w14:textId="77777777" w:rsidR="008B1794" w:rsidRPr="00623A2B" w:rsidRDefault="008B1794" w:rsidP="00C83EA7">
            <w:pPr>
              <w:jc w:val="right"/>
              <w:rPr>
                <w:rFonts w:ascii="Times New Roman" w:hAnsi="Times New Roman"/>
                <w:b/>
                <w:bCs/>
                <w:color w:val="000000"/>
                <w:lang w:val="fr-FR"/>
              </w:rPr>
            </w:pPr>
          </w:p>
        </w:tc>
        <w:tc>
          <w:tcPr>
            <w:tcW w:w="5220" w:type="dxa"/>
            <w:tcBorders>
              <w:top w:val="nil"/>
              <w:left w:val="nil"/>
              <w:bottom w:val="nil"/>
              <w:right w:val="nil"/>
            </w:tcBorders>
            <w:shd w:val="clear" w:color="auto" w:fill="auto"/>
            <w:vAlign w:val="center"/>
            <w:hideMark/>
          </w:tcPr>
          <w:p w14:paraId="59664F3D" w14:textId="77777777" w:rsidR="008B1794" w:rsidRPr="00623A2B" w:rsidRDefault="008B1794" w:rsidP="00C83EA7">
            <w:pPr>
              <w:rPr>
                <w:rFonts w:ascii="Times New Roman" w:hAnsi="Times New Roman"/>
                <w:lang w:val="fr-FR"/>
              </w:rPr>
            </w:pPr>
          </w:p>
        </w:tc>
        <w:tc>
          <w:tcPr>
            <w:tcW w:w="990" w:type="dxa"/>
            <w:tcBorders>
              <w:top w:val="nil"/>
              <w:left w:val="nil"/>
              <w:bottom w:val="nil"/>
              <w:right w:val="nil"/>
            </w:tcBorders>
            <w:shd w:val="clear" w:color="auto" w:fill="auto"/>
            <w:noWrap/>
            <w:vAlign w:val="center"/>
            <w:hideMark/>
          </w:tcPr>
          <w:p w14:paraId="44FAB532" w14:textId="77777777" w:rsidR="008B1794" w:rsidRPr="00623A2B" w:rsidRDefault="008B1794" w:rsidP="00C83EA7">
            <w:pPr>
              <w:rPr>
                <w:rFonts w:ascii="Times New Roman" w:hAnsi="Times New Roman"/>
                <w:lang w:val="fr-FR"/>
              </w:rPr>
            </w:pPr>
          </w:p>
        </w:tc>
        <w:tc>
          <w:tcPr>
            <w:tcW w:w="900" w:type="dxa"/>
            <w:tcBorders>
              <w:top w:val="nil"/>
              <w:left w:val="nil"/>
              <w:bottom w:val="nil"/>
              <w:right w:val="nil"/>
            </w:tcBorders>
            <w:shd w:val="clear" w:color="auto" w:fill="auto"/>
            <w:noWrap/>
            <w:vAlign w:val="center"/>
            <w:hideMark/>
          </w:tcPr>
          <w:p w14:paraId="6106176E" w14:textId="77777777" w:rsidR="008B1794" w:rsidRPr="00623A2B" w:rsidRDefault="008B1794" w:rsidP="00C83EA7">
            <w:pPr>
              <w:rPr>
                <w:rFonts w:ascii="Times New Roman" w:hAnsi="Times New Roman"/>
                <w:lang w:val="fr-FR"/>
              </w:rPr>
            </w:pPr>
          </w:p>
        </w:tc>
      </w:tr>
      <w:tr w:rsidR="008B1794" w:rsidRPr="00213B6A" w14:paraId="79A859E4" w14:textId="77777777" w:rsidTr="00C83EA7">
        <w:trPr>
          <w:trHeight w:val="263"/>
          <w:jc w:val="center"/>
        </w:trPr>
        <w:tc>
          <w:tcPr>
            <w:tcW w:w="6570" w:type="dxa"/>
            <w:gridSpan w:val="2"/>
            <w:tcBorders>
              <w:top w:val="nil"/>
              <w:left w:val="nil"/>
              <w:bottom w:val="nil"/>
              <w:right w:val="nil"/>
            </w:tcBorders>
            <w:shd w:val="clear" w:color="auto" w:fill="auto"/>
            <w:noWrap/>
            <w:vAlign w:val="center"/>
            <w:hideMark/>
          </w:tcPr>
          <w:p w14:paraId="250C3BF5"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color w:val="000000"/>
                <w:lang w:val="fr-FR"/>
              </w:rPr>
              <w:t>Chapitre 9 – Secrétariat aux questions continentales</w:t>
            </w:r>
          </w:p>
        </w:tc>
        <w:tc>
          <w:tcPr>
            <w:tcW w:w="990" w:type="dxa"/>
            <w:tcBorders>
              <w:top w:val="nil"/>
              <w:left w:val="nil"/>
              <w:bottom w:val="nil"/>
              <w:right w:val="nil"/>
            </w:tcBorders>
            <w:shd w:val="clear" w:color="auto" w:fill="auto"/>
            <w:noWrap/>
            <w:vAlign w:val="center"/>
            <w:hideMark/>
          </w:tcPr>
          <w:p w14:paraId="6164EC5C" w14:textId="77777777" w:rsidR="008B1794" w:rsidRPr="00623A2B" w:rsidRDefault="008B1794" w:rsidP="00C83EA7">
            <w:pPr>
              <w:rPr>
                <w:rFonts w:ascii="Times New Roman" w:hAnsi="Times New Roman"/>
                <w:b/>
                <w:bCs/>
                <w:color w:val="000000"/>
                <w:lang w:val="fr-FR"/>
              </w:rPr>
            </w:pPr>
          </w:p>
        </w:tc>
        <w:tc>
          <w:tcPr>
            <w:tcW w:w="900" w:type="dxa"/>
            <w:tcBorders>
              <w:top w:val="nil"/>
              <w:left w:val="nil"/>
              <w:bottom w:val="nil"/>
              <w:right w:val="nil"/>
            </w:tcBorders>
            <w:shd w:val="clear" w:color="auto" w:fill="auto"/>
            <w:noWrap/>
            <w:vAlign w:val="center"/>
            <w:hideMark/>
          </w:tcPr>
          <w:p w14:paraId="77CC74C3" w14:textId="77777777" w:rsidR="008B1794" w:rsidRPr="00623A2B" w:rsidRDefault="008B1794" w:rsidP="00C83EA7">
            <w:pPr>
              <w:rPr>
                <w:rFonts w:ascii="Times New Roman" w:hAnsi="Times New Roman"/>
                <w:lang w:val="fr-FR"/>
              </w:rPr>
            </w:pPr>
          </w:p>
        </w:tc>
      </w:tr>
      <w:tr w:rsidR="008B1794" w:rsidRPr="00623A2B" w14:paraId="542E59B0"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4A8D862D"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94A</w:t>
            </w:r>
          </w:p>
        </w:tc>
        <w:tc>
          <w:tcPr>
            <w:tcW w:w="5220" w:type="dxa"/>
            <w:tcBorders>
              <w:top w:val="nil"/>
              <w:left w:val="nil"/>
              <w:bottom w:val="nil"/>
              <w:right w:val="nil"/>
            </w:tcBorders>
            <w:shd w:val="clear" w:color="auto" w:fill="auto"/>
            <w:vAlign w:val="center"/>
            <w:hideMark/>
          </w:tcPr>
          <w:p w14:paraId="32613A0D"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Secrétariat aux questions continentales</w:t>
            </w:r>
          </w:p>
        </w:tc>
        <w:tc>
          <w:tcPr>
            <w:tcW w:w="990" w:type="dxa"/>
            <w:tcBorders>
              <w:top w:val="nil"/>
              <w:left w:val="nil"/>
              <w:bottom w:val="nil"/>
              <w:right w:val="nil"/>
            </w:tcBorders>
            <w:shd w:val="clear" w:color="auto" w:fill="auto"/>
            <w:noWrap/>
            <w:vAlign w:val="center"/>
            <w:hideMark/>
          </w:tcPr>
          <w:p w14:paraId="56FCC60F"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555,3</w:t>
            </w:r>
          </w:p>
        </w:tc>
        <w:tc>
          <w:tcPr>
            <w:tcW w:w="900" w:type="dxa"/>
            <w:tcBorders>
              <w:top w:val="nil"/>
              <w:left w:val="nil"/>
              <w:bottom w:val="nil"/>
              <w:right w:val="nil"/>
            </w:tcBorders>
            <w:shd w:val="clear" w:color="auto" w:fill="auto"/>
            <w:noWrap/>
            <w:vAlign w:val="center"/>
            <w:hideMark/>
          </w:tcPr>
          <w:p w14:paraId="3A471646"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30,0</w:t>
            </w:r>
          </w:p>
        </w:tc>
      </w:tr>
      <w:tr w:rsidR="008B1794" w:rsidRPr="00623A2B" w14:paraId="7C56FD83"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1133A21C"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94B</w:t>
            </w:r>
          </w:p>
        </w:tc>
        <w:tc>
          <w:tcPr>
            <w:tcW w:w="5220" w:type="dxa"/>
            <w:tcBorders>
              <w:top w:val="nil"/>
              <w:left w:val="nil"/>
              <w:bottom w:val="nil"/>
              <w:right w:val="nil"/>
            </w:tcBorders>
            <w:shd w:val="clear" w:color="auto" w:fill="auto"/>
            <w:vAlign w:val="center"/>
            <w:hideMark/>
          </w:tcPr>
          <w:p w14:paraId="04DED89A"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Département pour l’efficacité dans la gestion publique</w:t>
            </w:r>
          </w:p>
        </w:tc>
        <w:tc>
          <w:tcPr>
            <w:tcW w:w="990" w:type="dxa"/>
            <w:tcBorders>
              <w:top w:val="nil"/>
              <w:left w:val="nil"/>
              <w:bottom w:val="nil"/>
              <w:right w:val="nil"/>
            </w:tcBorders>
            <w:shd w:val="clear" w:color="auto" w:fill="auto"/>
            <w:noWrap/>
            <w:vAlign w:val="center"/>
            <w:hideMark/>
          </w:tcPr>
          <w:p w14:paraId="742849E8"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720,2</w:t>
            </w:r>
          </w:p>
        </w:tc>
        <w:tc>
          <w:tcPr>
            <w:tcW w:w="900" w:type="dxa"/>
            <w:tcBorders>
              <w:top w:val="nil"/>
              <w:left w:val="nil"/>
              <w:bottom w:val="nil"/>
              <w:right w:val="nil"/>
            </w:tcBorders>
            <w:shd w:val="clear" w:color="auto" w:fill="auto"/>
            <w:noWrap/>
            <w:vAlign w:val="center"/>
            <w:hideMark/>
          </w:tcPr>
          <w:p w14:paraId="48A851CD"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72C76CB7"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304874D7"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94D</w:t>
            </w:r>
          </w:p>
        </w:tc>
        <w:tc>
          <w:tcPr>
            <w:tcW w:w="5220" w:type="dxa"/>
            <w:tcBorders>
              <w:top w:val="nil"/>
              <w:left w:val="nil"/>
              <w:bottom w:val="nil"/>
              <w:right w:val="nil"/>
            </w:tcBorders>
            <w:shd w:val="clear" w:color="auto" w:fill="auto"/>
            <w:vAlign w:val="center"/>
            <w:hideMark/>
          </w:tcPr>
          <w:p w14:paraId="66B72575"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Musée d’art des Amériques</w:t>
            </w:r>
          </w:p>
        </w:tc>
        <w:tc>
          <w:tcPr>
            <w:tcW w:w="990" w:type="dxa"/>
            <w:tcBorders>
              <w:top w:val="nil"/>
              <w:left w:val="nil"/>
              <w:bottom w:val="nil"/>
              <w:right w:val="nil"/>
            </w:tcBorders>
            <w:shd w:val="clear" w:color="auto" w:fill="auto"/>
            <w:noWrap/>
            <w:vAlign w:val="center"/>
            <w:hideMark/>
          </w:tcPr>
          <w:p w14:paraId="1B24F30A"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376,0</w:t>
            </w:r>
          </w:p>
        </w:tc>
        <w:tc>
          <w:tcPr>
            <w:tcW w:w="900" w:type="dxa"/>
            <w:tcBorders>
              <w:top w:val="nil"/>
              <w:left w:val="nil"/>
              <w:bottom w:val="nil"/>
              <w:right w:val="nil"/>
            </w:tcBorders>
            <w:shd w:val="clear" w:color="auto" w:fill="auto"/>
            <w:noWrap/>
            <w:vAlign w:val="center"/>
            <w:hideMark/>
          </w:tcPr>
          <w:p w14:paraId="738C91EF"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3F60B64D"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67A2A216"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94E</w:t>
            </w:r>
          </w:p>
        </w:tc>
        <w:tc>
          <w:tcPr>
            <w:tcW w:w="5220" w:type="dxa"/>
            <w:tcBorders>
              <w:top w:val="nil"/>
              <w:left w:val="nil"/>
              <w:bottom w:val="nil"/>
              <w:right w:val="nil"/>
            </w:tcBorders>
            <w:shd w:val="clear" w:color="auto" w:fill="auto"/>
            <w:vAlign w:val="center"/>
            <w:hideMark/>
          </w:tcPr>
          <w:p w14:paraId="65311EB3"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Secrétariat aux Sommets</w:t>
            </w:r>
          </w:p>
        </w:tc>
        <w:tc>
          <w:tcPr>
            <w:tcW w:w="990" w:type="dxa"/>
            <w:tcBorders>
              <w:top w:val="nil"/>
              <w:left w:val="nil"/>
              <w:bottom w:val="nil"/>
              <w:right w:val="nil"/>
            </w:tcBorders>
            <w:shd w:val="clear" w:color="auto" w:fill="auto"/>
            <w:noWrap/>
            <w:vAlign w:val="center"/>
            <w:hideMark/>
          </w:tcPr>
          <w:p w14:paraId="2873AAC5"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217,1</w:t>
            </w:r>
          </w:p>
        </w:tc>
        <w:tc>
          <w:tcPr>
            <w:tcW w:w="900" w:type="dxa"/>
            <w:tcBorders>
              <w:top w:val="nil"/>
              <w:left w:val="nil"/>
              <w:bottom w:val="nil"/>
              <w:right w:val="nil"/>
            </w:tcBorders>
            <w:shd w:val="clear" w:color="auto" w:fill="auto"/>
            <w:noWrap/>
            <w:vAlign w:val="center"/>
            <w:hideMark/>
          </w:tcPr>
          <w:p w14:paraId="786B1710"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69,2</w:t>
            </w:r>
          </w:p>
        </w:tc>
      </w:tr>
      <w:tr w:rsidR="008B1794" w:rsidRPr="00623A2B" w14:paraId="37D309DE"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7C3E7A9D"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94F</w:t>
            </w:r>
          </w:p>
        </w:tc>
        <w:tc>
          <w:tcPr>
            <w:tcW w:w="5220" w:type="dxa"/>
            <w:tcBorders>
              <w:top w:val="nil"/>
              <w:left w:val="nil"/>
              <w:bottom w:val="nil"/>
              <w:right w:val="nil"/>
            </w:tcBorders>
            <w:shd w:val="clear" w:color="auto" w:fill="auto"/>
            <w:vAlign w:val="center"/>
            <w:hideMark/>
          </w:tcPr>
          <w:p w14:paraId="03F2E6A7"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Bibliothèque Colomb</w:t>
            </w:r>
          </w:p>
        </w:tc>
        <w:tc>
          <w:tcPr>
            <w:tcW w:w="990" w:type="dxa"/>
            <w:tcBorders>
              <w:top w:val="nil"/>
              <w:left w:val="nil"/>
              <w:bottom w:val="nil"/>
              <w:right w:val="nil"/>
            </w:tcBorders>
            <w:shd w:val="clear" w:color="auto" w:fill="auto"/>
            <w:noWrap/>
            <w:vAlign w:val="center"/>
            <w:hideMark/>
          </w:tcPr>
          <w:p w14:paraId="188753D6"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373,4</w:t>
            </w:r>
          </w:p>
        </w:tc>
        <w:tc>
          <w:tcPr>
            <w:tcW w:w="900" w:type="dxa"/>
            <w:tcBorders>
              <w:top w:val="nil"/>
              <w:left w:val="nil"/>
              <w:bottom w:val="nil"/>
              <w:right w:val="nil"/>
            </w:tcBorders>
            <w:shd w:val="clear" w:color="auto" w:fill="auto"/>
            <w:noWrap/>
            <w:vAlign w:val="center"/>
            <w:hideMark/>
          </w:tcPr>
          <w:p w14:paraId="1AA7F0F1"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73853BF4" w14:textId="77777777" w:rsidTr="00C83EA7">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362E6BF5"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color w:val="000000"/>
                <w:lang w:val="fr-FR"/>
              </w:rPr>
              <w:t>Chapitre 9 – Secrétariat aux questions continentales Total</w:t>
            </w:r>
          </w:p>
        </w:tc>
        <w:tc>
          <w:tcPr>
            <w:tcW w:w="990" w:type="dxa"/>
            <w:tcBorders>
              <w:top w:val="single" w:sz="4" w:space="0" w:color="auto"/>
              <w:left w:val="nil"/>
              <w:bottom w:val="single" w:sz="4" w:space="0" w:color="auto"/>
              <w:right w:val="nil"/>
            </w:tcBorders>
            <w:shd w:val="clear" w:color="auto" w:fill="auto"/>
            <w:noWrap/>
            <w:vAlign w:val="center"/>
            <w:hideMark/>
          </w:tcPr>
          <w:p w14:paraId="2DF05578"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2 242,0</w:t>
            </w:r>
          </w:p>
        </w:tc>
        <w:tc>
          <w:tcPr>
            <w:tcW w:w="900" w:type="dxa"/>
            <w:tcBorders>
              <w:top w:val="single" w:sz="4" w:space="0" w:color="auto"/>
              <w:left w:val="nil"/>
              <w:bottom w:val="single" w:sz="4" w:space="0" w:color="auto"/>
              <w:right w:val="nil"/>
            </w:tcBorders>
            <w:shd w:val="clear" w:color="auto" w:fill="auto"/>
            <w:noWrap/>
            <w:vAlign w:val="center"/>
            <w:hideMark/>
          </w:tcPr>
          <w:p w14:paraId="780BB0A9"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99,2</w:t>
            </w:r>
          </w:p>
        </w:tc>
      </w:tr>
      <w:tr w:rsidR="008B1794" w:rsidRPr="00623A2B" w14:paraId="298C64C4"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5959E385" w14:textId="77777777" w:rsidR="008B1794" w:rsidRPr="00623A2B" w:rsidRDefault="008B1794" w:rsidP="00C83EA7">
            <w:pPr>
              <w:jc w:val="right"/>
              <w:rPr>
                <w:rFonts w:ascii="Times New Roman" w:hAnsi="Times New Roman"/>
                <w:b/>
                <w:bCs/>
                <w:color w:val="000000"/>
                <w:lang w:val="fr-FR"/>
              </w:rPr>
            </w:pPr>
          </w:p>
        </w:tc>
        <w:tc>
          <w:tcPr>
            <w:tcW w:w="5220" w:type="dxa"/>
            <w:tcBorders>
              <w:top w:val="nil"/>
              <w:left w:val="nil"/>
              <w:bottom w:val="nil"/>
              <w:right w:val="nil"/>
            </w:tcBorders>
            <w:shd w:val="clear" w:color="auto" w:fill="auto"/>
            <w:vAlign w:val="center"/>
            <w:hideMark/>
          </w:tcPr>
          <w:p w14:paraId="687A4419" w14:textId="77777777" w:rsidR="008B1794" w:rsidRPr="00623A2B" w:rsidRDefault="008B1794" w:rsidP="00C83EA7">
            <w:pPr>
              <w:rPr>
                <w:rFonts w:ascii="Times New Roman" w:hAnsi="Times New Roman"/>
                <w:lang w:val="fr-FR"/>
              </w:rPr>
            </w:pPr>
          </w:p>
        </w:tc>
        <w:tc>
          <w:tcPr>
            <w:tcW w:w="990" w:type="dxa"/>
            <w:tcBorders>
              <w:top w:val="nil"/>
              <w:left w:val="nil"/>
              <w:bottom w:val="nil"/>
              <w:right w:val="nil"/>
            </w:tcBorders>
            <w:shd w:val="clear" w:color="auto" w:fill="auto"/>
            <w:noWrap/>
            <w:vAlign w:val="center"/>
            <w:hideMark/>
          </w:tcPr>
          <w:p w14:paraId="35936AAB" w14:textId="77777777" w:rsidR="008B1794" w:rsidRPr="00623A2B" w:rsidRDefault="008B1794" w:rsidP="00C83EA7">
            <w:pPr>
              <w:rPr>
                <w:rFonts w:ascii="Times New Roman" w:hAnsi="Times New Roman"/>
                <w:lang w:val="fr-FR"/>
              </w:rPr>
            </w:pPr>
          </w:p>
        </w:tc>
        <w:tc>
          <w:tcPr>
            <w:tcW w:w="900" w:type="dxa"/>
            <w:tcBorders>
              <w:top w:val="nil"/>
              <w:left w:val="nil"/>
              <w:bottom w:val="nil"/>
              <w:right w:val="nil"/>
            </w:tcBorders>
            <w:shd w:val="clear" w:color="auto" w:fill="auto"/>
            <w:noWrap/>
            <w:vAlign w:val="center"/>
            <w:hideMark/>
          </w:tcPr>
          <w:p w14:paraId="736FF810" w14:textId="77777777" w:rsidR="008B1794" w:rsidRPr="00623A2B" w:rsidRDefault="008B1794" w:rsidP="00C83EA7">
            <w:pPr>
              <w:rPr>
                <w:rFonts w:ascii="Times New Roman" w:hAnsi="Times New Roman"/>
                <w:lang w:val="fr-FR"/>
              </w:rPr>
            </w:pPr>
          </w:p>
        </w:tc>
      </w:tr>
      <w:tr w:rsidR="008B1794" w:rsidRPr="00213B6A" w14:paraId="0217E906" w14:textId="77777777" w:rsidTr="00C83EA7">
        <w:trPr>
          <w:trHeight w:val="263"/>
          <w:jc w:val="center"/>
        </w:trPr>
        <w:tc>
          <w:tcPr>
            <w:tcW w:w="6570" w:type="dxa"/>
            <w:gridSpan w:val="2"/>
            <w:tcBorders>
              <w:top w:val="nil"/>
              <w:left w:val="nil"/>
              <w:bottom w:val="nil"/>
              <w:right w:val="nil"/>
            </w:tcBorders>
            <w:shd w:val="clear" w:color="auto" w:fill="auto"/>
            <w:noWrap/>
            <w:vAlign w:val="center"/>
            <w:hideMark/>
          </w:tcPr>
          <w:p w14:paraId="0A027CDC"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color w:val="000000"/>
                <w:lang w:val="fr-FR"/>
              </w:rPr>
              <w:t>Chapitre 10 – Secrétariat aux questions juridiques</w:t>
            </w:r>
          </w:p>
        </w:tc>
        <w:tc>
          <w:tcPr>
            <w:tcW w:w="990" w:type="dxa"/>
            <w:tcBorders>
              <w:top w:val="nil"/>
              <w:left w:val="nil"/>
              <w:bottom w:val="nil"/>
              <w:right w:val="nil"/>
            </w:tcBorders>
            <w:shd w:val="clear" w:color="auto" w:fill="auto"/>
            <w:noWrap/>
            <w:vAlign w:val="center"/>
            <w:hideMark/>
          </w:tcPr>
          <w:p w14:paraId="1C7CCC9B" w14:textId="77777777" w:rsidR="008B1794" w:rsidRPr="00623A2B" w:rsidRDefault="008B1794" w:rsidP="00C83EA7">
            <w:pPr>
              <w:rPr>
                <w:rFonts w:ascii="Times New Roman" w:hAnsi="Times New Roman"/>
                <w:b/>
                <w:bCs/>
                <w:color w:val="000000"/>
                <w:lang w:val="fr-FR"/>
              </w:rPr>
            </w:pPr>
          </w:p>
        </w:tc>
        <w:tc>
          <w:tcPr>
            <w:tcW w:w="900" w:type="dxa"/>
            <w:tcBorders>
              <w:top w:val="nil"/>
              <w:left w:val="nil"/>
              <w:bottom w:val="nil"/>
              <w:right w:val="nil"/>
            </w:tcBorders>
            <w:shd w:val="clear" w:color="auto" w:fill="auto"/>
            <w:noWrap/>
            <w:vAlign w:val="center"/>
            <w:hideMark/>
          </w:tcPr>
          <w:p w14:paraId="7AC21120" w14:textId="77777777" w:rsidR="008B1794" w:rsidRPr="00623A2B" w:rsidRDefault="008B1794" w:rsidP="00C83EA7">
            <w:pPr>
              <w:rPr>
                <w:rFonts w:ascii="Times New Roman" w:hAnsi="Times New Roman"/>
                <w:lang w:val="fr-FR"/>
              </w:rPr>
            </w:pPr>
          </w:p>
        </w:tc>
      </w:tr>
      <w:tr w:rsidR="008B1794" w:rsidRPr="00623A2B" w14:paraId="6E88D871"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6A5329F9"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104A</w:t>
            </w:r>
          </w:p>
        </w:tc>
        <w:tc>
          <w:tcPr>
            <w:tcW w:w="5220" w:type="dxa"/>
            <w:tcBorders>
              <w:top w:val="nil"/>
              <w:left w:val="nil"/>
              <w:bottom w:val="nil"/>
              <w:right w:val="nil"/>
            </w:tcBorders>
            <w:shd w:val="clear" w:color="auto" w:fill="auto"/>
            <w:vAlign w:val="center"/>
            <w:hideMark/>
          </w:tcPr>
          <w:p w14:paraId="137E2867"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Secrétariat aux questions juridiques</w:t>
            </w:r>
          </w:p>
        </w:tc>
        <w:tc>
          <w:tcPr>
            <w:tcW w:w="990" w:type="dxa"/>
            <w:tcBorders>
              <w:top w:val="nil"/>
              <w:left w:val="nil"/>
              <w:bottom w:val="nil"/>
              <w:right w:val="nil"/>
            </w:tcBorders>
            <w:shd w:val="clear" w:color="auto" w:fill="auto"/>
            <w:noWrap/>
            <w:vAlign w:val="center"/>
            <w:hideMark/>
          </w:tcPr>
          <w:p w14:paraId="69E0B3F5"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813,4</w:t>
            </w:r>
          </w:p>
        </w:tc>
        <w:tc>
          <w:tcPr>
            <w:tcW w:w="900" w:type="dxa"/>
            <w:tcBorders>
              <w:top w:val="nil"/>
              <w:left w:val="nil"/>
              <w:bottom w:val="nil"/>
              <w:right w:val="nil"/>
            </w:tcBorders>
            <w:shd w:val="clear" w:color="auto" w:fill="auto"/>
            <w:noWrap/>
            <w:vAlign w:val="center"/>
            <w:hideMark/>
          </w:tcPr>
          <w:p w14:paraId="6C64B536"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111,7</w:t>
            </w:r>
          </w:p>
        </w:tc>
      </w:tr>
      <w:tr w:rsidR="008B1794" w:rsidRPr="00623A2B" w14:paraId="089197D5"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12E462C3"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104B</w:t>
            </w:r>
          </w:p>
        </w:tc>
        <w:tc>
          <w:tcPr>
            <w:tcW w:w="5220" w:type="dxa"/>
            <w:tcBorders>
              <w:top w:val="nil"/>
              <w:left w:val="nil"/>
              <w:bottom w:val="nil"/>
              <w:right w:val="nil"/>
            </w:tcBorders>
            <w:shd w:val="clear" w:color="auto" w:fill="auto"/>
            <w:vAlign w:val="center"/>
            <w:hideMark/>
          </w:tcPr>
          <w:p w14:paraId="5EAD821E"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Département du conseil juridique</w:t>
            </w:r>
          </w:p>
        </w:tc>
        <w:tc>
          <w:tcPr>
            <w:tcW w:w="990" w:type="dxa"/>
            <w:tcBorders>
              <w:top w:val="nil"/>
              <w:left w:val="nil"/>
              <w:bottom w:val="nil"/>
              <w:right w:val="nil"/>
            </w:tcBorders>
            <w:shd w:val="clear" w:color="auto" w:fill="auto"/>
            <w:noWrap/>
            <w:vAlign w:val="center"/>
            <w:hideMark/>
          </w:tcPr>
          <w:p w14:paraId="4165AA57"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1 130,9</w:t>
            </w:r>
          </w:p>
        </w:tc>
        <w:tc>
          <w:tcPr>
            <w:tcW w:w="900" w:type="dxa"/>
            <w:tcBorders>
              <w:top w:val="nil"/>
              <w:left w:val="nil"/>
              <w:bottom w:val="nil"/>
              <w:right w:val="nil"/>
            </w:tcBorders>
            <w:shd w:val="clear" w:color="auto" w:fill="auto"/>
            <w:noWrap/>
            <w:vAlign w:val="center"/>
            <w:hideMark/>
          </w:tcPr>
          <w:p w14:paraId="7444A597"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0F5A3090"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547A7129"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104C</w:t>
            </w:r>
          </w:p>
        </w:tc>
        <w:tc>
          <w:tcPr>
            <w:tcW w:w="5220" w:type="dxa"/>
            <w:tcBorders>
              <w:top w:val="nil"/>
              <w:left w:val="nil"/>
              <w:bottom w:val="nil"/>
              <w:right w:val="nil"/>
            </w:tcBorders>
            <w:shd w:val="clear" w:color="auto" w:fill="auto"/>
            <w:vAlign w:val="center"/>
            <w:hideMark/>
          </w:tcPr>
          <w:p w14:paraId="7854273B"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Département du droit international</w:t>
            </w:r>
          </w:p>
        </w:tc>
        <w:tc>
          <w:tcPr>
            <w:tcW w:w="990" w:type="dxa"/>
            <w:tcBorders>
              <w:top w:val="nil"/>
              <w:left w:val="nil"/>
              <w:bottom w:val="nil"/>
              <w:right w:val="nil"/>
            </w:tcBorders>
            <w:shd w:val="clear" w:color="auto" w:fill="auto"/>
            <w:noWrap/>
            <w:vAlign w:val="center"/>
            <w:hideMark/>
          </w:tcPr>
          <w:p w14:paraId="4F71ED81"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1 150,6</w:t>
            </w:r>
          </w:p>
        </w:tc>
        <w:tc>
          <w:tcPr>
            <w:tcW w:w="900" w:type="dxa"/>
            <w:tcBorders>
              <w:top w:val="nil"/>
              <w:left w:val="nil"/>
              <w:bottom w:val="nil"/>
              <w:right w:val="nil"/>
            </w:tcBorders>
            <w:shd w:val="clear" w:color="auto" w:fill="auto"/>
            <w:noWrap/>
            <w:vAlign w:val="center"/>
            <w:hideMark/>
          </w:tcPr>
          <w:p w14:paraId="60B15D6E"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456DD57D"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1205B17F"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104F</w:t>
            </w:r>
          </w:p>
        </w:tc>
        <w:tc>
          <w:tcPr>
            <w:tcW w:w="5220" w:type="dxa"/>
            <w:tcBorders>
              <w:top w:val="nil"/>
              <w:left w:val="nil"/>
              <w:bottom w:val="nil"/>
              <w:right w:val="nil"/>
            </w:tcBorders>
            <w:shd w:val="clear" w:color="auto" w:fill="auto"/>
            <w:vAlign w:val="center"/>
            <w:hideMark/>
          </w:tcPr>
          <w:p w14:paraId="7F771CEA"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Département de la coopération juridique</w:t>
            </w:r>
          </w:p>
        </w:tc>
        <w:tc>
          <w:tcPr>
            <w:tcW w:w="990" w:type="dxa"/>
            <w:tcBorders>
              <w:top w:val="nil"/>
              <w:left w:val="nil"/>
              <w:bottom w:val="nil"/>
              <w:right w:val="nil"/>
            </w:tcBorders>
            <w:shd w:val="clear" w:color="auto" w:fill="auto"/>
            <w:noWrap/>
            <w:vAlign w:val="center"/>
            <w:hideMark/>
          </w:tcPr>
          <w:p w14:paraId="179D3DAA"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742,7</w:t>
            </w:r>
          </w:p>
        </w:tc>
        <w:tc>
          <w:tcPr>
            <w:tcW w:w="900" w:type="dxa"/>
            <w:tcBorders>
              <w:top w:val="nil"/>
              <w:left w:val="nil"/>
              <w:bottom w:val="nil"/>
              <w:right w:val="nil"/>
            </w:tcBorders>
            <w:shd w:val="clear" w:color="auto" w:fill="auto"/>
            <w:noWrap/>
            <w:vAlign w:val="center"/>
            <w:hideMark/>
          </w:tcPr>
          <w:p w14:paraId="06535198"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3BDAA65A" w14:textId="77777777" w:rsidTr="00C83EA7">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21A3E8C4"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color w:val="000000"/>
                <w:lang w:val="fr-FR"/>
              </w:rPr>
              <w:t>Chapitre 10 – Secrétariat aux questions juridiques Total</w:t>
            </w:r>
          </w:p>
        </w:tc>
        <w:tc>
          <w:tcPr>
            <w:tcW w:w="990" w:type="dxa"/>
            <w:tcBorders>
              <w:top w:val="single" w:sz="4" w:space="0" w:color="auto"/>
              <w:left w:val="nil"/>
              <w:bottom w:val="single" w:sz="4" w:space="0" w:color="auto"/>
              <w:right w:val="nil"/>
            </w:tcBorders>
            <w:shd w:val="clear" w:color="auto" w:fill="auto"/>
            <w:noWrap/>
            <w:vAlign w:val="center"/>
            <w:hideMark/>
          </w:tcPr>
          <w:p w14:paraId="28255E34"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3 837,6</w:t>
            </w:r>
          </w:p>
        </w:tc>
        <w:tc>
          <w:tcPr>
            <w:tcW w:w="900" w:type="dxa"/>
            <w:tcBorders>
              <w:top w:val="single" w:sz="4" w:space="0" w:color="auto"/>
              <w:left w:val="nil"/>
              <w:bottom w:val="single" w:sz="4" w:space="0" w:color="auto"/>
              <w:right w:val="nil"/>
            </w:tcBorders>
            <w:shd w:val="clear" w:color="auto" w:fill="auto"/>
            <w:noWrap/>
            <w:vAlign w:val="center"/>
            <w:hideMark/>
          </w:tcPr>
          <w:p w14:paraId="3C9BB0CE"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111,7</w:t>
            </w:r>
          </w:p>
        </w:tc>
      </w:tr>
      <w:tr w:rsidR="008B1794" w:rsidRPr="00623A2B" w14:paraId="28DD0F11"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4E2CAA87" w14:textId="77777777" w:rsidR="008B1794" w:rsidRPr="00623A2B" w:rsidRDefault="008B1794" w:rsidP="00C83EA7">
            <w:pPr>
              <w:jc w:val="right"/>
              <w:rPr>
                <w:rFonts w:ascii="Times New Roman" w:hAnsi="Times New Roman"/>
                <w:b/>
                <w:bCs/>
                <w:color w:val="000000"/>
                <w:lang w:val="fr-FR"/>
              </w:rPr>
            </w:pPr>
          </w:p>
        </w:tc>
        <w:tc>
          <w:tcPr>
            <w:tcW w:w="5220" w:type="dxa"/>
            <w:tcBorders>
              <w:top w:val="nil"/>
              <w:left w:val="nil"/>
              <w:bottom w:val="nil"/>
              <w:right w:val="nil"/>
            </w:tcBorders>
            <w:shd w:val="clear" w:color="auto" w:fill="auto"/>
            <w:vAlign w:val="bottom"/>
            <w:hideMark/>
          </w:tcPr>
          <w:p w14:paraId="2296E319" w14:textId="77777777" w:rsidR="008B1794" w:rsidRPr="00623A2B" w:rsidRDefault="008B1794" w:rsidP="00C83EA7">
            <w:pPr>
              <w:rPr>
                <w:rFonts w:ascii="Times New Roman" w:hAnsi="Times New Roman"/>
                <w:lang w:val="fr-FR"/>
              </w:rPr>
            </w:pPr>
          </w:p>
        </w:tc>
        <w:tc>
          <w:tcPr>
            <w:tcW w:w="990" w:type="dxa"/>
            <w:tcBorders>
              <w:top w:val="nil"/>
              <w:left w:val="nil"/>
              <w:bottom w:val="nil"/>
              <w:right w:val="nil"/>
            </w:tcBorders>
            <w:shd w:val="clear" w:color="auto" w:fill="auto"/>
            <w:noWrap/>
            <w:vAlign w:val="center"/>
            <w:hideMark/>
          </w:tcPr>
          <w:p w14:paraId="1192F8B2" w14:textId="77777777" w:rsidR="008B1794" w:rsidRPr="00623A2B" w:rsidRDefault="008B1794" w:rsidP="00C83EA7">
            <w:pPr>
              <w:rPr>
                <w:rFonts w:ascii="Times New Roman" w:hAnsi="Times New Roman"/>
                <w:lang w:val="fr-FR"/>
              </w:rPr>
            </w:pPr>
          </w:p>
        </w:tc>
        <w:tc>
          <w:tcPr>
            <w:tcW w:w="900" w:type="dxa"/>
            <w:tcBorders>
              <w:top w:val="nil"/>
              <w:left w:val="nil"/>
              <w:bottom w:val="nil"/>
              <w:right w:val="nil"/>
            </w:tcBorders>
            <w:shd w:val="clear" w:color="auto" w:fill="auto"/>
            <w:noWrap/>
            <w:vAlign w:val="center"/>
            <w:hideMark/>
          </w:tcPr>
          <w:p w14:paraId="4E5B8A7F" w14:textId="77777777" w:rsidR="008B1794" w:rsidRPr="00623A2B" w:rsidRDefault="008B1794" w:rsidP="00C83EA7">
            <w:pPr>
              <w:rPr>
                <w:rFonts w:ascii="Times New Roman" w:hAnsi="Times New Roman"/>
                <w:lang w:val="fr-FR"/>
              </w:rPr>
            </w:pPr>
          </w:p>
        </w:tc>
      </w:tr>
    </w:tbl>
    <w:p w14:paraId="4397CC5A" w14:textId="77777777" w:rsidR="008B1794" w:rsidRPr="00623A2B" w:rsidRDefault="008B1794" w:rsidP="008B1794">
      <w:pPr>
        <w:rPr>
          <w:rFonts w:ascii="Times New Roman" w:hAnsi="Times New Roman"/>
        </w:rPr>
      </w:pPr>
      <w:r w:rsidRPr="00623A2B">
        <w:rPr>
          <w:rFonts w:ascii="Times New Roman" w:hAnsi="Times New Roman"/>
        </w:rPr>
        <w:br w:type="page"/>
      </w:r>
    </w:p>
    <w:tbl>
      <w:tblPr>
        <w:tblW w:w="8460" w:type="dxa"/>
        <w:jc w:val="center"/>
        <w:tblLook w:val="04A0" w:firstRow="1" w:lastRow="0" w:firstColumn="1" w:lastColumn="0" w:noHBand="0" w:noVBand="1"/>
      </w:tblPr>
      <w:tblGrid>
        <w:gridCol w:w="1350"/>
        <w:gridCol w:w="5220"/>
        <w:gridCol w:w="990"/>
        <w:gridCol w:w="900"/>
      </w:tblGrid>
      <w:tr w:rsidR="008B1794" w:rsidRPr="00213B6A" w14:paraId="09EEE99B" w14:textId="77777777" w:rsidTr="00C83EA7">
        <w:trPr>
          <w:trHeight w:val="263"/>
          <w:jc w:val="center"/>
        </w:trPr>
        <w:tc>
          <w:tcPr>
            <w:tcW w:w="6570" w:type="dxa"/>
            <w:gridSpan w:val="2"/>
            <w:tcBorders>
              <w:top w:val="nil"/>
              <w:left w:val="nil"/>
              <w:bottom w:val="nil"/>
              <w:right w:val="nil"/>
            </w:tcBorders>
            <w:shd w:val="clear" w:color="auto" w:fill="auto"/>
            <w:noWrap/>
            <w:vAlign w:val="center"/>
            <w:hideMark/>
          </w:tcPr>
          <w:p w14:paraId="318775FB"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color w:val="000000"/>
                <w:lang w:val="fr-FR"/>
              </w:rPr>
              <w:lastRenderedPageBreak/>
              <w:t>Chapitre 11 – Secrétariat aux questions administratives et financières</w:t>
            </w:r>
          </w:p>
        </w:tc>
        <w:tc>
          <w:tcPr>
            <w:tcW w:w="990" w:type="dxa"/>
            <w:tcBorders>
              <w:top w:val="nil"/>
              <w:left w:val="nil"/>
              <w:bottom w:val="nil"/>
              <w:right w:val="nil"/>
            </w:tcBorders>
            <w:shd w:val="clear" w:color="auto" w:fill="auto"/>
            <w:noWrap/>
            <w:vAlign w:val="center"/>
            <w:hideMark/>
          </w:tcPr>
          <w:p w14:paraId="34C5FD7E" w14:textId="77777777" w:rsidR="008B1794" w:rsidRPr="00623A2B" w:rsidRDefault="008B1794" w:rsidP="00C83EA7">
            <w:pPr>
              <w:rPr>
                <w:rFonts w:ascii="Times New Roman" w:hAnsi="Times New Roman"/>
                <w:b/>
                <w:bCs/>
                <w:color w:val="000000"/>
                <w:lang w:val="fr-FR"/>
              </w:rPr>
            </w:pPr>
          </w:p>
        </w:tc>
        <w:tc>
          <w:tcPr>
            <w:tcW w:w="900" w:type="dxa"/>
            <w:tcBorders>
              <w:top w:val="nil"/>
              <w:left w:val="nil"/>
              <w:bottom w:val="nil"/>
              <w:right w:val="nil"/>
            </w:tcBorders>
            <w:shd w:val="clear" w:color="auto" w:fill="auto"/>
            <w:noWrap/>
            <w:vAlign w:val="center"/>
            <w:hideMark/>
          </w:tcPr>
          <w:p w14:paraId="2A9AA66A" w14:textId="77777777" w:rsidR="008B1794" w:rsidRPr="00623A2B" w:rsidRDefault="008B1794" w:rsidP="00C83EA7">
            <w:pPr>
              <w:rPr>
                <w:rFonts w:ascii="Times New Roman" w:hAnsi="Times New Roman"/>
                <w:lang w:val="fr-FR"/>
              </w:rPr>
            </w:pPr>
          </w:p>
        </w:tc>
      </w:tr>
      <w:tr w:rsidR="008B1794" w:rsidRPr="00623A2B" w14:paraId="262FAF49"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2D84A285"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114A</w:t>
            </w:r>
          </w:p>
        </w:tc>
        <w:tc>
          <w:tcPr>
            <w:tcW w:w="5220" w:type="dxa"/>
            <w:tcBorders>
              <w:top w:val="nil"/>
              <w:left w:val="nil"/>
              <w:bottom w:val="nil"/>
              <w:right w:val="nil"/>
            </w:tcBorders>
            <w:shd w:val="clear" w:color="auto" w:fill="auto"/>
            <w:vAlign w:val="center"/>
            <w:hideMark/>
          </w:tcPr>
          <w:p w14:paraId="545B9F88"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Secrétariat aux questions administratives et financières</w:t>
            </w:r>
          </w:p>
        </w:tc>
        <w:tc>
          <w:tcPr>
            <w:tcW w:w="990" w:type="dxa"/>
            <w:tcBorders>
              <w:top w:val="nil"/>
              <w:left w:val="nil"/>
              <w:bottom w:val="nil"/>
              <w:right w:val="nil"/>
            </w:tcBorders>
            <w:shd w:val="clear" w:color="auto" w:fill="auto"/>
            <w:noWrap/>
            <w:vAlign w:val="center"/>
            <w:hideMark/>
          </w:tcPr>
          <w:p w14:paraId="5A040EBA"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581,2</w:t>
            </w:r>
          </w:p>
        </w:tc>
        <w:tc>
          <w:tcPr>
            <w:tcW w:w="900" w:type="dxa"/>
            <w:tcBorders>
              <w:top w:val="nil"/>
              <w:left w:val="nil"/>
              <w:bottom w:val="nil"/>
              <w:right w:val="nil"/>
            </w:tcBorders>
            <w:shd w:val="clear" w:color="auto" w:fill="auto"/>
            <w:noWrap/>
            <w:vAlign w:val="center"/>
            <w:hideMark/>
          </w:tcPr>
          <w:p w14:paraId="68B5EC1B"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2FB214A8"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0E645771"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114B</w:t>
            </w:r>
          </w:p>
        </w:tc>
        <w:tc>
          <w:tcPr>
            <w:tcW w:w="5220" w:type="dxa"/>
            <w:tcBorders>
              <w:top w:val="nil"/>
              <w:left w:val="nil"/>
              <w:bottom w:val="nil"/>
              <w:right w:val="nil"/>
            </w:tcBorders>
            <w:shd w:val="clear" w:color="auto" w:fill="auto"/>
            <w:vAlign w:val="center"/>
            <w:hideMark/>
          </w:tcPr>
          <w:p w14:paraId="3A7B4E50"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Département des ressources humaines</w:t>
            </w:r>
          </w:p>
        </w:tc>
        <w:tc>
          <w:tcPr>
            <w:tcW w:w="990" w:type="dxa"/>
            <w:tcBorders>
              <w:top w:val="nil"/>
              <w:left w:val="nil"/>
              <w:bottom w:val="nil"/>
              <w:right w:val="nil"/>
            </w:tcBorders>
            <w:shd w:val="clear" w:color="auto" w:fill="auto"/>
            <w:noWrap/>
            <w:vAlign w:val="center"/>
            <w:hideMark/>
          </w:tcPr>
          <w:p w14:paraId="277818BF"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2 512,5</w:t>
            </w:r>
          </w:p>
        </w:tc>
        <w:tc>
          <w:tcPr>
            <w:tcW w:w="900" w:type="dxa"/>
            <w:tcBorders>
              <w:top w:val="nil"/>
              <w:left w:val="nil"/>
              <w:bottom w:val="nil"/>
              <w:right w:val="nil"/>
            </w:tcBorders>
            <w:shd w:val="clear" w:color="auto" w:fill="auto"/>
            <w:noWrap/>
            <w:vAlign w:val="center"/>
            <w:hideMark/>
          </w:tcPr>
          <w:p w14:paraId="455A2E61"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103,7</w:t>
            </w:r>
          </w:p>
        </w:tc>
      </w:tr>
      <w:tr w:rsidR="008B1794" w:rsidRPr="00623A2B" w14:paraId="3FB150E9"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5DCF4D91"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114C</w:t>
            </w:r>
          </w:p>
        </w:tc>
        <w:tc>
          <w:tcPr>
            <w:tcW w:w="5220" w:type="dxa"/>
            <w:tcBorders>
              <w:top w:val="nil"/>
              <w:left w:val="nil"/>
              <w:bottom w:val="nil"/>
              <w:right w:val="nil"/>
            </w:tcBorders>
            <w:shd w:val="clear" w:color="auto" w:fill="auto"/>
            <w:vAlign w:val="center"/>
            <w:hideMark/>
          </w:tcPr>
          <w:p w14:paraId="74DF9A06"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Département des services financiers</w:t>
            </w:r>
          </w:p>
        </w:tc>
        <w:tc>
          <w:tcPr>
            <w:tcW w:w="990" w:type="dxa"/>
            <w:tcBorders>
              <w:top w:val="nil"/>
              <w:left w:val="nil"/>
              <w:bottom w:val="nil"/>
              <w:right w:val="nil"/>
            </w:tcBorders>
            <w:shd w:val="clear" w:color="auto" w:fill="auto"/>
            <w:noWrap/>
            <w:vAlign w:val="center"/>
            <w:hideMark/>
          </w:tcPr>
          <w:p w14:paraId="4124DD07"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2 399,1</w:t>
            </w:r>
          </w:p>
        </w:tc>
        <w:tc>
          <w:tcPr>
            <w:tcW w:w="900" w:type="dxa"/>
            <w:tcBorders>
              <w:top w:val="nil"/>
              <w:left w:val="nil"/>
              <w:bottom w:val="nil"/>
              <w:right w:val="nil"/>
            </w:tcBorders>
            <w:shd w:val="clear" w:color="auto" w:fill="auto"/>
            <w:noWrap/>
            <w:vAlign w:val="center"/>
            <w:hideMark/>
          </w:tcPr>
          <w:p w14:paraId="3E403155"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734,3</w:t>
            </w:r>
          </w:p>
        </w:tc>
      </w:tr>
      <w:tr w:rsidR="008B1794" w:rsidRPr="00623A2B" w14:paraId="1C9CCCD6"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1079DBFB"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114D</w:t>
            </w:r>
          </w:p>
        </w:tc>
        <w:tc>
          <w:tcPr>
            <w:tcW w:w="5220" w:type="dxa"/>
            <w:tcBorders>
              <w:top w:val="nil"/>
              <w:left w:val="nil"/>
              <w:bottom w:val="nil"/>
              <w:right w:val="nil"/>
            </w:tcBorders>
            <w:shd w:val="clear" w:color="auto" w:fill="auto"/>
            <w:vAlign w:val="center"/>
            <w:hideMark/>
          </w:tcPr>
          <w:p w14:paraId="2DF8DDCA"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Département des services de l’information et de la technologie</w:t>
            </w:r>
          </w:p>
        </w:tc>
        <w:tc>
          <w:tcPr>
            <w:tcW w:w="990" w:type="dxa"/>
            <w:tcBorders>
              <w:top w:val="nil"/>
              <w:left w:val="nil"/>
              <w:bottom w:val="nil"/>
              <w:right w:val="nil"/>
            </w:tcBorders>
            <w:shd w:val="clear" w:color="auto" w:fill="auto"/>
            <w:noWrap/>
            <w:vAlign w:val="center"/>
            <w:hideMark/>
          </w:tcPr>
          <w:p w14:paraId="3F614B4D"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1 760,8</w:t>
            </w:r>
          </w:p>
        </w:tc>
        <w:tc>
          <w:tcPr>
            <w:tcW w:w="900" w:type="dxa"/>
            <w:tcBorders>
              <w:top w:val="nil"/>
              <w:left w:val="nil"/>
              <w:bottom w:val="nil"/>
              <w:right w:val="nil"/>
            </w:tcBorders>
            <w:shd w:val="clear" w:color="auto" w:fill="auto"/>
            <w:noWrap/>
            <w:vAlign w:val="center"/>
            <w:hideMark/>
          </w:tcPr>
          <w:p w14:paraId="1292964D"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2BF494C4" w14:textId="77777777" w:rsidTr="00C83EA7">
        <w:trPr>
          <w:trHeight w:val="525"/>
          <w:jc w:val="center"/>
        </w:trPr>
        <w:tc>
          <w:tcPr>
            <w:tcW w:w="1350" w:type="dxa"/>
            <w:tcBorders>
              <w:top w:val="nil"/>
              <w:left w:val="nil"/>
              <w:bottom w:val="nil"/>
              <w:right w:val="nil"/>
            </w:tcBorders>
            <w:shd w:val="clear" w:color="auto" w:fill="auto"/>
            <w:noWrap/>
            <w:vAlign w:val="center"/>
            <w:hideMark/>
          </w:tcPr>
          <w:p w14:paraId="466ADE72"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114E</w:t>
            </w:r>
          </w:p>
        </w:tc>
        <w:tc>
          <w:tcPr>
            <w:tcW w:w="5220" w:type="dxa"/>
            <w:tcBorders>
              <w:top w:val="nil"/>
              <w:left w:val="nil"/>
              <w:bottom w:val="nil"/>
              <w:right w:val="nil"/>
            </w:tcBorders>
            <w:shd w:val="clear" w:color="auto" w:fill="auto"/>
            <w:vAlign w:val="center"/>
            <w:hideMark/>
          </w:tcPr>
          <w:p w14:paraId="0CE497CE"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Département des services d'achat et de surveillance de la gestion</w:t>
            </w:r>
          </w:p>
        </w:tc>
        <w:tc>
          <w:tcPr>
            <w:tcW w:w="990" w:type="dxa"/>
            <w:tcBorders>
              <w:top w:val="nil"/>
              <w:left w:val="nil"/>
              <w:bottom w:val="nil"/>
              <w:right w:val="nil"/>
            </w:tcBorders>
            <w:shd w:val="clear" w:color="auto" w:fill="auto"/>
            <w:noWrap/>
            <w:vAlign w:val="center"/>
            <w:hideMark/>
          </w:tcPr>
          <w:p w14:paraId="38A06BE4"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1 501,4</w:t>
            </w:r>
          </w:p>
        </w:tc>
        <w:tc>
          <w:tcPr>
            <w:tcW w:w="900" w:type="dxa"/>
            <w:tcBorders>
              <w:top w:val="nil"/>
              <w:left w:val="nil"/>
              <w:bottom w:val="nil"/>
              <w:right w:val="nil"/>
            </w:tcBorders>
            <w:shd w:val="clear" w:color="auto" w:fill="auto"/>
            <w:noWrap/>
            <w:vAlign w:val="center"/>
            <w:hideMark/>
          </w:tcPr>
          <w:p w14:paraId="7D57CA30"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727,8</w:t>
            </w:r>
          </w:p>
        </w:tc>
      </w:tr>
      <w:tr w:rsidR="008B1794" w:rsidRPr="00623A2B" w14:paraId="73ECAE2A"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60FBEA75"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114F</w:t>
            </w:r>
          </w:p>
        </w:tc>
        <w:tc>
          <w:tcPr>
            <w:tcW w:w="5220" w:type="dxa"/>
            <w:tcBorders>
              <w:top w:val="nil"/>
              <w:left w:val="nil"/>
              <w:bottom w:val="nil"/>
              <w:right w:val="nil"/>
            </w:tcBorders>
            <w:shd w:val="clear" w:color="auto" w:fill="auto"/>
            <w:vAlign w:val="center"/>
            <w:hideMark/>
          </w:tcPr>
          <w:p w14:paraId="3B5E80BE"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Département des services généraux</w:t>
            </w:r>
          </w:p>
        </w:tc>
        <w:tc>
          <w:tcPr>
            <w:tcW w:w="990" w:type="dxa"/>
            <w:tcBorders>
              <w:top w:val="nil"/>
              <w:left w:val="nil"/>
              <w:bottom w:val="nil"/>
              <w:right w:val="nil"/>
            </w:tcBorders>
            <w:shd w:val="clear" w:color="auto" w:fill="auto"/>
            <w:noWrap/>
            <w:vAlign w:val="center"/>
            <w:hideMark/>
          </w:tcPr>
          <w:p w14:paraId="337DC4A1"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1 399,1</w:t>
            </w:r>
          </w:p>
        </w:tc>
        <w:tc>
          <w:tcPr>
            <w:tcW w:w="900" w:type="dxa"/>
            <w:tcBorders>
              <w:top w:val="nil"/>
              <w:left w:val="nil"/>
              <w:bottom w:val="nil"/>
              <w:right w:val="nil"/>
            </w:tcBorders>
            <w:shd w:val="clear" w:color="auto" w:fill="auto"/>
            <w:noWrap/>
            <w:vAlign w:val="center"/>
            <w:hideMark/>
          </w:tcPr>
          <w:p w14:paraId="7AED1287"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99,9</w:t>
            </w:r>
          </w:p>
        </w:tc>
      </w:tr>
      <w:tr w:rsidR="008B1794" w:rsidRPr="00623A2B" w14:paraId="2F6D4C93" w14:textId="77777777" w:rsidTr="00C83EA7">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59E27B77"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color w:val="000000"/>
                <w:lang w:val="fr-FR"/>
              </w:rPr>
              <w:t>Chapitre 11 – Secrétariat aux questions administratives et financières Total</w:t>
            </w:r>
          </w:p>
        </w:tc>
        <w:tc>
          <w:tcPr>
            <w:tcW w:w="990" w:type="dxa"/>
            <w:tcBorders>
              <w:top w:val="single" w:sz="4" w:space="0" w:color="auto"/>
              <w:left w:val="nil"/>
              <w:bottom w:val="single" w:sz="4" w:space="0" w:color="auto"/>
              <w:right w:val="nil"/>
            </w:tcBorders>
            <w:shd w:val="clear" w:color="auto" w:fill="auto"/>
            <w:noWrap/>
            <w:vAlign w:val="center"/>
            <w:hideMark/>
          </w:tcPr>
          <w:p w14:paraId="60A767F5"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10 154,1</w:t>
            </w:r>
          </w:p>
        </w:tc>
        <w:tc>
          <w:tcPr>
            <w:tcW w:w="900" w:type="dxa"/>
            <w:tcBorders>
              <w:top w:val="single" w:sz="4" w:space="0" w:color="auto"/>
              <w:left w:val="nil"/>
              <w:bottom w:val="single" w:sz="4" w:space="0" w:color="auto"/>
              <w:right w:val="nil"/>
            </w:tcBorders>
            <w:shd w:val="clear" w:color="auto" w:fill="auto"/>
            <w:noWrap/>
            <w:vAlign w:val="center"/>
            <w:hideMark/>
          </w:tcPr>
          <w:p w14:paraId="114C1925"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1 665,7</w:t>
            </w:r>
          </w:p>
        </w:tc>
      </w:tr>
      <w:tr w:rsidR="008B1794" w:rsidRPr="00623A2B" w14:paraId="0CC79CBC"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0F1F7CB8" w14:textId="77777777" w:rsidR="008B1794" w:rsidRPr="00623A2B" w:rsidRDefault="008B1794" w:rsidP="00C83EA7">
            <w:pPr>
              <w:jc w:val="right"/>
              <w:rPr>
                <w:rFonts w:ascii="Times New Roman" w:hAnsi="Times New Roman"/>
                <w:b/>
                <w:bCs/>
                <w:color w:val="000000"/>
                <w:lang w:val="fr-FR"/>
              </w:rPr>
            </w:pPr>
          </w:p>
        </w:tc>
        <w:tc>
          <w:tcPr>
            <w:tcW w:w="5220" w:type="dxa"/>
            <w:tcBorders>
              <w:top w:val="nil"/>
              <w:left w:val="nil"/>
              <w:bottom w:val="nil"/>
              <w:right w:val="nil"/>
            </w:tcBorders>
            <w:shd w:val="clear" w:color="auto" w:fill="auto"/>
            <w:vAlign w:val="center"/>
            <w:hideMark/>
          </w:tcPr>
          <w:p w14:paraId="4600661A" w14:textId="77777777" w:rsidR="008B1794" w:rsidRPr="00623A2B" w:rsidRDefault="008B1794" w:rsidP="00C83EA7">
            <w:pPr>
              <w:rPr>
                <w:rFonts w:ascii="Times New Roman" w:hAnsi="Times New Roman"/>
                <w:lang w:val="fr-FR"/>
              </w:rPr>
            </w:pPr>
          </w:p>
        </w:tc>
        <w:tc>
          <w:tcPr>
            <w:tcW w:w="990" w:type="dxa"/>
            <w:tcBorders>
              <w:top w:val="nil"/>
              <w:left w:val="nil"/>
              <w:bottom w:val="nil"/>
              <w:right w:val="nil"/>
            </w:tcBorders>
            <w:shd w:val="clear" w:color="auto" w:fill="auto"/>
            <w:noWrap/>
            <w:vAlign w:val="center"/>
            <w:hideMark/>
          </w:tcPr>
          <w:p w14:paraId="1859C352" w14:textId="77777777" w:rsidR="008B1794" w:rsidRPr="00623A2B" w:rsidRDefault="008B1794" w:rsidP="00C83EA7">
            <w:pPr>
              <w:rPr>
                <w:rFonts w:ascii="Times New Roman" w:hAnsi="Times New Roman"/>
                <w:lang w:val="fr-FR"/>
              </w:rPr>
            </w:pPr>
          </w:p>
        </w:tc>
        <w:tc>
          <w:tcPr>
            <w:tcW w:w="900" w:type="dxa"/>
            <w:tcBorders>
              <w:top w:val="nil"/>
              <w:left w:val="nil"/>
              <w:bottom w:val="nil"/>
              <w:right w:val="nil"/>
            </w:tcBorders>
            <w:shd w:val="clear" w:color="auto" w:fill="auto"/>
            <w:noWrap/>
            <w:vAlign w:val="center"/>
            <w:hideMark/>
          </w:tcPr>
          <w:p w14:paraId="46A6EC64" w14:textId="77777777" w:rsidR="008B1794" w:rsidRPr="00623A2B" w:rsidRDefault="008B1794" w:rsidP="00C83EA7">
            <w:pPr>
              <w:rPr>
                <w:rFonts w:ascii="Times New Roman" w:hAnsi="Times New Roman"/>
                <w:lang w:val="fr-FR"/>
              </w:rPr>
            </w:pPr>
          </w:p>
        </w:tc>
      </w:tr>
      <w:tr w:rsidR="008B1794" w:rsidRPr="00213B6A" w14:paraId="64888FD4" w14:textId="77777777" w:rsidTr="00C83EA7">
        <w:trPr>
          <w:trHeight w:val="263"/>
          <w:jc w:val="center"/>
        </w:trPr>
        <w:tc>
          <w:tcPr>
            <w:tcW w:w="6570" w:type="dxa"/>
            <w:gridSpan w:val="2"/>
            <w:tcBorders>
              <w:top w:val="nil"/>
              <w:left w:val="nil"/>
              <w:bottom w:val="nil"/>
              <w:right w:val="nil"/>
            </w:tcBorders>
            <w:shd w:val="clear" w:color="auto" w:fill="auto"/>
            <w:noWrap/>
            <w:vAlign w:val="center"/>
            <w:hideMark/>
          </w:tcPr>
          <w:p w14:paraId="60D49B0E" w14:textId="77777777" w:rsidR="008B1794" w:rsidRPr="00623A2B" w:rsidRDefault="008B1794" w:rsidP="00C83EA7">
            <w:pPr>
              <w:keepNext/>
              <w:rPr>
                <w:rFonts w:ascii="Times New Roman" w:hAnsi="Times New Roman"/>
                <w:b/>
                <w:bCs/>
                <w:color w:val="000000"/>
                <w:lang w:val="fr-FR"/>
              </w:rPr>
            </w:pPr>
            <w:r w:rsidRPr="00623A2B">
              <w:rPr>
                <w:rFonts w:ascii="Times New Roman" w:eastAsia="Calibri" w:hAnsi="Times New Roman"/>
                <w:b/>
                <w:color w:val="000000"/>
                <w:lang w:val="fr-FR"/>
              </w:rPr>
              <w:t>Chapitre 12 – Infrastructure de base et frais communs</w:t>
            </w:r>
          </w:p>
        </w:tc>
        <w:tc>
          <w:tcPr>
            <w:tcW w:w="990" w:type="dxa"/>
            <w:tcBorders>
              <w:top w:val="nil"/>
              <w:left w:val="nil"/>
              <w:bottom w:val="nil"/>
              <w:right w:val="nil"/>
            </w:tcBorders>
            <w:shd w:val="clear" w:color="auto" w:fill="auto"/>
            <w:noWrap/>
            <w:vAlign w:val="center"/>
            <w:hideMark/>
          </w:tcPr>
          <w:p w14:paraId="574D6238" w14:textId="77777777" w:rsidR="008B1794" w:rsidRPr="00623A2B" w:rsidRDefault="008B1794" w:rsidP="00C83EA7">
            <w:pPr>
              <w:rPr>
                <w:rFonts w:ascii="Times New Roman" w:hAnsi="Times New Roman"/>
                <w:b/>
                <w:bCs/>
                <w:color w:val="000000"/>
                <w:lang w:val="fr-FR"/>
              </w:rPr>
            </w:pPr>
          </w:p>
        </w:tc>
        <w:tc>
          <w:tcPr>
            <w:tcW w:w="900" w:type="dxa"/>
            <w:tcBorders>
              <w:top w:val="nil"/>
              <w:left w:val="nil"/>
              <w:bottom w:val="nil"/>
              <w:right w:val="nil"/>
            </w:tcBorders>
            <w:shd w:val="clear" w:color="auto" w:fill="auto"/>
            <w:noWrap/>
            <w:vAlign w:val="center"/>
            <w:hideMark/>
          </w:tcPr>
          <w:p w14:paraId="4EBDDB08" w14:textId="77777777" w:rsidR="008B1794" w:rsidRPr="00623A2B" w:rsidRDefault="008B1794" w:rsidP="00C83EA7">
            <w:pPr>
              <w:rPr>
                <w:rFonts w:ascii="Times New Roman" w:hAnsi="Times New Roman"/>
                <w:lang w:val="fr-FR"/>
              </w:rPr>
            </w:pPr>
          </w:p>
        </w:tc>
      </w:tr>
      <w:tr w:rsidR="008B1794" w:rsidRPr="00623A2B" w14:paraId="2582DAB5"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6602B49F"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124A</w:t>
            </w:r>
          </w:p>
        </w:tc>
        <w:tc>
          <w:tcPr>
            <w:tcW w:w="5220" w:type="dxa"/>
            <w:tcBorders>
              <w:top w:val="nil"/>
              <w:left w:val="nil"/>
              <w:bottom w:val="nil"/>
              <w:right w:val="nil"/>
            </w:tcBorders>
            <w:shd w:val="clear" w:color="auto" w:fill="auto"/>
            <w:vAlign w:val="center"/>
            <w:hideMark/>
          </w:tcPr>
          <w:p w14:paraId="10D8143A"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Services technologiques et infrastructure de réseau de l’OEA</w:t>
            </w:r>
          </w:p>
        </w:tc>
        <w:tc>
          <w:tcPr>
            <w:tcW w:w="990" w:type="dxa"/>
            <w:tcBorders>
              <w:top w:val="nil"/>
              <w:left w:val="nil"/>
              <w:bottom w:val="nil"/>
              <w:right w:val="nil"/>
            </w:tcBorders>
            <w:shd w:val="clear" w:color="auto" w:fill="auto"/>
            <w:noWrap/>
            <w:vAlign w:val="center"/>
            <w:hideMark/>
          </w:tcPr>
          <w:p w14:paraId="4C8CAE17"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1 203,5</w:t>
            </w:r>
          </w:p>
        </w:tc>
        <w:tc>
          <w:tcPr>
            <w:tcW w:w="900" w:type="dxa"/>
            <w:tcBorders>
              <w:top w:val="nil"/>
              <w:left w:val="nil"/>
              <w:bottom w:val="nil"/>
              <w:right w:val="nil"/>
            </w:tcBorders>
            <w:shd w:val="clear" w:color="auto" w:fill="auto"/>
            <w:noWrap/>
            <w:vAlign w:val="center"/>
            <w:hideMark/>
          </w:tcPr>
          <w:p w14:paraId="4BFF8AF6"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6E053133"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280D1557"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124B</w:t>
            </w:r>
          </w:p>
        </w:tc>
        <w:tc>
          <w:tcPr>
            <w:tcW w:w="5220" w:type="dxa"/>
            <w:tcBorders>
              <w:top w:val="nil"/>
              <w:left w:val="nil"/>
              <w:bottom w:val="nil"/>
              <w:right w:val="nil"/>
            </w:tcBorders>
            <w:shd w:val="clear" w:color="auto" w:fill="auto"/>
            <w:vAlign w:val="center"/>
            <w:hideMark/>
          </w:tcPr>
          <w:p w14:paraId="18F87E4E"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Matériel et fournitures de bureau</w:t>
            </w:r>
          </w:p>
        </w:tc>
        <w:tc>
          <w:tcPr>
            <w:tcW w:w="990" w:type="dxa"/>
            <w:tcBorders>
              <w:top w:val="nil"/>
              <w:left w:val="nil"/>
              <w:bottom w:val="nil"/>
              <w:right w:val="nil"/>
            </w:tcBorders>
            <w:shd w:val="clear" w:color="auto" w:fill="auto"/>
            <w:noWrap/>
            <w:vAlign w:val="center"/>
            <w:hideMark/>
          </w:tcPr>
          <w:p w14:paraId="101225B2"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24,9</w:t>
            </w:r>
          </w:p>
        </w:tc>
        <w:tc>
          <w:tcPr>
            <w:tcW w:w="900" w:type="dxa"/>
            <w:tcBorders>
              <w:top w:val="nil"/>
              <w:left w:val="nil"/>
              <w:bottom w:val="nil"/>
              <w:right w:val="nil"/>
            </w:tcBorders>
            <w:shd w:val="clear" w:color="auto" w:fill="auto"/>
            <w:noWrap/>
            <w:vAlign w:val="center"/>
            <w:hideMark/>
          </w:tcPr>
          <w:p w14:paraId="233CC959"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6142F4E6" w14:textId="77777777" w:rsidTr="00C83EA7">
        <w:trPr>
          <w:trHeight w:val="525"/>
          <w:jc w:val="center"/>
        </w:trPr>
        <w:tc>
          <w:tcPr>
            <w:tcW w:w="1350" w:type="dxa"/>
            <w:tcBorders>
              <w:top w:val="nil"/>
              <w:left w:val="nil"/>
              <w:bottom w:val="nil"/>
              <w:right w:val="nil"/>
            </w:tcBorders>
            <w:shd w:val="clear" w:color="auto" w:fill="auto"/>
            <w:noWrap/>
            <w:vAlign w:val="center"/>
            <w:hideMark/>
          </w:tcPr>
          <w:p w14:paraId="583D5182"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124C</w:t>
            </w:r>
          </w:p>
        </w:tc>
        <w:tc>
          <w:tcPr>
            <w:tcW w:w="5220" w:type="dxa"/>
            <w:tcBorders>
              <w:top w:val="nil"/>
              <w:left w:val="nil"/>
              <w:bottom w:val="nil"/>
              <w:right w:val="nil"/>
            </w:tcBorders>
            <w:shd w:val="clear" w:color="auto" w:fill="auto"/>
            <w:vAlign w:val="center"/>
            <w:hideMark/>
          </w:tcPr>
          <w:p w14:paraId="436CDC4A"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Maintenance des systèmes de contrôle de gestion interne de l’OEA</w:t>
            </w:r>
          </w:p>
        </w:tc>
        <w:tc>
          <w:tcPr>
            <w:tcW w:w="990" w:type="dxa"/>
            <w:tcBorders>
              <w:top w:val="nil"/>
              <w:left w:val="nil"/>
              <w:bottom w:val="nil"/>
              <w:right w:val="nil"/>
            </w:tcBorders>
            <w:shd w:val="clear" w:color="auto" w:fill="auto"/>
            <w:noWrap/>
            <w:vAlign w:val="center"/>
            <w:hideMark/>
          </w:tcPr>
          <w:p w14:paraId="424BEA95"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306,1</w:t>
            </w:r>
          </w:p>
        </w:tc>
        <w:tc>
          <w:tcPr>
            <w:tcW w:w="900" w:type="dxa"/>
            <w:tcBorders>
              <w:top w:val="nil"/>
              <w:left w:val="nil"/>
              <w:bottom w:val="nil"/>
              <w:right w:val="nil"/>
            </w:tcBorders>
            <w:shd w:val="clear" w:color="auto" w:fill="auto"/>
            <w:noWrap/>
            <w:vAlign w:val="center"/>
            <w:hideMark/>
          </w:tcPr>
          <w:p w14:paraId="75733EF3"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250,0</w:t>
            </w:r>
          </w:p>
        </w:tc>
      </w:tr>
      <w:tr w:rsidR="008B1794" w:rsidRPr="00623A2B" w14:paraId="7C5C0517"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60BA08E0"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124D</w:t>
            </w:r>
          </w:p>
        </w:tc>
        <w:tc>
          <w:tcPr>
            <w:tcW w:w="5220" w:type="dxa"/>
            <w:tcBorders>
              <w:top w:val="nil"/>
              <w:left w:val="nil"/>
              <w:bottom w:val="nil"/>
              <w:right w:val="nil"/>
            </w:tcBorders>
            <w:shd w:val="clear" w:color="auto" w:fill="auto"/>
            <w:vAlign w:val="center"/>
            <w:hideMark/>
          </w:tcPr>
          <w:p w14:paraId="5BF353BD"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Administration et entretien des bâtiments</w:t>
            </w:r>
          </w:p>
        </w:tc>
        <w:tc>
          <w:tcPr>
            <w:tcW w:w="990" w:type="dxa"/>
            <w:tcBorders>
              <w:top w:val="nil"/>
              <w:left w:val="nil"/>
              <w:bottom w:val="nil"/>
              <w:right w:val="nil"/>
            </w:tcBorders>
            <w:shd w:val="clear" w:color="auto" w:fill="auto"/>
            <w:noWrap/>
            <w:vAlign w:val="center"/>
            <w:hideMark/>
          </w:tcPr>
          <w:p w14:paraId="20E055C0"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953,7</w:t>
            </w:r>
          </w:p>
        </w:tc>
        <w:tc>
          <w:tcPr>
            <w:tcW w:w="900" w:type="dxa"/>
            <w:tcBorders>
              <w:top w:val="nil"/>
              <w:left w:val="nil"/>
              <w:bottom w:val="nil"/>
              <w:right w:val="nil"/>
            </w:tcBorders>
            <w:shd w:val="clear" w:color="auto" w:fill="auto"/>
            <w:noWrap/>
            <w:vAlign w:val="center"/>
            <w:hideMark/>
          </w:tcPr>
          <w:p w14:paraId="5946634A"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500,2</w:t>
            </w:r>
          </w:p>
        </w:tc>
      </w:tr>
      <w:tr w:rsidR="008B1794" w:rsidRPr="00623A2B" w14:paraId="46D0D4E5"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713C432E"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124E</w:t>
            </w:r>
          </w:p>
        </w:tc>
        <w:tc>
          <w:tcPr>
            <w:tcW w:w="5220" w:type="dxa"/>
            <w:tcBorders>
              <w:top w:val="nil"/>
              <w:left w:val="nil"/>
              <w:bottom w:val="nil"/>
              <w:right w:val="nil"/>
            </w:tcBorders>
            <w:shd w:val="clear" w:color="auto" w:fill="auto"/>
            <w:vAlign w:val="center"/>
            <w:hideMark/>
          </w:tcPr>
          <w:p w14:paraId="2FEA376B"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Assurances générales</w:t>
            </w:r>
          </w:p>
        </w:tc>
        <w:tc>
          <w:tcPr>
            <w:tcW w:w="990" w:type="dxa"/>
            <w:tcBorders>
              <w:top w:val="nil"/>
              <w:left w:val="nil"/>
              <w:bottom w:val="nil"/>
              <w:right w:val="nil"/>
            </w:tcBorders>
            <w:shd w:val="clear" w:color="auto" w:fill="auto"/>
            <w:noWrap/>
            <w:vAlign w:val="center"/>
            <w:hideMark/>
          </w:tcPr>
          <w:p w14:paraId="475CD984"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367,4</w:t>
            </w:r>
          </w:p>
        </w:tc>
        <w:tc>
          <w:tcPr>
            <w:tcW w:w="900" w:type="dxa"/>
            <w:tcBorders>
              <w:top w:val="nil"/>
              <w:left w:val="nil"/>
              <w:bottom w:val="nil"/>
              <w:right w:val="nil"/>
            </w:tcBorders>
            <w:shd w:val="clear" w:color="auto" w:fill="auto"/>
            <w:noWrap/>
            <w:vAlign w:val="center"/>
            <w:hideMark/>
          </w:tcPr>
          <w:p w14:paraId="50116808"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50,0</w:t>
            </w:r>
          </w:p>
        </w:tc>
      </w:tr>
      <w:tr w:rsidR="008B1794" w:rsidRPr="00623A2B" w14:paraId="72917361"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548434CD"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124F</w:t>
            </w:r>
          </w:p>
        </w:tc>
        <w:tc>
          <w:tcPr>
            <w:tcW w:w="5220" w:type="dxa"/>
            <w:tcBorders>
              <w:top w:val="nil"/>
              <w:left w:val="nil"/>
              <w:bottom w:val="nil"/>
              <w:right w:val="nil"/>
            </w:tcBorders>
            <w:shd w:val="clear" w:color="auto" w:fill="auto"/>
            <w:vAlign w:val="center"/>
            <w:hideMark/>
          </w:tcPr>
          <w:p w14:paraId="6EEA6D9E"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Audit des postes</w:t>
            </w:r>
          </w:p>
        </w:tc>
        <w:tc>
          <w:tcPr>
            <w:tcW w:w="990" w:type="dxa"/>
            <w:tcBorders>
              <w:top w:val="nil"/>
              <w:left w:val="nil"/>
              <w:bottom w:val="nil"/>
              <w:right w:val="nil"/>
            </w:tcBorders>
            <w:shd w:val="clear" w:color="auto" w:fill="auto"/>
            <w:noWrap/>
            <w:vAlign w:val="center"/>
            <w:hideMark/>
          </w:tcPr>
          <w:p w14:paraId="327C3BBD"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35,9</w:t>
            </w:r>
          </w:p>
        </w:tc>
        <w:tc>
          <w:tcPr>
            <w:tcW w:w="900" w:type="dxa"/>
            <w:tcBorders>
              <w:top w:val="nil"/>
              <w:left w:val="nil"/>
              <w:bottom w:val="nil"/>
              <w:right w:val="nil"/>
            </w:tcBorders>
            <w:shd w:val="clear" w:color="auto" w:fill="auto"/>
            <w:noWrap/>
            <w:vAlign w:val="center"/>
            <w:hideMark/>
          </w:tcPr>
          <w:p w14:paraId="630C8684"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44805CB4"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510452FD"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124G</w:t>
            </w:r>
          </w:p>
        </w:tc>
        <w:tc>
          <w:tcPr>
            <w:tcW w:w="5220" w:type="dxa"/>
            <w:tcBorders>
              <w:top w:val="nil"/>
              <w:left w:val="nil"/>
              <w:bottom w:val="nil"/>
              <w:right w:val="nil"/>
            </w:tcBorders>
            <w:shd w:val="clear" w:color="auto" w:fill="auto"/>
            <w:vAlign w:val="center"/>
            <w:hideMark/>
          </w:tcPr>
          <w:p w14:paraId="2DF08C67"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Recrutements et mutations</w:t>
            </w:r>
          </w:p>
        </w:tc>
        <w:tc>
          <w:tcPr>
            <w:tcW w:w="990" w:type="dxa"/>
            <w:tcBorders>
              <w:top w:val="nil"/>
              <w:left w:val="nil"/>
              <w:bottom w:val="nil"/>
              <w:right w:val="nil"/>
            </w:tcBorders>
            <w:shd w:val="clear" w:color="auto" w:fill="auto"/>
            <w:noWrap/>
            <w:vAlign w:val="center"/>
            <w:hideMark/>
          </w:tcPr>
          <w:p w14:paraId="004712C1"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177,9</w:t>
            </w:r>
          </w:p>
        </w:tc>
        <w:tc>
          <w:tcPr>
            <w:tcW w:w="900" w:type="dxa"/>
            <w:tcBorders>
              <w:top w:val="nil"/>
              <w:left w:val="nil"/>
              <w:bottom w:val="nil"/>
              <w:right w:val="nil"/>
            </w:tcBorders>
            <w:shd w:val="clear" w:color="auto" w:fill="auto"/>
            <w:noWrap/>
            <w:vAlign w:val="center"/>
            <w:hideMark/>
          </w:tcPr>
          <w:p w14:paraId="41A72698"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13C748AA"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0B713232"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124H</w:t>
            </w:r>
          </w:p>
        </w:tc>
        <w:tc>
          <w:tcPr>
            <w:tcW w:w="5220" w:type="dxa"/>
            <w:tcBorders>
              <w:top w:val="nil"/>
              <w:left w:val="nil"/>
              <w:bottom w:val="nil"/>
              <w:right w:val="nil"/>
            </w:tcBorders>
            <w:shd w:val="clear" w:color="auto" w:fill="auto"/>
            <w:vAlign w:val="center"/>
            <w:hideMark/>
          </w:tcPr>
          <w:p w14:paraId="109F629D"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Cessations de services et rapatriements</w:t>
            </w:r>
          </w:p>
        </w:tc>
        <w:tc>
          <w:tcPr>
            <w:tcW w:w="990" w:type="dxa"/>
            <w:tcBorders>
              <w:top w:val="nil"/>
              <w:left w:val="nil"/>
              <w:bottom w:val="nil"/>
              <w:right w:val="nil"/>
            </w:tcBorders>
            <w:shd w:val="clear" w:color="auto" w:fill="auto"/>
            <w:noWrap/>
            <w:vAlign w:val="center"/>
            <w:hideMark/>
          </w:tcPr>
          <w:p w14:paraId="4D96C839"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555,5</w:t>
            </w:r>
          </w:p>
        </w:tc>
        <w:tc>
          <w:tcPr>
            <w:tcW w:w="900" w:type="dxa"/>
            <w:tcBorders>
              <w:top w:val="nil"/>
              <w:left w:val="nil"/>
              <w:bottom w:val="nil"/>
              <w:right w:val="nil"/>
            </w:tcBorders>
            <w:shd w:val="clear" w:color="auto" w:fill="auto"/>
            <w:noWrap/>
            <w:vAlign w:val="center"/>
            <w:hideMark/>
          </w:tcPr>
          <w:p w14:paraId="2C8C0C79"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50,0</w:t>
            </w:r>
          </w:p>
        </w:tc>
      </w:tr>
      <w:tr w:rsidR="008B1794" w:rsidRPr="00623A2B" w14:paraId="695958C4"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5F3B58E7"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124I</w:t>
            </w:r>
          </w:p>
        </w:tc>
        <w:tc>
          <w:tcPr>
            <w:tcW w:w="5220" w:type="dxa"/>
            <w:tcBorders>
              <w:top w:val="nil"/>
              <w:left w:val="nil"/>
              <w:bottom w:val="nil"/>
              <w:right w:val="nil"/>
            </w:tcBorders>
            <w:shd w:val="clear" w:color="auto" w:fill="auto"/>
            <w:vAlign w:val="center"/>
            <w:hideMark/>
          </w:tcPr>
          <w:p w14:paraId="02CE8A23"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Congés dans les foyers</w:t>
            </w:r>
          </w:p>
        </w:tc>
        <w:tc>
          <w:tcPr>
            <w:tcW w:w="990" w:type="dxa"/>
            <w:tcBorders>
              <w:top w:val="nil"/>
              <w:left w:val="nil"/>
              <w:bottom w:val="nil"/>
              <w:right w:val="nil"/>
            </w:tcBorders>
            <w:shd w:val="clear" w:color="auto" w:fill="auto"/>
            <w:noWrap/>
            <w:vAlign w:val="center"/>
            <w:hideMark/>
          </w:tcPr>
          <w:p w14:paraId="489609A0"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228,5</w:t>
            </w:r>
          </w:p>
        </w:tc>
        <w:tc>
          <w:tcPr>
            <w:tcW w:w="900" w:type="dxa"/>
            <w:tcBorders>
              <w:top w:val="nil"/>
              <w:left w:val="nil"/>
              <w:bottom w:val="nil"/>
              <w:right w:val="nil"/>
            </w:tcBorders>
            <w:shd w:val="clear" w:color="auto" w:fill="auto"/>
            <w:noWrap/>
            <w:vAlign w:val="center"/>
            <w:hideMark/>
          </w:tcPr>
          <w:p w14:paraId="3EFC1FB6"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10,0</w:t>
            </w:r>
          </w:p>
        </w:tc>
      </w:tr>
      <w:tr w:rsidR="008B1794" w:rsidRPr="00623A2B" w14:paraId="0AFAF28C" w14:textId="77777777" w:rsidTr="00C83EA7">
        <w:trPr>
          <w:trHeight w:val="525"/>
          <w:jc w:val="center"/>
        </w:trPr>
        <w:tc>
          <w:tcPr>
            <w:tcW w:w="1350" w:type="dxa"/>
            <w:tcBorders>
              <w:top w:val="nil"/>
              <w:left w:val="nil"/>
              <w:bottom w:val="nil"/>
              <w:right w:val="nil"/>
            </w:tcBorders>
            <w:shd w:val="clear" w:color="auto" w:fill="auto"/>
            <w:noWrap/>
            <w:vAlign w:val="center"/>
            <w:hideMark/>
          </w:tcPr>
          <w:p w14:paraId="23AF3444"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124J</w:t>
            </w:r>
          </w:p>
        </w:tc>
        <w:tc>
          <w:tcPr>
            <w:tcW w:w="5220" w:type="dxa"/>
            <w:tcBorders>
              <w:top w:val="nil"/>
              <w:left w:val="nil"/>
              <w:bottom w:val="nil"/>
              <w:right w:val="nil"/>
            </w:tcBorders>
            <w:shd w:val="clear" w:color="auto" w:fill="auto"/>
            <w:vAlign w:val="center"/>
            <w:hideMark/>
          </w:tcPr>
          <w:p w14:paraId="1374DF1C"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Allocation pour frais d’étude, prime de connaissances linguistiques et examens médicaux</w:t>
            </w:r>
          </w:p>
        </w:tc>
        <w:tc>
          <w:tcPr>
            <w:tcW w:w="990" w:type="dxa"/>
            <w:tcBorders>
              <w:top w:val="nil"/>
              <w:left w:val="nil"/>
              <w:bottom w:val="nil"/>
              <w:right w:val="nil"/>
            </w:tcBorders>
            <w:shd w:val="clear" w:color="auto" w:fill="auto"/>
            <w:noWrap/>
            <w:vAlign w:val="center"/>
            <w:hideMark/>
          </w:tcPr>
          <w:p w14:paraId="059FF6D0"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42,5</w:t>
            </w:r>
          </w:p>
        </w:tc>
        <w:tc>
          <w:tcPr>
            <w:tcW w:w="900" w:type="dxa"/>
            <w:tcBorders>
              <w:top w:val="nil"/>
              <w:left w:val="nil"/>
              <w:bottom w:val="nil"/>
              <w:right w:val="nil"/>
            </w:tcBorders>
            <w:shd w:val="clear" w:color="auto" w:fill="auto"/>
            <w:noWrap/>
            <w:vAlign w:val="center"/>
            <w:hideMark/>
          </w:tcPr>
          <w:p w14:paraId="64CC4188"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7C6F075B" w14:textId="77777777" w:rsidTr="00C83EA7">
        <w:trPr>
          <w:trHeight w:val="525"/>
          <w:jc w:val="center"/>
        </w:trPr>
        <w:tc>
          <w:tcPr>
            <w:tcW w:w="1350" w:type="dxa"/>
            <w:tcBorders>
              <w:top w:val="nil"/>
              <w:left w:val="nil"/>
              <w:bottom w:val="nil"/>
              <w:right w:val="nil"/>
            </w:tcBorders>
            <w:shd w:val="clear" w:color="auto" w:fill="auto"/>
            <w:noWrap/>
            <w:vAlign w:val="center"/>
            <w:hideMark/>
          </w:tcPr>
          <w:p w14:paraId="5837AD2A"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124K</w:t>
            </w:r>
          </w:p>
        </w:tc>
        <w:tc>
          <w:tcPr>
            <w:tcW w:w="5220" w:type="dxa"/>
            <w:tcBorders>
              <w:top w:val="nil"/>
              <w:left w:val="nil"/>
              <w:bottom w:val="nil"/>
              <w:right w:val="nil"/>
            </w:tcBorders>
            <w:shd w:val="clear" w:color="auto" w:fill="auto"/>
            <w:vAlign w:val="center"/>
            <w:hideMark/>
          </w:tcPr>
          <w:p w14:paraId="6AFB08F6"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Pensions pour les hauts fonctionnaires retraités ; assurance-maladie et assurance-vie pour les employés retraités</w:t>
            </w:r>
          </w:p>
        </w:tc>
        <w:tc>
          <w:tcPr>
            <w:tcW w:w="990" w:type="dxa"/>
            <w:tcBorders>
              <w:top w:val="nil"/>
              <w:left w:val="nil"/>
              <w:bottom w:val="nil"/>
              <w:right w:val="nil"/>
            </w:tcBorders>
            <w:shd w:val="clear" w:color="auto" w:fill="auto"/>
            <w:noWrap/>
            <w:vAlign w:val="center"/>
            <w:hideMark/>
          </w:tcPr>
          <w:p w14:paraId="3B93A401"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3 788,8</w:t>
            </w:r>
          </w:p>
        </w:tc>
        <w:tc>
          <w:tcPr>
            <w:tcW w:w="900" w:type="dxa"/>
            <w:tcBorders>
              <w:top w:val="nil"/>
              <w:left w:val="nil"/>
              <w:bottom w:val="nil"/>
              <w:right w:val="nil"/>
            </w:tcBorders>
            <w:shd w:val="clear" w:color="auto" w:fill="auto"/>
            <w:noWrap/>
            <w:vAlign w:val="center"/>
            <w:hideMark/>
          </w:tcPr>
          <w:p w14:paraId="2A077DBA"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24F9E331"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4A7A3681"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124L</w:t>
            </w:r>
          </w:p>
        </w:tc>
        <w:tc>
          <w:tcPr>
            <w:tcW w:w="5220" w:type="dxa"/>
            <w:tcBorders>
              <w:top w:val="nil"/>
              <w:left w:val="nil"/>
              <w:bottom w:val="nil"/>
              <w:right w:val="nil"/>
            </w:tcBorders>
            <w:shd w:val="clear" w:color="auto" w:fill="auto"/>
            <w:vAlign w:val="center"/>
            <w:hideMark/>
          </w:tcPr>
          <w:p w14:paraId="4D89C3DC"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Développement des ressources humaines</w:t>
            </w:r>
          </w:p>
        </w:tc>
        <w:tc>
          <w:tcPr>
            <w:tcW w:w="990" w:type="dxa"/>
            <w:tcBorders>
              <w:top w:val="nil"/>
              <w:left w:val="nil"/>
              <w:bottom w:val="nil"/>
              <w:right w:val="nil"/>
            </w:tcBorders>
            <w:shd w:val="clear" w:color="auto" w:fill="auto"/>
            <w:noWrap/>
            <w:vAlign w:val="center"/>
            <w:hideMark/>
          </w:tcPr>
          <w:p w14:paraId="392BB653"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46,8</w:t>
            </w:r>
          </w:p>
        </w:tc>
        <w:tc>
          <w:tcPr>
            <w:tcW w:w="900" w:type="dxa"/>
            <w:tcBorders>
              <w:top w:val="nil"/>
              <w:left w:val="nil"/>
              <w:bottom w:val="nil"/>
              <w:right w:val="nil"/>
            </w:tcBorders>
            <w:shd w:val="clear" w:color="auto" w:fill="auto"/>
            <w:noWrap/>
            <w:vAlign w:val="center"/>
            <w:hideMark/>
          </w:tcPr>
          <w:p w14:paraId="5CFE5B1A"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322E757C"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218D941D"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124M</w:t>
            </w:r>
          </w:p>
        </w:tc>
        <w:tc>
          <w:tcPr>
            <w:tcW w:w="5220" w:type="dxa"/>
            <w:tcBorders>
              <w:top w:val="nil"/>
              <w:left w:val="nil"/>
              <w:bottom w:val="nil"/>
              <w:right w:val="nil"/>
            </w:tcBorders>
            <w:shd w:val="clear" w:color="auto" w:fill="auto"/>
            <w:vAlign w:val="center"/>
            <w:hideMark/>
          </w:tcPr>
          <w:p w14:paraId="4F77D0AF"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Cotisation à l’Association du personnel</w:t>
            </w:r>
          </w:p>
        </w:tc>
        <w:tc>
          <w:tcPr>
            <w:tcW w:w="990" w:type="dxa"/>
            <w:tcBorders>
              <w:top w:val="nil"/>
              <w:left w:val="nil"/>
              <w:bottom w:val="nil"/>
              <w:right w:val="nil"/>
            </w:tcBorders>
            <w:shd w:val="clear" w:color="auto" w:fill="auto"/>
            <w:noWrap/>
            <w:vAlign w:val="center"/>
            <w:hideMark/>
          </w:tcPr>
          <w:p w14:paraId="428DB399"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4,6</w:t>
            </w:r>
          </w:p>
        </w:tc>
        <w:tc>
          <w:tcPr>
            <w:tcW w:w="900" w:type="dxa"/>
            <w:tcBorders>
              <w:top w:val="nil"/>
              <w:left w:val="nil"/>
              <w:bottom w:val="nil"/>
              <w:right w:val="nil"/>
            </w:tcBorders>
            <w:shd w:val="clear" w:color="auto" w:fill="auto"/>
            <w:noWrap/>
            <w:vAlign w:val="center"/>
            <w:hideMark/>
          </w:tcPr>
          <w:p w14:paraId="512FCF3F"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0936327F"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3B5DE878"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124N</w:t>
            </w:r>
          </w:p>
        </w:tc>
        <w:tc>
          <w:tcPr>
            <w:tcW w:w="5220" w:type="dxa"/>
            <w:tcBorders>
              <w:top w:val="nil"/>
              <w:left w:val="nil"/>
              <w:bottom w:val="nil"/>
              <w:right w:val="nil"/>
            </w:tcBorders>
            <w:shd w:val="clear" w:color="auto" w:fill="auto"/>
            <w:vAlign w:val="center"/>
            <w:hideMark/>
          </w:tcPr>
          <w:p w14:paraId="1CAC15F1"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Cotisation à l’AROAS</w:t>
            </w:r>
          </w:p>
        </w:tc>
        <w:tc>
          <w:tcPr>
            <w:tcW w:w="990" w:type="dxa"/>
            <w:tcBorders>
              <w:top w:val="nil"/>
              <w:left w:val="nil"/>
              <w:bottom w:val="nil"/>
              <w:right w:val="nil"/>
            </w:tcBorders>
            <w:shd w:val="clear" w:color="auto" w:fill="auto"/>
            <w:noWrap/>
            <w:vAlign w:val="center"/>
            <w:hideMark/>
          </w:tcPr>
          <w:p w14:paraId="10D289EF"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4,6</w:t>
            </w:r>
          </w:p>
        </w:tc>
        <w:tc>
          <w:tcPr>
            <w:tcW w:w="900" w:type="dxa"/>
            <w:tcBorders>
              <w:top w:val="nil"/>
              <w:left w:val="nil"/>
              <w:bottom w:val="nil"/>
              <w:right w:val="nil"/>
            </w:tcBorders>
            <w:shd w:val="clear" w:color="auto" w:fill="auto"/>
            <w:noWrap/>
            <w:vAlign w:val="center"/>
            <w:hideMark/>
          </w:tcPr>
          <w:p w14:paraId="78023EF5"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33F8FF62"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7F3BDE6A"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124S</w:t>
            </w:r>
          </w:p>
        </w:tc>
        <w:tc>
          <w:tcPr>
            <w:tcW w:w="5220" w:type="dxa"/>
            <w:tcBorders>
              <w:top w:val="nil"/>
              <w:left w:val="nil"/>
              <w:bottom w:val="nil"/>
              <w:right w:val="nil"/>
            </w:tcBorders>
            <w:shd w:val="clear" w:color="auto" w:fill="auto"/>
            <w:vAlign w:val="center"/>
            <w:hideMark/>
          </w:tcPr>
          <w:p w14:paraId="36D09620"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Licences OASCORE</w:t>
            </w:r>
          </w:p>
        </w:tc>
        <w:tc>
          <w:tcPr>
            <w:tcW w:w="990" w:type="dxa"/>
            <w:tcBorders>
              <w:top w:val="nil"/>
              <w:left w:val="nil"/>
              <w:bottom w:val="nil"/>
              <w:right w:val="nil"/>
            </w:tcBorders>
            <w:shd w:val="clear" w:color="auto" w:fill="auto"/>
            <w:noWrap/>
            <w:vAlign w:val="center"/>
            <w:hideMark/>
          </w:tcPr>
          <w:p w14:paraId="7B1C08C9"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149,4</w:t>
            </w:r>
          </w:p>
        </w:tc>
        <w:tc>
          <w:tcPr>
            <w:tcW w:w="900" w:type="dxa"/>
            <w:tcBorders>
              <w:top w:val="nil"/>
              <w:left w:val="nil"/>
              <w:bottom w:val="nil"/>
              <w:right w:val="nil"/>
            </w:tcBorders>
            <w:shd w:val="clear" w:color="auto" w:fill="auto"/>
            <w:noWrap/>
            <w:vAlign w:val="center"/>
            <w:hideMark/>
          </w:tcPr>
          <w:p w14:paraId="7D8A0BF0"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400,0</w:t>
            </w:r>
          </w:p>
        </w:tc>
      </w:tr>
      <w:tr w:rsidR="008B1794" w:rsidRPr="00623A2B" w14:paraId="7EE16760"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726A1C8E"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124U</w:t>
            </w:r>
          </w:p>
        </w:tc>
        <w:tc>
          <w:tcPr>
            <w:tcW w:w="5220" w:type="dxa"/>
            <w:tcBorders>
              <w:top w:val="nil"/>
              <w:left w:val="nil"/>
              <w:bottom w:val="nil"/>
              <w:right w:val="nil"/>
            </w:tcBorders>
            <w:shd w:val="clear" w:color="auto" w:fill="auto"/>
            <w:vAlign w:val="center"/>
            <w:hideMark/>
          </w:tcPr>
          <w:p w14:paraId="6BD65823"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Services de nettoyage</w:t>
            </w:r>
          </w:p>
        </w:tc>
        <w:tc>
          <w:tcPr>
            <w:tcW w:w="990" w:type="dxa"/>
            <w:tcBorders>
              <w:top w:val="nil"/>
              <w:left w:val="nil"/>
              <w:bottom w:val="nil"/>
              <w:right w:val="nil"/>
            </w:tcBorders>
            <w:shd w:val="clear" w:color="auto" w:fill="auto"/>
            <w:noWrap/>
            <w:vAlign w:val="center"/>
            <w:hideMark/>
          </w:tcPr>
          <w:p w14:paraId="19002DEE"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919,7</w:t>
            </w:r>
          </w:p>
        </w:tc>
        <w:tc>
          <w:tcPr>
            <w:tcW w:w="900" w:type="dxa"/>
            <w:tcBorders>
              <w:top w:val="nil"/>
              <w:left w:val="nil"/>
              <w:bottom w:val="nil"/>
              <w:right w:val="nil"/>
            </w:tcBorders>
            <w:shd w:val="clear" w:color="auto" w:fill="auto"/>
            <w:noWrap/>
            <w:vAlign w:val="center"/>
            <w:hideMark/>
          </w:tcPr>
          <w:p w14:paraId="36EEB6A3"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491,0</w:t>
            </w:r>
          </w:p>
        </w:tc>
      </w:tr>
      <w:tr w:rsidR="008B1794" w:rsidRPr="00623A2B" w14:paraId="5F6F3544"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2847B7C0"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124V</w:t>
            </w:r>
          </w:p>
        </w:tc>
        <w:tc>
          <w:tcPr>
            <w:tcW w:w="5220" w:type="dxa"/>
            <w:tcBorders>
              <w:top w:val="nil"/>
              <w:left w:val="nil"/>
              <w:bottom w:val="nil"/>
              <w:right w:val="nil"/>
            </w:tcBorders>
            <w:shd w:val="clear" w:color="auto" w:fill="auto"/>
            <w:vAlign w:val="center"/>
            <w:hideMark/>
          </w:tcPr>
          <w:p w14:paraId="62610D8D"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Services de sécurité</w:t>
            </w:r>
          </w:p>
        </w:tc>
        <w:tc>
          <w:tcPr>
            <w:tcW w:w="990" w:type="dxa"/>
            <w:tcBorders>
              <w:top w:val="nil"/>
              <w:left w:val="nil"/>
              <w:bottom w:val="nil"/>
              <w:right w:val="nil"/>
            </w:tcBorders>
            <w:shd w:val="clear" w:color="auto" w:fill="auto"/>
            <w:noWrap/>
            <w:vAlign w:val="center"/>
            <w:hideMark/>
          </w:tcPr>
          <w:p w14:paraId="4051BB08"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760,3</w:t>
            </w:r>
          </w:p>
        </w:tc>
        <w:tc>
          <w:tcPr>
            <w:tcW w:w="900" w:type="dxa"/>
            <w:tcBorders>
              <w:top w:val="nil"/>
              <w:left w:val="nil"/>
              <w:bottom w:val="nil"/>
              <w:right w:val="nil"/>
            </w:tcBorders>
            <w:shd w:val="clear" w:color="auto" w:fill="auto"/>
            <w:noWrap/>
            <w:vAlign w:val="center"/>
            <w:hideMark/>
          </w:tcPr>
          <w:p w14:paraId="1A80EF76"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334,8</w:t>
            </w:r>
          </w:p>
        </w:tc>
      </w:tr>
      <w:tr w:rsidR="008B1794" w:rsidRPr="00623A2B" w14:paraId="33E99470"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485B62C5"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124Y</w:t>
            </w:r>
          </w:p>
        </w:tc>
        <w:tc>
          <w:tcPr>
            <w:tcW w:w="5220" w:type="dxa"/>
            <w:tcBorders>
              <w:top w:val="nil"/>
              <w:left w:val="nil"/>
              <w:bottom w:val="nil"/>
              <w:right w:val="nil"/>
            </w:tcBorders>
            <w:shd w:val="clear" w:color="auto" w:fill="auto"/>
            <w:vAlign w:val="center"/>
            <w:hideMark/>
          </w:tcPr>
          <w:p w14:paraId="74E8FD13"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Services d’infrastructure des télécommunications de l’OEA</w:t>
            </w:r>
          </w:p>
        </w:tc>
        <w:tc>
          <w:tcPr>
            <w:tcW w:w="990" w:type="dxa"/>
            <w:tcBorders>
              <w:top w:val="nil"/>
              <w:left w:val="nil"/>
              <w:bottom w:val="nil"/>
              <w:right w:val="nil"/>
            </w:tcBorders>
            <w:shd w:val="clear" w:color="auto" w:fill="auto"/>
            <w:noWrap/>
            <w:vAlign w:val="center"/>
            <w:hideMark/>
          </w:tcPr>
          <w:p w14:paraId="2941B61E"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255,9</w:t>
            </w:r>
          </w:p>
        </w:tc>
        <w:tc>
          <w:tcPr>
            <w:tcW w:w="900" w:type="dxa"/>
            <w:tcBorders>
              <w:top w:val="nil"/>
              <w:left w:val="nil"/>
              <w:bottom w:val="nil"/>
              <w:right w:val="nil"/>
            </w:tcBorders>
            <w:shd w:val="clear" w:color="auto" w:fill="auto"/>
            <w:noWrap/>
            <w:vAlign w:val="center"/>
            <w:hideMark/>
          </w:tcPr>
          <w:p w14:paraId="58F46C3F"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0,0</w:t>
            </w:r>
          </w:p>
        </w:tc>
      </w:tr>
      <w:tr w:rsidR="008B1794" w:rsidRPr="00623A2B" w14:paraId="7906FAF2"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22F06794"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124Z</w:t>
            </w:r>
          </w:p>
        </w:tc>
        <w:tc>
          <w:tcPr>
            <w:tcW w:w="5220" w:type="dxa"/>
            <w:tcBorders>
              <w:top w:val="nil"/>
              <w:left w:val="nil"/>
              <w:bottom w:val="nil"/>
              <w:right w:val="nil"/>
            </w:tcBorders>
            <w:shd w:val="clear" w:color="auto" w:fill="auto"/>
            <w:vAlign w:val="center"/>
            <w:hideMark/>
          </w:tcPr>
          <w:p w14:paraId="7BC258E7"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Services publics</w:t>
            </w:r>
          </w:p>
        </w:tc>
        <w:tc>
          <w:tcPr>
            <w:tcW w:w="990" w:type="dxa"/>
            <w:tcBorders>
              <w:top w:val="nil"/>
              <w:left w:val="nil"/>
              <w:bottom w:val="nil"/>
              <w:right w:val="nil"/>
            </w:tcBorders>
            <w:shd w:val="clear" w:color="auto" w:fill="auto"/>
            <w:noWrap/>
            <w:vAlign w:val="center"/>
            <w:hideMark/>
          </w:tcPr>
          <w:p w14:paraId="69D98256"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763,2</w:t>
            </w:r>
          </w:p>
        </w:tc>
        <w:tc>
          <w:tcPr>
            <w:tcW w:w="900" w:type="dxa"/>
            <w:tcBorders>
              <w:top w:val="nil"/>
              <w:left w:val="nil"/>
              <w:bottom w:val="nil"/>
              <w:right w:val="nil"/>
            </w:tcBorders>
            <w:shd w:val="clear" w:color="auto" w:fill="auto"/>
            <w:noWrap/>
            <w:vAlign w:val="center"/>
            <w:hideMark/>
          </w:tcPr>
          <w:p w14:paraId="586A1726"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391,1</w:t>
            </w:r>
          </w:p>
        </w:tc>
      </w:tr>
      <w:tr w:rsidR="008B1794" w:rsidRPr="00623A2B" w14:paraId="476D654B" w14:textId="77777777" w:rsidTr="00C83EA7">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1BD61692"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color w:val="000000"/>
                <w:lang w:val="fr-FR"/>
              </w:rPr>
              <w:t>Chapitre 12 – Infrastructure de base et frais communs Total</w:t>
            </w:r>
          </w:p>
        </w:tc>
        <w:tc>
          <w:tcPr>
            <w:tcW w:w="990" w:type="dxa"/>
            <w:tcBorders>
              <w:top w:val="single" w:sz="4" w:space="0" w:color="auto"/>
              <w:left w:val="nil"/>
              <w:bottom w:val="single" w:sz="4" w:space="0" w:color="auto"/>
              <w:right w:val="nil"/>
            </w:tcBorders>
            <w:shd w:val="clear" w:color="auto" w:fill="auto"/>
            <w:noWrap/>
            <w:vAlign w:val="center"/>
            <w:hideMark/>
          </w:tcPr>
          <w:p w14:paraId="7F2C8DDE"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10 589,2</w:t>
            </w:r>
          </w:p>
        </w:tc>
        <w:tc>
          <w:tcPr>
            <w:tcW w:w="900" w:type="dxa"/>
            <w:tcBorders>
              <w:top w:val="single" w:sz="4" w:space="0" w:color="auto"/>
              <w:left w:val="nil"/>
              <w:bottom w:val="single" w:sz="4" w:space="0" w:color="auto"/>
              <w:right w:val="nil"/>
            </w:tcBorders>
            <w:shd w:val="clear" w:color="auto" w:fill="auto"/>
            <w:noWrap/>
            <w:vAlign w:val="center"/>
            <w:hideMark/>
          </w:tcPr>
          <w:p w14:paraId="6B4B6BA4"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2 477,1</w:t>
            </w:r>
          </w:p>
        </w:tc>
      </w:tr>
      <w:tr w:rsidR="008B1794" w:rsidRPr="00623A2B" w14:paraId="48A3E45F"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4AD3CBAE" w14:textId="77777777" w:rsidR="008B1794" w:rsidRPr="00623A2B" w:rsidRDefault="008B1794" w:rsidP="00C83EA7">
            <w:pPr>
              <w:jc w:val="right"/>
              <w:rPr>
                <w:rFonts w:ascii="Times New Roman" w:hAnsi="Times New Roman"/>
                <w:b/>
                <w:bCs/>
                <w:color w:val="000000"/>
                <w:lang w:val="fr-FR"/>
              </w:rPr>
            </w:pPr>
          </w:p>
        </w:tc>
        <w:tc>
          <w:tcPr>
            <w:tcW w:w="5220" w:type="dxa"/>
            <w:tcBorders>
              <w:top w:val="nil"/>
              <w:left w:val="nil"/>
              <w:bottom w:val="nil"/>
              <w:right w:val="nil"/>
            </w:tcBorders>
            <w:shd w:val="clear" w:color="auto" w:fill="auto"/>
            <w:vAlign w:val="center"/>
            <w:hideMark/>
          </w:tcPr>
          <w:p w14:paraId="3A39BF75" w14:textId="77777777" w:rsidR="008B1794" w:rsidRPr="00623A2B" w:rsidRDefault="008B1794" w:rsidP="00C83EA7">
            <w:pPr>
              <w:rPr>
                <w:rFonts w:ascii="Times New Roman" w:hAnsi="Times New Roman"/>
                <w:lang w:val="fr-FR"/>
              </w:rPr>
            </w:pPr>
          </w:p>
        </w:tc>
        <w:tc>
          <w:tcPr>
            <w:tcW w:w="990" w:type="dxa"/>
            <w:tcBorders>
              <w:top w:val="nil"/>
              <w:left w:val="nil"/>
              <w:bottom w:val="nil"/>
              <w:right w:val="nil"/>
            </w:tcBorders>
            <w:shd w:val="clear" w:color="auto" w:fill="auto"/>
            <w:noWrap/>
            <w:vAlign w:val="center"/>
            <w:hideMark/>
          </w:tcPr>
          <w:p w14:paraId="5472BEE6" w14:textId="77777777" w:rsidR="008B1794" w:rsidRPr="00623A2B" w:rsidRDefault="008B1794" w:rsidP="00C83EA7">
            <w:pPr>
              <w:rPr>
                <w:rFonts w:ascii="Times New Roman" w:hAnsi="Times New Roman"/>
                <w:lang w:val="fr-FR"/>
              </w:rPr>
            </w:pPr>
          </w:p>
        </w:tc>
        <w:tc>
          <w:tcPr>
            <w:tcW w:w="900" w:type="dxa"/>
            <w:tcBorders>
              <w:top w:val="nil"/>
              <w:left w:val="nil"/>
              <w:bottom w:val="nil"/>
              <w:right w:val="nil"/>
            </w:tcBorders>
            <w:shd w:val="clear" w:color="auto" w:fill="auto"/>
            <w:noWrap/>
            <w:vAlign w:val="center"/>
            <w:hideMark/>
          </w:tcPr>
          <w:p w14:paraId="51125DC3" w14:textId="77777777" w:rsidR="008B1794" w:rsidRPr="00623A2B" w:rsidRDefault="008B1794" w:rsidP="00C83EA7">
            <w:pPr>
              <w:rPr>
                <w:rFonts w:ascii="Times New Roman" w:hAnsi="Times New Roman"/>
                <w:lang w:val="fr-FR"/>
              </w:rPr>
            </w:pPr>
          </w:p>
        </w:tc>
      </w:tr>
    </w:tbl>
    <w:p w14:paraId="527CE4E1" w14:textId="77777777" w:rsidR="008B1794" w:rsidRPr="00623A2B" w:rsidRDefault="008B1794" w:rsidP="008B1794">
      <w:pPr>
        <w:rPr>
          <w:rFonts w:ascii="Times New Roman" w:hAnsi="Times New Roman"/>
        </w:rPr>
      </w:pPr>
      <w:r w:rsidRPr="00623A2B">
        <w:rPr>
          <w:rFonts w:ascii="Times New Roman" w:hAnsi="Times New Roman"/>
        </w:rPr>
        <w:br w:type="page"/>
      </w:r>
    </w:p>
    <w:tbl>
      <w:tblPr>
        <w:tblW w:w="8460" w:type="dxa"/>
        <w:jc w:val="center"/>
        <w:tblLook w:val="04A0" w:firstRow="1" w:lastRow="0" w:firstColumn="1" w:lastColumn="0" w:noHBand="0" w:noVBand="1"/>
      </w:tblPr>
      <w:tblGrid>
        <w:gridCol w:w="1350"/>
        <w:gridCol w:w="5220"/>
        <w:gridCol w:w="990"/>
        <w:gridCol w:w="900"/>
      </w:tblGrid>
      <w:tr w:rsidR="008B1794" w:rsidRPr="00213B6A" w14:paraId="3EFC6E50" w14:textId="77777777" w:rsidTr="00C83EA7">
        <w:trPr>
          <w:trHeight w:val="263"/>
          <w:jc w:val="center"/>
        </w:trPr>
        <w:tc>
          <w:tcPr>
            <w:tcW w:w="6570" w:type="dxa"/>
            <w:gridSpan w:val="2"/>
            <w:tcBorders>
              <w:top w:val="nil"/>
              <w:left w:val="nil"/>
              <w:bottom w:val="nil"/>
              <w:right w:val="nil"/>
            </w:tcBorders>
            <w:shd w:val="clear" w:color="auto" w:fill="auto"/>
            <w:noWrap/>
            <w:vAlign w:val="center"/>
            <w:hideMark/>
          </w:tcPr>
          <w:p w14:paraId="1C6579CF"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color w:val="000000"/>
                <w:lang w:val="fr-FR"/>
              </w:rPr>
              <w:lastRenderedPageBreak/>
              <w:t>Chapitre 13 – Organes de vérification de la conformité de la gestion</w:t>
            </w:r>
          </w:p>
        </w:tc>
        <w:tc>
          <w:tcPr>
            <w:tcW w:w="990" w:type="dxa"/>
            <w:tcBorders>
              <w:top w:val="nil"/>
              <w:left w:val="nil"/>
              <w:bottom w:val="nil"/>
              <w:right w:val="nil"/>
            </w:tcBorders>
            <w:shd w:val="clear" w:color="auto" w:fill="auto"/>
            <w:noWrap/>
            <w:vAlign w:val="center"/>
            <w:hideMark/>
          </w:tcPr>
          <w:p w14:paraId="7BFECD84" w14:textId="77777777" w:rsidR="008B1794" w:rsidRPr="00623A2B" w:rsidRDefault="008B1794" w:rsidP="00C83EA7">
            <w:pPr>
              <w:rPr>
                <w:rFonts w:ascii="Times New Roman" w:hAnsi="Times New Roman"/>
                <w:b/>
                <w:bCs/>
                <w:color w:val="000000"/>
                <w:lang w:val="fr-FR"/>
              </w:rPr>
            </w:pPr>
          </w:p>
        </w:tc>
        <w:tc>
          <w:tcPr>
            <w:tcW w:w="900" w:type="dxa"/>
            <w:tcBorders>
              <w:top w:val="nil"/>
              <w:left w:val="nil"/>
              <w:bottom w:val="nil"/>
              <w:right w:val="nil"/>
            </w:tcBorders>
            <w:shd w:val="clear" w:color="auto" w:fill="auto"/>
            <w:noWrap/>
            <w:vAlign w:val="center"/>
            <w:hideMark/>
          </w:tcPr>
          <w:p w14:paraId="791F408E" w14:textId="77777777" w:rsidR="008B1794" w:rsidRPr="00623A2B" w:rsidRDefault="008B1794" w:rsidP="00C83EA7">
            <w:pPr>
              <w:rPr>
                <w:rFonts w:ascii="Times New Roman" w:hAnsi="Times New Roman"/>
                <w:lang w:val="fr-FR"/>
              </w:rPr>
            </w:pPr>
          </w:p>
        </w:tc>
      </w:tr>
      <w:tr w:rsidR="008B1794" w:rsidRPr="00623A2B" w14:paraId="7186D1F8" w14:textId="77777777" w:rsidTr="00C83EA7">
        <w:trPr>
          <w:trHeight w:val="525"/>
          <w:jc w:val="center"/>
        </w:trPr>
        <w:tc>
          <w:tcPr>
            <w:tcW w:w="1350" w:type="dxa"/>
            <w:tcBorders>
              <w:top w:val="nil"/>
              <w:left w:val="nil"/>
              <w:bottom w:val="nil"/>
              <w:right w:val="nil"/>
            </w:tcBorders>
            <w:shd w:val="clear" w:color="auto" w:fill="auto"/>
            <w:noWrap/>
            <w:vAlign w:val="center"/>
            <w:hideMark/>
          </w:tcPr>
          <w:p w14:paraId="7520CE19"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133A</w:t>
            </w:r>
          </w:p>
        </w:tc>
        <w:tc>
          <w:tcPr>
            <w:tcW w:w="5220" w:type="dxa"/>
            <w:tcBorders>
              <w:top w:val="nil"/>
              <w:left w:val="nil"/>
              <w:bottom w:val="nil"/>
              <w:right w:val="nil"/>
            </w:tcBorders>
            <w:shd w:val="clear" w:color="auto" w:fill="auto"/>
            <w:vAlign w:val="center"/>
            <w:hideMark/>
          </w:tcPr>
          <w:p w14:paraId="068F8986"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Secrétariat du Tribunal administratif de l’OEA (TRIBAD)</w:t>
            </w:r>
          </w:p>
        </w:tc>
        <w:tc>
          <w:tcPr>
            <w:tcW w:w="990" w:type="dxa"/>
            <w:tcBorders>
              <w:top w:val="nil"/>
              <w:left w:val="nil"/>
              <w:bottom w:val="nil"/>
              <w:right w:val="nil"/>
            </w:tcBorders>
            <w:shd w:val="clear" w:color="auto" w:fill="auto"/>
            <w:noWrap/>
            <w:vAlign w:val="center"/>
            <w:hideMark/>
          </w:tcPr>
          <w:p w14:paraId="4B9B97A5"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235,8</w:t>
            </w:r>
          </w:p>
        </w:tc>
        <w:tc>
          <w:tcPr>
            <w:tcW w:w="900" w:type="dxa"/>
            <w:tcBorders>
              <w:top w:val="nil"/>
              <w:left w:val="nil"/>
              <w:bottom w:val="nil"/>
              <w:right w:val="nil"/>
            </w:tcBorders>
            <w:shd w:val="clear" w:color="auto" w:fill="auto"/>
            <w:noWrap/>
            <w:vAlign w:val="center"/>
            <w:hideMark/>
          </w:tcPr>
          <w:p w14:paraId="2B157719"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39,0</w:t>
            </w:r>
          </w:p>
        </w:tc>
      </w:tr>
      <w:tr w:rsidR="008B1794" w:rsidRPr="00623A2B" w14:paraId="16D4AAED"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5C3219C4"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134B</w:t>
            </w:r>
          </w:p>
        </w:tc>
        <w:tc>
          <w:tcPr>
            <w:tcW w:w="5220" w:type="dxa"/>
            <w:tcBorders>
              <w:top w:val="nil"/>
              <w:left w:val="nil"/>
              <w:bottom w:val="nil"/>
              <w:right w:val="nil"/>
            </w:tcBorders>
            <w:shd w:val="clear" w:color="auto" w:fill="auto"/>
            <w:vAlign w:val="center"/>
            <w:hideMark/>
          </w:tcPr>
          <w:p w14:paraId="09136C04"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Bureau de l’Inspecteur général</w:t>
            </w:r>
          </w:p>
        </w:tc>
        <w:tc>
          <w:tcPr>
            <w:tcW w:w="990" w:type="dxa"/>
            <w:tcBorders>
              <w:top w:val="nil"/>
              <w:left w:val="nil"/>
              <w:bottom w:val="nil"/>
              <w:right w:val="nil"/>
            </w:tcBorders>
            <w:shd w:val="clear" w:color="auto" w:fill="auto"/>
            <w:noWrap/>
            <w:vAlign w:val="center"/>
            <w:hideMark/>
          </w:tcPr>
          <w:p w14:paraId="492399F0"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801,7</w:t>
            </w:r>
          </w:p>
        </w:tc>
        <w:tc>
          <w:tcPr>
            <w:tcW w:w="900" w:type="dxa"/>
            <w:tcBorders>
              <w:top w:val="nil"/>
              <w:left w:val="nil"/>
              <w:bottom w:val="nil"/>
              <w:right w:val="nil"/>
            </w:tcBorders>
            <w:shd w:val="clear" w:color="auto" w:fill="auto"/>
            <w:noWrap/>
            <w:vAlign w:val="center"/>
            <w:hideMark/>
          </w:tcPr>
          <w:p w14:paraId="75D566C6"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68,3</w:t>
            </w:r>
          </w:p>
        </w:tc>
      </w:tr>
      <w:tr w:rsidR="008B1794" w:rsidRPr="00623A2B" w14:paraId="518F0441"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77ADF646"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134C</w:t>
            </w:r>
          </w:p>
        </w:tc>
        <w:tc>
          <w:tcPr>
            <w:tcW w:w="5220" w:type="dxa"/>
            <w:tcBorders>
              <w:top w:val="nil"/>
              <w:left w:val="nil"/>
              <w:bottom w:val="nil"/>
              <w:right w:val="nil"/>
            </w:tcBorders>
            <w:shd w:val="clear" w:color="auto" w:fill="auto"/>
            <w:vAlign w:val="center"/>
            <w:hideMark/>
          </w:tcPr>
          <w:p w14:paraId="67CDD3C3"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Commission des vérificateurs extérieurs</w:t>
            </w:r>
          </w:p>
        </w:tc>
        <w:tc>
          <w:tcPr>
            <w:tcW w:w="990" w:type="dxa"/>
            <w:tcBorders>
              <w:top w:val="nil"/>
              <w:left w:val="nil"/>
              <w:bottom w:val="nil"/>
              <w:right w:val="nil"/>
            </w:tcBorders>
            <w:shd w:val="clear" w:color="auto" w:fill="auto"/>
            <w:noWrap/>
            <w:vAlign w:val="center"/>
            <w:hideMark/>
          </w:tcPr>
          <w:p w14:paraId="5E41D540"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74,8</w:t>
            </w:r>
          </w:p>
        </w:tc>
        <w:tc>
          <w:tcPr>
            <w:tcW w:w="900" w:type="dxa"/>
            <w:tcBorders>
              <w:top w:val="nil"/>
              <w:left w:val="nil"/>
              <w:bottom w:val="nil"/>
              <w:right w:val="nil"/>
            </w:tcBorders>
            <w:shd w:val="clear" w:color="auto" w:fill="auto"/>
            <w:noWrap/>
            <w:vAlign w:val="center"/>
            <w:hideMark/>
          </w:tcPr>
          <w:p w14:paraId="1E9EEA4B"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83,1</w:t>
            </w:r>
          </w:p>
        </w:tc>
      </w:tr>
      <w:tr w:rsidR="008B1794" w:rsidRPr="00623A2B" w14:paraId="67701845"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76A3169D"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134D</w:t>
            </w:r>
          </w:p>
        </w:tc>
        <w:tc>
          <w:tcPr>
            <w:tcW w:w="5220" w:type="dxa"/>
            <w:tcBorders>
              <w:top w:val="nil"/>
              <w:left w:val="nil"/>
              <w:bottom w:val="nil"/>
              <w:right w:val="nil"/>
            </w:tcBorders>
            <w:shd w:val="clear" w:color="auto" w:fill="auto"/>
            <w:vAlign w:val="center"/>
            <w:hideMark/>
          </w:tcPr>
          <w:p w14:paraId="69A77F8A"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Ombudsman</w:t>
            </w:r>
          </w:p>
        </w:tc>
        <w:tc>
          <w:tcPr>
            <w:tcW w:w="990" w:type="dxa"/>
            <w:tcBorders>
              <w:top w:val="nil"/>
              <w:left w:val="nil"/>
              <w:bottom w:val="nil"/>
              <w:right w:val="nil"/>
            </w:tcBorders>
            <w:shd w:val="clear" w:color="auto" w:fill="auto"/>
            <w:noWrap/>
            <w:vAlign w:val="center"/>
            <w:hideMark/>
          </w:tcPr>
          <w:p w14:paraId="59D4D0BC"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199,7</w:t>
            </w:r>
          </w:p>
        </w:tc>
        <w:tc>
          <w:tcPr>
            <w:tcW w:w="900" w:type="dxa"/>
            <w:tcBorders>
              <w:top w:val="nil"/>
              <w:left w:val="nil"/>
              <w:bottom w:val="nil"/>
              <w:right w:val="nil"/>
            </w:tcBorders>
            <w:shd w:val="clear" w:color="auto" w:fill="auto"/>
            <w:noWrap/>
            <w:vAlign w:val="center"/>
            <w:hideMark/>
          </w:tcPr>
          <w:p w14:paraId="5458A2F3" w14:textId="77777777" w:rsidR="008B1794" w:rsidRPr="00623A2B" w:rsidRDefault="008B1794" w:rsidP="00C83EA7">
            <w:pPr>
              <w:jc w:val="right"/>
              <w:rPr>
                <w:rFonts w:ascii="Times New Roman" w:hAnsi="Times New Roman"/>
                <w:color w:val="000000"/>
                <w:lang w:val="fr-FR"/>
              </w:rPr>
            </w:pPr>
            <w:r w:rsidRPr="00623A2B">
              <w:rPr>
                <w:rFonts w:ascii="Times New Roman" w:eastAsia="Calibri" w:hAnsi="Times New Roman"/>
                <w:color w:val="000000"/>
                <w:lang w:val="fr-FR"/>
              </w:rPr>
              <w:t>59,8</w:t>
            </w:r>
          </w:p>
        </w:tc>
      </w:tr>
      <w:tr w:rsidR="008B1794" w:rsidRPr="00623A2B" w14:paraId="4CB95868" w14:textId="77777777" w:rsidTr="00C83EA7">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526000A8"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color w:val="000000"/>
                <w:lang w:val="fr-FR"/>
              </w:rPr>
              <w:t>Chapitre 13 – Organes de vérification de la conformité de la gestion Total</w:t>
            </w:r>
          </w:p>
        </w:tc>
        <w:tc>
          <w:tcPr>
            <w:tcW w:w="990" w:type="dxa"/>
            <w:tcBorders>
              <w:top w:val="single" w:sz="4" w:space="0" w:color="auto"/>
              <w:left w:val="nil"/>
              <w:bottom w:val="single" w:sz="4" w:space="0" w:color="auto"/>
              <w:right w:val="nil"/>
            </w:tcBorders>
            <w:shd w:val="clear" w:color="auto" w:fill="auto"/>
            <w:noWrap/>
            <w:vAlign w:val="center"/>
            <w:hideMark/>
          </w:tcPr>
          <w:p w14:paraId="480614F5"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1 312,0</w:t>
            </w:r>
          </w:p>
        </w:tc>
        <w:tc>
          <w:tcPr>
            <w:tcW w:w="900" w:type="dxa"/>
            <w:tcBorders>
              <w:top w:val="single" w:sz="4" w:space="0" w:color="auto"/>
              <w:left w:val="nil"/>
              <w:bottom w:val="single" w:sz="4" w:space="0" w:color="auto"/>
              <w:right w:val="nil"/>
            </w:tcBorders>
            <w:shd w:val="clear" w:color="auto" w:fill="auto"/>
            <w:noWrap/>
            <w:vAlign w:val="center"/>
            <w:hideMark/>
          </w:tcPr>
          <w:p w14:paraId="2C5ED25F"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250,2</w:t>
            </w:r>
          </w:p>
        </w:tc>
      </w:tr>
      <w:tr w:rsidR="008B1794" w:rsidRPr="00623A2B" w14:paraId="52D9D614" w14:textId="77777777" w:rsidTr="00C83EA7">
        <w:trPr>
          <w:trHeight w:val="263"/>
          <w:jc w:val="center"/>
        </w:trPr>
        <w:tc>
          <w:tcPr>
            <w:tcW w:w="1350" w:type="dxa"/>
            <w:tcBorders>
              <w:top w:val="nil"/>
              <w:left w:val="nil"/>
              <w:bottom w:val="nil"/>
              <w:right w:val="nil"/>
            </w:tcBorders>
            <w:shd w:val="clear" w:color="auto" w:fill="auto"/>
            <w:noWrap/>
            <w:vAlign w:val="center"/>
            <w:hideMark/>
          </w:tcPr>
          <w:p w14:paraId="7D817C12" w14:textId="77777777" w:rsidR="008B1794" w:rsidRPr="00623A2B" w:rsidRDefault="008B1794" w:rsidP="00C83EA7">
            <w:pPr>
              <w:jc w:val="right"/>
              <w:rPr>
                <w:rFonts w:ascii="Times New Roman" w:hAnsi="Times New Roman"/>
                <w:b/>
                <w:bCs/>
                <w:color w:val="000000"/>
                <w:lang w:val="fr-FR"/>
              </w:rPr>
            </w:pPr>
          </w:p>
        </w:tc>
        <w:tc>
          <w:tcPr>
            <w:tcW w:w="5220" w:type="dxa"/>
            <w:tcBorders>
              <w:top w:val="nil"/>
              <w:left w:val="nil"/>
              <w:bottom w:val="nil"/>
              <w:right w:val="nil"/>
            </w:tcBorders>
            <w:shd w:val="clear" w:color="auto" w:fill="auto"/>
            <w:vAlign w:val="bottom"/>
            <w:hideMark/>
          </w:tcPr>
          <w:p w14:paraId="6B81CD20" w14:textId="77777777" w:rsidR="008B1794" w:rsidRPr="00623A2B" w:rsidRDefault="008B1794" w:rsidP="00C83EA7">
            <w:pPr>
              <w:rPr>
                <w:rFonts w:ascii="Times New Roman" w:hAnsi="Times New Roman"/>
                <w:lang w:val="fr-FR"/>
              </w:rPr>
            </w:pPr>
          </w:p>
        </w:tc>
        <w:tc>
          <w:tcPr>
            <w:tcW w:w="990" w:type="dxa"/>
            <w:tcBorders>
              <w:top w:val="nil"/>
              <w:left w:val="nil"/>
              <w:bottom w:val="nil"/>
              <w:right w:val="nil"/>
            </w:tcBorders>
            <w:shd w:val="clear" w:color="auto" w:fill="auto"/>
            <w:noWrap/>
            <w:vAlign w:val="bottom"/>
            <w:hideMark/>
          </w:tcPr>
          <w:p w14:paraId="6DA737F0" w14:textId="77777777" w:rsidR="008B1794" w:rsidRPr="00623A2B" w:rsidRDefault="008B1794" w:rsidP="00C83EA7">
            <w:pPr>
              <w:rPr>
                <w:rFonts w:ascii="Times New Roman" w:hAnsi="Times New Roman"/>
                <w:lang w:val="fr-FR"/>
              </w:rPr>
            </w:pPr>
          </w:p>
        </w:tc>
        <w:tc>
          <w:tcPr>
            <w:tcW w:w="900" w:type="dxa"/>
            <w:tcBorders>
              <w:top w:val="nil"/>
              <w:left w:val="nil"/>
              <w:bottom w:val="nil"/>
              <w:right w:val="nil"/>
            </w:tcBorders>
            <w:shd w:val="clear" w:color="auto" w:fill="auto"/>
            <w:noWrap/>
            <w:vAlign w:val="bottom"/>
            <w:hideMark/>
          </w:tcPr>
          <w:p w14:paraId="4319E102" w14:textId="77777777" w:rsidR="008B1794" w:rsidRPr="00623A2B" w:rsidRDefault="008B1794" w:rsidP="00C83EA7">
            <w:pPr>
              <w:rPr>
                <w:rFonts w:ascii="Times New Roman" w:hAnsi="Times New Roman"/>
                <w:lang w:val="fr-FR"/>
              </w:rPr>
            </w:pPr>
          </w:p>
        </w:tc>
      </w:tr>
      <w:tr w:rsidR="008B1794" w:rsidRPr="00623A2B" w14:paraId="29D91316" w14:textId="77777777" w:rsidTr="00C83EA7">
        <w:trPr>
          <w:trHeight w:val="270"/>
          <w:jc w:val="center"/>
        </w:trPr>
        <w:tc>
          <w:tcPr>
            <w:tcW w:w="1350" w:type="dxa"/>
            <w:tcBorders>
              <w:top w:val="single" w:sz="4" w:space="0" w:color="auto"/>
              <w:left w:val="nil"/>
              <w:bottom w:val="double" w:sz="6" w:space="0" w:color="auto"/>
              <w:right w:val="nil"/>
            </w:tcBorders>
            <w:shd w:val="clear" w:color="auto" w:fill="auto"/>
            <w:noWrap/>
            <w:vAlign w:val="center"/>
            <w:hideMark/>
          </w:tcPr>
          <w:p w14:paraId="09F69AA1"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color w:val="000000"/>
                <w:lang w:val="fr-FR"/>
              </w:rPr>
              <w:t>TOTAL</w:t>
            </w:r>
          </w:p>
        </w:tc>
        <w:tc>
          <w:tcPr>
            <w:tcW w:w="5220" w:type="dxa"/>
            <w:tcBorders>
              <w:top w:val="single" w:sz="4" w:space="0" w:color="auto"/>
              <w:left w:val="nil"/>
              <w:bottom w:val="double" w:sz="6" w:space="0" w:color="auto"/>
              <w:right w:val="nil"/>
            </w:tcBorders>
            <w:shd w:val="clear" w:color="auto" w:fill="auto"/>
            <w:vAlign w:val="bottom"/>
            <w:hideMark/>
          </w:tcPr>
          <w:p w14:paraId="5496D267" w14:textId="77777777" w:rsidR="008B1794" w:rsidRPr="00623A2B" w:rsidRDefault="008B1794" w:rsidP="00C83EA7">
            <w:pPr>
              <w:rPr>
                <w:rFonts w:ascii="Times New Roman" w:hAnsi="Times New Roman"/>
                <w:b/>
                <w:bCs/>
                <w:color w:val="000000"/>
                <w:lang w:val="fr-FR"/>
              </w:rPr>
            </w:pPr>
            <w:r w:rsidRPr="00623A2B">
              <w:rPr>
                <w:rFonts w:ascii="Times New Roman" w:eastAsia="Calibri" w:hAnsi="Times New Roman"/>
                <w:b/>
                <w:color w:val="000000"/>
                <w:lang w:val="fr-FR"/>
              </w:rPr>
              <w:t> </w:t>
            </w:r>
          </w:p>
        </w:tc>
        <w:tc>
          <w:tcPr>
            <w:tcW w:w="990" w:type="dxa"/>
            <w:tcBorders>
              <w:top w:val="single" w:sz="4" w:space="0" w:color="auto"/>
              <w:left w:val="nil"/>
              <w:bottom w:val="double" w:sz="6" w:space="0" w:color="auto"/>
              <w:right w:val="nil"/>
            </w:tcBorders>
            <w:shd w:val="clear" w:color="auto" w:fill="auto"/>
            <w:noWrap/>
            <w:vAlign w:val="center"/>
            <w:hideMark/>
          </w:tcPr>
          <w:p w14:paraId="391290EF"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81 000,0</w:t>
            </w:r>
          </w:p>
        </w:tc>
        <w:tc>
          <w:tcPr>
            <w:tcW w:w="900" w:type="dxa"/>
            <w:tcBorders>
              <w:top w:val="single" w:sz="4" w:space="0" w:color="auto"/>
              <w:left w:val="nil"/>
              <w:bottom w:val="double" w:sz="6" w:space="0" w:color="auto"/>
              <w:right w:val="nil"/>
            </w:tcBorders>
            <w:shd w:val="clear" w:color="auto" w:fill="auto"/>
            <w:noWrap/>
            <w:vAlign w:val="center"/>
            <w:hideMark/>
          </w:tcPr>
          <w:p w14:paraId="184F00A9" w14:textId="77777777" w:rsidR="008B1794" w:rsidRPr="00623A2B" w:rsidRDefault="008B1794" w:rsidP="00C83EA7">
            <w:pPr>
              <w:jc w:val="right"/>
              <w:rPr>
                <w:rFonts w:ascii="Times New Roman" w:hAnsi="Times New Roman"/>
                <w:b/>
                <w:bCs/>
                <w:color w:val="000000"/>
                <w:lang w:val="fr-FR"/>
              </w:rPr>
            </w:pPr>
            <w:r w:rsidRPr="00623A2B">
              <w:rPr>
                <w:rFonts w:ascii="Times New Roman" w:eastAsia="Calibri" w:hAnsi="Times New Roman"/>
                <w:b/>
                <w:color w:val="000000"/>
                <w:lang w:val="fr-FR"/>
              </w:rPr>
              <w:t>7 192,0</w:t>
            </w:r>
          </w:p>
        </w:tc>
      </w:tr>
    </w:tbl>
    <w:p w14:paraId="07BDF59B" w14:textId="0BC5AB81" w:rsidR="008B1794" w:rsidRPr="00623A2B" w:rsidRDefault="008B1794" w:rsidP="008B1794">
      <w:pPr>
        <w:rPr>
          <w:rFonts w:ascii="Times New Roman" w:eastAsia="Calibri" w:hAnsi="Times New Roman"/>
          <w:lang w:val="fr-FR"/>
        </w:rPr>
      </w:pPr>
    </w:p>
    <w:p w14:paraId="39511DAD" w14:textId="77777777" w:rsidR="008E3F21" w:rsidRPr="00623A2B" w:rsidRDefault="008E3F21" w:rsidP="008B1794">
      <w:pPr>
        <w:rPr>
          <w:rFonts w:ascii="Times New Roman" w:eastAsia="Calibri" w:hAnsi="Times New Roman"/>
          <w:lang w:val="fr-FR"/>
        </w:rPr>
      </w:pPr>
    </w:p>
    <w:p w14:paraId="1D840125" w14:textId="77777777" w:rsidR="008B1794" w:rsidRPr="00623A2B" w:rsidRDefault="008B1794" w:rsidP="008B1794">
      <w:pPr>
        <w:suppressAutoHyphens/>
        <w:ind w:firstLine="720"/>
        <w:rPr>
          <w:rFonts w:ascii="Times New Roman" w:eastAsia="Calibri" w:hAnsi="Times New Roman"/>
          <w:color w:val="000000"/>
          <w:lang w:val="fr-FR"/>
        </w:rPr>
      </w:pPr>
      <w:r w:rsidRPr="00623A2B">
        <w:rPr>
          <w:rFonts w:ascii="Times New Roman" w:eastAsia="Calibri" w:hAnsi="Times New Roman"/>
          <w:color w:val="000000"/>
          <w:lang w:val="fr-FR"/>
        </w:rPr>
        <w:t>3.</w:t>
      </w:r>
      <w:r w:rsidRPr="00623A2B">
        <w:rPr>
          <w:rFonts w:ascii="Times New Roman" w:eastAsia="Calibri" w:hAnsi="Times New Roman"/>
          <w:color w:val="000000"/>
          <w:lang w:val="fr-FR"/>
        </w:rPr>
        <w:tab/>
        <w:t>De charger le Secrétariat général d’identifier des économies s’élevant à 20 000 USD au cours du premier semestre de 2022 afin de réorienter ce montant au financement des activités du Groupe de travail chargé d’analyser les rapports nationaux évoqués dans le Protocole de San Salvador (GTPSS), au chapitre 5, sous-programme 54B, et d’arrêter que cette instruction s’applique exclusivement à l’exercice budgétaire 2022.</w:t>
      </w:r>
    </w:p>
    <w:p w14:paraId="6C2CA701" w14:textId="77777777" w:rsidR="008B1794" w:rsidRPr="00623A2B" w:rsidRDefault="008B1794" w:rsidP="008B1794">
      <w:pPr>
        <w:suppressAutoHyphens/>
        <w:rPr>
          <w:rFonts w:ascii="Times New Roman" w:eastAsia="Calibri" w:hAnsi="Times New Roman"/>
          <w:color w:val="000000"/>
          <w:lang w:val="fr-FR"/>
        </w:rPr>
      </w:pPr>
    </w:p>
    <w:p w14:paraId="080FC4E8" w14:textId="77777777" w:rsidR="008B1794" w:rsidRPr="00623A2B" w:rsidRDefault="008B1794" w:rsidP="008B1794">
      <w:pPr>
        <w:suppressAutoHyphens/>
        <w:ind w:firstLine="720"/>
        <w:rPr>
          <w:rFonts w:ascii="Times New Roman" w:eastAsia="Calibri" w:hAnsi="Times New Roman"/>
          <w:color w:val="000000"/>
          <w:lang w:val="fr-FR"/>
        </w:rPr>
      </w:pPr>
      <w:r w:rsidRPr="00623A2B">
        <w:rPr>
          <w:rFonts w:ascii="Times New Roman" w:eastAsia="Calibri" w:hAnsi="Times New Roman"/>
          <w:color w:val="000000"/>
          <w:lang w:val="fr-FR"/>
        </w:rPr>
        <w:t>4.</w:t>
      </w:r>
      <w:r w:rsidRPr="00623A2B">
        <w:rPr>
          <w:rFonts w:ascii="Times New Roman" w:eastAsia="Calibri" w:hAnsi="Times New Roman"/>
          <w:color w:val="000000"/>
          <w:lang w:val="fr-FR"/>
        </w:rPr>
        <w:tab/>
        <w:t>De demander que l’on envisage d’allouer à titre prioritaire les éventuelles économies cumulées au chapitre 3 du budget 2022 au Secrétariat de la Commission interaméricaine des femmes (CIM) et au Comité juridique interaméricain.</w:t>
      </w:r>
    </w:p>
    <w:p w14:paraId="6001AF5A" w14:textId="77777777" w:rsidR="008B1794" w:rsidRPr="00623A2B" w:rsidRDefault="008B1794" w:rsidP="008B1794">
      <w:pPr>
        <w:suppressAutoHyphens/>
        <w:rPr>
          <w:rFonts w:ascii="Times New Roman" w:eastAsia="Calibri" w:hAnsi="Times New Roman"/>
          <w:color w:val="000000"/>
          <w:lang w:val="fr-FR"/>
        </w:rPr>
      </w:pPr>
    </w:p>
    <w:p w14:paraId="3BB0FCF1" w14:textId="77777777" w:rsidR="008B1794" w:rsidRPr="00623A2B" w:rsidRDefault="008B1794" w:rsidP="008B1794">
      <w:pPr>
        <w:suppressAutoHyphens/>
        <w:ind w:firstLine="720"/>
        <w:rPr>
          <w:rFonts w:ascii="Times New Roman" w:eastAsia="Calibri" w:hAnsi="Times New Roman"/>
          <w:i/>
          <w:iCs/>
          <w:color w:val="000000"/>
          <w:lang w:val="fr-FR"/>
        </w:rPr>
      </w:pPr>
      <w:r w:rsidRPr="00623A2B">
        <w:rPr>
          <w:rFonts w:ascii="Times New Roman" w:eastAsia="Calibri" w:hAnsi="Times New Roman"/>
          <w:color w:val="000000"/>
          <w:lang w:val="fr-FR"/>
        </w:rPr>
        <w:t>5.</w:t>
      </w:r>
      <w:r w:rsidRPr="00623A2B">
        <w:rPr>
          <w:rFonts w:ascii="Times New Roman" w:eastAsia="Calibri" w:hAnsi="Times New Roman"/>
          <w:color w:val="000000"/>
          <w:lang w:val="fr-FR"/>
        </w:rPr>
        <w:tab/>
        <w:t>De charger le Secrétariat général de faire en sorte que les ressources de l'Organisation soient employées à l'accomplissement des mandats issus des organes politiques conformément à l'article 107 de la Charte de l'OEA.</w:t>
      </w:r>
    </w:p>
    <w:p w14:paraId="0FE47CF3" w14:textId="77777777" w:rsidR="008B1794" w:rsidRPr="00623A2B" w:rsidRDefault="008B1794" w:rsidP="008B1794">
      <w:pPr>
        <w:suppressAutoHyphens/>
        <w:rPr>
          <w:rFonts w:ascii="Times New Roman" w:eastAsia="Calibri" w:hAnsi="Times New Roman"/>
          <w:i/>
          <w:iCs/>
          <w:color w:val="000000"/>
          <w:lang w:val="fr-FR"/>
        </w:rPr>
      </w:pPr>
    </w:p>
    <w:p w14:paraId="4B9A301F" w14:textId="77777777" w:rsidR="008B1794" w:rsidRPr="00623A2B" w:rsidRDefault="008B1794" w:rsidP="008B1794">
      <w:pPr>
        <w:suppressAutoHyphens/>
        <w:ind w:firstLine="720"/>
        <w:rPr>
          <w:rFonts w:ascii="Times New Roman" w:hAnsi="Times New Roman"/>
          <w:bCs/>
          <w:color w:val="000000"/>
          <w:lang w:val="fr-FR"/>
        </w:rPr>
      </w:pPr>
      <w:r w:rsidRPr="00623A2B">
        <w:rPr>
          <w:rFonts w:ascii="Times New Roman" w:eastAsia="Calibri" w:hAnsi="Times New Roman"/>
          <w:color w:val="000000"/>
          <w:lang w:val="fr-FR"/>
        </w:rPr>
        <w:t>6.</w:t>
      </w:r>
      <w:r w:rsidRPr="00623A2B">
        <w:rPr>
          <w:rFonts w:ascii="Times New Roman" w:eastAsia="Calibri" w:hAnsi="Times New Roman"/>
          <w:color w:val="000000"/>
          <w:lang w:val="fr-FR"/>
        </w:rPr>
        <w:tab/>
        <w:t xml:space="preserve">D’autoriser le Secrétariat général à utiliser jusqu’à 174 475 USD outre les allocations budgétaires réservées à cet effet dans le programme-budget 2022, sur les économies réalisées durant l’exécution du budget 2022, au cas où la cinquante-deuxième session ordinaire de l’Assemblée générale se déroulerait au siège comme énoncé dans l’article 57 de la Charte de l’OEA. </w:t>
      </w:r>
    </w:p>
    <w:p w14:paraId="7534F7CA" w14:textId="77777777" w:rsidR="008B1794" w:rsidRPr="00623A2B" w:rsidRDefault="008B1794" w:rsidP="008B1794">
      <w:pPr>
        <w:suppressAutoHyphens/>
        <w:rPr>
          <w:rFonts w:ascii="Times New Roman" w:hAnsi="Times New Roman"/>
          <w:bCs/>
          <w:color w:val="000000"/>
          <w:lang w:val="fr-FR"/>
        </w:rPr>
      </w:pPr>
    </w:p>
    <w:p w14:paraId="0C12FB1E" w14:textId="77777777" w:rsidR="008B1794" w:rsidRPr="00623A2B" w:rsidRDefault="008B1794" w:rsidP="008B1794">
      <w:pPr>
        <w:suppressAutoHyphens/>
        <w:ind w:firstLine="720"/>
        <w:rPr>
          <w:rFonts w:ascii="Times New Roman" w:hAnsi="Times New Roman"/>
          <w:bCs/>
          <w:lang w:val="fr-FR"/>
        </w:rPr>
      </w:pPr>
      <w:r w:rsidRPr="00623A2B">
        <w:rPr>
          <w:rFonts w:ascii="Times New Roman" w:eastAsia="Calibri" w:hAnsi="Times New Roman"/>
          <w:lang w:val="fr-FR"/>
        </w:rPr>
        <w:t xml:space="preserve">7. </w:t>
      </w:r>
      <w:r w:rsidRPr="00623A2B">
        <w:rPr>
          <w:rFonts w:ascii="Times New Roman" w:eastAsia="Calibri" w:hAnsi="Times New Roman"/>
          <w:lang w:val="fr-FR"/>
        </w:rPr>
        <w:tab/>
        <w:t xml:space="preserve">Qu’une estimation détaillée des dépenses envisagées jusqu’à 174 475 USD devra être présentée au Conseil permanent par l’intermédiaire de la CAAP au préalable si l’utilisation de ces ressources s’avère nécessaire. Le Secrétariat général devra en outre rendre compte de l’utilisation de ces ressources, dans un délai de 90 jours suivant la tenue de la cinquante-deuxième session ordinaire de l’Assemblée générale, si celle-ci a lieu au siège. </w:t>
      </w:r>
    </w:p>
    <w:p w14:paraId="4F3875C1" w14:textId="77777777" w:rsidR="008B1794" w:rsidRPr="00623A2B" w:rsidRDefault="008B1794" w:rsidP="008B1794">
      <w:pPr>
        <w:suppressAutoHyphens/>
        <w:rPr>
          <w:rFonts w:ascii="Times New Roman" w:hAnsi="Times New Roman"/>
          <w:bCs/>
          <w:color w:val="000000"/>
          <w:lang w:val="fr-FR"/>
        </w:rPr>
      </w:pPr>
    </w:p>
    <w:p w14:paraId="440A4E5F" w14:textId="77777777" w:rsidR="008B1794" w:rsidRPr="008B476B" w:rsidRDefault="008B1794" w:rsidP="008B1794">
      <w:pPr>
        <w:suppressAutoHyphens/>
        <w:ind w:firstLine="720"/>
        <w:rPr>
          <w:rFonts w:ascii="Times New Roman" w:eastAsia="Calibri" w:hAnsi="Times New Roman"/>
          <w:bCs/>
          <w:lang w:val="fr-FR"/>
        </w:rPr>
      </w:pPr>
      <w:r w:rsidRPr="008B476B">
        <w:rPr>
          <w:rFonts w:ascii="Times New Roman" w:eastAsia="Calibri" w:hAnsi="Times New Roman"/>
          <w:bCs/>
          <w:lang w:val="fr-FR"/>
        </w:rPr>
        <w:t>8.</w:t>
      </w:r>
      <w:r w:rsidRPr="008B476B">
        <w:rPr>
          <w:rFonts w:ascii="Times New Roman" w:eastAsia="Calibri" w:hAnsi="Times New Roman"/>
          <w:bCs/>
          <w:lang w:val="fr-FR"/>
        </w:rPr>
        <w:tab/>
        <w:t>Séances du Conseil permanent</w:t>
      </w:r>
    </w:p>
    <w:p w14:paraId="5A6D6382" w14:textId="77777777" w:rsidR="008B1794" w:rsidRPr="00623A2B" w:rsidRDefault="008B1794" w:rsidP="008B1794">
      <w:pPr>
        <w:suppressAutoHyphens/>
        <w:rPr>
          <w:rFonts w:ascii="Times New Roman" w:eastAsia="Calibri" w:hAnsi="Times New Roman"/>
          <w:bCs/>
          <w:lang w:val="fr-FR"/>
        </w:rPr>
      </w:pPr>
    </w:p>
    <w:p w14:paraId="318F59A1" w14:textId="77777777" w:rsidR="008B1794" w:rsidRPr="00623A2B" w:rsidRDefault="008B1794" w:rsidP="008B1794">
      <w:pPr>
        <w:suppressAutoHyphens/>
        <w:ind w:left="2160" w:hanging="720"/>
        <w:rPr>
          <w:rFonts w:ascii="Times New Roman" w:eastAsia="Calibri" w:hAnsi="Times New Roman"/>
          <w:b/>
          <w:lang w:val="fr-FR"/>
        </w:rPr>
      </w:pPr>
      <w:r w:rsidRPr="00623A2B">
        <w:rPr>
          <w:rFonts w:ascii="Times New Roman" w:eastAsia="Calibri" w:hAnsi="Times New Roman"/>
          <w:bCs/>
          <w:lang w:val="fr-FR"/>
        </w:rPr>
        <w:t>a.</w:t>
      </w:r>
      <w:r w:rsidRPr="00623A2B">
        <w:rPr>
          <w:rFonts w:ascii="Times New Roman" w:eastAsia="Calibri" w:hAnsi="Times New Roman"/>
          <w:bCs/>
          <w:lang w:val="fr-FR"/>
        </w:rPr>
        <w:tab/>
      </w:r>
      <w:bookmarkStart w:id="36" w:name="_Hlk86162057"/>
      <w:r w:rsidRPr="00623A2B">
        <w:rPr>
          <w:rFonts w:ascii="Times New Roman" w:eastAsia="Calibri" w:hAnsi="Times New Roman"/>
          <w:bCs/>
          <w:lang w:val="fr-FR"/>
        </w:rPr>
        <w:t xml:space="preserve">De rappeler l'article 36 du Règlement du Conseil permanent, qui établit que les séances ordinaires doivent se tenir les premier et </w:t>
      </w:r>
      <w:proofErr w:type="gramStart"/>
      <w:r w:rsidRPr="00623A2B">
        <w:rPr>
          <w:rFonts w:ascii="Times New Roman" w:eastAsia="Calibri" w:hAnsi="Times New Roman"/>
          <w:bCs/>
          <w:lang w:val="fr-FR"/>
        </w:rPr>
        <w:t>troisième mercredis</w:t>
      </w:r>
      <w:proofErr w:type="gramEnd"/>
      <w:r w:rsidRPr="00623A2B">
        <w:rPr>
          <w:rFonts w:ascii="Times New Roman" w:eastAsia="Calibri" w:hAnsi="Times New Roman"/>
          <w:bCs/>
          <w:lang w:val="fr-FR"/>
        </w:rPr>
        <w:t xml:space="preserve"> de chaque mois, et d’exhorter la présidence du Conseil permanent à rationaliser la programmation des séances et l'élaboration de leur ordre du jour, tout en arrêtant que les États membres ont une responsabilité partagée à cet égard, et en tenant toujours compte de la nécessité de respecter strictement les affectations budgétaires. De charger le Bureau du Secrétaire général adjoint d'organiser, au début de chaque année, une réunion d'information avec tous les nouveaux présidents du Conseil permanent, ensemble, afin de fournir des </w:t>
      </w:r>
      <w:r w:rsidRPr="00623A2B">
        <w:rPr>
          <w:rFonts w:ascii="Times New Roman" w:eastAsia="Calibri" w:hAnsi="Times New Roman"/>
          <w:bCs/>
          <w:lang w:val="fr-FR"/>
        </w:rPr>
        <w:lastRenderedPageBreak/>
        <w:t>informations sur l'affectation globale de crédits budgétaires pour les réunions, y compris une répartition approximative par présidence. De solliciter la présentation d’un rapport d’information trimestriel au Conseil permanent concernant l’état d’exécution budgétaire correspondant aux séances du Conseil permanent.</w:t>
      </w:r>
      <w:r w:rsidRPr="00623A2B">
        <w:rPr>
          <w:rFonts w:ascii="Times New Roman" w:eastAsia="Calibri" w:hAnsi="Times New Roman"/>
          <w:b/>
          <w:lang w:val="fr-FR"/>
        </w:rPr>
        <w:t xml:space="preserve"> </w:t>
      </w:r>
    </w:p>
    <w:bookmarkEnd w:id="36"/>
    <w:p w14:paraId="636E4270" w14:textId="77777777" w:rsidR="008B1794" w:rsidRPr="00623A2B" w:rsidRDefault="008B1794" w:rsidP="008B1794">
      <w:pPr>
        <w:rPr>
          <w:rFonts w:ascii="Times New Roman" w:eastAsia="Calibri" w:hAnsi="Times New Roman"/>
          <w:lang w:val="fr-FR"/>
        </w:rPr>
      </w:pPr>
    </w:p>
    <w:p w14:paraId="17F7B16F" w14:textId="77777777" w:rsidR="008B1794" w:rsidRPr="00623A2B" w:rsidRDefault="008B1794" w:rsidP="008B1794">
      <w:pPr>
        <w:suppressAutoHyphens/>
        <w:ind w:left="2160" w:hanging="720"/>
        <w:rPr>
          <w:rFonts w:ascii="Times New Roman" w:eastAsia="Calibri" w:hAnsi="Times New Roman"/>
          <w:bCs/>
          <w:lang w:val="fr-FR"/>
        </w:rPr>
      </w:pPr>
      <w:r w:rsidRPr="00623A2B">
        <w:rPr>
          <w:rFonts w:ascii="Times New Roman" w:hAnsi="Times New Roman"/>
          <w:bCs/>
          <w:color w:val="000000"/>
          <w:lang w:val="fr-FR"/>
        </w:rPr>
        <w:t>b.</w:t>
      </w:r>
      <w:r w:rsidRPr="00623A2B">
        <w:rPr>
          <w:rFonts w:ascii="Times New Roman" w:hAnsi="Times New Roman"/>
          <w:bCs/>
          <w:color w:val="000000"/>
          <w:lang w:val="fr-FR"/>
        </w:rPr>
        <w:tab/>
        <w:t xml:space="preserve">De charger le Secrétariat général de présenter au Conseil permanent par l’intermédiaire de la CAAP toutes demandes de renfort pour les séances du Conseil permanent qui dépassent 2,5 % des virements entre chapitres, et de </w:t>
      </w:r>
      <w:r w:rsidRPr="00623A2B">
        <w:rPr>
          <w:rFonts w:ascii="Times New Roman" w:eastAsia="Calibri" w:hAnsi="Times New Roman"/>
          <w:bCs/>
          <w:lang w:val="fr-FR"/>
        </w:rPr>
        <w:t>donner</w:t>
      </w:r>
      <w:r w:rsidRPr="00623A2B">
        <w:rPr>
          <w:rFonts w:ascii="Times New Roman" w:hAnsi="Times New Roman"/>
          <w:bCs/>
          <w:color w:val="000000"/>
          <w:lang w:val="fr-FR"/>
        </w:rPr>
        <w:t xml:space="preserve"> pour instruction au Conseil permanent de prendre une décision dans les 15 jours suivant la date de chacune de ces demandes afin d’assurer un examen opportun des solutions envisageables pour le financement dont dispose la présidence afin que celle-ci soit en mesure de convoquer des séances pour répondre aux exigences politiques dans le continent américain.</w:t>
      </w:r>
    </w:p>
    <w:p w14:paraId="145EB4A3" w14:textId="77777777" w:rsidR="008B1794" w:rsidRPr="00623A2B" w:rsidRDefault="008B1794" w:rsidP="008B1794">
      <w:pPr>
        <w:suppressAutoHyphens/>
        <w:rPr>
          <w:rFonts w:ascii="Times New Roman" w:hAnsi="Times New Roman"/>
          <w:bCs/>
          <w:color w:val="000000"/>
          <w:u w:val="single"/>
          <w:lang w:val="fr-FR"/>
        </w:rPr>
      </w:pPr>
    </w:p>
    <w:p w14:paraId="1044855E" w14:textId="77777777" w:rsidR="008B1794" w:rsidRPr="00623A2B" w:rsidRDefault="008B1794" w:rsidP="00573617">
      <w:pPr>
        <w:keepNext/>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hAnsi="Times New Roman"/>
          <w:color w:val="000000"/>
          <w:lang w:val="fr-FR"/>
        </w:rPr>
      </w:pPr>
      <w:r w:rsidRPr="00623A2B">
        <w:rPr>
          <w:rFonts w:ascii="Times New Roman" w:eastAsia="Calibri" w:hAnsi="Times New Roman"/>
          <w:color w:val="000000"/>
          <w:u w:val="single"/>
          <w:lang w:val="fr-FR"/>
        </w:rPr>
        <w:t>DISPOSITIONS DE NATURE ADMINISTRATIVE ET BUDGÉTAIRE</w:t>
      </w:r>
    </w:p>
    <w:p w14:paraId="2FBD2ACF" w14:textId="77777777" w:rsidR="008B1794" w:rsidRPr="00623A2B" w:rsidRDefault="008B1794" w:rsidP="008B1794">
      <w:pPr>
        <w:keepNext/>
        <w:suppressAutoHyphens/>
        <w:rPr>
          <w:rFonts w:ascii="Times New Roman" w:hAnsi="Times New Roman"/>
          <w:bCs/>
          <w:color w:val="000000"/>
          <w:lang w:val="fr-FR" w:eastAsia="es-ES"/>
        </w:rPr>
      </w:pPr>
    </w:p>
    <w:p w14:paraId="072021DE" w14:textId="77777777" w:rsidR="008B1794" w:rsidRPr="00623A2B" w:rsidRDefault="008B1794" w:rsidP="00573617">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0"/>
        <w:rPr>
          <w:rFonts w:ascii="Times New Roman" w:hAnsi="Times New Roman"/>
          <w:color w:val="000000"/>
          <w:u w:val="single"/>
          <w:lang w:val="fr-FR"/>
        </w:rPr>
      </w:pPr>
      <w:r w:rsidRPr="00623A2B">
        <w:rPr>
          <w:rFonts w:ascii="Times New Roman" w:eastAsia="Calibri" w:hAnsi="Times New Roman"/>
          <w:color w:val="000000"/>
          <w:u w:val="single"/>
          <w:lang w:val="fr-FR"/>
        </w:rPr>
        <w:t xml:space="preserve">Renouvellement de mandats </w:t>
      </w:r>
    </w:p>
    <w:p w14:paraId="76BFECE1" w14:textId="77777777" w:rsidR="008B1794" w:rsidRPr="00623A2B" w:rsidRDefault="008B1794" w:rsidP="008B1794">
      <w:pPr>
        <w:suppressAutoHyphens/>
        <w:rPr>
          <w:rFonts w:ascii="Times New Roman" w:hAnsi="Times New Roman"/>
          <w:color w:val="000000"/>
          <w:u w:val="single"/>
          <w:lang w:val="fr-FR"/>
        </w:rPr>
      </w:pPr>
    </w:p>
    <w:p w14:paraId="3BEF6C86" w14:textId="77777777" w:rsidR="008B1794" w:rsidRPr="00623A2B" w:rsidRDefault="008B1794" w:rsidP="00573617">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lang w:val="fr-FR"/>
        </w:rPr>
      </w:pPr>
      <w:r w:rsidRPr="00623A2B">
        <w:rPr>
          <w:rFonts w:ascii="Times New Roman" w:eastAsia="Calibri" w:hAnsi="Times New Roman"/>
          <w:color w:val="000000"/>
          <w:lang w:val="fr-FR"/>
        </w:rPr>
        <w:t>D’établir que les paragraphes du dispositif figurant à l’annexe II resteront en vigueur pendant le cycle budgétaire 2022 tout entier et assortis des délais amendés respectifs comme énoncé dans la quatrième colonne du tableau faisant l’objet de l'annexe II, intitulée « Changement de calendrier et/ou périodicité ».</w:t>
      </w:r>
    </w:p>
    <w:p w14:paraId="6B232306" w14:textId="77777777" w:rsidR="008B1794" w:rsidRPr="00623A2B" w:rsidRDefault="008B1794" w:rsidP="008B1794">
      <w:pPr>
        <w:suppressAutoHyphens/>
        <w:rPr>
          <w:rFonts w:ascii="Times New Roman" w:hAnsi="Times New Roman"/>
          <w:color w:val="000000"/>
          <w:lang w:val="fr-FR"/>
        </w:rPr>
      </w:pPr>
    </w:p>
    <w:p w14:paraId="3E038EEC" w14:textId="77777777" w:rsidR="008B1794" w:rsidRPr="00623A2B" w:rsidRDefault="008B1794" w:rsidP="00573617">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lang w:val="fr-FR"/>
        </w:rPr>
      </w:pPr>
      <w:r w:rsidRPr="00623A2B">
        <w:rPr>
          <w:rFonts w:ascii="Times New Roman" w:eastAsia="Calibri" w:hAnsi="Times New Roman"/>
          <w:color w:val="000000"/>
          <w:lang w:val="fr-FR"/>
        </w:rPr>
        <w:t>D’exhorter les États membres à continuer de contribuer à la réalisation des mandats établis dans les résolutions antérieures qui restent en vigueur durant le cycle budgétaire 2022, et de charger le Secrétariat général de continuer à prendre les mesures requises et/ou à soutenir l’exécution de celles-ci, comme prévu dans lesdits mandats.</w:t>
      </w:r>
    </w:p>
    <w:p w14:paraId="298EC363" w14:textId="77777777" w:rsidR="008B1794" w:rsidRPr="00623A2B" w:rsidRDefault="008B1794" w:rsidP="008B1794">
      <w:pPr>
        <w:suppressAutoHyphens/>
        <w:rPr>
          <w:rFonts w:ascii="Times New Roman" w:hAnsi="Times New Roman"/>
          <w:color w:val="000000"/>
          <w:u w:val="single"/>
          <w:lang w:val="fr-FR"/>
        </w:rPr>
      </w:pPr>
    </w:p>
    <w:p w14:paraId="64EA63A9" w14:textId="77777777" w:rsidR="008B1794" w:rsidRPr="00623A2B" w:rsidRDefault="008B1794" w:rsidP="00573617">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u w:val="single"/>
          <w:lang w:val="fr-FR"/>
        </w:rPr>
      </w:pPr>
      <w:r w:rsidRPr="00623A2B">
        <w:rPr>
          <w:rFonts w:ascii="Times New Roman" w:eastAsia="Calibri" w:hAnsi="Times New Roman"/>
          <w:color w:val="000000"/>
          <w:u w:val="single"/>
          <w:lang w:val="fr-FR"/>
        </w:rPr>
        <w:t>Responsabilité devant les États membres</w:t>
      </w:r>
    </w:p>
    <w:p w14:paraId="0EFE3B2A" w14:textId="77777777" w:rsidR="008B1794" w:rsidRPr="00623A2B" w:rsidRDefault="008B1794" w:rsidP="008B1794">
      <w:pPr>
        <w:suppressAutoHyphens/>
        <w:rPr>
          <w:rFonts w:ascii="Times New Roman" w:hAnsi="Times New Roman"/>
          <w:color w:val="000000"/>
          <w:u w:val="single"/>
          <w:lang w:val="fr-FR" w:eastAsia="es-ES"/>
        </w:rPr>
      </w:pPr>
    </w:p>
    <w:p w14:paraId="4A307BE5" w14:textId="77777777" w:rsidR="008B1794" w:rsidRPr="00623A2B" w:rsidRDefault="008B1794" w:rsidP="008B1794">
      <w:pPr>
        <w:suppressAutoHyphens/>
        <w:ind w:firstLine="720"/>
        <w:rPr>
          <w:rFonts w:ascii="Times New Roman" w:hAnsi="Times New Roman"/>
          <w:color w:val="000000"/>
          <w:lang w:val="fr-FR"/>
        </w:rPr>
      </w:pPr>
      <w:r w:rsidRPr="00623A2B">
        <w:rPr>
          <w:rFonts w:ascii="Times New Roman" w:eastAsia="Calibri" w:hAnsi="Times New Roman"/>
          <w:lang w:val="fr-FR"/>
        </w:rPr>
        <w:t>De charger le Secrétariat général, les entités spécialisées et les organes de surveillance de présenter les rapports, les stratégies et les plans cités dans la présente résolution au Conseil permanent et à la CAAP, si nécessaire, conformément à l’annexe II et à l’annexe III de sorte que les États membres soient en mesure de corroborer en temps opportun les données qui leur sont présentées et d’assurer le suivi qui convient à l’application des mandats et à l’exécution budgétaire du Fonds ordinaire et des fonds volontaires, spécifiques, fiduciaires et de service, y compris le RCI.</w:t>
      </w:r>
    </w:p>
    <w:p w14:paraId="410DDE87" w14:textId="77777777" w:rsidR="008B1794" w:rsidRPr="00623A2B" w:rsidRDefault="008B1794" w:rsidP="008B1794">
      <w:pPr>
        <w:suppressAutoHyphens/>
        <w:rPr>
          <w:rFonts w:ascii="Times New Roman" w:hAnsi="Times New Roman"/>
          <w:color w:val="000000"/>
          <w:lang w:val="fr-FR"/>
        </w:rPr>
      </w:pPr>
    </w:p>
    <w:p w14:paraId="4C1EAED1" w14:textId="77777777" w:rsidR="008B1794" w:rsidRPr="00623A2B" w:rsidRDefault="008B1794" w:rsidP="00573617">
      <w:pPr>
        <w:keepNext/>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u w:val="single"/>
          <w:bdr w:val="none" w:sz="0" w:space="0" w:color="auto" w:frame="1"/>
          <w:lang w:val="fr-FR"/>
        </w:rPr>
      </w:pPr>
      <w:r w:rsidRPr="00623A2B">
        <w:rPr>
          <w:rFonts w:ascii="Times New Roman" w:eastAsia="Calibri" w:hAnsi="Times New Roman"/>
          <w:u w:val="single"/>
          <w:bdr w:val="none" w:sz="0" w:space="0" w:color="auto" w:frame="1"/>
          <w:lang w:val="fr-FR"/>
        </w:rPr>
        <w:t>Recouvrement des coûts directs et indirects</w:t>
      </w:r>
    </w:p>
    <w:p w14:paraId="50257698" w14:textId="77777777" w:rsidR="008B1794" w:rsidRPr="00623A2B" w:rsidRDefault="008B1794" w:rsidP="008B1794">
      <w:pPr>
        <w:keepNext/>
        <w:rPr>
          <w:rFonts w:ascii="Times New Roman" w:hAnsi="Times New Roman"/>
          <w:lang w:val="fr-FR"/>
        </w:rPr>
      </w:pPr>
    </w:p>
    <w:p w14:paraId="484389EC" w14:textId="77777777" w:rsidR="008B1794" w:rsidRPr="00623A2B" w:rsidRDefault="008B1794" w:rsidP="008B1794">
      <w:pPr>
        <w:suppressAutoHyphens/>
        <w:ind w:left="2160" w:hanging="720"/>
        <w:rPr>
          <w:rFonts w:ascii="Times New Roman" w:eastAsia="Calibri" w:hAnsi="Times New Roman"/>
          <w:b/>
          <w:bCs/>
          <w:color w:val="000000"/>
          <w:lang w:val="fr-FR" w:eastAsia="es-ES"/>
        </w:rPr>
      </w:pPr>
      <w:r w:rsidRPr="00623A2B">
        <w:rPr>
          <w:rFonts w:ascii="Times New Roman" w:eastAsia="Calibri" w:hAnsi="Times New Roman"/>
          <w:color w:val="000000"/>
          <w:lang w:val="fr-FR" w:eastAsia="es-ES"/>
        </w:rPr>
        <w:t>a.</w:t>
      </w:r>
      <w:r w:rsidRPr="00623A2B">
        <w:rPr>
          <w:rFonts w:ascii="Times New Roman" w:eastAsia="Calibri" w:hAnsi="Times New Roman"/>
          <w:color w:val="000000"/>
          <w:lang w:val="fr-FR" w:eastAsia="es-ES"/>
        </w:rPr>
        <w:tab/>
        <w:t>D’entériner la résolution CP/RES. 1176 (2325/21), « </w:t>
      </w:r>
      <w:r w:rsidRPr="00623A2B">
        <w:rPr>
          <w:rFonts w:ascii="Times New Roman" w:hAnsi="Times New Roman"/>
          <w:lang w:val="fr-FR"/>
        </w:rPr>
        <w:t>Réduction du taux de récupération des coûts indirects (RCI) pour les contributions supérieures à 5 millions de dollars et affectation extraordinaire afin de conclure l’étude sur la RCI</w:t>
      </w:r>
      <w:r w:rsidRPr="00623A2B">
        <w:rPr>
          <w:rFonts w:ascii="Times New Roman" w:eastAsia="Calibri" w:hAnsi="Times New Roman"/>
          <w:color w:val="000000"/>
          <w:lang w:val="fr-FR" w:eastAsia="es-ES"/>
        </w:rPr>
        <w:t xml:space="preserve"> », approuvée par le Conseil permanent lors de la séance ordinaire virtuelle tenue le 23 juin 2021. De même, de reporter au 31 mars 2022 la date limite pour la présentation des résultats de l'analyse mentionnée au paragraphe 2 du </w:t>
      </w:r>
      <w:r w:rsidRPr="00623A2B">
        <w:rPr>
          <w:rFonts w:ascii="Times New Roman" w:eastAsia="Calibri" w:hAnsi="Times New Roman"/>
          <w:color w:val="000000"/>
          <w:lang w:val="fr-FR" w:eastAsia="es-ES"/>
        </w:rPr>
        <w:lastRenderedPageBreak/>
        <w:t>dispositif de ladite résolution, étant entendu que les crédits budgétaires autorisés au titre de ce projet ne sont pas modifiés.</w:t>
      </w:r>
    </w:p>
    <w:p w14:paraId="620F015E" w14:textId="77777777" w:rsidR="008B1794" w:rsidRPr="00623A2B" w:rsidRDefault="008B1794" w:rsidP="008B1794">
      <w:pPr>
        <w:suppressAutoHyphens/>
        <w:rPr>
          <w:rFonts w:ascii="Times New Roman" w:eastAsia="Calibri" w:hAnsi="Times New Roman"/>
          <w:b/>
          <w:bCs/>
          <w:color w:val="000000"/>
          <w:lang w:val="fr-FR" w:eastAsia="es-ES"/>
        </w:rPr>
      </w:pPr>
    </w:p>
    <w:p w14:paraId="74B45CCB" w14:textId="77777777" w:rsidR="008B1794" w:rsidRPr="00623A2B" w:rsidRDefault="008B1794" w:rsidP="008B1794">
      <w:pPr>
        <w:suppressAutoHyphens/>
        <w:ind w:left="2160" w:hanging="720"/>
        <w:rPr>
          <w:rFonts w:ascii="Times New Roman" w:eastAsia="Calibri" w:hAnsi="Times New Roman"/>
          <w:b/>
          <w:bCs/>
          <w:color w:val="000000"/>
          <w:lang w:val="fr-FR" w:eastAsia="es-ES"/>
        </w:rPr>
      </w:pPr>
      <w:r w:rsidRPr="00623A2B">
        <w:rPr>
          <w:rFonts w:ascii="Times New Roman" w:eastAsia="Calibri" w:hAnsi="Times New Roman"/>
          <w:color w:val="000000"/>
          <w:lang w:val="fr-FR" w:eastAsia="es-ES"/>
        </w:rPr>
        <w:t>b.</w:t>
      </w:r>
      <w:r w:rsidRPr="00623A2B">
        <w:rPr>
          <w:rFonts w:ascii="Times New Roman" w:eastAsia="Calibri" w:hAnsi="Times New Roman"/>
          <w:color w:val="000000"/>
          <w:lang w:val="fr-FR" w:eastAsia="es-ES"/>
        </w:rPr>
        <w:tab/>
        <w:t xml:space="preserve">De proroger l'autorisation accordée au Conseil permanent au moyen de la résolution AG/RES. 2957 (L-O/20) aux fins d’adopter </w:t>
      </w:r>
      <w:r w:rsidRPr="00623A2B">
        <w:rPr>
          <w:rFonts w:ascii="Times New Roman" w:hAnsi="Times New Roman"/>
          <w:lang w:val="fr-FR"/>
        </w:rPr>
        <w:t>les</w:t>
      </w:r>
      <w:r w:rsidRPr="00623A2B">
        <w:rPr>
          <w:rFonts w:ascii="Times New Roman" w:eastAsia="Calibri" w:hAnsi="Times New Roman"/>
          <w:color w:val="000000"/>
          <w:lang w:val="fr-FR" w:eastAsia="es-ES"/>
        </w:rPr>
        <w:t xml:space="preserve"> mesures s’avérant nécessaires pour améliorer la politique de recouvrement des coûts indirects, en tenant compte des recommandations de la CAAP.</w:t>
      </w:r>
    </w:p>
    <w:p w14:paraId="4658DC4B" w14:textId="77777777" w:rsidR="008B1794" w:rsidRPr="00623A2B" w:rsidRDefault="008B1794" w:rsidP="008B1794">
      <w:pPr>
        <w:suppressAutoHyphens/>
        <w:rPr>
          <w:rFonts w:ascii="Times New Roman" w:eastAsia="Calibri" w:hAnsi="Times New Roman"/>
          <w:b/>
          <w:bCs/>
          <w:color w:val="000000"/>
          <w:lang w:val="fr-FR" w:eastAsia="es-ES"/>
        </w:rPr>
      </w:pPr>
    </w:p>
    <w:p w14:paraId="5A080F86" w14:textId="77777777" w:rsidR="008B1794" w:rsidRPr="00623A2B" w:rsidRDefault="008B1794" w:rsidP="008B1794">
      <w:pPr>
        <w:suppressAutoHyphens/>
        <w:ind w:left="2160" w:hanging="720"/>
        <w:rPr>
          <w:rFonts w:ascii="Times New Roman" w:eastAsia="Calibri" w:hAnsi="Times New Roman"/>
          <w:b/>
          <w:bCs/>
          <w:color w:val="000000"/>
          <w:lang w:val="fr-FR" w:eastAsia="es-ES"/>
        </w:rPr>
      </w:pPr>
      <w:r w:rsidRPr="00623A2B">
        <w:rPr>
          <w:rFonts w:ascii="Times New Roman" w:eastAsia="Calibri" w:hAnsi="Times New Roman"/>
          <w:color w:val="000000"/>
          <w:lang w:val="fr-FR" w:eastAsia="es-ES"/>
        </w:rPr>
        <w:t>c.</w:t>
      </w:r>
      <w:r w:rsidRPr="00623A2B">
        <w:rPr>
          <w:rFonts w:ascii="Times New Roman" w:eastAsia="Calibri" w:hAnsi="Times New Roman"/>
          <w:color w:val="000000"/>
          <w:lang w:val="fr-FR" w:eastAsia="es-ES"/>
        </w:rPr>
        <w:tab/>
        <w:t xml:space="preserve">D’établir la </w:t>
      </w:r>
      <w:r w:rsidRPr="00623A2B">
        <w:rPr>
          <w:rFonts w:ascii="Times New Roman" w:hAnsi="Times New Roman"/>
          <w:lang w:val="fr-FR"/>
        </w:rPr>
        <w:t>répartition</w:t>
      </w:r>
      <w:r w:rsidRPr="00623A2B">
        <w:rPr>
          <w:rFonts w:ascii="Times New Roman" w:eastAsia="Calibri" w:hAnsi="Times New Roman"/>
          <w:color w:val="000000"/>
          <w:lang w:val="fr-FR" w:eastAsia="es-ES"/>
        </w:rPr>
        <w:t xml:space="preserve"> des ressources provenant du RCI dans le programme-budget, à partir du cycle budgétaire 2022 et jusqu'à un nouvel examen, comme suit :</w:t>
      </w:r>
    </w:p>
    <w:p w14:paraId="02485F33" w14:textId="77777777" w:rsidR="008B1794" w:rsidRPr="00623A2B" w:rsidRDefault="008B1794" w:rsidP="008B1794">
      <w:pPr>
        <w:suppressAutoHyphens/>
        <w:rPr>
          <w:rFonts w:ascii="Times New Roman" w:eastAsia="Calibri" w:hAnsi="Times New Roman"/>
          <w:color w:val="000000"/>
          <w:lang w:val="fr-FR" w:eastAsia="es-ES"/>
        </w:rPr>
      </w:pPr>
    </w:p>
    <w:p w14:paraId="2D78E100" w14:textId="77777777" w:rsidR="008B1794" w:rsidRPr="00623A2B" w:rsidRDefault="008B1794" w:rsidP="008B1794">
      <w:pPr>
        <w:suppressAutoHyphens/>
        <w:ind w:left="2880" w:hanging="720"/>
        <w:rPr>
          <w:rFonts w:ascii="Times New Roman" w:eastAsia="Calibri" w:hAnsi="Times New Roman"/>
          <w:color w:val="000000"/>
          <w:lang w:val="fr-FR" w:eastAsia="es-ES"/>
        </w:rPr>
      </w:pPr>
      <w:r w:rsidRPr="00623A2B">
        <w:rPr>
          <w:rFonts w:ascii="Times New Roman" w:eastAsia="Calibri" w:hAnsi="Times New Roman"/>
          <w:color w:val="000000"/>
          <w:lang w:val="fr-FR" w:eastAsia="es-ES"/>
        </w:rPr>
        <w:t>i.</w:t>
      </w:r>
      <w:r w:rsidRPr="00623A2B">
        <w:rPr>
          <w:rFonts w:ascii="Times New Roman" w:eastAsia="Calibri" w:hAnsi="Times New Roman"/>
          <w:color w:val="000000"/>
          <w:lang w:val="fr-FR" w:eastAsia="es-ES"/>
        </w:rPr>
        <w:tab/>
        <w:t>33 % pour couvrir les coûts indirects encourus par l'administration centrale (chapitres 4, 11 et 13, ainsi que le sous-programme 104B) ;</w:t>
      </w:r>
    </w:p>
    <w:p w14:paraId="115C7CB2" w14:textId="77777777" w:rsidR="008B1794" w:rsidRPr="00623A2B" w:rsidRDefault="008B1794" w:rsidP="008B1794">
      <w:pPr>
        <w:suppressAutoHyphens/>
        <w:ind w:left="2880" w:hanging="720"/>
        <w:rPr>
          <w:rFonts w:ascii="Times New Roman" w:eastAsia="Calibri" w:hAnsi="Times New Roman"/>
          <w:color w:val="000000"/>
          <w:lang w:val="fr-FR" w:eastAsia="es-ES"/>
        </w:rPr>
      </w:pPr>
      <w:r w:rsidRPr="00623A2B">
        <w:rPr>
          <w:rFonts w:ascii="Times New Roman" w:eastAsia="Calibri" w:hAnsi="Times New Roman"/>
          <w:color w:val="000000"/>
          <w:lang w:val="fr-FR" w:eastAsia="es-ES"/>
        </w:rPr>
        <w:t xml:space="preserve">ii. </w:t>
      </w:r>
      <w:r w:rsidRPr="00623A2B">
        <w:rPr>
          <w:rFonts w:ascii="Times New Roman" w:eastAsia="Calibri" w:hAnsi="Times New Roman"/>
          <w:color w:val="000000"/>
          <w:lang w:val="fr-FR" w:eastAsia="es-ES"/>
        </w:rPr>
        <w:tab/>
        <w:t>34 % pour couvrir les coûts d'infrastructure de base (chapitre 12) ;</w:t>
      </w:r>
    </w:p>
    <w:p w14:paraId="24286BEB" w14:textId="77777777" w:rsidR="008B1794" w:rsidRPr="00623A2B" w:rsidRDefault="008B1794" w:rsidP="008B1794">
      <w:pPr>
        <w:suppressAutoHyphens/>
        <w:ind w:left="2880" w:hanging="720"/>
        <w:rPr>
          <w:rFonts w:ascii="Times New Roman" w:eastAsia="Calibri" w:hAnsi="Times New Roman"/>
          <w:color w:val="000000"/>
          <w:lang w:val="fr-FR" w:eastAsia="es-ES"/>
        </w:rPr>
      </w:pPr>
      <w:r w:rsidRPr="00623A2B">
        <w:rPr>
          <w:rFonts w:ascii="Times New Roman" w:eastAsia="Calibri" w:hAnsi="Times New Roman"/>
          <w:color w:val="000000"/>
          <w:lang w:val="fr-FR" w:eastAsia="es-ES"/>
        </w:rPr>
        <w:t>iii.</w:t>
      </w:r>
      <w:r w:rsidRPr="00623A2B">
        <w:rPr>
          <w:rFonts w:ascii="Times New Roman" w:eastAsia="Calibri" w:hAnsi="Times New Roman"/>
          <w:color w:val="000000"/>
          <w:lang w:val="fr-FR" w:eastAsia="es-ES"/>
        </w:rPr>
        <w:tab/>
        <w:t xml:space="preserve">33 % pour financer les secrétariats et entités </w:t>
      </w:r>
      <w:r w:rsidRPr="00623A2B">
        <w:rPr>
          <w:rFonts w:ascii="Times New Roman" w:eastAsia="Calibri" w:hAnsi="Times New Roman"/>
          <w:lang w:val="fr-FR"/>
        </w:rPr>
        <w:t>proportionnellement</w:t>
      </w:r>
      <w:r w:rsidRPr="00623A2B">
        <w:rPr>
          <w:rFonts w:ascii="Times New Roman" w:eastAsia="Calibri" w:hAnsi="Times New Roman"/>
          <w:color w:val="000000"/>
          <w:lang w:val="fr-FR" w:eastAsia="es-ES"/>
        </w:rPr>
        <w:t xml:space="preserve"> à l’ampleur du travail lié à l'administration des projets, financement corrigé selon qu'ils reçoivent ou non des ressources du Fonds ordinaire pour payer leur personnel de soutien à la gestion administrative.</w:t>
      </w:r>
    </w:p>
    <w:p w14:paraId="3DC0D323" w14:textId="77777777" w:rsidR="008B1794" w:rsidRPr="00623A2B" w:rsidRDefault="008B1794" w:rsidP="008B1794">
      <w:pPr>
        <w:suppressAutoHyphens/>
        <w:rPr>
          <w:rFonts w:ascii="Times New Roman" w:eastAsia="Calibri" w:hAnsi="Times New Roman"/>
          <w:b/>
          <w:bCs/>
          <w:color w:val="000000"/>
          <w:lang w:val="fr-FR" w:eastAsia="es-ES"/>
        </w:rPr>
      </w:pPr>
    </w:p>
    <w:p w14:paraId="2970CB78" w14:textId="77777777" w:rsidR="008B1794" w:rsidRPr="00623A2B" w:rsidRDefault="008B1794" w:rsidP="008B1794">
      <w:pPr>
        <w:suppressAutoHyphens/>
        <w:ind w:left="2160" w:hanging="720"/>
        <w:rPr>
          <w:rFonts w:ascii="Times New Roman" w:eastAsia="Calibri" w:hAnsi="Times New Roman"/>
          <w:color w:val="000000"/>
          <w:lang w:val="fr-FR" w:eastAsia="es-ES"/>
        </w:rPr>
      </w:pPr>
      <w:r w:rsidRPr="00623A2B">
        <w:rPr>
          <w:rFonts w:ascii="Times New Roman" w:eastAsia="Calibri" w:hAnsi="Times New Roman"/>
          <w:color w:val="000000"/>
          <w:lang w:val="fr-FR" w:eastAsia="es-ES"/>
        </w:rPr>
        <w:t xml:space="preserve">d. </w:t>
      </w:r>
      <w:r w:rsidRPr="00623A2B">
        <w:rPr>
          <w:rFonts w:ascii="Times New Roman" w:eastAsia="Calibri" w:hAnsi="Times New Roman"/>
          <w:color w:val="000000"/>
          <w:lang w:val="fr-FR" w:eastAsia="es-ES"/>
        </w:rPr>
        <w:tab/>
        <w:t>D’autoriser un écart jusqu'à concurrence de 3 % pour la répartition des taux de RCI établis au paragraphe c. ci-dessus, à partir du cycle budgétaire 2022 et jusqu'à ce que cet écart soit réexaminé et décidé par les États membres.</w:t>
      </w:r>
    </w:p>
    <w:p w14:paraId="673A87B1" w14:textId="77777777" w:rsidR="008B1794" w:rsidRPr="00623A2B" w:rsidRDefault="008B1794" w:rsidP="008B1794">
      <w:pPr>
        <w:suppressAutoHyphens/>
        <w:rPr>
          <w:rFonts w:ascii="Times New Roman" w:eastAsia="Calibri" w:hAnsi="Times New Roman"/>
          <w:color w:val="000000"/>
          <w:lang w:val="fr-FR" w:eastAsia="es-ES"/>
        </w:rPr>
      </w:pPr>
    </w:p>
    <w:p w14:paraId="4B748DFB" w14:textId="77777777" w:rsidR="008B1794" w:rsidRPr="00623A2B" w:rsidRDefault="008B1794" w:rsidP="00573617">
      <w:pPr>
        <w:keepNext/>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43" w:hanging="720"/>
        <w:rPr>
          <w:rFonts w:ascii="Times New Roman" w:hAnsi="Times New Roman"/>
          <w:color w:val="000000"/>
          <w:lang w:val="fr-FR"/>
        </w:rPr>
      </w:pPr>
      <w:r w:rsidRPr="00623A2B">
        <w:rPr>
          <w:rFonts w:ascii="Times New Roman" w:eastAsia="Calibri" w:hAnsi="Times New Roman"/>
          <w:color w:val="000000"/>
          <w:u w:val="single"/>
          <w:lang w:val="fr-FR"/>
        </w:rPr>
        <w:t>Ressources du Programme de bourses d’études et de perfectionnement de l’OEA</w:t>
      </w:r>
    </w:p>
    <w:p w14:paraId="5177B99D" w14:textId="77777777" w:rsidR="008B1794" w:rsidRPr="00623A2B" w:rsidRDefault="008B1794" w:rsidP="008B1794">
      <w:pPr>
        <w:keepNext/>
        <w:suppressAutoHyphens/>
        <w:rPr>
          <w:rFonts w:ascii="Times New Roman" w:hAnsi="Times New Roman"/>
          <w:color w:val="000000"/>
          <w:lang w:val="fr-FR" w:eastAsia="es-ES"/>
        </w:rPr>
      </w:pPr>
    </w:p>
    <w:p w14:paraId="7918974B" w14:textId="77777777" w:rsidR="008B1794" w:rsidRPr="00623A2B" w:rsidRDefault="008B1794" w:rsidP="008B1794">
      <w:pPr>
        <w:suppressAutoHyphens/>
        <w:ind w:left="2250" w:hanging="810"/>
        <w:rPr>
          <w:rFonts w:ascii="Times New Roman" w:eastAsia="Calibri" w:hAnsi="Times New Roman"/>
          <w:lang w:val="fr-FR"/>
        </w:rPr>
      </w:pPr>
      <w:r w:rsidRPr="00623A2B">
        <w:rPr>
          <w:rFonts w:ascii="Times New Roman" w:eastAsia="Calibri" w:hAnsi="Times New Roman"/>
          <w:color w:val="000000"/>
          <w:lang w:val="fr-FR"/>
        </w:rPr>
        <w:t>a.</w:t>
      </w:r>
      <w:r w:rsidRPr="00623A2B">
        <w:rPr>
          <w:rFonts w:ascii="Times New Roman" w:eastAsia="Calibri" w:hAnsi="Times New Roman"/>
          <w:color w:val="000000"/>
          <w:lang w:val="fr-FR"/>
        </w:rPr>
        <w:tab/>
        <w:t>D’autoriser le Secrétariat général à employer en 2022 jusqu’à 1 740 000 USD à partir du Fonds ordinaire pour le Programme de bourses d’études et de perfectionnement de l'OEA afin de financer les programmes suivants : le Programme d’alliances pour l’éducation et le perfectionnement (PAEC), le Programme de bourses d’études et de perfectionnement (PDSP) et le Programme d’études universitaires de l’OEA, selon des modalités qui seront définies par le Conseil d’administration de l’Agence interaméricaine pour la coopération et le développement (AICD).</w:t>
      </w:r>
    </w:p>
    <w:p w14:paraId="3F712197" w14:textId="77777777" w:rsidR="008B1794" w:rsidRPr="00623A2B" w:rsidRDefault="008B1794" w:rsidP="008B1794">
      <w:pPr>
        <w:suppressAutoHyphens/>
        <w:rPr>
          <w:rFonts w:ascii="Times New Roman" w:hAnsi="Times New Roman"/>
          <w:b/>
          <w:bCs/>
          <w:color w:val="000000"/>
          <w:lang w:val="fr-FR" w:eastAsia="es-ES"/>
        </w:rPr>
      </w:pPr>
    </w:p>
    <w:p w14:paraId="722275BE" w14:textId="77777777" w:rsidR="008B1794" w:rsidRPr="00623A2B" w:rsidRDefault="008B1794" w:rsidP="008B1794">
      <w:pPr>
        <w:suppressAutoHyphens/>
        <w:ind w:left="2250" w:hanging="810"/>
        <w:rPr>
          <w:rFonts w:ascii="Times New Roman" w:hAnsi="Times New Roman"/>
          <w:b/>
          <w:bCs/>
          <w:color w:val="000000"/>
          <w:lang w:val="fr-FR" w:eastAsia="es-ES"/>
        </w:rPr>
      </w:pPr>
      <w:r w:rsidRPr="00623A2B">
        <w:rPr>
          <w:rFonts w:ascii="Times New Roman" w:hAnsi="Times New Roman"/>
          <w:color w:val="000000"/>
          <w:lang w:val="fr-FR" w:eastAsia="es-ES"/>
        </w:rPr>
        <w:t>b.</w:t>
      </w:r>
      <w:r w:rsidRPr="00623A2B">
        <w:rPr>
          <w:rFonts w:ascii="Times New Roman" w:hAnsi="Times New Roman"/>
          <w:color w:val="000000"/>
          <w:lang w:val="fr-FR" w:eastAsia="es-ES"/>
        </w:rPr>
        <w:tab/>
        <w:t xml:space="preserve">De prendre note de la décision adoptée par le Conseil d'administration de l'Agence interaméricaine pour la coopération et le développement (AICD/JD/DE-129/21 corr. 1) chargeant le Département des services financiers (DSF) </w:t>
      </w:r>
      <w:r w:rsidRPr="00623A2B">
        <w:rPr>
          <w:rFonts w:ascii="Times New Roman" w:eastAsia="Calibri" w:hAnsi="Times New Roman"/>
          <w:color w:val="000000"/>
          <w:lang w:val="fr-FR"/>
        </w:rPr>
        <w:t>d'investir</w:t>
      </w:r>
      <w:r w:rsidRPr="00623A2B">
        <w:rPr>
          <w:rFonts w:ascii="Times New Roman" w:hAnsi="Times New Roman"/>
          <w:color w:val="000000"/>
          <w:lang w:val="fr-FR" w:eastAsia="es-ES"/>
        </w:rPr>
        <w:t xml:space="preserve"> les ressources du </w:t>
      </w:r>
      <w:r w:rsidRPr="00623A2B">
        <w:rPr>
          <w:rFonts w:ascii="Times New Roman" w:eastAsia="Calibri" w:hAnsi="Times New Roman"/>
          <w:lang w:val="fr-FR"/>
        </w:rPr>
        <w:t xml:space="preserve">Fonds d'investissement de l'OEA pour le financement des programmes de bourses d'études et de perfectionnement, </w:t>
      </w:r>
      <w:r w:rsidRPr="00623A2B">
        <w:rPr>
          <w:rFonts w:ascii="Times New Roman" w:hAnsi="Times New Roman"/>
          <w:color w:val="000000"/>
          <w:lang w:val="fr-FR" w:eastAsia="es-ES"/>
        </w:rPr>
        <w:t>conformément au mandat établi dans la section IV, paragraphe 5.e. du dispositif de la résolution AG/RES. 2957 (L-O/20) ; et de charger le DSF de faire rapport au CIDI et au Conseil d’administration de l'AICD deux fois par an sur l'état de la stratégie d'investissement en cours d'exécution.</w:t>
      </w:r>
    </w:p>
    <w:p w14:paraId="2F0BFCB3" w14:textId="77777777" w:rsidR="008B1794" w:rsidRPr="00623A2B" w:rsidRDefault="008B1794" w:rsidP="008B1794">
      <w:pPr>
        <w:suppressAutoHyphens/>
        <w:rPr>
          <w:rFonts w:ascii="Times New Roman" w:hAnsi="Times New Roman"/>
          <w:b/>
          <w:bCs/>
          <w:color w:val="000000"/>
          <w:lang w:val="fr-FR" w:eastAsia="es-ES"/>
        </w:rPr>
      </w:pPr>
    </w:p>
    <w:p w14:paraId="79EA3079" w14:textId="77777777" w:rsidR="008B1794" w:rsidRPr="00623A2B" w:rsidRDefault="008B1794" w:rsidP="008B1794">
      <w:pPr>
        <w:rPr>
          <w:rFonts w:ascii="Times New Roman" w:hAnsi="Times New Roman"/>
          <w:color w:val="000000"/>
          <w:lang w:val="fr-FR" w:eastAsia="es-ES"/>
        </w:rPr>
      </w:pPr>
      <w:r w:rsidRPr="00623A2B">
        <w:rPr>
          <w:rFonts w:ascii="Times New Roman" w:hAnsi="Times New Roman"/>
          <w:color w:val="000000"/>
          <w:lang w:val="fr-FR" w:eastAsia="es-ES"/>
        </w:rPr>
        <w:br w:type="page"/>
      </w:r>
    </w:p>
    <w:p w14:paraId="28527CCE" w14:textId="77777777" w:rsidR="008B1794" w:rsidRPr="00623A2B" w:rsidRDefault="008B1794" w:rsidP="008B1794">
      <w:pPr>
        <w:suppressAutoHyphens/>
        <w:ind w:firstLine="720"/>
        <w:rPr>
          <w:rFonts w:ascii="Times New Roman" w:hAnsi="Times New Roman"/>
          <w:color w:val="000000"/>
          <w:lang w:val="fr-FR" w:eastAsia="es-ES"/>
        </w:rPr>
      </w:pPr>
      <w:r w:rsidRPr="00623A2B">
        <w:rPr>
          <w:rFonts w:ascii="Times New Roman" w:hAnsi="Times New Roman"/>
          <w:color w:val="000000"/>
          <w:lang w:val="fr-FR" w:eastAsia="es-ES"/>
        </w:rPr>
        <w:lastRenderedPageBreak/>
        <w:t>5.</w:t>
      </w:r>
      <w:r w:rsidRPr="00623A2B">
        <w:rPr>
          <w:rFonts w:ascii="Times New Roman" w:hAnsi="Times New Roman"/>
          <w:color w:val="000000"/>
          <w:lang w:val="fr-FR" w:eastAsia="es-ES"/>
        </w:rPr>
        <w:tab/>
      </w:r>
      <w:r w:rsidRPr="00623A2B">
        <w:rPr>
          <w:rFonts w:ascii="Times New Roman" w:hAnsi="Times New Roman"/>
          <w:color w:val="000000"/>
          <w:u w:val="single"/>
          <w:lang w:val="fr-FR" w:eastAsia="es-ES"/>
        </w:rPr>
        <w:t>Allocations de subsistance journalière</w:t>
      </w:r>
    </w:p>
    <w:p w14:paraId="7F8AC592" w14:textId="77777777" w:rsidR="008B1794" w:rsidRPr="00623A2B" w:rsidRDefault="008B1794" w:rsidP="008B1794">
      <w:pPr>
        <w:suppressAutoHyphens/>
        <w:rPr>
          <w:rFonts w:ascii="Times New Roman" w:hAnsi="Times New Roman"/>
          <w:color w:val="000000"/>
          <w:lang w:val="fr-FR" w:eastAsia="es-ES"/>
        </w:rPr>
      </w:pPr>
    </w:p>
    <w:p w14:paraId="09CA70F9" w14:textId="77777777" w:rsidR="008B1794" w:rsidRPr="00623A2B" w:rsidRDefault="008B1794" w:rsidP="008B1794">
      <w:pPr>
        <w:suppressAutoHyphens/>
        <w:ind w:firstLine="720"/>
        <w:rPr>
          <w:rFonts w:ascii="Times New Roman" w:hAnsi="Times New Roman"/>
          <w:color w:val="000000"/>
          <w:lang w:val="fr-FR" w:eastAsia="es-ES"/>
        </w:rPr>
      </w:pPr>
      <w:r w:rsidRPr="00623A2B">
        <w:rPr>
          <w:rFonts w:ascii="Times New Roman" w:hAnsi="Times New Roman"/>
          <w:color w:val="000000"/>
          <w:lang w:val="fr-FR" w:eastAsia="es-ES"/>
        </w:rPr>
        <w:t xml:space="preserve">De demander au Secrétariat général de présenter une proposition de politique qui régira le paiement des frais de voyage dans les 90 jours suivant la mise en œuvre du programme de modernisation des processus opérationnels (OASCORE), lequel automatisera la gestion des voyages officiels au sein de l'OEA conformément aux meilleures pratiques d'autres organisations internationales, dans le but de simplifier et d'améliorer le système actuel d’octroi des allocations. Une fois que le processus de gestion des voyages sous OASCORE sera mis en œuvre, le Secrétariat général procédera à une comparaison des tarifs, analysera quels avantages, le cas échéant, découleraient de la présentation de factures et de reçus pour certains éléments de toute allocation de subsistance journalière s’avérant applicable, et présentera une proposition de dépenses liées aux voyages à la CAAP pour examen. </w:t>
      </w:r>
    </w:p>
    <w:p w14:paraId="365CA88B" w14:textId="77777777" w:rsidR="008B1794" w:rsidRPr="00623A2B" w:rsidRDefault="008B1794" w:rsidP="008B1794">
      <w:pPr>
        <w:suppressAutoHyphens/>
        <w:rPr>
          <w:rFonts w:ascii="Times New Roman" w:hAnsi="Times New Roman"/>
          <w:color w:val="000000"/>
          <w:lang w:val="fr-FR" w:eastAsia="es-ES"/>
        </w:rPr>
      </w:pPr>
    </w:p>
    <w:p w14:paraId="1BBABD28" w14:textId="77777777" w:rsidR="008B1794" w:rsidRPr="00623A2B" w:rsidRDefault="008B1794" w:rsidP="008B1794">
      <w:pPr>
        <w:keepNext/>
        <w:suppressAutoHyphens/>
        <w:ind w:firstLine="720"/>
        <w:rPr>
          <w:rFonts w:ascii="Times New Roman" w:hAnsi="Times New Roman"/>
          <w:color w:val="000000"/>
          <w:lang w:val="fr-FR" w:eastAsia="es-ES"/>
        </w:rPr>
      </w:pPr>
      <w:r w:rsidRPr="00623A2B">
        <w:rPr>
          <w:rFonts w:ascii="Times New Roman" w:hAnsi="Times New Roman"/>
          <w:color w:val="000000"/>
          <w:lang w:val="fr-FR" w:eastAsia="es-ES"/>
        </w:rPr>
        <w:t>6.</w:t>
      </w:r>
      <w:r w:rsidRPr="00623A2B">
        <w:rPr>
          <w:rFonts w:ascii="Times New Roman" w:hAnsi="Times New Roman"/>
          <w:color w:val="000000"/>
          <w:lang w:val="fr-FR" w:eastAsia="es-ES"/>
        </w:rPr>
        <w:tab/>
      </w:r>
      <w:r w:rsidRPr="00623A2B">
        <w:rPr>
          <w:rFonts w:ascii="Times New Roman" w:hAnsi="Times New Roman"/>
          <w:color w:val="000000"/>
          <w:u w:val="single"/>
          <w:lang w:val="fr-FR" w:eastAsia="es-ES"/>
        </w:rPr>
        <w:t>Ressources humaines</w:t>
      </w:r>
    </w:p>
    <w:p w14:paraId="65F76725" w14:textId="77777777" w:rsidR="008B1794" w:rsidRPr="00623A2B" w:rsidRDefault="008B1794" w:rsidP="008B1794">
      <w:pPr>
        <w:keepNext/>
        <w:suppressAutoHyphens/>
        <w:rPr>
          <w:rFonts w:ascii="Times New Roman" w:hAnsi="Times New Roman"/>
          <w:color w:val="000000"/>
          <w:lang w:val="fr-FR" w:eastAsia="es-ES"/>
        </w:rPr>
      </w:pPr>
    </w:p>
    <w:p w14:paraId="5F3CD872" w14:textId="77777777" w:rsidR="008B1794" w:rsidRPr="00623A2B" w:rsidRDefault="008B1794" w:rsidP="008B1794">
      <w:pPr>
        <w:suppressAutoHyphens/>
        <w:rPr>
          <w:rFonts w:ascii="Times New Roman" w:hAnsi="Times New Roman"/>
          <w:b/>
          <w:bCs/>
          <w:color w:val="000000"/>
          <w:lang w:val="fr-FR" w:eastAsia="es-ES"/>
        </w:rPr>
      </w:pPr>
      <w:r w:rsidRPr="00623A2B">
        <w:rPr>
          <w:rFonts w:ascii="Times New Roman" w:hAnsi="Times New Roman"/>
          <w:color w:val="000000"/>
          <w:lang w:val="fr-FR" w:eastAsia="es-ES"/>
        </w:rPr>
        <w:tab/>
      </w:r>
      <w:r w:rsidRPr="00623A2B">
        <w:rPr>
          <w:rFonts w:ascii="Times New Roman" w:eastAsia="Calibri" w:hAnsi="Times New Roman"/>
          <w:lang w:val="fr-FR"/>
        </w:rPr>
        <w:t>De charger le Secrétariat général d’examiner et de mettre à jour la stratégie globale en matière de ressources humaines pour l'Organisation et de soumettre à la CAAP, au plus tard le 30 mars 2022, un plan d'exécution actualisé comprenant un échéancier des principales réalisations. Le plan actualisé doit également faire état de la mise en œuvre du nouvel ERP et du fait que les termes de référence des titulaires de contrats à la tâche financés par le Fonds ordinaire ou le Fonds RCI correspondent au Secrétariat qui finance leur contrat et relèvent de celui-ci</w:t>
      </w:r>
      <w:r w:rsidRPr="00623A2B">
        <w:rPr>
          <w:rFonts w:ascii="Times New Roman" w:hAnsi="Times New Roman"/>
          <w:color w:val="000000"/>
          <w:lang w:val="fr-FR" w:eastAsia="es-ES"/>
        </w:rPr>
        <w:t xml:space="preserve">. Par ailleurs, de charger le Bureau de l’Inspecteur général d’effectuer un examen annuel aux fins de présentation à la CAAP pour assurer la </w:t>
      </w:r>
      <w:r w:rsidRPr="00623A2B">
        <w:rPr>
          <w:rFonts w:ascii="Times New Roman" w:eastAsia="Calibri" w:hAnsi="Times New Roman"/>
          <w:lang w:val="fr-FR"/>
        </w:rPr>
        <w:t>conformité</w:t>
      </w:r>
      <w:r w:rsidRPr="00623A2B">
        <w:rPr>
          <w:rFonts w:ascii="Times New Roman" w:hAnsi="Times New Roman"/>
          <w:color w:val="000000"/>
          <w:lang w:val="fr-FR" w:eastAsia="es-ES"/>
        </w:rPr>
        <w:t>.</w:t>
      </w:r>
    </w:p>
    <w:p w14:paraId="3C487DBB" w14:textId="77777777" w:rsidR="008B1794" w:rsidRPr="00623A2B" w:rsidRDefault="008B1794" w:rsidP="008B1794">
      <w:pPr>
        <w:suppressAutoHyphens/>
        <w:rPr>
          <w:rFonts w:ascii="Times New Roman" w:hAnsi="Times New Roman"/>
          <w:color w:val="000000"/>
          <w:lang w:val="fr-FR" w:eastAsia="es-ES"/>
        </w:rPr>
      </w:pPr>
    </w:p>
    <w:p w14:paraId="440C537D" w14:textId="77777777" w:rsidR="008B1794" w:rsidRPr="00623A2B" w:rsidRDefault="008B1794" w:rsidP="008B1794">
      <w:pPr>
        <w:suppressAutoHyphens/>
        <w:ind w:firstLine="720"/>
        <w:rPr>
          <w:rFonts w:ascii="Times New Roman" w:hAnsi="Times New Roman"/>
          <w:color w:val="000000"/>
          <w:lang w:val="fr-FR"/>
        </w:rPr>
      </w:pPr>
      <w:r w:rsidRPr="00623A2B">
        <w:rPr>
          <w:rFonts w:ascii="Times New Roman" w:eastAsia="Calibri" w:hAnsi="Times New Roman"/>
          <w:color w:val="000000"/>
          <w:lang w:val="fr-FR"/>
        </w:rPr>
        <w:t>7.</w:t>
      </w:r>
      <w:r w:rsidRPr="00623A2B">
        <w:rPr>
          <w:rFonts w:ascii="Times New Roman" w:eastAsia="Calibri" w:hAnsi="Times New Roman"/>
          <w:color w:val="000000"/>
          <w:lang w:val="fr-FR"/>
        </w:rPr>
        <w:tab/>
      </w:r>
      <w:r w:rsidRPr="00623A2B">
        <w:rPr>
          <w:rFonts w:ascii="Times New Roman" w:eastAsia="Calibri" w:hAnsi="Times New Roman"/>
          <w:color w:val="000000"/>
          <w:u w:val="single"/>
          <w:lang w:val="fr-FR"/>
        </w:rPr>
        <w:t>Limite du nombre de postes financés par le Fonds ordinaire</w:t>
      </w:r>
      <w:r w:rsidRPr="00623A2B">
        <w:rPr>
          <w:rFonts w:ascii="Times New Roman" w:eastAsia="Calibri" w:hAnsi="Times New Roman"/>
          <w:color w:val="000000"/>
          <w:lang w:val="fr-FR"/>
        </w:rPr>
        <w:t xml:space="preserve"> </w:t>
      </w:r>
    </w:p>
    <w:p w14:paraId="27EBB31C" w14:textId="77777777" w:rsidR="008B1794" w:rsidRPr="00623A2B" w:rsidRDefault="008B1794" w:rsidP="008B1794">
      <w:pPr>
        <w:suppressAutoHyphens/>
        <w:rPr>
          <w:rFonts w:ascii="Times New Roman" w:hAnsi="Times New Roman"/>
          <w:color w:val="000000"/>
          <w:u w:val="single"/>
          <w:lang w:val="fr-FR" w:eastAsia="es-ES"/>
        </w:rPr>
      </w:pPr>
    </w:p>
    <w:p w14:paraId="184304B4" w14:textId="77777777" w:rsidR="008B1794" w:rsidRPr="00623A2B" w:rsidRDefault="008B1794" w:rsidP="00573617">
      <w:pPr>
        <w:widowControl/>
        <w:numPr>
          <w:ilvl w:val="1"/>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Arial Unicode MS" w:hAnsi="Times New Roman"/>
          <w:i/>
          <w:iCs/>
          <w:color w:val="000000"/>
          <w:lang w:val="fr-FR"/>
        </w:rPr>
      </w:pPr>
      <w:r w:rsidRPr="00623A2B">
        <w:rPr>
          <w:rFonts w:ascii="Times New Roman" w:eastAsia="Calibri" w:hAnsi="Times New Roman"/>
          <w:lang w:val="fr-FR"/>
        </w:rPr>
        <w:t>Le montant total des dépenses afférentes à la rubrique du personnel (objet 1, article 91 des Normes générales) ne doit pas dépasser 64,38 % du chiffre budgétaire global du Fonds ordinaire pour l’exercice 2022, y compris toute augmentation réglementaire s’avérant nécessaire.</w:t>
      </w:r>
    </w:p>
    <w:p w14:paraId="5E182476" w14:textId="77777777" w:rsidR="008B1794" w:rsidRPr="00623A2B" w:rsidRDefault="008B1794" w:rsidP="008B1794">
      <w:pPr>
        <w:suppressAutoHyphens/>
        <w:rPr>
          <w:rFonts w:ascii="Times New Roman" w:hAnsi="Times New Roman"/>
          <w:color w:val="000000"/>
          <w:lang w:val="fr-FR" w:eastAsia="es-ES"/>
        </w:rPr>
      </w:pPr>
    </w:p>
    <w:p w14:paraId="5F3BB01C" w14:textId="77777777" w:rsidR="008B1794" w:rsidRPr="00623A2B" w:rsidRDefault="008B1794" w:rsidP="00573617">
      <w:pPr>
        <w:widowControl/>
        <w:numPr>
          <w:ilvl w:val="1"/>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lang w:val="fr-FR"/>
        </w:rPr>
      </w:pPr>
      <w:r w:rsidRPr="00623A2B">
        <w:rPr>
          <w:rFonts w:ascii="Times New Roman" w:eastAsia="Calibri" w:hAnsi="Times New Roman"/>
          <w:color w:val="000000"/>
          <w:lang w:val="fr-FR"/>
        </w:rPr>
        <w:t>D’établir que le Conseil permanent est autorisé, à sa discrétion et à titre exceptionnel, à modifier le pourcentage énoncé au paragraphe précédent.</w:t>
      </w:r>
    </w:p>
    <w:p w14:paraId="0FE01BEF" w14:textId="77777777" w:rsidR="008B1794" w:rsidRPr="00623A2B" w:rsidRDefault="008B1794" w:rsidP="008B1794">
      <w:pPr>
        <w:keepNext/>
        <w:keepLines/>
        <w:suppressAutoHyphens/>
        <w:rPr>
          <w:rFonts w:ascii="Times New Roman" w:hAnsi="Times New Roman"/>
          <w:color w:val="000000"/>
          <w:lang w:val="fr-FR"/>
        </w:rPr>
      </w:pPr>
    </w:p>
    <w:p w14:paraId="239C59AC" w14:textId="77777777" w:rsidR="008B1794" w:rsidRPr="00623A2B" w:rsidRDefault="008B1794" w:rsidP="008B1794">
      <w:pPr>
        <w:suppressAutoHyphens/>
        <w:ind w:firstLine="720"/>
        <w:rPr>
          <w:rFonts w:ascii="Times New Roman" w:hAnsi="Times New Roman"/>
          <w:color w:val="000000"/>
          <w:lang w:val="fr-FR"/>
        </w:rPr>
      </w:pPr>
      <w:r w:rsidRPr="00623A2B">
        <w:rPr>
          <w:rFonts w:ascii="Times New Roman" w:eastAsia="Calibri" w:hAnsi="Times New Roman"/>
          <w:color w:val="000000"/>
          <w:lang w:val="fr-FR"/>
        </w:rPr>
        <w:t>8.</w:t>
      </w:r>
      <w:r w:rsidRPr="00623A2B">
        <w:rPr>
          <w:rFonts w:ascii="Times New Roman" w:eastAsia="Calibri" w:hAnsi="Times New Roman"/>
          <w:color w:val="000000"/>
          <w:lang w:val="fr-FR"/>
        </w:rPr>
        <w:tab/>
      </w:r>
      <w:r w:rsidRPr="00623A2B">
        <w:rPr>
          <w:rFonts w:ascii="Times New Roman" w:eastAsia="Calibri" w:hAnsi="Times New Roman"/>
          <w:color w:val="000000"/>
          <w:u w:val="single"/>
          <w:lang w:val="fr-FR"/>
        </w:rPr>
        <w:t>Personnel de confiance</w:t>
      </w:r>
    </w:p>
    <w:p w14:paraId="4028D7A7" w14:textId="77777777" w:rsidR="008B1794" w:rsidRPr="00623A2B" w:rsidRDefault="008B1794" w:rsidP="008B1794">
      <w:pPr>
        <w:suppressAutoHyphens/>
        <w:rPr>
          <w:rFonts w:ascii="Times New Roman" w:hAnsi="Times New Roman"/>
          <w:color w:val="000000"/>
          <w:lang w:val="fr-FR" w:eastAsia="es-ES"/>
        </w:rPr>
      </w:pPr>
    </w:p>
    <w:p w14:paraId="79E5F609" w14:textId="77777777" w:rsidR="008B1794" w:rsidRPr="00623A2B" w:rsidRDefault="008B1794" w:rsidP="008B1794">
      <w:pPr>
        <w:suppressAutoHyphens/>
        <w:ind w:firstLine="720"/>
        <w:rPr>
          <w:rFonts w:ascii="Times New Roman" w:hAnsi="Times New Roman"/>
          <w:color w:val="000000"/>
          <w:lang w:val="fr-FR"/>
        </w:rPr>
      </w:pPr>
      <w:r w:rsidRPr="00623A2B">
        <w:rPr>
          <w:rFonts w:ascii="Times New Roman" w:eastAsia="Calibri" w:hAnsi="Times New Roman"/>
          <w:color w:val="000000"/>
          <w:lang w:val="fr-FR"/>
        </w:rPr>
        <w:t xml:space="preserve">De déroger aux dispositions de l’article 21 </w:t>
      </w:r>
      <w:proofErr w:type="spellStart"/>
      <w:r w:rsidRPr="00623A2B">
        <w:rPr>
          <w:rFonts w:ascii="Times New Roman" w:eastAsia="Calibri" w:hAnsi="Times New Roman"/>
          <w:color w:val="000000"/>
          <w:lang w:val="fr-FR"/>
        </w:rPr>
        <w:t>b.v</w:t>
      </w:r>
      <w:proofErr w:type="spellEnd"/>
      <w:r w:rsidRPr="00623A2B">
        <w:rPr>
          <w:rFonts w:ascii="Times New Roman" w:eastAsia="Calibri" w:hAnsi="Times New Roman"/>
          <w:color w:val="000000"/>
          <w:lang w:val="fr-FR"/>
        </w:rPr>
        <w:t>. des Normes générales pour autoriser le financement par le Fonds ordinaire des 21 postes de confiance décrits à l’annexe IV ainsi que le financement du poste de Secrétaire-trésorier de la Caisse des retraites et pensions par des fonds spécifiques au cours de l’exécution du programme-budget 2022.</w:t>
      </w:r>
    </w:p>
    <w:p w14:paraId="061CA558" w14:textId="77777777" w:rsidR="008B1794" w:rsidRPr="00623A2B" w:rsidRDefault="008B1794" w:rsidP="008B1794">
      <w:pPr>
        <w:suppressAutoHyphens/>
        <w:rPr>
          <w:rFonts w:ascii="Times New Roman" w:hAnsi="Times New Roman"/>
          <w:i/>
          <w:iCs/>
          <w:color w:val="000000"/>
          <w:lang w:val="fr-FR" w:eastAsia="es-ES"/>
        </w:rPr>
      </w:pPr>
    </w:p>
    <w:p w14:paraId="13FFCE01" w14:textId="77777777" w:rsidR="008B1794" w:rsidRPr="00623A2B" w:rsidRDefault="008B1794" w:rsidP="008B1794">
      <w:pPr>
        <w:keepNext/>
        <w:suppressAutoHyphens/>
        <w:ind w:left="-360" w:firstLine="1080"/>
        <w:rPr>
          <w:rFonts w:ascii="Times New Roman" w:hAnsi="Times New Roman"/>
          <w:color w:val="000000"/>
          <w:lang w:val="fr-FR"/>
        </w:rPr>
      </w:pPr>
      <w:r w:rsidRPr="00623A2B">
        <w:rPr>
          <w:rFonts w:ascii="Times New Roman" w:eastAsia="Calibri" w:hAnsi="Times New Roman"/>
          <w:color w:val="000000"/>
          <w:lang w:val="fr-FR"/>
        </w:rPr>
        <w:t>9.</w:t>
      </w:r>
      <w:r w:rsidRPr="00623A2B">
        <w:rPr>
          <w:rFonts w:ascii="Times New Roman" w:eastAsia="Calibri" w:hAnsi="Times New Roman"/>
          <w:color w:val="000000"/>
          <w:lang w:val="fr-FR"/>
        </w:rPr>
        <w:tab/>
      </w:r>
      <w:r w:rsidRPr="00623A2B">
        <w:rPr>
          <w:rFonts w:ascii="Times New Roman" w:eastAsia="Calibri" w:hAnsi="Times New Roman"/>
          <w:color w:val="000000"/>
          <w:u w:val="single"/>
          <w:lang w:val="fr-FR"/>
        </w:rPr>
        <w:t>Création de nouveaux mandats</w:t>
      </w:r>
      <w:r w:rsidRPr="00623A2B">
        <w:rPr>
          <w:rFonts w:ascii="Times New Roman" w:eastAsia="Calibri" w:hAnsi="Times New Roman"/>
          <w:color w:val="000000"/>
          <w:lang w:val="fr-FR"/>
        </w:rPr>
        <w:t xml:space="preserve"> </w:t>
      </w:r>
    </w:p>
    <w:p w14:paraId="578EB635" w14:textId="77777777" w:rsidR="008B1794" w:rsidRPr="00623A2B" w:rsidRDefault="008B1794" w:rsidP="008B1794">
      <w:pPr>
        <w:keepNext/>
        <w:suppressAutoHyphens/>
        <w:rPr>
          <w:rFonts w:ascii="Times New Roman" w:hAnsi="Times New Roman"/>
          <w:color w:val="000000"/>
          <w:lang w:val="fr-FR"/>
        </w:rPr>
      </w:pPr>
    </w:p>
    <w:p w14:paraId="18F0F1CA" w14:textId="77777777" w:rsidR="008B1794" w:rsidRPr="00623A2B" w:rsidRDefault="008B1794" w:rsidP="008E3F21">
      <w:pPr>
        <w:widowControl/>
        <w:ind w:left="2160" w:hanging="720"/>
        <w:rPr>
          <w:rFonts w:ascii="Times New Roman" w:eastAsia="Calibri" w:hAnsi="Times New Roman"/>
          <w:b/>
          <w:i/>
          <w:iCs/>
          <w:lang w:val="fr-FR"/>
        </w:rPr>
      </w:pPr>
      <w:r w:rsidRPr="00623A2B">
        <w:rPr>
          <w:rFonts w:ascii="Times New Roman" w:eastAsia="Calibri" w:hAnsi="Times New Roman"/>
          <w:bCs/>
          <w:lang w:val="fr-FR"/>
        </w:rPr>
        <w:t>a.</w:t>
      </w:r>
      <w:r w:rsidRPr="00623A2B">
        <w:rPr>
          <w:rFonts w:ascii="Times New Roman" w:eastAsia="Calibri" w:hAnsi="Times New Roman"/>
          <w:bCs/>
          <w:lang w:val="fr-FR"/>
        </w:rPr>
        <w:tab/>
        <w:t xml:space="preserve">D’entériner la « Décision des États membres concernant les critères de classification des mandats, le modèle pour les nouveaux mandats et les critères d'utilisation du modèle », approuvé par le Conseil permanent lors de sa séance ordinaire virtuelle tenue le 6 octobre 2021, et de charger le Conseil permanent </w:t>
      </w:r>
      <w:r w:rsidRPr="00623A2B">
        <w:rPr>
          <w:rFonts w:ascii="Times New Roman" w:eastAsia="Calibri" w:hAnsi="Times New Roman"/>
          <w:bCs/>
          <w:lang w:val="fr-FR"/>
        </w:rPr>
        <w:lastRenderedPageBreak/>
        <w:t>et le CIDI d'appliquer ces directives lors des négociations des résolutions de la cinquante-deuxième session ordinaire de l'Assemblée générale.</w:t>
      </w:r>
      <w:r w:rsidRPr="00623A2B">
        <w:rPr>
          <w:rFonts w:ascii="Times New Roman" w:eastAsia="Calibri" w:hAnsi="Times New Roman"/>
          <w:b/>
          <w:lang w:val="fr-FR"/>
        </w:rPr>
        <w:t xml:space="preserve"> </w:t>
      </w:r>
    </w:p>
    <w:p w14:paraId="6E788063" w14:textId="77777777" w:rsidR="008B1794" w:rsidRPr="00623A2B" w:rsidRDefault="008B1794" w:rsidP="008B1794">
      <w:pPr>
        <w:rPr>
          <w:rFonts w:ascii="Times New Roman" w:eastAsia="Calibri" w:hAnsi="Times New Roman"/>
          <w:bCs/>
          <w:lang w:val="fr-FR"/>
        </w:rPr>
      </w:pPr>
    </w:p>
    <w:p w14:paraId="1FE24409" w14:textId="77777777" w:rsidR="008B1794" w:rsidRPr="00623A2B" w:rsidRDefault="008B1794" w:rsidP="008B1794">
      <w:pPr>
        <w:ind w:left="2160" w:hanging="720"/>
        <w:rPr>
          <w:rFonts w:ascii="Times New Roman" w:eastAsia="Calibri" w:hAnsi="Times New Roman"/>
          <w:b/>
          <w:lang w:val="fr-FR"/>
        </w:rPr>
      </w:pPr>
      <w:r w:rsidRPr="00623A2B">
        <w:rPr>
          <w:rFonts w:ascii="Times New Roman" w:eastAsia="Calibri" w:hAnsi="Times New Roman"/>
          <w:bCs/>
          <w:lang w:val="fr-FR"/>
        </w:rPr>
        <w:t>b.</w:t>
      </w:r>
      <w:r w:rsidRPr="00623A2B">
        <w:rPr>
          <w:rFonts w:ascii="Times New Roman" w:eastAsia="Calibri" w:hAnsi="Times New Roman"/>
          <w:bCs/>
          <w:lang w:val="fr-FR"/>
        </w:rPr>
        <w:tab/>
        <w:t xml:space="preserve">De charger le Secrétariat général d’établir un ordre de priorités entre ses ressources dès réception du modèle pour les nouveaux mandats soumis par un État membre, afin de remplir les sections de ce modèle dont la responsabilité lui incombe et de le renvoyer dans les cinq jours ouvrables ou dans un autre délai convenu par les États membres auteurs de la proposition. </w:t>
      </w:r>
    </w:p>
    <w:p w14:paraId="4658E0AA" w14:textId="77777777" w:rsidR="008B1794" w:rsidRPr="00623A2B" w:rsidRDefault="008B1794" w:rsidP="008B1794">
      <w:pPr>
        <w:rPr>
          <w:rFonts w:ascii="Times New Roman" w:eastAsia="Calibri" w:hAnsi="Times New Roman"/>
          <w:bCs/>
          <w:lang w:val="fr-FR"/>
        </w:rPr>
      </w:pPr>
    </w:p>
    <w:p w14:paraId="5AAFB9F7" w14:textId="77777777" w:rsidR="008B1794" w:rsidRPr="00623A2B" w:rsidRDefault="008B1794" w:rsidP="008B1794">
      <w:pPr>
        <w:ind w:left="2160" w:hanging="720"/>
        <w:rPr>
          <w:rFonts w:ascii="Times New Roman" w:eastAsia="Calibri" w:hAnsi="Times New Roman"/>
          <w:bCs/>
          <w:lang w:val="fr-FR"/>
        </w:rPr>
      </w:pPr>
      <w:r w:rsidRPr="00623A2B">
        <w:rPr>
          <w:rFonts w:ascii="Times New Roman" w:eastAsia="Calibri" w:hAnsi="Times New Roman"/>
          <w:bCs/>
          <w:lang w:val="fr-FR"/>
        </w:rPr>
        <w:t xml:space="preserve">c. </w:t>
      </w:r>
      <w:r w:rsidRPr="00623A2B">
        <w:rPr>
          <w:rFonts w:ascii="Times New Roman" w:eastAsia="Calibri" w:hAnsi="Times New Roman"/>
          <w:bCs/>
          <w:lang w:val="fr-FR"/>
        </w:rPr>
        <w:tab/>
        <w:t>D'exhorter les conseils de l'Organisation à modifier leurs méthodologies de travail pour envisager l’application des instruments approuvés par le Conseil permanent et entérinés par la présente résolution.</w:t>
      </w:r>
    </w:p>
    <w:p w14:paraId="227E1B43" w14:textId="77777777" w:rsidR="008B1794" w:rsidRPr="00623A2B" w:rsidRDefault="008B1794" w:rsidP="008B1794">
      <w:pPr>
        <w:rPr>
          <w:rFonts w:ascii="Times New Roman" w:eastAsia="Calibri" w:hAnsi="Times New Roman"/>
          <w:b/>
          <w:lang w:val="fr-FR"/>
        </w:rPr>
      </w:pPr>
    </w:p>
    <w:p w14:paraId="5AE8ADB5" w14:textId="77777777" w:rsidR="008B1794" w:rsidRPr="00623A2B" w:rsidRDefault="008B1794" w:rsidP="008B1794">
      <w:pPr>
        <w:ind w:left="2160" w:hanging="720"/>
        <w:rPr>
          <w:rFonts w:ascii="Times New Roman" w:eastAsia="Calibri" w:hAnsi="Times New Roman"/>
          <w:b/>
          <w:lang w:val="fr-FR"/>
        </w:rPr>
      </w:pPr>
      <w:r w:rsidRPr="00623A2B">
        <w:rPr>
          <w:rFonts w:ascii="Times New Roman" w:eastAsia="Calibri" w:hAnsi="Times New Roman"/>
          <w:bCs/>
          <w:lang w:val="fr-FR"/>
        </w:rPr>
        <w:t>d.</w:t>
      </w:r>
      <w:r w:rsidRPr="00623A2B">
        <w:rPr>
          <w:rFonts w:ascii="Times New Roman" w:eastAsia="Calibri" w:hAnsi="Times New Roman"/>
          <w:bCs/>
          <w:lang w:val="fr-FR"/>
        </w:rPr>
        <w:tab/>
        <w:t>De demander à la présidence de la CAAP de veiller à ce que les présidents du Conseil permanent, du CIDI et des commissions soient informés, avant le début des négociations de l'Assemblée générale, du nouveau modèle de mandat et du processus des critères tel qu'approuvé par le Conseil permanent.</w:t>
      </w:r>
    </w:p>
    <w:p w14:paraId="2B5CE6D3" w14:textId="77777777" w:rsidR="008B1794" w:rsidRPr="00623A2B" w:rsidRDefault="008B1794" w:rsidP="008B1794">
      <w:pPr>
        <w:rPr>
          <w:rFonts w:ascii="Times New Roman" w:eastAsia="Calibri" w:hAnsi="Times New Roman"/>
          <w:b/>
          <w:lang w:val="fr-FR"/>
        </w:rPr>
      </w:pPr>
    </w:p>
    <w:p w14:paraId="260FFFF9" w14:textId="77777777" w:rsidR="008B1794" w:rsidRPr="00623A2B" w:rsidRDefault="008B1794" w:rsidP="008B1794">
      <w:pPr>
        <w:ind w:left="2160" w:hanging="720"/>
        <w:rPr>
          <w:rFonts w:ascii="Times New Roman" w:eastAsia="Calibri" w:hAnsi="Times New Roman"/>
          <w:b/>
          <w:lang w:val="fr-FR"/>
        </w:rPr>
      </w:pPr>
      <w:r w:rsidRPr="00623A2B">
        <w:rPr>
          <w:rFonts w:ascii="Times New Roman" w:eastAsia="Calibri" w:hAnsi="Times New Roman"/>
          <w:bCs/>
          <w:lang w:val="fr-FR"/>
        </w:rPr>
        <w:t>e.</w:t>
      </w:r>
      <w:r w:rsidRPr="00623A2B">
        <w:rPr>
          <w:rFonts w:ascii="Times New Roman" w:eastAsia="Calibri" w:hAnsi="Times New Roman"/>
          <w:bCs/>
          <w:lang w:val="fr-FR"/>
        </w:rPr>
        <w:tab/>
        <w:t>De charger la CAAP de procéder, en collaboration avec le Secrétariat général, à une évaluation de ces instruments en les appliquant aux mandats de la cinquante-et-unième session ordinaire de l'Assemblée générale, afin de garantir leur application correcte, et le cas échéant, de proposer au Conseil permanent tout modification s’avérant nécessaire.</w:t>
      </w:r>
    </w:p>
    <w:p w14:paraId="4EDBCCB2" w14:textId="77777777" w:rsidR="008B1794" w:rsidRPr="00623A2B" w:rsidRDefault="008B1794" w:rsidP="008B1794">
      <w:pPr>
        <w:rPr>
          <w:rFonts w:ascii="Times New Roman" w:eastAsia="Calibri" w:hAnsi="Times New Roman"/>
          <w:bCs/>
          <w:lang w:val="fr-FR"/>
        </w:rPr>
      </w:pPr>
    </w:p>
    <w:p w14:paraId="6148AF50" w14:textId="77777777" w:rsidR="008B1794" w:rsidRPr="00623A2B" w:rsidRDefault="008B1794" w:rsidP="008B1794">
      <w:pPr>
        <w:keepNext/>
        <w:ind w:firstLine="720"/>
        <w:rPr>
          <w:rFonts w:ascii="Times New Roman" w:eastAsia="Calibri" w:hAnsi="Times New Roman"/>
          <w:bCs/>
          <w:lang w:val="fr-FR"/>
        </w:rPr>
      </w:pPr>
      <w:r w:rsidRPr="00623A2B">
        <w:rPr>
          <w:rFonts w:ascii="Times New Roman" w:eastAsia="Calibri" w:hAnsi="Times New Roman"/>
          <w:bCs/>
          <w:lang w:val="fr-FR"/>
        </w:rPr>
        <w:t>10.</w:t>
      </w:r>
      <w:r w:rsidRPr="00623A2B">
        <w:rPr>
          <w:rFonts w:ascii="Times New Roman" w:eastAsia="Calibri" w:hAnsi="Times New Roman"/>
          <w:bCs/>
          <w:lang w:val="fr-FR"/>
        </w:rPr>
        <w:tab/>
      </w:r>
      <w:r w:rsidRPr="00623A2B">
        <w:rPr>
          <w:rFonts w:ascii="Times New Roman" w:eastAsia="Calibri" w:hAnsi="Times New Roman"/>
          <w:bCs/>
          <w:u w:val="single"/>
          <w:lang w:val="fr-FR"/>
        </w:rPr>
        <w:t>Hiérarchisation des mandats</w:t>
      </w:r>
    </w:p>
    <w:p w14:paraId="3C7A8A6C" w14:textId="77777777" w:rsidR="008B1794" w:rsidRPr="00623A2B" w:rsidRDefault="008B1794" w:rsidP="008B1794">
      <w:pPr>
        <w:keepNext/>
        <w:rPr>
          <w:rFonts w:ascii="Times New Roman" w:eastAsia="Calibri" w:hAnsi="Times New Roman"/>
          <w:bCs/>
          <w:lang w:val="fr-FR"/>
        </w:rPr>
      </w:pPr>
    </w:p>
    <w:p w14:paraId="441D1C76" w14:textId="77777777" w:rsidR="008B1794" w:rsidRPr="00623A2B" w:rsidRDefault="008B1794" w:rsidP="008B1794">
      <w:pPr>
        <w:ind w:left="2160" w:hanging="720"/>
        <w:rPr>
          <w:rFonts w:ascii="Times New Roman" w:hAnsi="Times New Roman"/>
          <w:b/>
          <w:bCs/>
          <w:lang w:val="fr-FR"/>
        </w:rPr>
      </w:pPr>
      <w:r w:rsidRPr="00623A2B">
        <w:rPr>
          <w:rFonts w:ascii="Times New Roman" w:eastAsia="Calibri" w:hAnsi="Times New Roman"/>
          <w:bCs/>
          <w:lang w:val="fr-FR"/>
        </w:rPr>
        <w:t>a.</w:t>
      </w:r>
      <w:r w:rsidRPr="00623A2B">
        <w:rPr>
          <w:rFonts w:ascii="Times New Roman" w:eastAsia="Calibri" w:hAnsi="Times New Roman"/>
          <w:bCs/>
          <w:lang w:val="fr-FR"/>
        </w:rPr>
        <w:tab/>
        <w:t>De prendre note de la proposition, présentée par le Secrétariat général, d'une méthodologie pour la hiérarchisation des mandats, dans le document CAAP/GT/RVPP-455/21 corr. 1, présenté le 21 septembre 2021, et d'exhorter les États membres à examiner ladite méthodologie, le cas échéant, et à s'efforcer de conclure la hiérarchisation des mandats actuels avant la cinquante-deuxième session ordinaire de l'Assemblée générale.</w:t>
      </w:r>
      <w:r w:rsidRPr="00623A2B">
        <w:rPr>
          <w:rFonts w:ascii="Times New Roman" w:eastAsia="Calibri" w:hAnsi="Times New Roman"/>
          <w:b/>
          <w:lang w:val="fr-FR"/>
        </w:rPr>
        <w:t xml:space="preserve"> </w:t>
      </w:r>
    </w:p>
    <w:p w14:paraId="2BD9C2CB" w14:textId="77777777" w:rsidR="008B1794" w:rsidRPr="00623A2B" w:rsidRDefault="008B1794" w:rsidP="008B1794">
      <w:pPr>
        <w:suppressAutoHyphens/>
        <w:rPr>
          <w:rFonts w:ascii="Times New Roman" w:hAnsi="Times New Roman"/>
          <w:color w:val="000000"/>
          <w:lang w:val="fr-FR" w:eastAsia="es-ES"/>
        </w:rPr>
      </w:pPr>
    </w:p>
    <w:p w14:paraId="5C12BD1C" w14:textId="77777777" w:rsidR="008B1794" w:rsidRPr="00623A2B" w:rsidRDefault="008B1794" w:rsidP="008B1794">
      <w:pPr>
        <w:suppressAutoHyphens/>
        <w:ind w:firstLine="720"/>
        <w:rPr>
          <w:rFonts w:ascii="Times New Roman" w:hAnsi="Times New Roman"/>
          <w:color w:val="000000"/>
          <w:lang w:val="fr-FR" w:eastAsia="es-ES"/>
        </w:rPr>
      </w:pPr>
      <w:r w:rsidRPr="00623A2B">
        <w:rPr>
          <w:rFonts w:ascii="Times New Roman" w:hAnsi="Times New Roman"/>
          <w:color w:val="000000"/>
          <w:lang w:val="fr-FR" w:eastAsia="es-ES"/>
        </w:rPr>
        <w:t>11.</w:t>
      </w:r>
      <w:r w:rsidRPr="00623A2B">
        <w:rPr>
          <w:rFonts w:ascii="Times New Roman" w:hAnsi="Times New Roman"/>
          <w:color w:val="000000"/>
          <w:lang w:val="fr-FR" w:eastAsia="es-ES"/>
        </w:rPr>
        <w:tab/>
      </w:r>
      <w:r w:rsidRPr="00623A2B">
        <w:rPr>
          <w:rFonts w:ascii="Times New Roman" w:hAnsi="Times New Roman"/>
          <w:color w:val="000000"/>
          <w:u w:val="single"/>
          <w:lang w:val="fr-FR" w:eastAsia="es-ES"/>
        </w:rPr>
        <w:t>Mobilisation des ressources extérieures</w:t>
      </w:r>
    </w:p>
    <w:p w14:paraId="55EDD36E" w14:textId="77777777" w:rsidR="008B1794" w:rsidRPr="00623A2B" w:rsidRDefault="008B1794" w:rsidP="008B1794">
      <w:pPr>
        <w:suppressAutoHyphens/>
        <w:rPr>
          <w:rFonts w:ascii="Times New Roman" w:hAnsi="Times New Roman"/>
          <w:color w:val="000000"/>
          <w:lang w:val="fr-FR" w:eastAsia="es-ES"/>
        </w:rPr>
      </w:pPr>
    </w:p>
    <w:p w14:paraId="1FD51142" w14:textId="77777777" w:rsidR="008B1794" w:rsidRPr="00623A2B" w:rsidRDefault="008B1794" w:rsidP="00573617">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contextualSpacing/>
        <w:rPr>
          <w:rFonts w:ascii="Times New Roman" w:hAnsi="Times New Roman"/>
          <w:color w:val="000000"/>
          <w:lang w:val="fr-FR" w:eastAsia="es-ES"/>
        </w:rPr>
      </w:pPr>
      <w:r w:rsidRPr="00623A2B">
        <w:rPr>
          <w:rFonts w:ascii="Times New Roman" w:hAnsi="Times New Roman"/>
          <w:color w:val="000000"/>
          <w:lang w:val="fr-FR" w:eastAsia="es-ES"/>
        </w:rPr>
        <w:t>De charger le Secrétaire général de poursuivre ses efforts de mobilisation de ressources extérieures pour la mise en œuvre des mandats de l'Assemblée générale, en particulier pour ceux qui ne sont pas financés ou qui sont sous-financés, et de tenir la CAAP informée de ses efforts pour identifier lesdites ressources extérieures et de maintenir la transparence et la responsabilité dans l'utilisation de ces fonds ainsi que dans la présentation des rapports y relatifs dans le rapport annuel sur l’administration des ressources et les résultats.</w:t>
      </w:r>
    </w:p>
    <w:p w14:paraId="4C03D2D7" w14:textId="77777777" w:rsidR="008B1794" w:rsidRPr="00623A2B" w:rsidRDefault="008B1794" w:rsidP="008B1794">
      <w:pPr>
        <w:suppressAutoHyphens/>
        <w:rPr>
          <w:rFonts w:ascii="Times New Roman" w:hAnsi="Times New Roman"/>
          <w:color w:val="000000"/>
          <w:lang w:val="fr-FR" w:eastAsia="es-ES"/>
        </w:rPr>
      </w:pPr>
    </w:p>
    <w:p w14:paraId="49BC4EFB" w14:textId="77777777" w:rsidR="008B1794" w:rsidRPr="00623A2B" w:rsidRDefault="008B1794" w:rsidP="00573617">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contextualSpacing/>
        <w:rPr>
          <w:rFonts w:ascii="Times New Roman" w:hAnsi="Times New Roman"/>
          <w:b/>
          <w:bCs/>
          <w:color w:val="000000"/>
          <w:lang w:val="fr-FR" w:eastAsia="es-ES"/>
        </w:rPr>
      </w:pPr>
      <w:r w:rsidRPr="00623A2B">
        <w:rPr>
          <w:rFonts w:ascii="Times New Roman" w:hAnsi="Times New Roman"/>
          <w:color w:val="000000"/>
          <w:lang w:val="fr-FR" w:eastAsia="es-ES"/>
        </w:rPr>
        <w:t xml:space="preserve">De charger le Secrétariat général de présenter au Conseil permanent, </w:t>
      </w:r>
      <w:r w:rsidRPr="00623A2B">
        <w:rPr>
          <w:rFonts w:ascii="Times New Roman" w:eastAsia="Calibri" w:hAnsi="Times New Roman"/>
          <w:color w:val="000000"/>
          <w:lang w:val="fr-FR"/>
        </w:rPr>
        <w:t>aux fins d’examen au plus tard</w:t>
      </w:r>
      <w:r w:rsidRPr="00623A2B">
        <w:rPr>
          <w:rFonts w:ascii="Times New Roman" w:hAnsi="Times New Roman"/>
          <w:color w:val="000000"/>
          <w:lang w:val="fr-FR" w:eastAsia="es-ES"/>
        </w:rPr>
        <w:t xml:space="preserve"> le 15 mars 2022, une analyse de diverses</w:t>
      </w:r>
      <w:r w:rsidRPr="00623A2B">
        <w:rPr>
          <w:rFonts w:ascii="Times New Roman" w:eastAsia="Calibri" w:hAnsi="Times New Roman"/>
          <w:color w:val="000000"/>
          <w:lang w:val="fr-FR"/>
        </w:rPr>
        <w:t xml:space="preserve"> options additionnelles de financement</w:t>
      </w:r>
      <w:r w:rsidRPr="00623A2B">
        <w:rPr>
          <w:rFonts w:ascii="Times New Roman" w:hAnsi="Times New Roman"/>
          <w:color w:val="000000"/>
          <w:lang w:val="fr-FR" w:eastAsia="es-ES"/>
        </w:rPr>
        <w:t xml:space="preserve"> du Fonds ordinaire et du RCI par les États membres et les observateurs permanents qui assurent la viabilité à long terme de la Commission interaméricaine des droits de l'homme (CIDH) et de la Cour </w:t>
      </w:r>
      <w:r w:rsidRPr="00623A2B">
        <w:rPr>
          <w:rFonts w:ascii="Times New Roman" w:hAnsi="Times New Roman"/>
          <w:color w:val="000000"/>
          <w:lang w:val="fr-FR" w:eastAsia="es-ES"/>
        </w:rPr>
        <w:lastRenderedPageBreak/>
        <w:t>interaméricaine des droits de l'homme, conformément à la résolution AG/RES. 2957 (L-O/20) paragraphe IV.3.e.</w:t>
      </w:r>
    </w:p>
    <w:p w14:paraId="582EDAF5" w14:textId="77777777" w:rsidR="008B1794" w:rsidRPr="00623A2B" w:rsidRDefault="008B1794" w:rsidP="008B1794">
      <w:pPr>
        <w:suppressAutoHyphens/>
        <w:rPr>
          <w:rFonts w:ascii="Times New Roman" w:hAnsi="Times New Roman"/>
          <w:b/>
          <w:bCs/>
          <w:color w:val="000000"/>
          <w:lang w:val="fr-FR" w:eastAsia="es-ES"/>
        </w:rPr>
      </w:pPr>
    </w:p>
    <w:p w14:paraId="1892D8CD" w14:textId="77777777" w:rsidR="008B1794" w:rsidRPr="00623A2B" w:rsidRDefault="008B1794" w:rsidP="008B1794">
      <w:pPr>
        <w:suppressAutoHyphens/>
        <w:ind w:firstLine="720"/>
        <w:rPr>
          <w:rFonts w:ascii="Times New Roman" w:hAnsi="Times New Roman"/>
          <w:color w:val="000000"/>
          <w:u w:val="single"/>
          <w:lang w:val="fr-FR"/>
        </w:rPr>
      </w:pPr>
      <w:r w:rsidRPr="00623A2B">
        <w:rPr>
          <w:rFonts w:ascii="Times New Roman" w:eastAsia="Calibri" w:hAnsi="Times New Roman"/>
          <w:color w:val="000000"/>
          <w:lang w:val="fr-FR"/>
        </w:rPr>
        <w:t>12.</w:t>
      </w:r>
      <w:r w:rsidRPr="00623A2B">
        <w:rPr>
          <w:rFonts w:ascii="Times New Roman" w:eastAsia="Calibri" w:hAnsi="Times New Roman"/>
          <w:color w:val="000000"/>
          <w:lang w:val="fr-FR"/>
        </w:rPr>
        <w:tab/>
      </w:r>
      <w:r w:rsidRPr="00623A2B">
        <w:rPr>
          <w:rFonts w:ascii="Times New Roman" w:eastAsia="Calibri" w:hAnsi="Times New Roman"/>
          <w:color w:val="000000"/>
          <w:u w:val="single"/>
          <w:lang w:val="fr-FR"/>
        </w:rPr>
        <w:t>Organes de surveillance</w:t>
      </w:r>
    </w:p>
    <w:p w14:paraId="5493E43F" w14:textId="77777777" w:rsidR="008B1794" w:rsidRPr="00623A2B" w:rsidRDefault="008B1794" w:rsidP="008B1794">
      <w:pPr>
        <w:suppressAutoHyphens/>
        <w:rPr>
          <w:rFonts w:ascii="Times New Roman" w:hAnsi="Times New Roman"/>
          <w:color w:val="000000"/>
          <w:u w:val="single"/>
          <w:lang w:val="fr-FR" w:eastAsia="es-ES"/>
        </w:rPr>
      </w:pPr>
    </w:p>
    <w:p w14:paraId="48A8326F" w14:textId="77777777" w:rsidR="008B1794" w:rsidRPr="00623A2B" w:rsidRDefault="008B1794" w:rsidP="008B1794">
      <w:pPr>
        <w:suppressAutoHyphens/>
        <w:ind w:left="2160" w:hanging="720"/>
        <w:rPr>
          <w:rFonts w:ascii="Times New Roman" w:eastAsia="Calibri" w:hAnsi="Times New Roman"/>
          <w:bCs/>
          <w:color w:val="000000"/>
          <w:lang w:val="fr-FR"/>
        </w:rPr>
      </w:pPr>
      <w:r w:rsidRPr="00623A2B">
        <w:rPr>
          <w:rFonts w:ascii="Times New Roman" w:eastAsia="Calibri" w:hAnsi="Times New Roman"/>
          <w:bCs/>
          <w:color w:val="000000"/>
          <w:lang w:val="fr-FR"/>
        </w:rPr>
        <w:t>a.</w:t>
      </w:r>
      <w:r w:rsidRPr="00623A2B">
        <w:rPr>
          <w:rFonts w:ascii="Times New Roman" w:eastAsia="Calibri" w:hAnsi="Times New Roman"/>
          <w:bCs/>
          <w:color w:val="000000"/>
          <w:lang w:val="fr-FR"/>
        </w:rPr>
        <w:tab/>
        <w:t>Comité d’audit</w:t>
      </w:r>
    </w:p>
    <w:p w14:paraId="77A3953A" w14:textId="77777777" w:rsidR="008B1794" w:rsidRPr="00623A2B" w:rsidRDefault="008B1794" w:rsidP="008B1794">
      <w:pPr>
        <w:suppressAutoHyphens/>
        <w:rPr>
          <w:rFonts w:ascii="Times New Roman" w:eastAsia="Calibri" w:hAnsi="Times New Roman"/>
          <w:bCs/>
          <w:color w:val="000000"/>
          <w:lang w:val="fr-FR"/>
        </w:rPr>
      </w:pPr>
    </w:p>
    <w:p w14:paraId="59A0C828" w14:textId="77777777" w:rsidR="008B1794" w:rsidRPr="00623A2B" w:rsidRDefault="008B1794" w:rsidP="008B1794">
      <w:pPr>
        <w:suppressAutoHyphens/>
        <w:ind w:left="1440" w:firstLine="720"/>
        <w:rPr>
          <w:rFonts w:ascii="Times New Roman" w:hAnsi="Times New Roman"/>
          <w:bCs/>
          <w:color w:val="000000"/>
          <w:lang w:val="fr-FR" w:eastAsia="es-ES"/>
        </w:rPr>
      </w:pPr>
      <w:r w:rsidRPr="00623A2B">
        <w:rPr>
          <w:rFonts w:ascii="Times New Roman" w:hAnsi="Times New Roman"/>
          <w:bCs/>
          <w:color w:val="000000"/>
          <w:lang w:val="fr-FR" w:eastAsia="es-ES"/>
        </w:rPr>
        <w:t>D'adopter les modifications aux chapitres VIII et IX des Normes générales aux fins de la création d'un Comité d'audit et de réformes connexes figurant à l'annexe V de la présente résolution, lesquelles entreront en vigueur dès l'adoption de la présente résolution.</w:t>
      </w:r>
    </w:p>
    <w:p w14:paraId="082B8A90" w14:textId="77777777" w:rsidR="008B1794" w:rsidRPr="00623A2B" w:rsidRDefault="008B1794" w:rsidP="008B1794">
      <w:pPr>
        <w:suppressAutoHyphens/>
        <w:rPr>
          <w:rFonts w:ascii="Times New Roman" w:hAnsi="Times New Roman"/>
          <w:color w:val="000000"/>
          <w:lang w:val="fr-FR" w:eastAsia="es-ES"/>
        </w:rPr>
      </w:pPr>
    </w:p>
    <w:p w14:paraId="096F7C99" w14:textId="77777777" w:rsidR="008B1794" w:rsidRPr="00623A2B" w:rsidRDefault="008B1794" w:rsidP="008B1794">
      <w:pPr>
        <w:suppressAutoHyphens/>
        <w:ind w:left="2160" w:hanging="720"/>
        <w:rPr>
          <w:rFonts w:ascii="Times New Roman" w:hAnsi="Times New Roman"/>
          <w:color w:val="000000"/>
          <w:lang w:val="fr-FR" w:eastAsia="es-ES"/>
        </w:rPr>
      </w:pPr>
      <w:r w:rsidRPr="00623A2B">
        <w:rPr>
          <w:rFonts w:ascii="Times New Roman" w:hAnsi="Times New Roman"/>
          <w:color w:val="000000"/>
          <w:lang w:val="fr-FR" w:eastAsia="es-ES"/>
        </w:rPr>
        <w:t>b.</w:t>
      </w:r>
      <w:r w:rsidRPr="00623A2B">
        <w:rPr>
          <w:rFonts w:ascii="Times New Roman" w:hAnsi="Times New Roman"/>
          <w:color w:val="000000"/>
          <w:lang w:val="fr-FR" w:eastAsia="es-ES"/>
        </w:rPr>
        <w:tab/>
      </w:r>
      <w:r w:rsidRPr="00623A2B">
        <w:rPr>
          <w:rFonts w:ascii="Times New Roman" w:eastAsia="Calibri" w:hAnsi="Times New Roman"/>
          <w:bCs/>
          <w:color w:val="000000"/>
          <w:lang w:val="fr-FR"/>
        </w:rPr>
        <w:t>Ombudsman</w:t>
      </w:r>
    </w:p>
    <w:p w14:paraId="150BBB99" w14:textId="77777777" w:rsidR="008B1794" w:rsidRPr="00623A2B" w:rsidRDefault="008B1794" w:rsidP="008B1794">
      <w:pPr>
        <w:suppressAutoHyphens/>
        <w:rPr>
          <w:rFonts w:ascii="Times New Roman" w:hAnsi="Times New Roman"/>
          <w:color w:val="000000"/>
          <w:lang w:val="fr-FR" w:eastAsia="es-ES"/>
        </w:rPr>
      </w:pPr>
    </w:p>
    <w:p w14:paraId="7E289107" w14:textId="77777777" w:rsidR="008B1794" w:rsidRPr="00623A2B" w:rsidRDefault="008B1794" w:rsidP="00573617">
      <w:pPr>
        <w:widowControl/>
        <w:numPr>
          <w:ilvl w:val="2"/>
          <w:numId w:val="3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contextualSpacing/>
        <w:rPr>
          <w:rFonts w:ascii="Times New Roman" w:hAnsi="Times New Roman"/>
          <w:b/>
          <w:bCs/>
          <w:color w:val="000000"/>
          <w:lang w:val="fr-FR" w:eastAsia="es-ES"/>
        </w:rPr>
      </w:pPr>
      <w:r w:rsidRPr="00623A2B">
        <w:rPr>
          <w:rFonts w:ascii="Times New Roman" w:hAnsi="Times New Roman"/>
          <w:color w:val="000000"/>
          <w:lang w:val="fr-FR" w:eastAsia="es-ES"/>
        </w:rPr>
        <w:t>De mettre à jour l</w:t>
      </w:r>
      <w:r w:rsidRPr="00623A2B">
        <w:rPr>
          <w:rFonts w:ascii="Times New Roman" w:eastAsia="Calibri" w:hAnsi="Times New Roman"/>
          <w:lang w:val="fr-FR"/>
        </w:rPr>
        <w:t>es Normes générales de fonctionnement du Secrétariat général de l'Organisation des États Américains, chapitre III, sous-chapitre H : Ombudsman, dans le but de renforcer ce bureau et de donner une certitude juridique à l'exercice de ses responsabilités, sur la base des normes professionnelles et de celles mises en œuvre par des bureaux similaires dans d'autres organisations internationales, en particulier les Nations Unies (ONU), l'Organisation panaméricaine de la Santé (OPS), la Banque interaméricaine de développement (BID), la Banque mondiale et le Fonds monétaire international (FMI), ainsi que le code de déontologie et les normes de pratique de l'Association internationale des ombudsmans, de même que l'examen complet réalisé par le Corps commun d'inspection (CCI) du système des Nations Unies en 2015, portant sur les services d'ombudsman institutionnels dans l'ensemble du système des Nations Unies (JIU/REP/2015/6)</w:t>
      </w:r>
      <w:r w:rsidRPr="00623A2B">
        <w:rPr>
          <w:rFonts w:ascii="Times New Roman" w:hAnsi="Times New Roman"/>
          <w:color w:val="000000"/>
          <w:lang w:val="fr-FR" w:eastAsia="es-ES"/>
        </w:rPr>
        <w:t>, tout en tenant compte du contexte propre à l'OEA ; et d’utiliser l’avant-projet ci-joint, proposé par la délégation du Canada (annexe VI), pour entamer les débats dans les meilleurs délais afin d’envisager l’approbation de celui-ci par le Conseil permanent avant la fin du mandat du Canada à la présidence de la CAAP, soit à la fin du mois de janvier 2022.</w:t>
      </w:r>
    </w:p>
    <w:p w14:paraId="7550BF70" w14:textId="77777777" w:rsidR="008B1794" w:rsidRPr="00623A2B" w:rsidRDefault="008B1794" w:rsidP="008B1794">
      <w:pPr>
        <w:suppressAutoHyphens/>
        <w:contextualSpacing/>
        <w:rPr>
          <w:rFonts w:ascii="Times New Roman" w:hAnsi="Times New Roman"/>
          <w:b/>
          <w:bCs/>
          <w:color w:val="000000"/>
          <w:lang w:val="fr-FR" w:eastAsia="es-ES"/>
        </w:rPr>
      </w:pPr>
    </w:p>
    <w:p w14:paraId="35CD1C4E" w14:textId="77777777" w:rsidR="008B1794" w:rsidRPr="00623A2B" w:rsidRDefault="008B1794" w:rsidP="00573617">
      <w:pPr>
        <w:widowControl/>
        <w:numPr>
          <w:ilvl w:val="2"/>
          <w:numId w:val="3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contextualSpacing/>
        <w:rPr>
          <w:rFonts w:ascii="Times New Roman" w:hAnsi="Times New Roman"/>
          <w:color w:val="000000"/>
          <w:lang w:val="fr-FR" w:eastAsia="es-ES"/>
        </w:rPr>
      </w:pPr>
      <w:r w:rsidRPr="00623A2B">
        <w:rPr>
          <w:rFonts w:ascii="Times New Roman" w:hAnsi="Times New Roman"/>
          <w:color w:val="000000"/>
          <w:lang w:val="fr-FR" w:eastAsia="es-ES"/>
        </w:rPr>
        <w:t>D’encourager les États membres à tenir des consultations larges et inclusives avec les acteurs concernés lors des débats. De noter que les réunions de la CAAP consacrées à l’examen de cette question prévoiront l’apport des principaux acteurs concernés. De solliciter la présentation de commentaires supplémentaires et de contre-propositions sur l’avant-projet au plus tard le 15 décembre 2021.</w:t>
      </w:r>
    </w:p>
    <w:p w14:paraId="18C3B67A" w14:textId="77777777" w:rsidR="008B1794" w:rsidRPr="00623A2B" w:rsidRDefault="008B1794" w:rsidP="008B1794">
      <w:pPr>
        <w:suppressAutoHyphens/>
        <w:rPr>
          <w:rFonts w:ascii="Times New Roman" w:hAnsi="Times New Roman"/>
          <w:color w:val="000000"/>
          <w:lang w:val="fr-FR" w:eastAsia="es-ES"/>
        </w:rPr>
      </w:pPr>
    </w:p>
    <w:p w14:paraId="273C2D81" w14:textId="77777777" w:rsidR="008B1794" w:rsidRPr="00623A2B" w:rsidRDefault="008B1794" w:rsidP="008B1794">
      <w:pPr>
        <w:suppressAutoHyphens/>
        <w:ind w:left="720" w:firstLine="720"/>
        <w:rPr>
          <w:rFonts w:ascii="Times New Roman" w:eastAsia="Calibri" w:hAnsi="Times New Roman"/>
          <w:color w:val="000000"/>
          <w:u w:val="single"/>
          <w:lang w:val="fr-FR"/>
        </w:rPr>
      </w:pPr>
      <w:r w:rsidRPr="00623A2B">
        <w:rPr>
          <w:rFonts w:ascii="Times New Roman" w:eastAsia="Calibri" w:hAnsi="Times New Roman"/>
          <w:color w:val="000000"/>
          <w:lang w:val="fr-FR"/>
        </w:rPr>
        <w:t>13.</w:t>
      </w:r>
      <w:r w:rsidRPr="00623A2B">
        <w:rPr>
          <w:rFonts w:ascii="Times New Roman" w:eastAsia="Calibri" w:hAnsi="Times New Roman"/>
          <w:color w:val="000000"/>
          <w:lang w:val="fr-FR"/>
        </w:rPr>
        <w:tab/>
      </w:r>
      <w:r w:rsidRPr="00623A2B">
        <w:rPr>
          <w:rFonts w:ascii="Times New Roman" w:eastAsia="Calibri" w:hAnsi="Times New Roman"/>
          <w:color w:val="000000"/>
          <w:u w:val="single"/>
          <w:lang w:val="fr-FR"/>
        </w:rPr>
        <w:t>Programme-budget pour le cycle budgétaire 2023</w:t>
      </w:r>
    </w:p>
    <w:p w14:paraId="4AAA76C5" w14:textId="77777777" w:rsidR="008B1794" w:rsidRPr="00623A2B" w:rsidRDefault="008B1794" w:rsidP="008B1794">
      <w:pPr>
        <w:suppressAutoHyphens/>
        <w:rPr>
          <w:rFonts w:ascii="Times New Roman" w:hAnsi="Times New Roman"/>
          <w:bCs/>
          <w:color w:val="000000"/>
          <w:lang w:val="fr-FR" w:eastAsia="es-ES"/>
        </w:rPr>
      </w:pPr>
    </w:p>
    <w:p w14:paraId="089B334B" w14:textId="77777777" w:rsidR="008B1794" w:rsidRPr="00623A2B" w:rsidRDefault="008B1794" w:rsidP="00752E5E">
      <w:pPr>
        <w:widowControl/>
        <w:suppressAutoHyphens/>
        <w:ind w:left="2880" w:hanging="720"/>
        <w:rPr>
          <w:rFonts w:ascii="Times New Roman" w:eastAsia="Calibri" w:hAnsi="Times New Roman"/>
          <w:bCs/>
          <w:color w:val="000000"/>
          <w:lang w:val="fr-FR"/>
        </w:rPr>
      </w:pPr>
      <w:r w:rsidRPr="00623A2B">
        <w:rPr>
          <w:rFonts w:ascii="Times New Roman" w:hAnsi="Times New Roman"/>
          <w:bCs/>
          <w:color w:val="000000"/>
          <w:lang w:val="fr-FR" w:eastAsia="es-ES"/>
        </w:rPr>
        <w:t>a.</w:t>
      </w:r>
      <w:r w:rsidRPr="00623A2B">
        <w:rPr>
          <w:rFonts w:ascii="Times New Roman" w:hAnsi="Times New Roman"/>
          <w:bCs/>
          <w:color w:val="000000"/>
          <w:lang w:val="fr-FR" w:eastAsia="es-ES"/>
        </w:rPr>
        <w:tab/>
      </w:r>
      <w:r w:rsidRPr="00623A2B">
        <w:rPr>
          <w:rFonts w:ascii="Times New Roman" w:eastAsia="Calibri" w:hAnsi="Times New Roman"/>
          <w:bCs/>
          <w:color w:val="000000"/>
          <w:lang w:val="fr-FR"/>
        </w:rPr>
        <w:t xml:space="preserve">De charger le Secrétariat général d’inclure toutes les augmentations statutaires et d’honorer toutes les exigences prévues dans les Normes générales au moment de la présentation du projet de budget pour le </w:t>
      </w:r>
      <w:r w:rsidRPr="00623A2B">
        <w:rPr>
          <w:rFonts w:ascii="Times New Roman" w:eastAsia="Calibri" w:hAnsi="Times New Roman"/>
          <w:bCs/>
          <w:color w:val="000000"/>
          <w:lang w:val="fr-FR"/>
        </w:rPr>
        <w:lastRenderedPageBreak/>
        <w:t xml:space="preserve">Fonds ordinaire et le Fonds RCI. Le projet de programme-budget du cycle doit également tenir compte des orientations suivantes : </w:t>
      </w:r>
    </w:p>
    <w:p w14:paraId="450B81E9" w14:textId="77777777" w:rsidR="008B1794" w:rsidRPr="00623A2B" w:rsidRDefault="008B1794" w:rsidP="008B1794">
      <w:pPr>
        <w:suppressAutoHyphens/>
        <w:rPr>
          <w:rFonts w:ascii="Times New Roman" w:eastAsia="Calibri" w:hAnsi="Times New Roman"/>
          <w:bCs/>
          <w:color w:val="000000"/>
          <w:lang w:val="fr-FR"/>
        </w:rPr>
      </w:pPr>
    </w:p>
    <w:p w14:paraId="6583B44A" w14:textId="77777777" w:rsidR="008B1794" w:rsidRPr="00623A2B" w:rsidRDefault="008B1794" w:rsidP="008B1794">
      <w:pPr>
        <w:suppressAutoHyphens/>
        <w:ind w:left="3600" w:hanging="720"/>
        <w:rPr>
          <w:rFonts w:ascii="Times New Roman" w:eastAsia="Calibri" w:hAnsi="Times New Roman"/>
          <w:bCs/>
          <w:color w:val="000000"/>
          <w:lang w:val="fr-FR"/>
        </w:rPr>
      </w:pPr>
      <w:r w:rsidRPr="00623A2B">
        <w:rPr>
          <w:rFonts w:ascii="Times New Roman" w:eastAsia="Calibri" w:hAnsi="Times New Roman"/>
          <w:bCs/>
          <w:color w:val="000000"/>
          <w:lang w:val="fr-FR"/>
        </w:rPr>
        <w:t>i.</w:t>
      </w:r>
      <w:r w:rsidRPr="00623A2B">
        <w:rPr>
          <w:rFonts w:ascii="Times New Roman" w:eastAsia="Calibri" w:hAnsi="Times New Roman"/>
          <w:bCs/>
          <w:color w:val="000000"/>
          <w:lang w:val="fr-FR"/>
        </w:rPr>
        <w:tab/>
        <w:t xml:space="preserve">Il ne propose aucune réduction aux sous-fonds de réserve ni ne les utilise pour financer des postes vacants. </w:t>
      </w:r>
    </w:p>
    <w:p w14:paraId="08A86343" w14:textId="77777777" w:rsidR="008B1794" w:rsidRPr="00623A2B" w:rsidRDefault="008B1794" w:rsidP="008B1794">
      <w:pPr>
        <w:suppressAutoHyphens/>
        <w:ind w:left="3600" w:hanging="720"/>
        <w:rPr>
          <w:rFonts w:ascii="Times New Roman" w:eastAsia="Calibri" w:hAnsi="Times New Roman"/>
          <w:bCs/>
          <w:color w:val="000000"/>
          <w:lang w:val="fr-FR"/>
        </w:rPr>
      </w:pPr>
      <w:r w:rsidRPr="00623A2B">
        <w:rPr>
          <w:rFonts w:ascii="Times New Roman" w:eastAsia="Calibri" w:hAnsi="Times New Roman"/>
          <w:bCs/>
          <w:color w:val="000000"/>
          <w:lang w:val="fr-FR"/>
        </w:rPr>
        <w:t>ii.</w:t>
      </w:r>
      <w:r w:rsidRPr="00623A2B">
        <w:rPr>
          <w:rFonts w:ascii="Times New Roman" w:eastAsia="Calibri" w:hAnsi="Times New Roman"/>
          <w:bCs/>
          <w:color w:val="000000"/>
          <w:lang w:val="fr-FR"/>
        </w:rPr>
        <w:tab/>
        <w:t xml:space="preserve">Si le plafond budgétaire devait diminuer par rapport à l'année précédente, en termes corrigés de l'inflation réelle ou prévue, ces réductions seraient réparties de manière à tenter d’assurer une allocation financière adéquate et durable qui minimise les éventuels impacts négatifs sur le travail de tous les services.  </w:t>
      </w:r>
    </w:p>
    <w:p w14:paraId="3EF4B5CA" w14:textId="77777777" w:rsidR="008B1794" w:rsidRPr="00623A2B" w:rsidRDefault="008B1794" w:rsidP="008B1794">
      <w:pPr>
        <w:suppressAutoHyphens/>
        <w:ind w:left="3600" w:hanging="720"/>
        <w:rPr>
          <w:rFonts w:ascii="Times New Roman" w:eastAsia="Calibri" w:hAnsi="Times New Roman"/>
          <w:bCs/>
          <w:color w:val="000000"/>
          <w:lang w:val="fr-FR"/>
        </w:rPr>
      </w:pPr>
      <w:r w:rsidRPr="00623A2B">
        <w:rPr>
          <w:rFonts w:ascii="Times New Roman" w:eastAsia="Calibri" w:hAnsi="Times New Roman"/>
          <w:bCs/>
          <w:color w:val="000000"/>
          <w:lang w:val="fr-FR"/>
        </w:rPr>
        <w:t>iii.</w:t>
      </w:r>
      <w:r w:rsidRPr="00623A2B">
        <w:rPr>
          <w:rFonts w:ascii="Times New Roman" w:eastAsia="Calibri" w:hAnsi="Times New Roman"/>
          <w:bCs/>
          <w:color w:val="000000"/>
          <w:lang w:val="fr-FR"/>
        </w:rPr>
        <w:tab/>
        <w:t>Il alloue la somme requise pour couvrir tous les coûts de l’Organisation figurant au chapitre 12.</w:t>
      </w:r>
    </w:p>
    <w:p w14:paraId="4CEEE5EA" w14:textId="77777777" w:rsidR="008B1794" w:rsidRPr="00623A2B" w:rsidRDefault="008B1794" w:rsidP="008B1794">
      <w:pPr>
        <w:suppressAutoHyphens/>
        <w:ind w:left="3600" w:hanging="720"/>
        <w:rPr>
          <w:rFonts w:ascii="Times New Roman" w:eastAsia="Calibri" w:hAnsi="Times New Roman"/>
          <w:bCs/>
          <w:color w:val="000000"/>
          <w:lang w:val="fr-FR"/>
        </w:rPr>
      </w:pPr>
      <w:r w:rsidRPr="00623A2B">
        <w:rPr>
          <w:rFonts w:ascii="Times New Roman" w:eastAsia="Calibri" w:hAnsi="Times New Roman"/>
          <w:bCs/>
          <w:color w:val="000000"/>
          <w:lang w:val="fr-FR"/>
        </w:rPr>
        <w:t>iv.</w:t>
      </w:r>
      <w:r w:rsidRPr="00623A2B">
        <w:rPr>
          <w:rFonts w:ascii="Times New Roman" w:eastAsia="Calibri" w:hAnsi="Times New Roman"/>
          <w:bCs/>
          <w:color w:val="000000"/>
          <w:lang w:val="fr-FR"/>
        </w:rPr>
        <w:tab/>
        <w:t xml:space="preserve">Il est présenté au niveau des chapitres et des sous-programmes. </w:t>
      </w:r>
    </w:p>
    <w:p w14:paraId="03F7328E" w14:textId="77777777" w:rsidR="008B1794" w:rsidRPr="00623A2B" w:rsidRDefault="008B1794" w:rsidP="008B1794">
      <w:pPr>
        <w:suppressAutoHyphens/>
        <w:rPr>
          <w:rFonts w:ascii="Times New Roman" w:eastAsia="Calibri" w:hAnsi="Times New Roman"/>
          <w:bCs/>
          <w:color w:val="000000"/>
          <w:lang w:val="fr-FR"/>
        </w:rPr>
      </w:pPr>
      <w:r w:rsidRPr="00623A2B">
        <w:rPr>
          <w:rFonts w:ascii="Times New Roman" w:eastAsia="Calibri" w:hAnsi="Times New Roman"/>
          <w:bCs/>
          <w:color w:val="000000"/>
          <w:lang w:val="fr-FR"/>
        </w:rPr>
        <w:t xml:space="preserve"> </w:t>
      </w:r>
    </w:p>
    <w:p w14:paraId="3D5B1E52" w14:textId="77777777" w:rsidR="008B1794" w:rsidRPr="00623A2B" w:rsidRDefault="008B1794" w:rsidP="008B1794">
      <w:pPr>
        <w:suppressAutoHyphens/>
        <w:ind w:left="2880" w:hanging="720"/>
        <w:rPr>
          <w:rFonts w:ascii="Times New Roman" w:eastAsia="Calibri" w:hAnsi="Times New Roman"/>
          <w:bCs/>
          <w:color w:val="000000"/>
          <w:lang w:val="fr-FR"/>
        </w:rPr>
      </w:pPr>
      <w:r w:rsidRPr="00623A2B">
        <w:rPr>
          <w:rFonts w:ascii="Times New Roman" w:eastAsia="Calibri" w:hAnsi="Times New Roman"/>
          <w:bCs/>
          <w:color w:val="000000"/>
          <w:lang w:val="fr-FR"/>
        </w:rPr>
        <w:t>b.</w:t>
      </w:r>
      <w:r w:rsidRPr="00623A2B">
        <w:rPr>
          <w:rFonts w:ascii="Times New Roman" w:eastAsia="Calibri" w:hAnsi="Times New Roman"/>
          <w:bCs/>
          <w:color w:val="000000"/>
          <w:lang w:val="fr-FR"/>
        </w:rPr>
        <w:tab/>
        <w:t xml:space="preserve">Les négociations entre les États membres porteront dans un premier temps sur l'établissement d'accords au niveau des chapitres et, dans le cas des chapitres 3 et 13, au niveau des sous-programmes. Leurs dotations seront incluses à ce niveau dans la résolution sur le programme-budget, dans la section des crédits budgétaires. Par la suite, tous les crédits au niveau des sous-programmes peuvent également être inclus dans la section sur les crédits budgétaires si les États membres en décident ainsi. </w:t>
      </w:r>
    </w:p>
    <w:p w14:paraId="6BA6F41F" w14:textId="77777777" w:rsidR="008B1794" w:rsidRPr="00623A2B" w:rsidRDefault="008B1794" w:rsidP="008B1794">
      <w:pPr>
        <w:rPr>
          <w:rFonts w:ascii="Times New Roman" w:eastAsia="Calibri" w:hAnsi="Times New Roman"/>
          <w:lang w:val="fr-FR"/>
        </w:rPr>
      </w:pPr>
    </w:p>
    <w:p w14:paraId="7EF03C46" w14:textId="77777777" w:rsidR="008B1794" w:rsidRPr="00623A2B" w:rsidRDefault="008B1794" w:rsidP="008B1794">
      <w:pPr>
        <w:suppressAutoHyphens/>
        <w:ind w:left="1440" w:hanging="720"/>
        <w:rPr>
          <w:rFonts w:ascii="Times New Roman" w:eastAsia="Calibri" w:hAnsi="Times New Roman"/>
          <w:color w:val="000000"/>
          <w:u w:val="single"/>
          <w:lang w:val="fr-FR"/>
        </w:rPr>
      </w:pPr>
      <w:r w:rsidRPr="00623A2B">
        <w:rPr>
          <w:rFonts w:ascii="Times New Roman" w:eastAsia="Calibri" w:hAnsi="Times New Roman"/>
          <w:color w:val="000000"/>
          <w:lang w:val="fr-FR"/>
        </w:rPr>
        <w:t>14.</w:t>
      </w:r>
      <w:r w:rsidRPr="00623A2B">
        <w:rPr>
          <w:rFonts w:ascii="Times New Roman" w:eastAsia="Calibri" w:hAnsi="Times New Roman"/>
          <w:color w:val="000000"/>
          <w:lang w:val="fr-FR"/>
        </w:rPr>
        <w:tab/>
      </w:r>
      <w:r w:rsidRPr="00623A2B">
        <w:rPr>
          <w:rFonts w:ascii="Times New Roman" w:eastAsia="Calibri" w:hAnsi="Times New Roman"/>
          <w:color w:val="000000"/>
          <w:u w:val="single"/>
          <w:lang w:val="fr-FR"/>
        </w:rPr>
        <w:t xml:space="preserve">Méthodologie de calcul du barème des quotes-parts pour le financement du Fonds ordinaire de l'Organisation </w:t>
      </w:r>
    </w:p>
    <w:p w14:paraId="614542BD" w14:textId="77777777" w:rsidR="008B1794" w:rsidRPr="00623A2B" w:rsidRDefault="008B1794" w:rsidP="008B1794">
      <w:pPr>
        <w:suppressAutoHyphens/>
        <w:rPr>
          <w:rFonts w:ascii="Times New Roman" w:eastAsia="Calibri" w:hAnsi="Times New Roman"/>
          <w:color w:val="000000"/>
          <w:lang w:val="fr-FR"/>
        </w:rPr>
      </w:pPr>
    </w:p>
    <w:p w14:paraId="391E297F" w14:textId="77777777" w:rsidR="008B1794" w:rsidRPr="00623A2B" w:rsidRDefault="008B1794" w:rsidP="008B1794">
      <w:pPr>
        <w:suppressAutoHyphens/>
        <w:ind w:firstLine="720"/>
        <w:rPr>
          <w:rFonts w:ascii="Times New Roman" w:eastAsia="Calibri" w:hAnsi="Times New Roman"/>
          <w:b/>
          <w:lang w:val="fr-FR"/>
        </w:rPr>
      </w:pPr>
      <w:r w:rsidRPr="00623A2B">
        <w:rPr>
          <w:rFonts w:ascii="Times New Roman" w:eastAsia="Calibri" w:hAnsi="Times New Roman"/>
          <w:bCs/>
          <w:lang w:val="fr-FR"/>
        </w:rPr>
        <w:t xml:space="preserve">De prendre note de l’exposé fait par le Secrétariat général devant le Groupe de travail de la CAAP le 22 juin 2021 sur l’état d’avancement du mandat établi aux termes de la résolution CP/RES. 1104 (2168/18) </w:t>
      </w:r>
      <w:proofErr w:type="spellStart"/>
      <w:r w:rsidRPr="00623A2B">
        <w:rPr>
          <w:rFonts w:ascii="Times New Roman" w:eastAsia="Calibri" w:hAnsi="Times New Roman"/>
          <w:bCs/>
          <w:lang w:val="fr-FR"/>
        </w:rPr>
        <w:t>rev</w:t>
      </w:r>
      <w:proofErr w:type="spellEnd"/>
      <w:r w:rsidRPr="00623A2B">
        <w:rPr>
          <w:rFonts w:ascii="Times New Roman" w:eastAsia="Calibri" w:hAnsi="Times New Roman"/>
          <w:bCs/>
          <w:lang w:val="fr-FR"/>
        </w:rPr>
        <w:t>. 1, lequel a été approuvé par l'Assemblée générale au moyen de sa résolution AG/RES. 1 (LIII-E/18), de même que de l’avis du Secrétariat aux questions administratives et financières figurant dans un document en date du 19 octobre 2021 concernant le Groupe indépendant d’experts sur la méthodologie de calcul du barème des quotes-parts. Par ailleurs, de charger le Conseil permanent de continuer de suivre, par l’intermédiaire de la CAAP, l’examen de la méthodologie relative à l’établissement des quotes-parts entrepris par le Comité des contributions des Nations Unies et, en fonction des conclusions de cet exercice, de réévaluer, avec l’urgence qu’exige la situation actuelle de la région en matière socioéconomique, la création effective d’un groupe indépendant d’experts et les modalités de l’examen de la méthodologie de calcul du barème des quotes-parts pour le financement du Fonds ordinaire de l’Organisation des États Américains.</w:t>
      </w:r>
    </w:p>
    <w:p w14:paraId="552AC8FF" w14:textId="77777777" w:rsidR="008B1794" w:rsidRPr="00623A2B" w:rsidRDefault="008B1794" w:rsidP="008B1794">
      <w:pPr>
        <w:suppressAutoHyphens/>
        <w:rPr>
          <w:rFonts w:ascii="Times New Roman" w:eastAsia="Calibri" w:hAnsi="Times New Roman"/>
          <w:bCs/>
          <w:color w:val="000000"/>
          <w:lang w:val="fr-FR"/>
        </w:rPr>
      </w:pPr>
    </w:p>
    <w:p w14:paraId="656DD300" w14:textId="77777777" w:rsidR="008B1794" w:rsidRPr="00623A2B" w:rsidRDefault="008B1794" w:rsidP="008B1794">
      <w:pPr>
        <w:keepNext/>
        <w:suppressAutoHyphens/>
        <w:ind w:firstLine="720"/>
        <w:rPr>
          <w:rFonts w:ascii="Times New Roman" w:eastAsia="Calibri" w:hAnsi="Times New Roman"/>
          <w:color w:val="000000"/>
          <w:u w:val="single"/>
          <w:lang w:val="fr-FR"/>
        </w:rPr>
      </w:pPr>
      <w:r w:rsidRPr="00623A2B">
        <w:rPr>
          <w:rFonts w:ascii="Times New Roman" w:eastAsia="Calibri" w:hAnsi="Times New Roman"/>
          <w:color w:val="000000"/>
          <w:lang w:val="fr-FR"/>
        </w:rPr>
        <w:t>15.</w:t>
      </w:r>
      <w:r w:rsidRPr="00623A2B">
        <w:rPr>
          <w:rFonts w:ascii="Times New Roman" w:eastAsia="Calibri" w:hAnsi="Times New Roman"/>
          <w:color w:val="000000"/>
          <w:lang w:val="fr-FR"/>
        </w:rPr>
        <w:tab/>
      </w:r>
      <w:r w:rsidRPr="00623A2B">
        <w:rPr>
          <w:rFonts w:ascii="Times New Roman" w:eastAsia="Calibri" w:hAnsi="Times New Roman"/>
          <w:color w:val="000000"/>
          <w:u w:val="single"/>
          <w:lang w:val="fr-FR"/>
        </w:rPr>
        <w:t>Bureaux hors siège du Secrétariat général</w:t>
      </w:r>
    </w:p>
    <w:p w14:paraId="41448436" w14:textId="77777777" w:rsidR="008B1794" w:rsidRPr="00623A2B" w:rsidRDefault="008B1794" w:rsidP="008B1794">
      <w:pPr>
        <w:keepNext/>
        <w:suppressAutoHyphens/>
        <w:rPr>
          <w:rFonts w:ascii="Times New Roman" w:eastAsia="Calibri" w:hAnsi="Times New Roman"/>
          <w:color w:val="000000"/>
          <w:lang w:val="fr-FR"/>
        </w:rPr>
      </w:pPr>
    </w:p>
    <w:p w14:paraId="7C90E3F4" w14:textId="77777777" w:rsidR="008B1794" w:rsidRPr="00623A2B" w:rsidRDefault="008B1794" w:rsidP="008B1794">
      <w:pPr>
        <w:suppressAutoHyphens/>
        <w:ind w:firstLine="720"/>
        <w:rPr>
          <w:rFonts w:ascii="Times New Roman" w:eastAsia="Calibri" w:hAnsi="Times New Roman"/>
          <w:color w:val="000000"/>
          <w:lang w:val="fr-FR"/>
        </w:rPr>
      </w:pPr>
      <w:r w:rsidRPr="00623A2B">
        <w:rPr>
          <w:rFonts w:ascii="Times New Roman" w:eastAsia="Calibri" w:hAnsi="Times New Roman"/>
          <w:lang w:val="fr-FR"/>
        </w:rPr>
        <w:t>De demander au Secrétaire général de charger le Bureau de coordination des bureaux et unités hors siège du Secrétariat général de continuer d’optimiser et de mettre en œuvre sa stratégie actuelle. De prendre en compte le rapport portant sur l’examen complet des bureaux et unités hors siège du Secrétariat général présenté à la CAAP le 13 juillet 2021 lors de l’élaboration d’un plan stratégique destiné à l'Assemblée générale pour adoption à sa session ordinaire de 2022</w:t>
      </w:r>
      <w:r w:rsidRPr="00623A2B">
        <w:rPr>
          <w:rFonts w:ascii="Times New Roman" w:eastAsia="Calibri" w:hAnsi="Times New Roman"/>
          <w:color w:val="000000"/>
          <w:lang w:val="fr-FR"/>
        </w:rPr>
        <w:t>.</w:t>
      </w:r>
    </w:p>
    <w:p w14:paraId="5D860DC3" w14:textId="77777777" w:rsidR="008B1794" w:rsidRPr="00623A2B" w:rsidRDefault="008B1794" w:rsidP="008B1794">
      <w:pPr>
        <w:suppressAutoHyphens/>
        <w:rPr>
          <w:rFonts w:ascii="Times New Roman" w:eastAsia="Calibri" w:hAnsi="Times New Roman"/>
          <w:color w:val="000000"/>
          <w:lang w:val="fr-FR"/>
        </w:rPr>
      </w:pPr>
    </w:p>
    <w:p w14:paraId="7ACAD112" w14:textId="77777777" w:rsidR="008B1794" w:rsidRPr="00623A2B" w:rsidRDefault="008B1794" w:rsidP="008B1794">
      <w:pPr>
        <w:keepNext/>
        <w:suppressAutoHyphens/>
        <w:ind w:firstLine="720"/>
        <w:rPr>
          <w:rFonts w:ascii="Times New Roman" w:eastAsia="Calibri" w:hAnsi="Times New Roman"/>
          <w:color w:val="000000"/>
          <w:u w:val="single"/>
          <w:lang w:val="fr-FR"/>
        </w:rPr>
      </w:pPr>
      <w:r w:rsidRPr="00623A2B">
        <w:rPr>
          <w:rFonts w:ascii="Times New Roman" w:eastAsia="Calibri" w:hAnsi="Times New Roman"/>
          <w:color w:val="000000"/>
          <w:lang w:val="fr-FR"/>
        </w:rPr>
        <w:lastRenderedPageBreak/>
        <w:t>16.</w:t>
      </w:r>
      <w:r w:rsidRPr="00623A2B">
        <w:rPr>
          <w:rFonts w:ascii="Times New Roman" w:eastAsia="Calibri" w:hAnsi="Times New Roman"/>
          <w:color w:val="000000"/>
          <w:lang w:val="fr-FR"/>
        </w:rPr>
        <w:tab/>
      </w:r>
      <w:r w:rsidRPr="00623A2B">
        <w:rPr>
          <w:rFonts w:ascii="Times New Roman" w:eastAsia="Calibri" w:hAnsi="Times New Roman"/>
          <w:color w:val="000000"/>
          <w:u w:val="single"/>
          <w:lang w:val="fr-FR"/>
        </w:rPr>
        <w:t>Plan stratégique intégral de l’Organisation</w:t>
      </w:r>
    </w:p>
    <w:p w14:paraId="51C39A92" w14:textId="77777777" w:rsidR="008B1794" w:rsidRPr="00623A2B" w:rsidRDefault="008B1794" w:rsidP="008B1794">
      <w:pPr>
        <w:keepNext/>
        <w:suppressAutoHyphens/>
        <w:rPr>
          <w:rFonts w:ascii="Times New Roman" w:eastAsia="Calibri" w:hAnsi="Times New Roman"/>
          <w:color w:val="000000"/>
          <w:lang w:val="fr-FR"/>
        </w:rPr>
      </w:pPr>
    </w:p>
    <w:p w14:paraId="580DB6C4" w14:textId="77777777" w:rsidR="008B1794" w:rsidRPr="00623A2B" w:rsidRDefault="008B1794" w:rsidP="008B1794">
      <w:pPr>
        <w:suppressAutoHyphens/>
        <w:ind w:firstLine="720"/>
        <w:rPr>
          <w:rFonts w:ascii="Times New Roman" w:eastAsia="Calibri" w:hAnsi="Times New Roman"/>
          <w:color w:val="000000"/>
          <w:lang w:val="fr-FR"/>
        </w:rPr>
      </w:pPr>
      <w:r w:rsidRPr="00623A2B">
        <w:rPr>
          <w:rFonts w:ascii="Times New Roman" w:eastAsia="Calibri" w:hAnsi="Times New Roman"/>
          <w:color w:val="000000"/>
          <w:lang w:val="fr-FR"/>
        </w:rPr>
        <w:t>AYANT À L’ESPRIT que, en vertu de la résolution CP/RES. 1121 (2209/19, le Secrétariat général a travaillé à la mise à jour du Plan stratégique intégral de l'Organisation pour la période 2021-2024, les États membres reconnaissent que le Plan stratégique intégral de l'Organisation pour la période 2016-2020, approuvé par l'Assemblée générale à sa quarante-neuvième session ordinaire au moyen de la résolution AG/RES. 2940 (XLIX-O/19), en particulier les éléments de planification structurelle, incluant les lignes stratégiques et les objectifs, restera en vigueur jusqu'à ce que l'Assemblée générale réunie à sa prochaine session approuve le Plan stratégique de l'Organisation pour la période 2021-2024, qui le remplace dans son intégralité.</w:t>
      </w:r>
    </w:p>
    <w:p w14:paraId="21297457" w14:textId="77777777" w:rsidR="008B1794" w:rsidRPr="00623A2B" w:rsidRDefault="008B1794" w:rsidP="008B1794">
      <w:pPr>
        <w:suppressAutoHyphens/>
        <w:spacing w:line="360" w:lineRule="auto"/>
        <w:ind w:firstLine="720"/>
        <w:rPr>
          <w:rFonts w:ascii="Times New Roman" w:eastAsia="Calibri" w:hAnsi="Times New Roman"/>
          <w:b/>
          <w:bCs/>
          <w:color w:val="000000"/>
          <w:lang w:val="fr-FR"/>
        </w:rPr>
      </w:pPr>
    </w:p>
    <w:p w14:paraId="4E61001A" w14:textId="77777777" w:rsidR="008B1794" w:rsidRPr="00623A2B" w:rsidRDefault="008B1794" w:rsidP="008B1794">
      <w:pPr>
        <w:suppressAutoHyphens/>
        <w:spacing w:line="360" w:lineRule="auto"/>
        <w:ind w:firstLine="720"/>
        <w:rPr>
          <w:rFonts w:ascii="Times New Roman" w:eastAsia="Calibri" w:hAnsi="Times New Roman"/>
          <w:b/>
          <w:bCs/>
          <w:color w:val="000000"/>
          <w:lang w:val="fr-FR"/>
        </w:rPr>
        <w:sectPr w:rsidR="008B1794" w:rsidRPr="00623A2B" w:rsidSect="00623A2B">
          <w:headerReference w:type="default" r:id="rId99"/>
          <w:footnotePr>
            <w:numRestart w:val="eachSect"/>
          </w:footnotePr>
          <w:type w:val="oddPage"/>
          <w:pgSz w:w="12240" w:h="15840" w:code="1"/>
          <w:pgMar w:top="2160" w:right="1570" w:bottom="1296" w:left="1699" w:header="720" w:footer="720" w:gutter="0"/>
          <w:cols w:space="720"/>
          <w:titlePg/>
          <w:docGrid w:linePitch="299"/>
        </w:sectPr>
      </w:pPr>
    </w:p>
    <w:p w14:paraId="7A4DBEC2" w14:textId="77777777" w:rsidR="008B1794" w:rsidRPr="00623A2B" w:rsidRDefault="008B1794" w:rsidP="008B1794">
      <w:pPr>
        <w:suppressAutoHyphens/>
        <w:spacing w:line="252" w:lineRule="auto"/>
        <w:jc w:val="right"/>
        <w:rPr>
          <w:rFonts w:ascii="Times New Roman" w:eastAsia="Calibri" w:hAnsi="Times New Roman"/>
          <w:lang w:val="fr-FR"/>
        </w:rPr>
      </w:pPr>
      <w:r w:rsidRPr="00623A2B">
        <w:rPr>
          <w:rFonts w:ascii="Times New Roman" w:eastAsia="Calibri" w:hAnsi="Times New Roman"/>
          <w:lang w:val="fr-FR"/>
        </w:rPr>
        <w:lastRenderedPageBreak/>
        <w:t>ANNEXE I</w:t>
      </w:r>
    </w:p>
    <w:p w14:paraId="139C061A" w14:textId="77777777" w:rsidR="008B1794" w:rsidRPr="00623A2B" w:rsidRDefault="008B1794" w:rsidP="008B1794">
      <w:pPr>
        <w:suppressAutoHyphens/>
        <w:spacing w:line="252" w:lineRule="auto"/>
        <w:rPr>
          <w:rFonts w:ascii="Times New Roman" w:eastAsia="Calibri" w:hAnsi="Times New Roman"/>
          <w:lang w:val="fr-FR"/>
        </w:rPr>
      </w:pPr>
    </w:p>
    <w:p w14:paraId="63A2BD07" w14:textId="77777777" w:rsidR="008B1794" w:rsidRPr="00623A2B" w:rsidRDefault="008B1794" w:rsidP="008B1794">
      <w:pPr>
        <w:suppressAutoHyphens/>
        <w:spacing w:line="252" w:lineRule="auto"/>
        <w:rPr>
          <w:rFonts w:ascii="Times New Roman" w:eastAsia="Calibri" w:hAnsi="Times New Roman"/>
          <w:lang w:val="fr-FR"/>
        </w:rPr>
      </w:pPr>
      <w:r w:rsidRPr="00623A2B">
        <w:rPr>
          <w:rFonts w:ascii="Times New Roman" w:eastAsia="Calibri" w:hAnsi="Times New Roman"/>
          <w:noProof/>
          <w:lang w:val="fr-FR"/>
        </w:rPr>
        <w:drawing>
          <wp:inline distT="0" distB="0" distL="0" distR="0" wp14:anchorId="07A8F2C6" wp14:editId="77765D55">
            <wp:extent cx="5695950" cy="66008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695950" cy="6600825"/>
                    </a:xfrm>
                    <a:prstGeom prst="rect">
                      <a:avLst/>
                    </a:prstGeom>
                    <a:noFill/>
                    <a:ln>
                      <a:noFill/>
                    </a:ln>
                  </pic:spPr>
                </pic:pic>
              </a:graphicData>
            </a:graphic>
          </wp:inline>
        </w:drawing>
      </w:r>
    </w:p>
    <w:p w14:paraId="753AAE79" w14:textId="77777777" w:rsidR="008B1794" w:rsidRPr="00623A2B" w:rsidRDefault="008B1794" w:rsidP="008B1794">
      <w:pPr>
        <w:suppressAutoHyphens/>
        <w:spacing w:line="252" w:lineRule="auto"/>
        <w:rPr>
          <w:rFonts w:ascii="Times New Roman" w:eastAsia="Arial Unicode MS" w:hAnsi="Times New Roman"/>
          <w:color w:val="000000"/>
          <w:lang w:val="fr-FR"/>
        </w:rPr>
      </w:pPr>
    </w:p>
    <w:p w14:paraId="67445E9A" w14:textId="77777777" w:rsidR="008B1794" w:rsidRPr="00623A2B" w:rsidRDefault="008B1794" w:rsidP="008B1794">
      <w:pPr>
        <w:suppressAutoHyphens/>
        <w:spacing w:line="276" w:lineRule="auto"/>
        <w:rPr>
          <w:rFonts w:ascii="Times New Roman" w:eastAsia="Arial Unicode MS" w:hAnsi="Times New Roman"/>
          <w:color w:val="000000"/>
          <w:lang w:val="fr-FR" w:eastAsia="es-ES"/>
        </w:rPr>
        <w:sectPr w:rsidR="008B1794" w:rsidRPr="00623A2B" w:rsidSect="00623A2B">
          <w:headerReference w:type="default" r:id="rId101"/>
          <w:footnotePr>
            <w:numRestart w:val="eachSect"/>
          </w:footnotePr>
          <w:type w:val="oddPage"/>
          <w:pgSz w:w="12240" w:h="15840" w:code="1"/>
          <w:pgMar w:top="2160" w:right="1570" w:bottom="1296" w:left="1699" w:header="720" w:footer="720" w:gutter="0"/>
          <w:cols w:space="720"/>
          <w:docGrid w:linePitch="299"/>
        </w:sectPr>
      </w:pPr>
    </w:p>
    <w:p w14:paraId="44EE2385" w14:textId="77777777" w:rsidR="008B1794" w:rsidRPr="00623A2B" w:rsidRDefault="008B1794" w:rsidP="00DD002B">
      <w:pPr>
        <w:tabs>
          <w:tab w:val="clear" w:pos="720"/>
          <w:tab w:val="clear" w:pos="1440"/>
          <w:tab w:val="clear" w:pos="2160"/>
          <w:tab w:val="clear" w:pos="2880"/>
          <w:tab w:val="clear" w:pos="3600"/>
          <w:tab w:val="clear" w:pos="4320"/>
          <w:tab w:val="clear" w:pos="5760"/>
          <w:tab w:val="clear" w:pos="6480"/>
          <w:tab w:val="clear" w:pos="7200"/>
          <w:tab w:val="clear" w:pos="7920"/>
        </w:tabs>
        <w:ind w:right="-389"/>
        <w:jc w:val="right"/>
        <w:rPr>
          <w:rFonts w:ascii="Times New Roman" w:eastAsia="Calibri" w:hAnsi="Times New Roman"/>
          <w:color w:val="000000"/>
          <w:lang w:val="fr-FR"/>
        </w:rPr>
      </w:pPr>
      <w:r w:rsidRPr="00623A2B">
        <w:rPr>
          <w:rFonts w:ascii="Times New Roman" w:eastAsia="Calibri" w:hAnsi="Times New Roman"/>
          <w:color w:val="000000"/>
          <w:lang w:val="fr-FR"/>
        </w:rPr>
        <w:lastRenderedPageBreak/>
        <w:t>ANNEXE II – Renouvellement des paragraphes du dispositif pour le cycle budgétaire 2022</w:t>
      </w:r>
    </w:p>
    <w:tbl>
      <w:tblPr>
        <w:tblW w:w="9958"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2037"/>
        <w:gridCol w:w="5674"/>
        <w:gridCol w:w="1768"/>
      </w:tblGrid>
      <w:tr w:rsidR="008B1794" w:rsidRPr="00213B6A" w14:paraId="52132E54" w14:textId="77777777" w:rsidTr="005A11FB">
        <w:trPr>
          <w:tblHeader/>
        </w:trPr>
        <w:tc>
          <w:tcPr>
            <w:tcW w:w="479" w:type="dxa"/>
            <w:tcBorders>
              <w:top w:val="single" w:sz="4" w:space="0" w:color="auto"/>
              <w:left w:val="single" w:sz="8" w:space="0" w:color="auto"/>
              <w:bottom w:val="single" w:sz="4" w:space="0" w:color="auto"/>
              <w:right w:val="nil"/>
            </w:tcBorders>
            <w:shd w:val="clear" w:color="000000" w:fill="B8CCE4"/>
          </w:tcPr>
          <w:p w14:paraId="7ED57C88" w14:textId="77777777" w:rsidR="008B1794" w:rsidRPr="00623A2B" w:rsidRDefault="008B1794" w:rsidP="00DD002B">
            <w:pPr>
              <w:jc w:val="center"/>
              <w:rPr>
                <w:rFonts w:ascii="Times New Roman" w:hAnsi="Times New Roman"/>
                <w:b/>
                <w:bCs/>
                <w:color w:val="000000"/>
                <w:sz w:val="21"/>
                <w:szCs w:val="21"/>
                <w:lang w:val="fr-FR" w:eastAsia="es-ES_tradnl"/>
              </w:rPr>
            </w:pPr>
          </w:p>
        </w:tc>
        <w:tc>
          <w:tcPr>
            <w:tcW w:w="2037" w:type="dxa"/>
            <w:tcBorders>
              <w:top w:val="single" w:sz="4" w:space="0" w:color="auto"/>
              <w:left w:val="single" w:sz="8" w:space="0" w:color="auto"/>
              <w:bottom w:val="single" w:sz="4" w:space="0" w:color="auto"/>
              <w:right w:val="nil"/>
            </w:tcBorders>
            <w:shd w:val="clear" w:color="000000" w:fill="B8CCE4"/>
          </w:tcPr>
          <w:p w14:paraId="5F1757BA" w14:textId="77777777" w:rsidR="008B1794" w:rsidRPr="00623A2B" w:rsidRDefault="008B1794" w:rsidP="00DD002B">
            <w:pPr>
              <w:jc w:val="center"/>
              <w:rPr>
                <w:rFonts w:ascii="Times New Roman" w:eastAsia="Calibri" w:hAnsi="Times New Roman"/>
                <w:sz w:val="21"/>
                <w:szCs w:val="21"/>
                <w:lang w:val="fr-FR"/>
              </w:rPr>
            </w:pPr>
            <w:r w:rsidRPr="00623A2B">
              <w:rPr>
                <w:rFonts w:ascii="Times New Roman" w:eastAsia="Calibri" w:hAnsi="Times New Roman"/>
                <w:b/>
                <w:color w:val="000000"/>
                <w:sz w:val="21"/>
                <w:szCs w:val="21"/>
                <w:lang w:val="fr-FR"/>
              </w:rPr>
              <w:t>TITRE</w:t>
            </w:r>
          </w:p>
        </w:tc>
        <w:tc>
          <w:tcPr>
            <w:tcW w:w="5674" w:type="dxa"/>
            <w:tcBorders>
              <w:top w:val="single" w:sz="4" w:space="0" w:color="auto"/>
              <w:left w:val="single" w:sz="8" w:space="0" w:color="auto"/>
              <w:bottom w:val="single" w:sz="4" w:space="0" w:color="auto"/>
              <w:right w:val="single" w:sz="8" w:space="0" w:color="auto"/>
            </w:tcBorders>
            <w:shd w:val="clear" w:color="000000" w:fill="B8CCE4"/>
          </w:tcPr>
          <w:p w14:paraId="1D8D712F" w14:textId="77777777" w:rsidR="008B1794" w:rsidRPr="00623A2B" w:rsidRDefault="008B1794" w:rsidP="00DD002B">
            <w:pPr>
              <w:jc w:val="center"/>
              <w:rPr>
                <w:rFonts w:ascii="Times New Roman" w:eastAsia="Calibri" w:hAnsi="Times New Roman"/>
                <w:sz w:val="21"/>
                <w:szCs w:val="21"/>
                <w:lang w:val="fr-FR"/>
              </w:rPr>
            </w:pPr>
            <w:r w:rsidRPr="00623A2B">
              <w:rPr>
                <w:rFonts w:ascii="Times New Roman" w:eastAsia="Calibri" w:hAnsi="Times New Roman"/>
                <w:b/>
                <w:sz w:val="21"/>
                <w:szCs w:val="21"/>
                <w:lang w:val="fr-FR"/>
              </w:rPr>
              <w:t>MANDATS</w:t>
            </w:r>
          </w:p>
        </w:tc>
        <w:tc>
          <w:tcPr>
            <w:tcW w:w="1768" w:type="dxa"/>
            <w:tcBorders>
              <w:top w:val="single" w:sz="4" w:space="0" w:color="auto"/>
              <w:left w:val="nil"/>
              <w:bottom w:val="single" w:sz="4" w:space="0" w:color="auto"/>
              <w:right w:val="single" w:sz="8" w:space="0" w:color="auto"/>
            </w:tcBorders>
            <w:shd w:val="clear" w:color="000000" w:fill="B8CCE4"/>
          </w:tcPr>
          <w:p w14:paraId="563BE027" w14:textId="77777777" w:rsidR="008B1794" w:rsidRPr="00623A2B" w:rsidRDefault="008B1794" w:rsidP="00DD002B">
            <w:pPr>
              <w:jc w:val="center"/>
              <w:rPr>
                <w:rFonts w:ascii="Times New Roman" w:eastAsia="Calibri" w:hAnsi="Times New Roman"/>
                <w:sz w:val="21"/>
                <w:szCs w:val="21"/>
                <w:lang w:val="fr-FR"/>
              </w:rPr>
            </w:pPr>
            <w:r w:rsidRPr="00623A2B">
              <w:rPr>
                <w:rFonts w:ascii="Times New Roman" w:eastAsia="Calibri" w:hAnsi="Times New Roman"/>
                <w:b/>
                <w:color w:val="000000"/>
                <w:sz w:val="21"/>
                <w:szCs w:val="21"/>
                <w:lang w:val="fr-FR"/>
              </w:rPr>
              <w:t>CHANGEMENT DE CALENDRIER ET/OU PÉRIODICITÉ</w:t>
            </w:r>
          </w:p>
        </w:tc>
      </w:tr>
      <w:tr w:rsidR="008B1794" w:rsidRPr="00623A2B" w14:paraId="7E9AF496" w14:textId="77777777" w:rsidTr="005A11FB">
        <w:trPr>
          <w:trHeight w:val="390"/>
        </w:trPr>
        <w:tc>
          <w:tcPr>
            <w:tcW w:w="479" w:type="dxa"/>
            <w:shd w:val="clear" w:color="auto" w:fill="auto"/>
          </w:tcPr>
          <w:p w14:paraId="44E53783" w14:textId="77777777" w:rsidR="008B1794" w:rsidRPr="00623A2B" w:rsidRDefault="008B1794" w:rsidP="00C83EA7">
            <w:pPr>
              <w:tabs>
                <w:tab w:val="left" w:pos="288"/>
              </w:tabs>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1.</w:t>
            </w:r>
          </w:p>
        </w:tc>
        <w:tc>
          <w:tcPr>
            <w:tcW w:w="2037" w:type="dxa"/>
            <w:shd w:val="clear" w:color="auto" w:fill="auto"/>
            <w:noWrap/>
          </w:tcPr>
          <w:p w14:paraId="288F851E" w14:textId="77777777" w:rsidR="008B1794" w:rsidRPr="00623A2B" w:rsidRDefault="008B1794" w:rsidP="00C83EA7">
            <w:pPr>
              <w:tabs>
                <w:tab w:val="left" w:pos="288"/>
              </w:tabs>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Rapports semestriels sur l’exécution budgétaire du système interaméricain des droits de la personne</w:t>
            </w:r>
          </w:p>
          <w:p w14:paraId="24F29249" w14:textId="77777777" w:rsidR="008B1794" w:rsidRPr="00623A2B" w:rsidRDefault="008B1794" w:rsidP="00C83EA7">
            <w:pPr>
              <w:rPr>
                <w:rFonts w:ascii="Times New Roman" w:hAnsi="Times New Roman"/>
                <w:b/>
                <w:bCs/>
                <w:color w:val="000000"/>
                <w:sz w:val="21"/>
                <w:szCs w:val="21"/>
                <w:lang w:val="fr-FR" w:eastAsia="es-ES_tradnl"/>
              </w:rPr>
            </w:pPr>
          </w:p>
        </w:tc>
        <w:tc>
          <w:tcPr>
            <w:tcW w:w="5674" w:type="dxa"/>
            <w:shd w:val="clear" w:color="auto" w:fill="auto"/>
            <w:noWrap/>
          </w:tcPr>
          <w:p w14:paraId="08E2D1D1" w14:textId="77777777" w:rsidR="008B1794" w:rsidRPr="00623A2B" w:rsidRDefault="008B1794" w:rsidP="00C83EA7">
            <w:pPr>
              <w:rPr>
                <w:rFonts w:ascii="Times New Roman" w:hAnsi="Times New Roman"/>
                <w:b/>
                <w:bCs/>
                <w:color w:val="000000"/>
                <w:sz w:val="21"/>
                <w:szCs w:val="21"/>
                <w:lang w:val="pt-BR"/>
              </w:rPr>
            </w:pPr>
            <w:r w:rsidRPr="00623A2B">
              <w:rPr>
                <w:rFonts w:ascii="Times New Roman" w:eastAsia="Calibri" w:hAnsi="Times New Roman"/>
                <w:b/>
                <w:color w:val="000000"/>
                <w:sz w:val="21"/>
                <w:szCs w:val="21"/>
                <w:lang w:val="pt-BR"/>
              </w:rPr>
              <w:t>AG/RES. 2957 (L-O/20) paragraphe I.4</w:t>
            </w:r>
          </w:p>
          <w:p w14:paraId="0097E37F"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b/>
                <w:color w:val="000000"/>
                <w:sz w:val="21"/>
                <w:szCs w:val="21"/>
                <w:lang w:val="fr-FR"/>
              </w:rPr>
              <w:t>Mandat :</w:t>
            </w:r>
          </w:p>
          <w:p w14:paraId="5DFF24D3" w14:textId="77777777" w:rsidR="008B1794" w:rsidRPr="00623A2B" w:rsidRDefault="008B1794" w:rsidP="00C83EA7">
            <w:pPr>
              <w:tabs>
                <w:tab w:val="left" w:pos="226"/>
              </w:tabs>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 xml:space="preserve">De charger la Cour interaméricaine des droits de l’homme et la Commission interaméricaine des droits de l’homme de présenter au Conseil permanent un rapport semestriel d’exécution budgétaire et de présenter opportunément un plan détaillé sur les dépenses en fonction de leur budget. </w:t>
            </w:r>
          </w:p>
          <w:p w14:paraId="20349A82" w14:textId="77777777" w:rsidR="008B1794" w:rsidRPr="00623A2B" w:rsidRDefault="008B1794" w:rsidP="00C83EA7">
            <w:pPr>
              <w:jc w:val="center"/>
              <w:rPr>
                <w:rFonts w:ascii="Times New Roman" w:hAnsi="Times New Roman"/>
                <w:b/>
                <w:bCs/>
                <w:color w:val="000000"/>
                <w:sz w:val="21"/>
                <w:szCs w:val="21"/>
                <w:lang w:val="fr-FR" w:eastAsia="es-ES_tradnl"/>
              </w:rPr>
            </w:pPr>
          </w:p>
        </w:tc>
        <w:tc>
          <w:tcPr>
            <w:tcW w:w="1768" w:type="dxa"/>
            <w:shd w:val="clear" w:color="auto" w:fill="auto"/>
            <w:noWrap/>
          </w:tcPr>
          <w:p w14:paraId="1D1822BA" w14:textId="77777777" w:rsidR="008B1794" w:rsidRPr="00623A2B" w:rsidRDefault="008B1794" w:rsidP="00C83EA7">
            <w:pPr>
              <w:jc w:val="center"/>
              <w:rPr>
                <w:rFonts w:ascii="Times New Roman" w:hAnsi="Times New Roman"/>
                <w:color w:val="000000"/>
                <w:sz w:val="21"/>
                <w:szCs w:val="21"/>
                <w:lang w:val="fr-FR" w:eastAsia="es-ES_tradnl"/>
              </w:rPr>
            </w:pPr>
          </w:p>
          <w:p w14:paraId="41F90792" w14:textId="77777777" w:rsidR="008B1794" w:rsidRPr="00623A2B" w:rsidRDefault="008B1794" w:rsidP="00C83EA7">
            <w:pPr>
              <w:jc w:val="center"/>
              <w:rPr>
                <w:rFonts w:ascii="Times New Roman" w:hAnsi="Times New Roman"/>
                <w:color w:val="000000"/>
                <w:sz w:val="21"/>
                <w:szCs w:val="21"/>
                <w:lang w:val="fr-FR" w:eastAsia="es-ES_tradnl"/>
              </w:rPr>
            </w:pPr>
          </w:p>
          <w:p w14:paraId="09A44941" w14:textId="77777777" w:rsidR="008B1794" w:rsidRPr="00623A2B" w:rsidRDefault="008B1794" w:rsidP="00C83EA7">
            <w:pPr>
              <w:jc w:val="center"/>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Chaque année</w:t>
            </w:r>
          </w:p>
        </w:tc>
      </w:tr>
      <w:tr w:rsidR="008B1794" w:rsidRPr="00623A2B" w14:paraId="0E168653" w14:textId="77777777" w:rsidTr="005A11FB">
        <w:trPr>
          <w:trHeight w:val="390"/>
        </w:trPr>
        <w:tc>
          <w:tcPr>
            <w:tcW w:w="479" w:type="dxa"/>
            <w:shd w:val="clear" w:color="auto" w:fill="auto"/>
          </w:tcPr>
          <w:p w14:paraId="19A6249E" w14:textId="77777777" w:rsidR="008B1794" w:rsidRPr="00623A2B" w:rsidRDefault="008B1794" w:rsidP="00C83EA7">
            <w:pPr>
              <w:suppressAutoHyphens/>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2.</w:t>
            </w:r>
          </w:p>
        </w:tc>
        <w:tc>
          <w:tcPr>
            <w:tcW w:w="2037" w:type="dxa"/>
            <w:shd w:val="clear" w:color="auto" w:fill="auto"/>
            <w:noWrap/>
          </w:tcPr>
          <w:p w14:paraId="15D77A46" w14:textId="77777777" w:rsidR="008B1794" w:rsidRPr="00623A2B" w:rsidRDefault="008B1794" w:rsidP="00C83EA7">
            <w:pPr>
              <w:suppressAutoHyphens/>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 xml:space="preserve">Programme-budget du cycle budgétaire 2022 </w:t>
            </w:r>
          </w:p>
        </w:tc>
        <w:tc>
          <w:tcPr>
            <w:tcW w:w="5674" w:type="dxa"/>
            <w:shd w:val="clear" w:color="auto" w:fill="auto"/>
            <w:noWrap/>
          </w:tcPr>
          <w:p w14:paraId="067A7DBD" w14:textId="77777777" w:rsidR="008B1794" w:rsidRPr="00623A2B" w:rsidRDefault="008B1794" w:rsidP="00C83EA7">
            <w:pPr>
              <w:rPr>
                <w:rFonts w:ascii="Times New Roman" w:hAnsi="Times New Roman"/>
                <w:b/>
                <w:bCs/>
                <w:color w:val="000000"/>
                <w:sz w:val="21"/>
                <w:szCs w:val="21"/>
                <w:lang w:val="pt-BR"/>
              </w:rPr>
            </w:pPr>
            <w:r w:rsidRPr="00623A2B">
              <w:rPr>
                <w:rFonts w:ascii="Times New Roman" w:eastAsia="Calibri" w:hAnsi="Times New Roman"/>
                <w:b/>
                <w:color w:val="000000"/>
                <w:sz w:val="21"/>
                <w:szCs w:val="21"/>
                <w:lang w:val="pt-BR"/>
              </w:rPr>
              <w:t>AG/RES. 2957 (L-O/20) paragraphe IV.1</w:t>
            </w:r>
          </w:p>
          <w:p w14:paraId="243678E1"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b/>
                <w:color w:val="000000"/>
                <w:sz w:val="21"/>
                <w:szCs w:val="21"/>
                <w:lang w:val="fr-FR"/>
              </w:rPr>
              <w:t>Mandat :</w:t>
            </w:r>
          </w:p>
          <w:p w14:paraId="58C81293" w14:textId="77777777" w:rsidR="008B1794" w:rsidRPr="00623A2B" w:rsidRDefault="008B1794" w:rsidP="00C83EA7">
            <w:pPr>
              <w:rPr>
                <w:rFonts w:ascii="Times New Roman" w:eastAsia="Calibri" w:hAnsi="Times New Roman"/>
                <w:bCs/>
                <w:color w:val="000000"/>
                <w:sz w:val="21"/>
                <w:szCs w:val="21"/>
                <w:lang w:val="fr-FR"/>
              </w:rPr>
            </w:pPr>
            <w:r w:rsidRPr="00623A2B">
              <w:rPr>
                <w:rFonts w:ascii="Times New Roman" w:eastAsia="Calibri" w:hAnsi="Times New Roman"/>
                <w:bCs/>
                <w:color w:val="000000"/>
                <w:sz w:val="21"/>
                <w:szCs w:val="21"/>
                <w:lang w:val="fr-FR"/>
              </w:rPr>
              <w:t xml:space="preserve">d. De demander au Secrétariat général de communiquer par écrit à la CAAP, une fois la proposition de programme-budget 2022 présentée devant le Conseil permanent, les virements entre chapitres précisément effectués, qui portent ou non sur le personnel, de sorte que les discussions sur le programme-budget soient alimentées par des informations dûment actualisées, afin de rendre possible et de faciliter l’adoption de décisions sur la base de données factuelles et en connaissance de cause. </w:t>
            </w:r>
          </w:p>
        </w:tc>
        <w:tc>
          <w:tcPr>
            <w:tcW w:w="1768" w:type="dxa"/>
            <w:shd w:val="clear" w:color="auto" w:fill="auto"/>
            <w:noWrap/>
          </w:tcPr>
          <w:p w14:paraId="0E7D6C25" w14:textId="77777777" w:rsidR="008B1794" w:rsidRPr="00623A2B" w:rsidRDefault="008B1794" w:rsidP="00C83EA7">
            <w:pPr>
              <w:jc w:val="center"/>
              <w:rPr>
                <w:rFonts w:ascii="Times New Roman" w:hAnsi="Times New Roman"/>
                <w:color w:val="000000"/>
                <w:sz w:val="21"/>
                <w:szCs w:val="21"/>
                <w:lang w:val="fr-FR" w:eastAsia="es-ES_tradnl"/>
              </w:rPr>
            </w:pPr>
          </w:p>
          <w:p w14:paraId="7CAA79A4" w14:textId="77777777" w:rsidR="008B1794" w:rsidRPr="00623A2B" w:rsidRDefault="008B1794" w:rsidP="00C83EA7">
            <w:pPr>
              <w:jc w:val="center"/>
              <w:rPr>
                <w:rFonts w:ascii="Times New Roman" w:hAnsi="Times New Roman"/>
                <w:color w:val="000000"/>
                <w:sz w:val="21"/>
                <w:szCs w:val="21"/>
                <w:lang w:val="fr-FR" w:eastAsia="es-ES_tradnl"/>
              </w:rPr>
            </w:pPr>
          </w:p>
          <w:p w14:paraId="33097D3E" w14:textId="77777777" w:rsidR="008B1794" w:rsidRPr="00623A2B" w:rsidRDefault="008B1794" w:rsidP="00C83EA7">
            <w:pPr>
              <w:jc w:val="center"/>
              <w:rPr>
                <w:rFonts w:ascii="Times New Roman" w:hAnsi="Times New Roman"/>
                <w:color w:val="000000"/>
                <w:sz w:val="21"/>
                <w:szCs w:val="21"/>
                <w:lang w:val="fr-FR" w:eastAsia="es-ES_tradnl"/>
              </w:rPr>
            </w:pPr>
            <w:r w:rsidRPr="00623A2B">
              <w:rPr>
                <w:rFonts w:ascii="Times New Roman" w:hAnsi="Times New Roman"/>
                <w:color w:val="000000"/>
                <w:sz w:val="21"/>
                <w:szCs w:val="21"/>
                <w:lang w:val="fr-FR" w:eastAsia="es-ES_tradnl"/>
              </w:rPr>
              <w:t>2023</w:t>
            </w:r>
          </w:p>
        </w:tc>
      </w:tr>
      <w:tr w:rsidR="008B1794" w:rsidRPr="00213B6A" w14:paraId="2C782E17" w14:textId="77777777" w:rsidTr="005A11FB">
        <w:trPr>
          <w:trHeight w:val="390"/>
        </w:trPr>
        <w:tc>
          <w:tcPr>
            <w:tcW w:w="479" w:type="dxa"/>
            <w:shd w:val="clear" w:color="auto" w:fill="auto"/>
          </w:tcPr>
          <w:p w14:paraId="112BC69E"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3.</w:t>
            </w:r>
          </w:p>
        </w:tc>
        <w:tc>
          <w:tcPr>
            <w:tcW w:w="2037" w:type="dxa"/>
            <w:shd w:val="clear" w:color="auto" w:fill="auto"/>
            <w:noWrap/>
          </w:tcPr>
          <w:p w14:paraId="576F522B"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 xml:space="preserve">Mobilisation de ressources extérieures </w:t>
            </w:r>
          </w:p>
          <w:p w14:paraId="64B0335B" w14:textId="77777777" w:rsidR="008B1794" w:rsidRPr="00623A2B" w:rsidRDefault="008B1794" w:rsidP="00C83EA7">
            <w:pPr>
              <w:rPr>
                <w:rFonts w:ascii="Times New Roman" w:hAnsi="Times New Roman"/>
                <w:b/>
                <w:bCs/>
                <w:color w:val="000000"/>
                <w:sz w:val="21"/>
                <w:szCs w:val="21"/>
                <w:lang w:val="fr-FR" w:eastAsia="es-ES_tradnl"/>
              </w:rPr>
            </w:pPr>
          </w:p>
        </w:tc>
        <w:tc>
          <w:tcPr>
            <w:tcW w:w="5674" w:type="dxa"/>
            <w:shd w:val="clear" w:color="auto" w:fill="auto"/>
            <w:noWrap/>
          </w:tcPr>
          <w:p w14:paraId="56AF0DF0" w14:textId="77777777" w:rsidR="008B1794" w:rsidRPr="00623A2B" w:rsidRDefault="008B1794" w:rsidP="00C83EA7">
            <w:pPr>
              <w:rPr>
                <w:rFonts w:ascii="Times New Roman" w:hAnsi="Times New Roman"/>
                <w:b/>
                <w:bCs/>
                <w:color w:val="000000"/>
                <w:sz w:val="21"/>
                <w:szCs w:val="21"/>
                <w:lang w:val="pt-BR"/>
              </w:rPr>
            </w:pPr>
            <w:r w:rsidRPr="00623A2B">
              <w:rPr>
                <w:rFonts w:ascii="Times New Roman" w:eastAsia="Calibri" w:hAnsi="Times New Roman"/>
                <w:b/>
                <w:color w:val="000000"/>
                <w:sz w:val="21"/>
                <w:szCs w:val="21"/>
                <w:lang w:val="pt-BR"/>
              </w:rPr>
              <w:t>AG/RES. 2957 (L-O/20) paragraphe IV.3</w:t>
            </w:r>
          </w:p>
          <w:p w14:paraId="14B68EE6"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b/>
                <w:color w:val="000000"/>
                <w:sz w:val="21"/>
                <w:szCs w:val="21"/>
                <w:lang w:val="fr-FR"/>
              </w:rPr>
              <w:t>Mandat :</w:t>
            </w:r>
          </w:p>
          <w:p w14:paraId="3A94D7CF" w14:textId="77777777" w:rsidR="008B1794" w:rsidRPr="00623A2B" w:rsidRDefault="008B1794" w:rsidP="00C83EA7">
            <w:pPr>
              <w:tabs>
                <w:tab w:val="left" w:pos="250"/>
              </w:tabs>
              <w:suppressAutoHyphens/>
              <w:ind w:hanging="18"/>
              <w:rPr>
                <w:rFonts w:ascii="Times New Roman" w:hAnsi="Times New Roman"/>
                <w:color w:val="000000"/>
                <w:sz w:val="21"/>
                <w:szCs w:val="21"/>
                <w:lang w:val="fr-FR" w:eastAsia="es-ES"/>
              </w:rPr>
            </w:pPr>
          </w:p>
          <w:p w14:paraId="7B27FA42" w14:textId="77777777" w:rsidR="008B1794" w:rsidRPr="00623A2B" w:rsidRDefault="008B1794" w:rsidP="00C83EA7">
            <w:pPr>
              <w:tabs>
                <w:tab w:val="left" w:pos="250"/>
              </w:tabs>
              <w:ind w:hanging="18"/>
              <w:rPr>
                <w:rFonts w:ascii="Times New Roman" w:hAnsi="Times New Roman"/>
                <w:sz w:val="21"/>
                <w:szCs w:val="21"/>
                <w:lang w:val="fr-FR"/>
              </w:rPr>
            </w:pPr>
            <w:r w:rsidRPr="00623A2B">
              <w:rPr>
                <w:rFonts w:ascii="Times New Roman" w:eastAsia="Calibri" w:hAnsi="Times New Roman"/>
                <w:sz w:val="21"/>
                <w:szCs w:val="21"/>
                <w:lang w:val="fr-FR"/>
              </w:rPr>
              <w:t xml:space="preserve">b) </w:t>
            </w:r>
            <w:r w:rsidRPr="00623A2B">
              <w:rPr>
                <w:rFonts w:ascii="Times New Roman" w:eastAsia="Calibri" w:hAnsi="Times New Roman"/>
                <w:sz w:val="21"/>
                <w:szCs w:val="21"/>
                <w:lang w:val="fr-FR"/>
              </w:rPr>
              <w:tab/>
              <w:t>Dans la poursuite du mandat de mobilisation des ressources extérieures, le Secrétariat général est en outre chargé de souligner l'importance égale des quatre piliers de l'Organisation – démocratie, droits de la personne, développement intégré et sécurité multidimensionnelle – et de veiller à ce que les activités de plaidoyer en faveur de la réalisation de ce mandat comprennent la recherche de ressources régies par les principes d'équilibre, de proportionnalité et d'équité des piliers, et reflètent les mandats convenus par les organes représentatifs de l'Organisation.</w:t>
            </w:r>
            <w:r w:rsidRPr="00623A2B">
              <w:rPr>
                <w:rFonts w:ascii="Times New Roman" w:eastAsia="Calibri" w:hAnsi="Times New Roman"/>
                <w:b/>
                <w:sz w:val="21"/>
                <w:szCs w:val="21"/>
                <w:lang w:val="fr-FR"/>
              </w:rPr>
              <w:t xml:space="preserve"> </w:t>
            </w:r>
          </w:p>
          <w:p w14:paraId="47B8C2EB" w14:textId="77777777" w:rsidR="008B1794" w:rsidRPr="00623A2B" w:rsidRDefault="008B1794" w:rsidP="00C83EA7">
            <w:pPr>
              <w:tabs>
                <w:tab w:val="left" w:pos="250"/>
              </w:tabs>
              <w:suppressAutoHyphens/>
              <w:contextualSpacing/>
              <w:rPr>
                <w:rFonts w:ascii="Times New Roman" w:hAnsi="Times New Roman"/>
                <w:color w:val="000000"/>
                <w:sz w:val="21"/>
                <w:szCs w:val="21"/>
                <w:highlight w:val="yellow"/>
                <w:lang w:val="fr-FR" w:eastAsia="es-ES"/>
              </w:rPr>
            </w:pPr>
          </w:p>
          <w:p w14:paraId="161A7E7A" w14:textId="77777777" w:rsidR="008B1794" w:rsidRPr="00623A2B" w:rsidRDefault="008B1794" w:rsidP="00C83EA7">
            <w:pPr>
              <w:tabs>
                <w:tab w:val="left" w:pos="250"/>
              </w:tabs>
              <w:suppressAutoHyphens/>
              <w:contextualSpacing/>
              <w:rPr>
                <w:rFonts w:ascii="Times New Roman" w:hAnsi="Times New Roman"/>
                <w:color w:val="000000"/>
                <w:sz w:val="21"/>
                <w:szCs w:val="21"/>
                <w:lang w:val="fr-FR"/>
              </w:rPr>
            </w:pPr>
            <w:r w:rsidRPr="00623A2B">
              <w:rPr>
                <w:rFonts w:ascii="Times New Roman" w:eastAsia="Calibri" w:hAnsi="Times New Roman"/>
                <w:sz w:val="21"/>
                <w:szCs w:val="21"/>
                <w:lang w:val="fr-FR"/>
              </w:rPr>
              <w:t>c)</w:t>
            </w:r>
            <w:r w:rsidRPr="00623A2B">
              <w:rPr>
                <w:rFonts w:ascii="Times New Roman" w:eastAsia="Calibri" w:hAnsi="Times New Roman"/>
                <w:sz w:val="21"/>
                <w:szCs w:val="21"/>
                <w:lang w:val="fr-FR"/>
              </w:rPr>
              <w:tab/>
              <w:t xml:space="preserve">De charger le Secrétaire général d’incorporer dans les rapports </w:t>
            </w:r>
            <w:r w:rsidRPr="00623A2B">
              <w:rPr>
                <w:rFonts w:ascii="Times New Roman" w:eastAsia="Calibri" w:hAnsi="Times New Roman"/>
                <w:color w:val="000000"/>
                <w:sz w:val="21"/>
                <w:szCs w:val="21"/>
                <w:lang w:val="fr-FR"/>
              </w:rPr>
              <w:t>semestriels</w:t>
            </w:r>
            <w:r w:rsidRPr="00623A2B">
              <w:rPr>
                <w:rFonts w:ascii="Times New Roman" w:eastAsia="Calibri" w:hAnsi="Times New Roman"/>
                <w:sz w:val="21"/>
                <w:szCs w:val="21"/>
                <w:lang w:val="fr-FR"/>
              </w:rPr>
              <w:t xml:space="preserve"> sur l’administration des ressources et les résultats, dans le chapitre correspondant aux projets présentés par la Commission d’évaluation des projets, l’information additionnelle sur tous les projets qui sont approuvés et en cours d’exécution, y compris l’information sur leur portée, les mandats sur lesquels ils s’appuient, leur périodicité, leur état d’exécution et leur source de financement, afin de disposer d’un document complet sur l’emploi des ressources des fonds spécifiques.</w:t>
            </w:r>
            <w:r w:rsidRPr="00623A2B">
              <w:rPr>
                <w:rFonts w:ascii="Times New Roman" w:eastAsia="Calibri" w:hAnsi="Times New Roman"/>
                <w:color w:val="000000"/>
                <w:sz w:val="21"/>
                <w:szCs w:val="21"/>
                <w:lang w:val="fr-FR"/>
              </w:rPr>
              <w:t xml:space="preserve"> </w:t>
            </w:r>
          </w:p>
          <w:p w14:paraId="1172BE47" w14:textId="77777777" w:rsidR="008B1794" w:rsidRPr="00623A2B" w:rsidRDefault="008B1794" w:rsidP="00C83EA7">
            <w:pPr>
              <w:tabs>
                <w:tab w:val="left" w:pos="250"/>
              </w:tabs>
              <w:suppressAutoHyphens/>
              <w:rPr>
                <w:rFonts w:ascii="Times New Roman" w:hAnsi="Times New Roman"/>
                <w:color w:val="000000"/>
                <w:sz w:val="21"/>
                <w:szCs w:val="21"/>
                <w:lang w:val="fr-FR" w:eastAsia="es-ES"/>
              </w:rPr>
            </w:pPr>
          </w:p>
          <w:p w14:paraId="79FA66DB" w14:textId="77777777" w:rsidR="008B1794" w:rsidRPr="00623A2B" w:rsidRDefault="008B1794" w:rsidP="00573617">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 w:val="left" w:pos="250"/>
              </w:tabs>
              <w:suppressAutoHyphens/>
              <w:ind w:left="14" w:firstLine="14"/>
              <w:contextualSpacing/>
              <w:rPr>
                <w:rFonts w:ascii="Times New Roman" w:hAnsi="Times New Roman"/>
                <w:color w:val="000000"/>
                <w:sz w:val="21"/>
                <w:szCs w:val="21"/>
                <w:lang w:val="fr-FR"/>
              </w:rPr>
            </w:pPr>
            <w:r w:rsidRPr="00623A2B">
              <w:rPr>
                <w:rFonts w:ascii="Times New Roman" w:eastAsia="Calibri" w:hAnsi="Times New Roman"/>
                <w:sz w:val="21"/>
                <w:szCs w:val="21"/>
                <w:lang w:val="fr-FR"/>
              </w:rPr>
              <w:t xml:space="preserve">De charger le Secrétaire général de poursuivre, en consultation avec le Conseil permanent, la mise en application d’un plan stratégique visant à obtenir le soutien et le financement extérieurs nécessaires pour la mise en œuvre des mandats impartis par les </w:t>
            </w:r>
            <w:r w:rsidRPr="00623A2B">
              <w:rPr>
                <w:rFonts w:ascii="Times New Roman" w:eastAsia="Calibri" w:hAnsi="Times New Roman"/>
                <w:sz w:val="21"/>
                <w:szCs w:val="21"/>
                <w:lang w:val="fr-FR"/>
              </w:rPr>
              <w:lastRenderedPageBreak/>
              <w:t>États membres et pour les priorités de l’Organisation et charger le Secrétariat général de faire rapport sur les progrès de cette mise en application dans les rapports semestriels sur l'administration et les résultats.</w:t>
            </w:r>
            <w:r w:rsidRPr="00623A2B">
              <w:rPr>
                <w:rFonts w:ascii="Times New Roman" w:eastAsia="Calibri" w:hAnsi="Times New Roman"/>
                <w:color w:val="000000"/>
                <w:sz w:val="21"/>
                <w:szCs w:val="21"/>
                <w:lang w:val="fr-FR"/>
              </w:rPr>
              <w:t xml:space="preserve"> </w:t>
            </w:r>
          </w:p>
          <w:p w14:paraId="1648E130" w14:textId="77777777" w:rsidR="008B1794" w:rsidRPr="00623A2B" w:rsidRDefault="008B1794" w:rsidP="00C83EA7">
            <w:pPr>
              <w:suppressAutoHyphens/>
              <w:ind w:left="361" w:right="-50" w:hanging="360"/>
              <w:rPr>
                <w:rFonts w:ascii="Times New Roman" w:hAnsi="Times New Roman"/>
                <w:color w:val="000000"/>
                <w:sz w:val="21"/>
                <w:szCs w:val="21"/>
                <w:lang w:val="fr-FR" w:eastAsia="es-ES"/>
              </w:rPr>
            </w:pPr>
          </w:p>
          <w:p w14:paraId="04F3AB35" w14:textId="77777777" w:rsidR="008B1794" w:rsidRPr="00623A2B" w:rsidRDefault="008B1794" w:rsidP="00C83EA7">
            <w:pPr>
              <w:tabs>
                <w:tab w:val="left" w:pos="252"/>
              </w:tabs>
              <w:suppressAutoHyphens/>
              <w:ind w:left="361" w:hanging="360"/>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f)</w:t>
            </w:r>
            <w:r w:rsidRPr="00623A2B">
              <w:rPr>
                <w:rFonts w:ascii="Times New Roman" w:eastAsia="Calibri" w:hAnsi="Times New Roman"/>
                <w:color w:val="000000"/>
                <w:sz w:val="21"/>
                <w:szCs w:val="21"/>
                <w:lang w:val="fr-FR"/>
              </w:rPr>
              <w:tab/>
              <w:t xml:space="preserve">De charger le Secrétariat général, conformément à la résolution </w:t>
            </w:r>
            <w:hyperlink r:id="rId102" w:history="1">
              <w:r w:rsidRPr="00623A2B">
                <w:rPr>
                  <w:rFonts w:ascii="Times New Roman" w:eastAsia="Calibri" w:hAnsi="Times New Roman"/>
                  <w:color w:val="0000FF"/>
                  <w:sz w:val="21"/>
                  <w:szCs w:val="21"/>
                  <w:u w:val="single"/>
                  <w:lang w:val="fr-FR"/>
                </w:rPr>
                <w:t>AG/RES.</w:t>
              </w:r>
            </w:hyperlink>
            <w:hyperlink r:id="rId103" w:history="1">
              <w:r w:rsidRPr="00623A2B">
                <w:rPr>
                  <w:rFonts w:ascii="Times New Roman" w:eastAsia="Calibri" w:hAnsi="Times New Roman"/>
                  <w:color w:val="0000FF"/>
                  <w:sz w:val="21"/>
                  <w:szCs w:val="21"/>
                  <w:u w:val="single"/>
                  <w:lang w:val="fr-FR"/>
                </w:rPr>
                <w:t> 617 (XII</w:t>
              </w:r>
              <w:bookmarkStart w:id="37" w:name="_Hlt505678580"/>
              <w:bookmarkEnd w:id="37"/>
              <w:r w:rsidRPr="00623A2B">
                <w:rPr>
                  <w:rFonts w:ascii="Times New Roman" w:eastAsia="Calibri" w:hAnsi="Times New Roman"/>
                  <w:color w:val="0000FF"/>
                  <w:sz w:val="21"/>
                  <w:szCs w:val="21"/>
                  <w:u w:val="single"/>
                  <w:lang w:val="fr-FR"/>
                </w:rPr>
                <w:t>-O/82)</w:t>
              </w:r>
            </w:hyperlink>
            <w:r w:rsidRPr="00623A2B">
              <w:rPr>
                <w:rFonts w:ascii="Times New Roman" w:eastAsia="Calibri" w:hAnsi="Times New Roman"/>
                <w:color w:val="000000"/>
                <w:sz w:val="21"/>
                <w:szCs w:val="21"/>
                <w:lang w:val="fr-FR"/>
              </w:rPr>
              <w:t xml:space="preserve">: </w:t>
            </w:r>
          </w:p>
          <w:p w14:paraId="12FBCFA5" w14:textId="77777777" w:rsidR="008B1794" w:rsidRPr="00623A2B" w:rsidRDefault="008B1794" w:rsidP="00C83EA7">
            <w:pPr>
              <w:suppressAutoHyphens/>
              <w:rPr>
                <w:rFonts w:ascii="Times New Roman" w:hAnsi="Times New Roman"/>
                <w:color w:val="000000"/>
                <w:sz w:val="21"/>
                <w:szCs w:val="21"/>
                <w:lang w:val="fr-FR"/>
              </w:rPr>
            </w:pPr>
          </w:p>
          <w:p w14:paraId="6159BA0A" w14:textId="77777777" w:rsidR="008B1794" w:rsidRPr="00623A2B" w:rsidRDefault="008B1794" w:rsidP="00573617">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 xml:space="preserve">De faire rapport tous les six mois aux organes compétents en l'espèce de l'Organisation sur les projets qui n'émargent pas au programme-budget de celle-ci mais bénéficient de contributions apportées par des États </w:t>
            </w:r>
            <w:proofErr w:type="gramStart"/>
            <w:r w:rsidRPr="00623A2B">
              <w:rPr>
                <w:rFonts w:ascii="Times New Roman" w:eastAsia="Calibri" w:hAnsi="Times New Roman"/>
                <w:color w:val="000000"/>
                <w:sz w:val="21"/>
                <w:szCs w:val="21"/>
                <w:lang w:val="fr-FR"/>
              </w:rPr>
              <w:t>non membres</w:t>
            </w:r>
            <w:proofErr w:type="gramEnd"/>
            <w:r w:rsidRPr="00623A2B">
              <w:rPr>
                <w:rFonts w:ascii="Times New Roman" w:eastAsia="Calibri" w:hAnsi="Times New Roman"/>
                <w:color w:val="000000"/>
                <w:sz w:val="21"/>
                <w:szCs w:val="21"/>
                <w:lang w:val="fr-FR"/>
              </w:rPr>
              <w:t xml:space="preserve"> ayant le statut d'observateur permanent auprès de l'OEA. </w:t>
            </w:r>
          </w:p>
          <w:p w14:paraId="4A430E50" w14:textId="77777777" w:rsidR="008B1794" w:rsidRPr="00623A2B" w:rsidRDefault="008B1794" w:rsidP="00C83EA7">
            <w:pPr>
              <w:suppressAutoHyphens/>
              <w:ind w:left="612"/>
              <w:rPr>
                <w:rFonts w:ascii="Times New Roman" w:hAnsi="Times New Roman"/>
                <w:color w:val="000000"/>
                <w:sz w:val="21"/>
                <w:szCs w:val="21"/>
                <w:lang w:val="fr-FR"/>
              </w:rPr>
            </w:pPr>
          </w:p>
          <w:p w14:paraId="0988F67F" w14:textId="77777777" w:rsidR="008B1794" w:rsidRPr="00623A2B" w:rsidRDefault="008B1794" w:rsidP="00573617">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 xml:space="preserve">En ce qui concerne les projets dont les contributions extérieures proviennent d’États </w:t>
            </w:r>
            <w:proofErr w:type="gramStart"/>
            <w:r w:rsidRPr="00623A2B">
              <w:rPr>
                <w:rFonts w:ascii="Times New Roman" w:eastAsia="Calibri" w:hAnsi="Times New Roman"/>
                <w:color w:val="000000"/>
                <w:sz w:val="21"/>
                <w:szCs w:val="21"/>
                <w:lang w:val="fr-FR"/>
              </w:rPr>
              <w:t>non membres</w:t>
            </w:r>
            <w:proofErr w:type="gramEnd"/>
            <w:r w:rsidRPr="00623A2B">
              <w:rPr>
                <w:rFonts w:ascii="Times New Roman" w:eastAsia="Calibri" w:hAnsi="Times New Roman"/>
                <w:color w:val="000000"/>
                <w:sz w:val="21"/>
                <w:szCs w:val="21"/>
                <w:lang w:val="fr-FR"/>
              </w:rPr>
              <w:t xml:space="preserve"> qui n’ont pas le statut d’observateur permanent auprès de l’Organisation, de mener les consultations préalables qui s’imposent auprès du conseil compétent en l’espèce. </w:t>
            </w:r>
          </w:p>
          <w:p w14:paraId="66651B09" w14:textId="77777777" w:rsidR="008B1794" w:rsidRPr="00623A2B" w:rsidRDefault="008B1794" w:rsidP="00C83EA7">
            <w:pPr>
              <w:suppressAutoHyphens/>
              <w:ind w:left="612"/>
              <w:rPr>
                <w:rFonts w:ascii="Times New Roman" w:hAnsi="Times New Roman"/>
                <w:color w:val="000000"/>
                <w:sz w:val="21"/>
                <w:szCs w:val="21"/>
                <w:highlight w:val="yellow"/>
                <w:lang w:val="fr-FR"/>
              </w:rPr>
            </w:pPr>
          </w:p>
          <w:p w14:paraId="4FCB0B40" w14:textId="77777777" w:rsidR="008B1794" w:rsidRPr="00623A2B" w:rsidRDefault="008B1794" w:rsidP="00573617">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 xml:space="preserve">En ce qui concerne des conventions générales de coopération tant avec des pays observateurs permanents qu’avec d’autres États </w:t>
            </w:r>
            <w:proofErr w:type="gramStart"/>
            <w:r w:rsidRPr="00623A2B">
              <w:rPr>
                <w:rFonts w:ascii="Times New Roman" w:eastAsia="Calibri" w:hAnsi="Times New Roman"/>
                <w:color w:val="000000"/>
                <w:sz w:val="21"/>
                <w:szCs w:val="21"/>
                <w:lang w:val="fr-FR"/>
              </w:rPr>
              <w:t>non membres</w:t>
            </w:r>
            <w:proofErr w:type="gramEnd"/>
            <w:r w:rsidRPr="00623A2B">
              <w:rPr>
                <w:rFonts w:ascii="Times New Roman" w:eastAsia="Calibri" w:hAnsi="Times New Roman"/>
                <w:color w:val="000000"/>
                <w:sz w:val="21"/>
                <w:szCs w:val="21"/>
                <w:lang w:val="fr-FR"/>
              </w:rPr>
              <w:t xml:space="preserve">, de demander l’approbation préalable du Conseil permanent. </w:t>
            </w:r>
          </w:p>
          <w:p w14:paraId="3B7B6E11" w14:textId="77777777" w:rsidR="008B1794" w:rsidRPr="00623A2B" w:rsidRDefault="008B1794" w:rsidP="00C83EA7">
            <w:pPr>
              <w:ind w:left="720"/>
              <w:rPr>
                <w:rFonts w:ascii="Times New Roman" w:hAnsi="Times New Roman"/>
                <w:color w:val="000000"/>
                <w:sz w:val="21"/>
                <w:szCs w:val="21"/>
                <w:lang w:val="fr-FR"/>
              </w:rPr>
            </w:pPr>
          </w:p>
          <w:p w14:paraId="093A5786" w14:textId="77777777" w:rsidR="008B1794" w:rsidRPr="00623A2B" w:rsidRDefault="008B1794" w:rsidP="00C83EA7">
            <w:pPr>
              <w:ind w:left="361" w:hanging="361"/>
              <w:rPr>
                <w:rFonts w:ascii="Times New Roman" w:hAnsi="Times New Roman"/>
                <w:i/>
                <w:iCs/>
                <w:color w:val="000000"/>
                <w:sz w:val="21"/>
                <w:szCs w:val="21"/>
                <w:lang w:val="fr-FR"/>
              </w:rPr>
            </w:pPr>
            <w:r w:rsidRPr="00623A2B">
              <w:rPr>
                <w:rFonts w:ascii="Times New Roman" w:eastAsia="Calibri" w:hAnsi="Times New Roman"/>
                <w:color w:val="000000"/>
                <w:sz w:val="21"/>
                <w:szCs w:val="21"/>
                <w:lang w:val="fr-FR"/>
              </w:rPr>
              <w:t>g)</w:t>
            </w:r>
            <w:r w:rsidRPr="00623A2B">
              <w:rPr>
                <w:rFonts w:ascii="Times New Roman" w:eastAsia="Calibri" w:hAnsi="Times New Roman"/>
                <w:color w:val="000000"/>
                <w:sz w:val="21"/>
                <w:szCs w:val="21"/>
                <w:lang w:val="fr-FR"/>
              </w:rPr>
              <w:tab/>
              <w:t xml:space="preserve">De faire rapport aux États membres sur les conventions, contrats et/ou protocoles d’entente en cours de discussion ou convenus pour les cas décrits à l’alinéa </w:t>
            </w:r>
            <w:proofErr w:type="spellStart"/>
            <w:r w:rsidRPr="00623A2B">
              <w:rPr>
                <w:rFonts w:ascii="Times New Roman" w:eastAsia="Calibri" w:hAnsi="Times New Roman"/>
                <w:color w:val="000000"/>
                <w:sz w:val="21"/>
                <w:szCs w:val="21"/>
                <w:lang w:val="fr-FR"/>
              </w:rPr>
              <w:t>f.i</w:t>
            </w:r>
            <w:proofErr w:type="spellEnd"/>
            <w:r w:rsidRPr="00623A2B">
              <w:rPr>
                <w:rFonts w:ascii="Times New Roman" w:eastAsia="Calibri" w:hAnsi="Times New Roman"/>
                <w:color w:val="000000"/>
                <w:sz w:val="21"/>
                <w:szCs w:val="21"/>
                <w:lang w:val="fr-FR"/>
              </w:rPr>
              <w:t>. du présent paragraphe, et de présenter tous les six mois des rapports à la CAAP et aux organes compétents de l’Organisation.</w:t>
            </w:r>
          </w:p>
          <w:p w14:paraId="1E3C5EE3" w14:textId="77777777" w:rsidR="008B1794" w:rsidRPr="00623A2B" w:rsidRDefault="008B1794" w:rsidP="00C83EA7">
            <w:pPr>
              <w:ind w:left="361" w:hanging="361"/>
              <w:rPr>
                <w:rFonts w:ascii="Times New Roman" w:hAnsi="Times New Roman"/>
                <w:b/>
                <w:bCs/>
                <w:color w:val="000000"/>
                <w:sz w:val="21"/>
                <w:szCs w:val="21"/>
                <w:lang w:val="fr-FR" w:eastAsia="es-ES_tradnl"/>
              </w:rPr>
            </w:pPr>
          </w:p>
        </w:tc>
        <w:tc>
          <w:tcPr>
            <w:tcW w:w="1768" w:type="dxa"/>
            <w:shd w:val="clear" w:color="auto" w:fill="auto"/>
            <w:noWrap/>
          </w:tcPr>
          <w:p w14:paraId="0D10EE94" w14:textId="77777777" w:rsidR="008B1794" w:rsidRPr="00623A2B" w:rsidRDefault="008B1794" w:rsidP="00C83EA7">
            <w:pPr>
              <w:jc w:val="center"/>
              <w:rPr>
                <w:rFonts w:ascii="Times New Roman" w:hAnsi="Times New Roman"/>
                <w:color w:val="000000"/>
                <w:sz w:val="21"/>
                <w:szCs w:val="21"/>
                <w:lang w:val="fr-FR" w:eastAsia="es-ES_tradnl"/>
              </w:rPr>
            </w:pPr>
          </w:p>
          <w:p w14:paraId="5D9D5B83" w14:textId="77777777" w:rsidR="008B1794" w:rsidRPr="00623A2B" w:rsidRDefault="008B1794" w:rsidP="00C83EA7">
            <w:pPr>
              <w:jc w:val="center"/>
              <w:rPr>
                <w:rFonts w:ascii="Times New Roman" w:hAnsi="Times New Roman"/>
                <w:color w:val="000000"/>
                <w:sz w:val="21"/>
                <w:szCs w:val="21"/>
                <w:lang w:val="fr-FR" w:eastAsia="es-ES_tradnl"/>
              </w:rPr>
            </w:pPr>
          </w:p>
          <w:p w14:paraId="78CC8FD2" w14:textId="77777777" w:rsidR="008B1794" w:rsidRPr="00623A2B" w:rsidRDefault="008B1794" w:rsidP="00C83EA7">
            <w:pPr>
              <w:jc w:val="center"/>
              <w:rPr>
                <w:rFonts w:ascii="Times New Roman" w:hAnsi="Times New Roman"/>
                <w:color w:val="000000"/>
                <w:sz w:val="21"/>
                <w:szCs w:val="21"/>
                <w:lang w:val="fr-FR" w:eastAsia="es-ES_tradnl"/>
              </w:rPr>
            </w:pPr>
          </w:p>
          <w:p w14:paraId="5AB66652" w14:textId="77777777" w:rsidR="008B1794" w:rsidRPr="00623A2B" w:rsidRDefault="008B1794" w:rsidP="00C83EA7">
            <w:pPr>
              <w:jc w:val="center"/>
              <w:rPr>
                <w:rFonts w:ascii="Times New Roman" w:hAnsi="Times New Roman"/>
                <w:color w:val="000000"/>
                <w:sz w:val="21"/>
                <w:szCs w:val="21"/>
                <w:lang w:val="fr-FR" w:eastAsia="es-ES_tradnl"/>
              </w:rPr>
            </w:pPr>
          </w:p>
          <w:p w14:paraId="22803B85" w14:textId="77777777" w:rsidR="008B1794" w:rsidRPr="00623A2B" w:rsidRDefault="008B1794" w:rsidP="00C83EA7">
            <w:pPr>
              <w:jc w:val="center"/>
              <w:rPr>
                <w:rFonts w:ascii="Times New Roman" w:hAnsi="Times New Roman"/>
                <w:color w:val="000000"/>
                <w:sz w:val="21"/>
                <w:szCs w:val="21"/>
                <w:lang w:val="fr-FR"/>
              </w:rPr>
            </w:pPr>
          </w:p>
        </w:tc>
      </w:tr>
      <w:tr w:rsidR="008B1794" w:rsidRPr="00213B6A" w14:paraId="419C560A" w14:textId="77777777" w:rsidTr="005A11FB">
        <w:trPr>
          <w:trHeight w:val="390"/>
        </w:trPr>
        <w:tc>
          <w:tcPr>
            <w:tcW w:w="479" w:type="dxa"/>
            <w:shd w:val="clear" w:color="auto" w:fill="auto"/>
          </w:tcPr>
          <w:p w14:paraId="198CFADB" w14:textId="77777777" w:rsidR="008B1794" w:rsidRPr="00623A2B" w:rsidRDefault="008B1794" w:rsidP="00C83EA7">
            <w:pPr>
              <w:keepNext/>
              <w:suppressAutoHyphens/>
              <w:ind w:right="-43"/>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lastRenderedPageBreak/>
              <w:t>4.</w:t>
            </w:r>
          </w:p>
        </w:tc>
        <w:tc>
          <w:tcPr>
            <w:tcW w:w="2037" w:type="dxa"/>
            <w:shd w:val="clear" w:color="auto" w:fill="auto"/>
            <w:noWrap/>
          </w:tcPr>
          <w:p w14:paraId="50805682" w14:textId="77777777" w:rsidR="008B1794" w:rsidRPr="00623A2B" w:rsidRDefault="008B1794" w:rsidP="00C83EA7">
            <w:pPr>
              <w:suppressAutoHyphens/>
              <w:ind w:right="-50"/>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Ressources du Programme de bourses d’études et de perfectionnement de l’OEA</w:t>
            </w:r>
          </w:p>
          <w:p w14:paraId="6683A6D8" w14:textId="77777777" w:rsidR="008B1794" w:rsidRPr="00623A2B" w:rsidRDefault="008B1794" w:rsidP="00C83EA7">
            <w:pPr>
              <w:rPr>
                <w:rFonts w:ascii="Times New Roman" w:hAnsi="Times New Roman"/>
                <w:b/>
                <w:bCs/>
                <w:color w:val="000000"/>
                <w:sz w:val="21"/>
                <w:szCs w:val="21"/>
                <w:lang w:val="fr-FR" w:eastAsia="es-ES_tradnl"/>
              </w:rPr>
            </w:pPr>
          </w:p>
        </w:tc>
        <w:tc>
          <w:tcPr>
            <w:tcW w:w="5674" w:type="dxa"/>
            <w:shd w:val="clear" w:color="auto" w:fill="auto"/>
            <w:noWrap/>
          </w:tcPr>
          <w:p w14:paraId="63A4A2B4" w14:textId="77777777" w:rsidR="008B1794" w:rsidRPr="00623A2B" w:rsidRDefault="008B1794" w:rsidP="00C83EA7">
            <w:pPr>
              <w:rPr>
                <w:rFonts w:ascii="Times New Roman" w:hAnsi="Times New Roman"/>
                <w:b/>
                <w:bCs/>
                <w:color w:val="000000"/>
                <w:sz w:val="21"/>
                <w:szCs w:val="21"/>
                <w:lang w:val="pt-BR"/>
              </w:rPr>
            </w:pPr>
            <w:r w:rsidRPr="00623A2B">
              <w:rPr>
                <w:rFonts w:ascii="Times New Roman" w:eastAsia="Calibri" w:hAnsi="Times New Roman"/>
                <w:b/>
                <w:color w:val="000000"/>
                <w:sz w:val="21"/>
                <w:szCs w:val="21"/>
                <w:lang w:val="pt-BR"/>
              </w:rPr>
              <w:t>AG/RES. 2957 (L-O/20) paragraphe IV.5</w:t>
            </w:r>
          </w:p>
          <w:p w14:paraId="3E02C55B" w14:textId="77777777" w:rsidR="008B1794" w:rsidRPr="00623A2B" w:rsidRDefault="008B1794" w:rsidP="00C83EA7">
            <w:pPr>
              <w:suppressAutoHyphens/>
              <w:rPr>
                <w:rFonts w:ascii="Times New Roman" w:hAnsi="Times New Roman"/>
                <w:b/>
                <w:bCs/>
                <w:color w:val="000000"/>
                <w:sz w:val="21"/>
                <w:szCs w:val="21"/>
                <w:lang w:val="fr-FR"/>
              </w:rPr>
            </w:pPr>
            <w:r w:rsidRPr="00623A2B">
              <w:rPr>
                <w:rFonts w:ascii="Times New Roman" w:eastAsia="Calibri" w:hAnsi="Times New Roman"/>
                <w:b/>
                <w:color w:val="000000"/>
                <w:sz w:val="21"/>
                <w:szCs w:val="21"/>
                <w:lang w:val="fr-FR"/>
              </w:rPr>
              <w:t>Mandat :</w:t>
            </w:r>
          </w:p>
          <w:p w14:paraId="0B5A1877" w14:textId="77777777" w:rsidR="008B1794" w:rsidRPr="00623A2B" w:rsidRDefault="008B1794" w:rsidP="00C83EA7">
            <w:pPr>
              <w:suppressAutoHyphens/>
              <w:rPr>
                <w:rFonts w:ascii="Times New Roman" w:hAnsi="Times New Roman"/>
                <w:color w:val="000000"/>
                <w:sz w:val="21"/>
                <w:szCs w:val="21"/>
                <w:lang w:val="fr-FR"/>
              </w:rPr>
            </w:pPr>
          </w:p>
          <w:p w14:paraId="1A694FFF"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a)</w:t>
            </w:r>
            <w:r w:rsidRPr="00623A2B">
              <w:rPr>
                <w:rFonts w:ascii="Times New Roman" w:eastAsia="Calibri" w:hAnsi="Times New Roman"/>
                <w:color w:val="000000"/>
                <w:sz w:val="21"/>
                <w:szCs w:val="21"/>
                <w:lang w:val="fr-FR"/>
              </w:rPr>
              <w:tab/>
              <w:t>De réitérer la teneur du paragraphe 22 de la résolution AG/RES. </w:t>
            </w:r>
            <w:r w:rsidRPr="00623A2B">
              <w:rPr>
                <w:rFonts w:ascii="Times New Roman" w:eastAsia="Calibri" w:hAnsi="Times New Roman"/>
                <w:sz w:val="21"/>
                <w:szCs w:val="21"/>
                <w:lang w:val="fr-FR"/>
              </w:rPr>
              <w:t xml:space="preserve">2916 (XLVIII-O/18), qui reprend les recommandations provisoires et globales issues du Groupe de travail chargé d’analyser et d’évaluer le fonctionnement de tous les programmes de bourses d’études et de perfectionnement de l'OEA et approuvées par le Conseil interaméricain pour le développement intégré (CIDI) </w:t>
            </w:r>
            <w:r w:rsidRPr="00623A2B">
              <w:rPr>
                <w:rFonts w:ascii="Times New Roman" w:eastAsia="Calibri" w:hAnsi="Times New Roman"/>
                <w:color w:val="000000"/>
                <w:sz w:val="21"/>
                <w:szCs w:val="21"/>
                <w:lang w:val="fr-FR"/>
              </w:rPr>
              <w:t>(</w:t>
            </w:r>
            <w:hyperlink r:id="rId104" w:history="1">
              <w:r w:rsidRPr="00623A2B">
                <w:rPr>
                  <w:rFonts w:ascii="Times New Roman" w:eastAsia="Calibri" w:hAnsi="Times New Roman"/>
                  <w:color w:val="0000FF"/>
                  <w:sz w:val="21"/>
                  <w:szCs w:val="21"/>
                  <w:u w:val="single"/>
                  <w:lang w:val="fr-FR"/>
                </w:rPr>
                <w:t>CIDI/doc.239/17</w:t>
              </w:r>
            </w:hyperlink>
            <w:r w:rsidRPr="00623A2B">
              <w:rPr>
                <w:rFonts w:ascii="Times New Roman" w:eastAsia="Calibri" w:hAnsi="Times New Roman"/>
                <w:color w:val="000000"/>
                <w:sz w:val="21"/>
                <w:szCs w:val="21"/>
                <w:lang w:val="fr-FR"/>
              </w:rPr>
              <w:t xml:space="preserve"> et </w:t>
            </w:r>
            <w:hyperlink r:id="rId105" w:history="1">
              <w:r w:rsidRPr="00623A2B">
                <w:rPr>
                  <w:rFonts w:ascii="Times New Roman" w:eastAsia="Calibri" w:hAnsi="Times New Roman"/>
                  <w:color w:val="0000FF"/>
                  <w:sz w:val="21"/>
                  <w:szCs w:val="21"/>
                  <w:u w:val="single"/>
                  <w:lang w:val="fr-FR"/>
                </w:rPr>
                <w:t>CIDI/doc.256/18</w:t>
              </w:r>
            </w:hyperlink>
            <w:r w:rsidRPr="00623A2B">
              <w:rPr>
                <w:rFonts w:ascii="Times New Roman" w:eastAsia="Calibri" w:hAnsi="Times New Roman"/>
                <w:color w:val="000000"/>
                <w:sz w:val="21"/>
                <w:szCs w:val="21"/>
                <w:lang w:val="fr-FR"/>
              </w:rPr>
              <w:t>)</w:t>
            </w:r>
            <w:r w:rsidRPr="00623A2B">
              <w:rPr>
                <w:rFonts w:ascii="Times New Roman" w:eastAsia="Calibri" w:hAnsi="Times New Roman"/>
                <w:sz w:val="21"/>
                <w:szCs w:val="21"/>
                <w:lang w:val="fr-FR"/>
              </w:rPr>
              <w:t xml:space="preserve"> et charge le CIDI de veiller à la mise en œuvre de ces mandats.</w:t>
            </w:r>
            <w:r w:rsidRPr="00623A2B">
              <w:rPr>
                <w:rFonts w:ascii="Times New Roman" w:eastAsia="Calibri" w:hAnsi="Times New Roman"/>
                <w:color w:val="000000"/>
                <w:sz w:val="21"/>
                <w:szCs w:val="21"/>
                <w:lang w:val="fr-FR"/>
              </w:rPr>
              <w:t xml:space="preserve"> </w:t>
            </w:r>
          </w:p>
          <w:p w14:paraId="552E970B" w14:textId="77777777" w:rsidR="008B1794" w:rsidRPr="00623A2B" w:rsidRDefault="008B1794" w:rsidP="00C83EA7">
            <w:pPr>
              <w:suppressAutoHyphens/>
              <w:ind w:left="271" w:hanging="270"/>
              <w:rPr>
                <w:rFonts w:ascii="Times New Roman" w:hAnsi="Times New Roman"/>
                <w:color w:val="000000"/>
                <w:sz w:val="21"/>
                <w:szCs w:val="21"/>
                <w:lang w:val="fr-FR" w:eastAsia="es-ES"/>
              </w:rPr>
            </w:pPr>
          </w:p>
          <w:p w14:paraId="77655DAE"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b)</w:t>
            </w:r>
            <w:r w:rsidRPr="00623A2B">
              <w:rPr>
                <w:rFonts w:ascii="Times New Roman" w:eastAsia="Calibri" w:hAnsi="Times New Roman"/>
                <w:color w:val="000000"/>
                <w:sz w:val="21"/>
                <w:szCs w:val="21"/>
                <w:lang w:val="fr-FR"/>
              </w:rPr>
              <w:tab/>
              <w:t xml:space="preserve">De reconnaître la résolution CIDI/RES. 337 (LXXXVIII-O/19), « Allocation de ressources en 2019 pour les programmes de bourses d’études et de perfectionnement de l’OEA », adoptée par le CIDI le 9 avril 2019, qui a fait sienne la décision du Conseil d’administration de l’Agence interaméricaine pour la coopération et le développement (AICD) adoptée pour faciliter la transition vers un programme de bourses d’études plus durable et plus économique. </w:t>
            </w:r>
          </w:p>
          <w:p w14:paraId="06C7D081" w14:textId="77777777" w:rsidR="008B1794" w:rsidRPr="00623A2B" w:rsidRDefault="008B1794" w:rsidP="00C83EA7">
            <w:pPr>
              <w:suppressAutoHyphens/>
              <w:ind w:left="271"/>
              <w:rPr>
                <w:rFonts w:ascii="Times New Roman" w:hAnsi="Times New Roman"/>
                <w:i/>
                <w:iCs/>
                <w:color w:val="000000"/>
                <w:sz w:val="21"/>
                <w:szCs w:val="21"/>
                <w:lang w:val="fr-FR"/>
              </w:rPr>
            </w:pPr>
          </w:p>
          <w:p w14:paraId="3A9694BE" w14:textId="77777777" w:rsidR="008B1794" w:rsidRPr="00623A2B" w:rsidRDefault="008B1794" w:rsidP="00C83EA7">
            <w:pPr>
              <w:suppressAutoHyphens/>
              <w:ind w:left="1"/>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d)</w:t>
            </w:r>
            <w:r w:rsidRPr="00623A2B">
              <w:rPr>
                <w:rFonts w:ascii="Times New Roman" w:eastAsia="Calibri" w:hAnsi="Times New Roman"/>
                <w:color w:val="000000"/>
                <w:sz w:val="21"/>
                <w:szCs w:val="21"/>
                <w:lang w:val="fr-FR"/>
              </w:rPr>
              <w:tab/>
              <w:t xml:space="preserve">De charger le Secrétariat général de rechercher des moyens permettant de renforcer ses partenariats, y compris en prévoyant des modalités d’apprentissage des langues, dans la mesure du possible. </w:t>
            </w:r>
          </w:p>
          <w:p w14:paraId="3DD5197C" w14:textId="77777777" w:rsidR="008B1794" w:rsidRPr="00623A2B" w:rsidRDefault="008B1794" w:rsidP="00C83EA7">
            <w:pPr>
              <w:suppressAutoHyphens/>
              <w:ind w:left="1"/>
              <w:rPr>
                <w:rFonts w:ascii="Times New Roman" w:hAnsi="Times New Roman"/>
                <w:i/>
                <w:iCs/>
                <w:color w:val="000000"/>
                <w:sz w:val="21"/>
                <w:szCs w:val="21"/>
                <w:highlight w:val="yellow"/>
                <w:lang w:val="fr-FR"/>
              </w:rPr>
            </w:pPr>
            <w:r w:rsidRPr="00623A2B">
              <w:rPr>
                <w:rFonts w:ascii="Times New Roman" w:eastAsia="Calibri" w:hAnsi="Times New Roman"/>
                <w:i/>
                <w:color w:val="000000"/>
                <w:sz w:val="21"/>
                <w:szCs w:val="21"/>
                <w:highlight w:val="yellow"/>
                <w:lang w:val="fr-FR"/>
              </w:rPr>
              <w:t xml:space="preserve"> </w:t>
            </w:r>
          </w:p>
          <w:p w14:paraId="333F896F" w14:textId="77777777" w:rsidR="008B1794" w:rsidRPr="00623A2B" w:rsidRDefault="008B1794" w:rsidP="00C83EA7">
            <w:pPr>
              <w:suppressAutoHyphens/>
              <w:ind w:left="1"/>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f)</w:t>
            </w:r>
            <w:r w:rsidRPr="00623A2B">
              <w:rPr>
                <w:rFonts w:ascii="Times New Roman" w:eastAsia="Calibri" w:hAnsi="Times New Roman"/>
                <w:color w:val="000000"/>
                <w:sz w:val="21"/>
                <w:szCs w:val="21"/>
                <w:lang w:val="fr-FR"/>
              </w:rPr>
              <w:tab/>
              <w:t xml:space="preserve">D’autoriser le Secrétariat général à déposer sur le Fonds d’investissement de l’OEA pour le financement des programmes de bourses d’études et de perfectionnement, en vertu de l’article 18 du Statut de l’AICD, tout montant non </w:t>
            </w:r>
            <w:proofErr w:type="gramStart"/>
            <w:r w:rsidRPr="00623A2B">
              <w:rPr>
                <w:rFonts w:ascii="Times New Roman" w:eastAsia="Calibri" w:hAnsi="Times New Roman"/>
                <w:color w:val="000000"/>
                <w:sz w:val="21"/>
                <w:szCs w:val="21"/>
                <w:lang w:val="fr-FR"/>
              </w:rPr>
              <w:t>utilisé</w:t>
            </w:r>
            <w:proofErr w:type="gramEnd"/>
            <w:r w:rsidRPr="00623A2B">
              <w:rPr>
                <w:rFonts w:ascii="Times New Roman" w:eastAsia="Calibri" w:hAnsi="Times New Roman"/>
                <w:color w:val="000000"/>
                <w:sz w:val="21"/>
                <w:szCs w:val="21"/>
                <w:lang w:val="fr-FR"/>
              </w:rPr>
              <w:t xml:space="preserve"> ou n’ayant pas fait l’objet d’un engagement de dépenses provenant des bourses d’études au titre de l’objet 3, dans les limites autorisées par l’article 105 des Normes générales. Pour l’exécution de ce mandat, le Secrétariat général devra consulter le CIDI, par le truchement du Conseil d’administration de l’AICD, et obtenir l’approbation du Conseil permanent par le truchement de la CAAP. </w:t>
            </w:r>
          </w:p>
          <w:p w14:paraId="27882392" w14:textId="77777777" w:rsidR="008B1794" w:rsidRPr="00623A2B" w:rsidRDefault="008B1794" w:rsidP="00C83EA7">
            <w:pPr>
              <w:suppressAutoHyphens/>
              <w:ind w:left="1"/>
              <w:rPr>
                <w:rFonts w:ascii="Times New Roman" w:hAnsi="Times New Roman"/>
                <w:color w:val="000000"/>
                <w:sz w:val="21"/>
                <w:szCs w:val="21"/>
                <w:lang w:val="fr-FR"/>
              </w:rPr>
            </w:pPr>
          </w:p>
        </w:tc>
        <w:tc>
          <w:tcPr>
            <w:tcW w:w="1768" w:type="dxa"/>
            <w:shd w:val="clear" w:color="auto" w:fill="auto"/>
            <w:noWrap/>
          </w:tcPr>
          <w:p w14:paraId="2CC94D04" w14:textId="77777777" w:rsidR="008B1794" w:rsidRPr="00623A2B" w:rsidRDefault="008B1794" w:rsidP="00C83EA7">
            <w:pPr>
              <w:jc w:val="center"/>
              <w:rPr>
                <w:rFonts w:ascii="Times New Roman" w:hAnsi="Times New Roman"/>
                <w:color w:val="000000"/>
                <w:sz w:val="21"/>
                <w:szCs w:val="21"/>
                <w:lang w:val="fr-FR" w:eastAsia="es-ES_tradnl"/>
              </w:rPr>
            </w:pPr>
          </w:p>
        </w:tc>
      </w:tr>
      <w:tr w:rsidR="008B1794" w:rsidRPr="00213B6A" w14:paraId="24168DA4" w14:textId="77777777" w:rsidTr="005A11FB">
        <w:trPr>
          <w:trHeight w:val="390"/>
        </w:trPr>
        <w:tc>
          <w:tcPr>
            <w:tcW w:w="479" w:type="dxa"/>
            <w:shd w:val="clear" w:color="auto" w:fill="auto"/>
          </w:tcPr>
          <w:p w14:paraId="259D9154" w14:textId="77777777" w:rsidR="008B1794" w:rsidRPr="00623A2B" w:rsidRDefault="008B1794" w:rsidP="00C83EA7">
            <w:pPr>
              <w:keepNext/>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lastRenderedPageBreak/>
              <w:t>5.</w:t>
            </w:r>
          </w:p>
        </w:tc>
        <w:tc>
          <w:tcPr>
            <w:tcW w:w="2037" w:type="dxa"/>
            <w:shd w:val="clear" w:color="auto" w:fill="auto"/>
            <w:noWrap/>
          </w:tcPr>
          <w:p w14:paraId="28DD193C"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Fondations soutenues par l’OEA</w:t>
            </w:r>
          </w:p>
        </w:tc>
        <w:tc>
          <w:tcPr>
            <w:tcW w:w="5674" w:type="dxa"/>
            <w:shd w:val="clear" w:color="auto" w:fill="auto"/>
            <w:noWrap/>
          </w:tcPr>
          <w:p w14:paraId="451DE4D8" w14:textId="77777777" w:rsidR="008B1794" w:rsidRPr="00623A2B" w:rsidRDefault="008B1794" w:rsidP="00C83EA7">
            <w:pPr>
              <w:rPr>
                <w:rFonts w:ascii="Times New Roman" w:hAnsi="Times New Roman"/>
                <w:b/>
                <w:bCs/>
                <w:color w:val="000000"/>
                <w:sz w:val="21"/>
                <w:szCs w:val="21"/>
                <w:lang w:val="pt-BR"/>
              </w:rPr>
            </w:pPr>
            <w:r w:rsidRPr="00623A2B">
              <w:rPr>
                <w:rFonts w:ascii="Times New Roman" w:eastAsia="Calibri" w:hAnsi="Times New Roman"/>
                <w:b/>
                <w:color w:val="000000"/>
                <w:sz w:val="21"/>
                <w:szCs w:val="21"/>
                <w:lang w:val="pt-BR"/>
              </w:rPr>
              <w:t>AG/RES. 2957 (L-O/20) paragraphe IV.6</w:t>
            </w:r>
          </w:p>
          <w:p w14:paraId="26E10857" w14:textId="77777777" w:rsidR="008B1794" w:rsidRPr="00623A2B" w:rsidRDefault="008B1794" w:rsidP="00C83EA7">
            <w:pPr>
              <w:rPr>
                <w:rFonts w:ascii="Times New Roman" w:hAnsi="Times New Roman"/>
                <w:color w:val="000000"/>
                <w:sz w:val="21"/>
                <w:szCs w:val="21"/>
                <w:lang w:val="fr-FR"/>
              </w:rPr>
            </w:pPr>
            <w:r w:rsidRPr="00623A2B">
              <w:rPr>
                <w:rFonts w:ascii="Times New Roman" w:eastAsia="Calibri" w:hAnsi="Times New Roman"/>
                <w:b/>
                <w:color w:val="000000"/>
                <w:sz w:val="21"/>
                <w:szCs w:val="21"/>
                <w:lang w:val="fr-FR"/>
              </w:rPr>
              <w:t>Mandat :</w:t>
            </w:r>
          </w:p>
          <w:p w14:paraId="2209AB3A" w14:textId="77777777" w:rsidR="008B1794" w:rsidRPr="00623A2B" w:rsidRDefault="008B1794" w:rsidP="00C83EA7">
            <w:pPr>
              <w:suppressAutoHyphens/>
              <w:rPr>
                <w:rFonts w:ascii="Times New Roman" w:hAnsi="Times New Roman"/>
                <w:color w:val="000000"/>
                <w:sz w:val="21"/>
                <w:szCs w:val="21"/>
                <w:u w:val="single"/>
                <w:lang w:val="fr-FR"/>
              </w:rPr>
            </w:pPr>
            <w:r w:rsidRPr="00623A2B">
              <w:rPr>
                <w:rFonts w:ascii="Times New Roman" w:eastAsia="Calibri" w:hAnsi="Times New Roman"/>
                <w:color w:val="000000"/>
                <w:sz w:val="21"/>
                <w:szCs w:val="21"/>
                <w:lang w:val="fr-FR"/>
              </w:rPr>
              <w:t>De demander aux fondations soutenues par l'OEA, la Fondation panaméricaine pour le développement et la Fondation pour les Amériques, de maintenir une culture et une pratique d’austérité, d’efficacité, d’efficience, de transparence, de prudence et de responsabilité dans l’emploi, l’exécution et la gestion des ressources allouées par l’Organisation.</w:t>
            </w:r>
          </w:p>
          <w:p w14:paraId="67FA9DB2" w14:textId="77777777" w:rsidR="008B1794" w:rsidRPr="00623A2B" w:rsidRDefault="008B1794" w:rsidP="00C83EA7">
            <w:pPr>
              <w:rPr>
                <w:rFonts w:ascii="Times New Roman" w:hAnsi="Times New Roman"/>
                <w:b/>
                <w:bCs/>
                <w:color w:val="000000"/>
                <w:sz w:val="21"/>
                <w:szCs w:val="21"/>
                <w:lang w:val="fr-FR" w:eastAsia="es-ES_tradnl"/>
              </w:rPr>
            </w:pPr>
          </w:p>
        </w:tc>
        <w:tc>
          <w:tcPr>
            <w:tcW w:w="1768" w:type="dxa"/>
            <w:shd w:val="clear" w:color="auto" w:fill="auto"/>
            <w:noWrap/>
          </w:tcPr>
          <w:p w14:paraId="14809666" w14:textId="77777777" w:rsidR="008B1794" w:rsidRPr="00623A2B" w:rsidRDefault="008B1794" w:rsidP="00C83EA7">
            <w:pPr>
              <w:jc w:val="center"/>
              <w:rPr>
                <w:rFonts w:ascii="Times New Roman" w:hAnsi="Times New Roman"/>
                <w:color w:val="000000"/>
                <w:sz w:val="21"/>
                <w:szCs w:val="21"/>
                <w:lang w:val="fr-FR" w:eastAsia="es-ES_tradnl"/>
              </w:rPr>
            </w:pPr>
          </w:p>
        </w:tc>
      </w:tr>
      <w:tr w:rsidR="008B1794" w:rsidRPr="00623A2B" w14:paraId="0A803970" w14:textId="77777777" w:rsidTr="005A11FB">
        <w:trPr>
          <w:trHeight w:val="390"/>
        </w:trPr>
        <w:tc>
          <w:tcPr>
            <w:tcW w:w="479" w:type="dxa"/>
            <w:shd w:val="clear" w:color="auto" w:fill="auto"/>
          </w:tcPr>
          <w:p w14:paraId="1044841A"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6.</w:t>
            </w:r>
          </w:p>
        </w:tc>
        <w:tc>
          <w:tcPr>
            <w:tcW w:w="2037" w:type="dxa"/>
            <w:shd w:val="clear" w:color="auto" w:fill="auto"/>
            <w:noWrap/>
          </w:tcPr>
          <w:p w14:paraId="2F8CA3C7"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Établissement d’un processus structuré d’élaboration et de présentation du budget</w:t>
            </w:r>
          </w:p>
          <w:p w14:paraId="4173C3F6" w14:textId="77777777" w:rsidR="008B1794" w:rsidRPr="00623A2B" w:rsidRDefault="008B1794" w:rsidP="00C83EA7">
            <w:pPr>
              <w:rPr>
                <w:rFonts w:ascii="Times New Roman" w:hAnsi="Times New Roman"/>
                <w:b/>
                <w:bCs/>
                <w:color w:val="000000"/>
                <w:sz w:val="21"/>
                <w:szCs w:val="21"/>
                <w:lang w:val="fr-FR" w:eastAsia="es-ES_tradnl"/>
              </w:rPr>
            </w:pPr>
          </w:p>
        </w:tc>
        <w:tc>
          <w:tcPr>
            <w:tcW w:w="5674" w:type="dxa"/>
            <w:shd w:val="clear" w:color="auto" w:fill="auto"/>
            <w:noWrap/>
          </w:tcPr>
          <w:p w14:paraId="113196D3" w14:textId="77777777" w:rsidR="008B1794" w:rsidRPr="00623A2B" w:rsidRDefault="008B1794" w:rsidP="00C83EA7">
            <w:pPr>
              <w:rPr>
                <w:rFonts w:ascii="Times New Roman" w:hAnsi="Times New Roman"/>
                <w:b/>
                <w:bCs/>
                <w:color w:val="000000"/>
                <w:sz w:val="21"/>
                <w:szCs w:val="21"/>
                <w:lang w:val="pt-BR"/>
              </w:rPr>
            </w:pPr>
            <w:r w:rsidRPr="00623A2B">
              <w:rPr>
                <w:rFonts w:ascii="Times New Roman" w:eastAsia="Calibri" w:hAnsi="Times New Roman"/>
                <w:b/>
                <w:color w:val="000000"/>
                <w:sz w:val="21"/>
                <w:szCs w:val="21"/>
                <w:lang w:val="pt-BR"/>
              </w:rPr>
              <w:t>AG/RES. 2957 (L-O/20) paragraphe IV.7</w:t>
            </w:r>
          </w:p>
          <w:p w14:paraId="3673EA0E" w14:textId="77777777" w:rsidR="008B1794" w:rsidRPr="00623A2B" w:rsidRDefault="008B1794" w:rsidP="00C83EA7">
            <w:pPr>
              <w:rPr>
                <w:rFonts w:ascii="Times New Roman" w:hAnsi="Times New Roman"/>
                <w:color w:val="000000"/>
                <w:sz w:val="21"/>
                <w:szCs w:val="21"/>
                <w:lang w:val="fr-FR"/>
              </w:rPr>
            </w:pPr>
            <w:r w:rsidRPr="00623A2B">
              <w:rPr>
                <w:rFonts w:ascii="Times New Roman" w:eastAsia="Calibri" w:hAnsi="Times New Roman"/>
                <w:b/>
                <w:color w:val="000000"/>
                <w:sz w:val="21"/>
                <w:szCs w:val="21"/>
                <w:lang w:val="fr-FR"/>
              </w:rPr>
              <w:t>Mandat :</w:t>
            </w:r>
          </w:p>
          <w:p w14:paraId="17E6E6EB" w14:textId="77777777" w:rsidR="008B1794" w:rsidRPr="00623A2B" w:rsidRDefault="008B1794" w:rsidP="00573617">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 xml:space="preserve">De donner pour instruction au Secrétariat général de confier au Secrétariat aux questions administratives et financières l’analyse et l’élaboration du programme-budget de l’Organisation en le dotant de ressources humaines suffisantes, qui possèdent une expérience pertinente </w:t>
            </w:r>
            <w:proofErr w:type="gramStart"/>
            <w:r w:rsidRPr="00623A2B">
              <w:rPr>
                <w:rFonts w:ascii="Times New Roman" w:eastAsia="Calibri" w:hAnsi="Times New Roman"/>
                <w:color w:val="000000"/>
                <w:sz w:val="21"/>
                <w:szCs w:val="21"/>
                <w:lang w:val="fr-FR"/>
              </w:rPr>
              <w:t>en questions</w:t>
            </w:r>
            <w:proofErr w:type="gramEnd"/>
            <w:r w:rsidRPr="00623A2B">
              <w:rPr>
                <w:rFonts w:ascii="Times New Roman" w:eastAsia="Calibri" w:hAnsi="Times New Roman"/>
                <w:color w:val="000000"/>
                <w:sz w:val="21"/>
                <w:szCs w:val="21"/>
                <w:lang w:val="fr-FR"/>
              </w:rPr>
              <w:t xml:space="preserve"> budgétaires et en agissant en coordination avec tous les services et toutes les entités de l’Organisation.</w:t>
            </w:r>
          </w:p>
          <w:p w14:paraId="103571F5" w14:textId="77777777" w:rsidR="008B1794" w:rsidRPr="00623A2B" w:rsidRDefault="008B1794" w:rsidP="00C83EA7">
            <w:pPr>
              <w:suppressAutoHyphens/>
              <w:ind w:left="361"/>
              <w:contextualSpacing/>
              <w:rPr>
                <w:rFonts w:ascii="Times New Roman" w:hAnsi="Times New Roman"/>
                <w:color w:val="000000"/>
                <w:sz w:val="21"/>
                <w:szCs w:val="21"/>
                <w:lang w:val="fr-FR"/>
              </w:rPr>
            </w:pPr>
          </w:p>
          <w:p w14:paraId="6D617A66" w14:textId="77777777" w:rsidR="008B1794" w:rsidRPr="00623A2B" w:rsidRDefault="008B1794" w:rsidP="00573617">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 xml:space="preserve">De charger le Secrétariat général d’adopter, avec la collaboration directe des divers secrétariats de l’Organisation, une approche rigoureuse pour élaborer, présenter clairement, exécuter et évaluer le programme-budget conformément aux chapitres IV à VIII des Normes générales. La proposition de programme-budget comprendra la logique qui sous-tend les propositions, des explications sur les écarts par rapport à l’année précédente et les exigences en matière de ressources humaines et financières en fonction des résultats anticipés. Le Secrétariat général inclura également des prévisions de dépenses pour deux années supplémentaires dans la préparation de chaque proposition de programme-budget annuel. </w:t>
            </w:r>
          </w:p>
          <w:p w14:paraId="4FA19650" w14:textId="77777777" w:rsidR="008B1794" w:rsidRPr="00623A2B" w:rsidRDefault="008B1794" w:rsidP="00C83EA7">
            <w:pPr>
              <w:suppressAutoHyphens/>
              <w:contextualSpacing/>
              <w:rPr>
                <w:rFonts w:ascii="Times New Roman" w:hAnsi="Times New Roman"/>
                <w:color w:val="000000"/>
                <w:sz w:val="21"/>
                <w:szCs w:val="21"/>
                <w:lang w:val="fr-FR"/>
              </w:rPr>
            </w:pPr>
          </w:p>
          <w:p w14:paraId="05104D43" w14:textId="77777777" w:rsidR="008B1794" w:rsidRPr="00623A2B" w:rsidRDefault="008B1794" w:rsidP="00573617">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De charger le Secrétariat général de continuer à utiliser le modèle approuvé par les États membres (</w:t>
            </w:r>
            <w:hyperlink r:id="rId106" w:history="1">
              <w:r w:rsidRPr="00623A2B">
                <w:rPr>
                  <w:rFonts w:ascii="Times New Roman" w:eastAsia="Calibri" w:hAnsi="Times New Roman"/>
                  <w:color w:val="0000FF"/>
                  <w:sz w:val="21"/>
                  <w:szCs w:val="21"/>
                  <w:u w:val="single"/>
                  <w:lang w:val="fr-FR"/>
                </w:rPr>
                <w:t xml:space="preserve">CP/CAAP-3664/20 </w:t>
              </w:r>
              <w:proofErr w:type="spellStart"/>
              <w:r w:rsidRPr="00623A2B">
                <w:rPr>
                  <w:rFonts w:ascii="Times New Roman" w:eastAsia="Calibri" w:hAnsi="Times New Roman"/>
                  <w:color w:val="0000FF"/>
                  <w:sz w:val="21"/>
                  <w:szCs w:val="21"/>
                  <w:u w:val="single"/>
                  <w:lang w:val="fr-FR"/>
                </w:rPr>
                <w:t>rev</w:t>
              </w:r>
              <w:proofErr w:type="spellEnd"/>
              <w:r w:rsidRPr="00623A2B">
                <w:rPr>
                  <w:rFonts w:ascii="Times New Roman" w:eastAsia="Calibri" w:hAnsi="Times New Roman"/>
                  <w:color w:val="0000FF"/>
                  <w:sz w:val="21"/>
                  <w:szCs w:val="21"/>
                  <w:u w:val="single"/>
                  <w:lang w:val="fr-FR"/>
                </w:rPr>
                <w:t>. 1</w:t>
              </w:r>
            </w:hyperlink>
            <w:r w:rsidRPr="00623A2B">
              <w:rPr>
                <w:rFonts w:ascii="Times New Roman" w:eastAsia="Calibri" w:hAnsi="Times New Roman"/>
                <w:color w:val="000000"/>
                <w:sz w:val="21"/>
                <w:szCs w:val="21"/>
                <w:lang w:val="fr-FR"/>
              </w:rPr>
              <w:t xml:space="preserve">) lorsque les secrétariats présentent à la CAAP des informations concernant l’impact des propositions de budget élaborées par le Secrétariat aux questions administratives et financières sur leurs secteurs respectifs. Les modèles renseignés par les secrétariats devront être examinés par le Secrétariat aux questions administratives et financières avant d’être présentés à la CAAP, de même que le projet de programme-budget de l’Organisation. À leur tour, les secrétariats devront prendre connaissance des versions définitives des modèles distribués à la CAAP. Le modèle </w:t>
            </w:r>
            <w:r w:rsidRPr="00623A2B">
              <w:rPr>
                <w:rFonts w:ascii="Times New Roman" w:eastAsia="Calibri" w:hAnsi="Times New Roman"/>
                <w:color w:val="000000"/>
                <w:sz w:val="21"/>
                <w:szCs w:val="21"/>
                <w:lang w:val="fr-FR"/>
              </w:rPr>
              <w:lastRenderedPageBreak/>
              <w:t xml:space="preserve">devrait comprendre, sans pour autant se limiter à cela, les éléments suivants : </w:t>
            </w:r>
          </w:p>
          <w:p w14:paraId="5D70C0C8" w14:textId="77777777" w:rsidR="008B1794" w:rsidRPr="00623A2B" w:rsidRDefault="008B1794" w:rsidP="00C83EA7">
            <w:pPr>
              <w:suppressAutoHyphens/>
              <w:rPr>
                <w:rFonts w:ascii="Times New Roman" w:hAnsi="Times New Roman"/>
                <w:color w:val="000000"/>
                <w:sz w:val="21"/>
                <w:szCs w:val="21"/>
                <w:lang w:val="fr-FR" w:eastAsia="es-ES"/>
              </w:rPr>
            </w:pPr>
          </w:p>
          <w:p w14:paraId="49A09066" w14:textId="77777777" w:rsidR="008B1794" w:rsidRPr="00623A2B" w:rsidRDefault="008B1794" w:rsidP="00573617">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hAnsi="Times New Roman"/>
                <w:color w:val="000000"/>
                <w:sz w:val="21"/>
                <w:szCs w:val="21"/>
                <w:lang w:val="fr-FR"/>
              </w:rPr>
            </w:pPr>
            <w:proofErr w:type="gramStart"/>
            <w:r w:rsidRPr="00623A2B">
              <w:rPr>
                <w:rFonts w:ascii="Times New Roman" w:eastAsia="Calibri" w:hAnsi="Times New Roman"/>
                <w:color w:val="000000"/>
                <w:sz w:val="21"/>
                <w:szCs w:val="21"/>
                <w:lang w:val="fr-FR"/>
              </w:rPr>
              <w:t>un</w:t>
            </w:r>
            <w:proofErr w:type="gramEnd"/>
            <w:r w:rsidRPr="00623A2B">
              <w:rPr>
                <w:rFonts w:ascii="Times New Roman" w:eastAsia="Calibri" w:hAnsi="Times New Roman"/>
                <w:color w:val="000000"/>
                <w:sz w:val="21"/>
                <w:szCs w:val="21"/>
                <w:lang w:val="fr-FR"/>
              </w:rPr>
              <w:t xml:space="preserve"> tableau indiquant le budget adopté l’année précédente, le montant affecté, le niveau d’exécution et le niveau de la nouvelle proposition de budget ; </w:t>
            </w:r>
          </w:p>
          <w:p w14:paraId="2FD0676E" w14:textId="77777777" w:rsidR="008B1794" w:rsidRPr="00623A2B" w:rsidRDefault="008B1794" w:rsidP="00573617">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ii. des points vignettes sur les principaux impacts du niveau de financement proposé.</w:t>
            </w:r>
            <w:r w:rsidRPr="00623A2B">
              <w:rPr>
                <w:rFonts w:ascii="Times New Roman" w:eastAsia="Calibri" w:hAnsi="Times New Roman"/>
                <w:i/>
                <w:color w:val="000000"/>
                <w:sz w:val="21"/>
                <w:szCs w:val="21"/>
                <w:lang w:val="fr-FR"/>
              </w:rPr>
              <w:t xml:space="preserve"> </w:t>
            </w:r>
          </w:p>
          <w:p w14:paraId="691CC0A6" w14:textId="77777777" w:rsidR="008B1794" w:rsidRPr="00623A2B" w:rsidRDefault="008B1794" w:rsidP="00C83EA7">
            <w:pPr>
              <w:suppressAutoHyphens/>
              <w:ind w:left="271" w:hanging="270"/>
              <w:rPr>
                <w:rFonts w:ascii="Times New Roman" w:hAnsi="Times New Roman"/>
                <w:color w:val="000000"/>
                <w:sz w:val="21"/>
                <w:szCs w:val="21"/>
                <w:lang w:val="fr-FR"/>
              </w:rPr>
            </w:pPr>
          </w:p>
          <w:p w14:paraId="0F178A68" w14:textId="77777777" w:rsidR="008B1794" w:rsidRPr="00623A2B" w:rsidRDefault="008B1794" w:rsidP="00573617">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 xml:space="preserve">De charger le Conseil permanent, par l’intermédiaire de la CAAP, et avec le soutien du Secrétariat général, de continuer à analyser différentes options pour l’établissement d’un processus budgétaire séparé et indépendant pour les mécanismes de supervision de l’OEA, y compris le Bureau de l’Ombudsman, le Bureau de l’Inspecteur général et le Tribunal administratif (TRIBAD). </w:t>
            </w:r>
            <w:r w:rsidRPr="00623A2B">
              <w:rPr>
                <w:rFonts w:ascii="Times New Roman" w:eastAsia="Calibri" w:hAnsi="Times New Roman"/>
                <w:sz w:val="21"/>
                <w:szCs w:val="21"/>
                <w:lang w:val="fr-FR" w:eastAsia="es-ES"/>
              </w:rPr>
              <w:t>Le Conseil permanent est autorisé à adopter, en tenant compte des recommandations de la CAAP, les mesures sur cette question.</w:t>
            </w:r>
          </w:p>
          <w:p w14:paraId="1525730D" w14:textId="77777777" w:rsidR="008B1794" w:rsidRPr="00623A2B" w:rsidRDefault="008B1794" w:rsidP="00C83EA7">
            <w:pPr>
              <w:ind w:left="271" w:hanging="270"/>
              <w:rPr>
                <w:rFonts w:ascii="Times New Roman" w:eastAsia="Calibri" w:hAnsi="Times New Roman"/>
                <w:color w:val="000000"/>
                <w:sz w:val="21"/>
                <w:szCs w:val="21"/>
                <w:lang w:val="fr-FR"/>
              </w:rPr>
            </w:pPr>
          </w:p>
          <w:p w14:paraId="58BB8733" w14:textId="77777777" w:rsidR="008B1794" w:rsidRPr="00623A2B" w:rsidRDefault="008B1794" w:rsidP="00573617">
            <w:pPr>
              <w:pStyle w:val="ListParagraph"/>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 xml:space="preserve">De charger le Secrétariat général de prendre en considération, lorsque les circonstances le permettent, l’équité nécessaire entre les quatre piliers programmatiques dans le cadre du processus d’élaboration budgétaire, dans le but d’assurer que les crédits budgétaires proposés permettent d’accomplir les mandats convenus par les organes politiques de l’Organisation, et de charger en outre le Secrétariat général de présenter à la CAAP au plus tard le 28 février 2021 des considérations sur la viabilité de parvenir à l’équité dans la répartition des ressources du programme-budget 2022 entre les piliers. </w:t>
            </w:r>
          </w:p>
          <w:p w14:paraId="2D3E8253" w14:textId="77777777" w:rsidR="008B1794" w:rsidRPr="00623A2B" w:rsidRDefault="008B1794" w:rsidP="00C83EA7">
            <w:pPr>
              <w:pStyle w:val="ListParagraph"/>
              <w:ind w:left="361"/>
              <w:rPr>
                <w:rFonts w:ascii="Times New Roman" w:hAnsi="Times New Roman"/>
                <w:b/>
                <w:bCs/>
                <w:color w:val="000000"/>
                <w:sz w:val="21"/>
                <w:szCs w:val="21"/>
                <w:lang w:val="fr-FR"/>
              </w:rPr>
            </w:pPr>
          </w:p>
        </w:tc>
        <w:tc>
          <w:tcPr>
            <w:tcW w:w="1768" w:type="dxa"/>
            <w:shd w:val="clear" w:color="auto" w:fill="auto"/>
            <w:noWrap/>
          </w:tcPr>
          <w:p w14:paraId="521A78FA" w14:textId="77777777" w:rsidR="008B1794" w:rsidRPr="00623A2B" w:rsidRDefault="008B1794" w:rsidP="00C83EA7">
            <w:pPr>
              <w:jc w:val="center"/>
              <w:rPr>
                <w:rFonts w:ascii="Times New Roman" w:hAnsi="Times New Roman"/>
                <w:color w:val="000000"/>
                <w:sz w:val="21"/>
                <w:szCs w:val="21"/>
                <w:lang w:val="fr-FR" w:eastAsia="es-ES_tradnl"/>
              </w:rPr>
            </w:pPr>
          </w:p>
          <w:p w14:paraId="5C9FEBF4" w14:textId="77777777" w:rsidR="008B1794" w:rsidRPr="00623A2B" w:rsidRDefault="008B1794" w:rsidP="00C83EA7">
            <w:pPr>
              <w:jc w:val="center"/>
              <w:rPr>
                <w:rFonts w:ascii="Times New Roman" w:hAnsi="Times New Roman"/>
                <w:color w:val="000000"/>
                <w:sz w:val="21"/>
                <w:szCs w:val="21"/>
                <w:lang w:val="fr-FR" w:eastAsia="es-ES_tradnl"/>
              </w:rPr>
            </w:pPr>
          </w:p>
          <w:p w14:paraId="7E2BE75F" w14:textId="77777777" w:rsidR="008B1794" w:rsidRPr="00623A2B" w:rsidRDefault="008B1794" w:rsidP="00C83EA7">
            <w:pPr>
              <w:jc w:val="center"/>
              <w:rPr>
                <w:rFonts w:ascii="Times New Roman" w:hAnsi="Times New Roman"/>
                <w:color w:val="000000"/>
                <w:sz w:val="21"/>
                <w:szCs w:val="21"/>
                <w:lang w:val="fr-FR" w:eastAsia="es-ES_tradnl"/>
              </w:rPr>
            </w:pPr>
          </w:p>
          <w:p w14:paraId="755831C0" w14:textId="77777777" w:rsidR="008B1794" w:rsidRPr="00623A2B" w:rsidRDefault="008B1794" w:rsidP="00C83EA7">
            <w:pPr>
              <w:jc w:val="center"/>
              <w:rPr>
                <w:rFonts w:ascii="Times New Roman" w:hAnsi="Times New Roman"/>
                <w:color w:val="000000"/>
                <w:sz w:val="21"/>
                <w:szCs w:val="21"/>
                <w:lang w:val="fr-FR" w:eastAsia="es-ES_tradnl"/>
              </w:rPr>
            </w:pPr>
          </w:p>
          <w:p w14:paraId="537997E6" w14:textId="77777777" w:rsidR="008B1794" w:rsidRPr="00623A2B" w:rsidRDefault="008B1794" w:rsidP="00C83EA7">
            <w:pPr>
              <w:jc w:val="center"/>
              <w:rPr>
                <w:rFonts w:ascii="Times New Roman" w:hAnsi="Times New Roman"/>
                <w:color w:val="000000"/>
                <w:sz w:val="21"/>
                <w:szCs w:val="21"/>
                <w:lang w:val="fr-FR" w:eastAsia="es-ES_tradnl"/>
              </w:rPr>
            </w:pPr>
          </w:p>
          <w:p w14:paraId="7AC523D9" w14:textId="77777777" w:rsidR="008B1794" w:rsidRPr="00623A2B" w:rsidRDefault="008B1794" w:rsidP="00C83EA7">
            <w:pPr>
              <w:jc w:val="center"/>
              <w:rPr>
                <w:rFonts w:ascii="Times New Roman" w:hAnsi="Times New Roman"/>
                <w:color w:val="000000"/>
                <w:sz w:val="21"/>
                <w:szCs w:val="21"/>
                <w:lang w:val="fr-FR" w:eastAsia="es-ES_tradnl"/>
              </w:rPr>
            </w:pPr>
          </w:p>
          <w:p w14:paraId="77FD3F1A" w14:textId="77777777" w:rsidR="008B1794" w:rsidRPr="00623A2B" w:rsidRDefault="008B1794" w:rsidP="00C83EA7">
            <w:pPr>
              <w:jc w:val="center"/>
              <w:rPr>
                <w:rFonts w:ascii="Times New Roman" w:hAnsi="Times New Roman"/>
                <w:color w:val="000000"/>
                <w:sz w:val="21"/>
                <w:szCs w:val="21"/>
                <w:lang w:val="fr-FR" w:eastAsia="es-ES_tradnl"/>
              </w:rPr>
            </w:pPr>
          </w:p>
          <w:p w14:paraId="496AD1A4" w14:textId="77777777" w:rsidR="008B1794" w:rsidRPr="00623A2B" w:rsidRDefault="008B1794" w:rsidP="00C83EA7">
            <w:pPr>
              <w:jc w:val="center"/>
              <w:rPr>
                <w:rFonts w:ascii="Times New Roman" w:hAnsi="Times New Roman"/>
                <w:color w:val="000000"/>
                <w:sz w:val="21"/>
                <w:szCs w:val="21"/>
                <w:lang w:val="fr-FR" w:eastAsia="es-ES_tradnl"/>
              </w:rPr>
            </w:pPr>
          </w:p>
          <w:p w14:paraId="21F94A89" w14:textId="77777777" w:rsidR="008B1794" w:rsidRPr="00623A2B" w:rsidRDefault="008B1794" w:rsidP="00C83EA7">
            <w:pPr>
              <w:jc w:val="center"/>
              <w:rPr>
                <w:rFonts w:ascii="Times New Roman" w:hAnsi="Times New Roman"/>
                <w:color w:val="000000"/>
                <w:sz w:val="21"/>
                <w:szCs w:val="21"/>
                <w:lang w:val="fr-FR" w:eastAsia="es-ES_tradnl"/>
              </w:rPr>
            </w:pPr>
          </w:p>
          <w:p w14:paraId="73AD27F5" w14:textId="77777777" w:rsidR="008B1794" w:rsidRPr="00623A2B" w:rsidRDefault="008B1794" w:rsidP="00C83EA7">
            <w:pPr>
              <w:jc w:val="center"/>
              <w:rPr>
                <w:rFonts w:ascii="Times New Roman" w:hAnsi="Times New Roman"/>
                <w:color w:val="000000"/>
                <w:sz w:val="21"/>
                <w:szCs w:val="21"/>
                <w:lang w:val="fr-FR" w:eastAsia="es-ES_tradnl"/>
              </w:rPr>
            </w:pPr>
          </w:p>
          <w:p w14:paraId="54E2D910" w14:textId="77777777" w:rsidR="008B1794" w:rsidRPr="00623A2B" w:rsidRDefault="008B1794" w:rsidP="00C83EA7">
            <w:pPr>
              <w:jc w:val="center"/>
              <w:rPr>
                <w:rFonts w:ascii="Times New Roman" w:hAnsi="Times New Roman"/>
                <w:color w:val="000000"/>
                <w:sz w:val="21"/>
                <w:szCs w:val="21"/>
                <w:lang w:val="fr-FR" w:eastAsia="es-ES_tradnl"/>
              </w:rPr>
            </w:pPr>
          </w:p>
          <w:p w14:paraId="1DAE2CC8" w14:textId="77777777" w:rsidR="008B1794" w:rsidRPr="00623A2B" w:rsidRDefault="008B1794" w:rsidP="00C83EA7">
            <w:pPr>
              <w:jc w:val="center"/>
              <w:rPr>
                <w:rFonts w:ascii="Times New Roman" w:hAnsi="Times New Roman"/>
                <w:color w:val="000000"/>
                <w:sz w:val="21"/>
                <w:szCs w:val="21"/>
                <w:lang w:val="fr-FR" w:eastAsia="es-ES_tradnl"/>
              </w:rPr>
            </w:pPr>
          </w:p>
          <w:p w14:paraId="3DF8B2B3" w14:textId="77777777" w:rsidR="008B1794" w:rsidRPr="00623A2B" w:rsidRDefault="008B1794" w:rsidP="00C83EA7">
            <w:pPr>
              <w:jc w:val="center"/>
              <w:rPr>
                <w:rFonts w:ascii="Times New Roman" w:hAnsi="Times New Roman"/>
                <w:color w:val="000000"/>
                <w:sz w:val="21"/>
                <w:szCs w:val="21"/>
                <w:lang w:val="fr-FR" w:eastAsia="es-ES_tradnl"/>
              </w:rPr>
            </w:pPr>
          </w:p>
          <w:p w14:paraId="08EC3FCB" w14:textId="77777777" w:rsidR="008B1794" w:rsidRPr="00623A2B" w:rsidRDefault="008B1794" w:rsidP="00C83EA7">
            <w:pPr>
              <w:jc w:val="center"/>
              <w:rPr>
                <w:rFonts w:ascii="Times New Roman" w:hAnsi="Times New Roman"/>
                <w:color w:val="000000"/>
                <w:sz w:val="21"/>
                <w:szCs w:val="21"/>
                <w:lang w:val="fr-FR" w:eastAsia="es-ES_tradnl"/>
              </w:rPr>
            </w:pPr>
          </w:p>
          <w:p w14:paraId="6A57FC26" w14:textId="77777777" w:rsidR="008B1794" w:rsidRPr="00623A2B" w:rsidRDefault="008B1794" w:rsidP="00C83EA7">
            <w:pPr>
              <w:jc w:val="center"/>
              <w:rPr>
                <w:rFonts w:ascii="Times New Roman" w:hAnsi="Times New Roman"/>
                <w:color w:val="000000"/>
                <w:sz w:val="21"/>
                <w:szCs w:val="21"/>
                <w:lang w:val="fr-FR" w:eastAsia="es-ES_tradnl"/>
              </w:rPr>
            </w:pPr>
          </w:p>
          <w:p w14:paraId="13266F2C" w14:textId="681DFAED" w:rsidR="008B1794" w:rsidRDefault="008B1794" w:rsidP="00C83EA7">
            <w:pPr>
              <w:jc w:val="center"/>
              <w:rPr>
                <w:rFonts w:ascii="Times New Roman" w:hAnsi="Times New Roman"/>
                <w:color w:val="000000"/>
                <w:sz w:val="21"/>
                <w:szCs w:val="21"/>
                <w:lang w:val="fr-FR" w:eastAsia="es-ES_tradnl"/>
              </w:rPr>
            </w:pPr>
          </w:p>
          <w:p w14:paraId="613044B1" w14:textId="77777777" w:rsidR="00DD002B" w:rsidRPr="00623A2B" w:rsidRDefault="00DD002B" w:rsidP="00C83EA7">
            <w:pPr>
              <w:jc w:val="center"/>
              <w:rPr>
                <w:rFonts w:ascii="Times New Roman" w:hAnsi="Times New Roman"/>
                <w:color w:val="000000"/>
                <w:sz w:val="21"/>
                <w:szCs w:val="21"/>
                <w:lang w:val="fr-FR" w:eastAsia="es-ES_tradnl"/>
              </w:rPr>
            </w:pPr>
          </w:p>
          <w:p w14:paraId="4483B23E" w14:textId="77777777" w:rsidR="008B1794" w:rsidRPr="00623A2B" w:rsidRDefault="008B1794" w:rsidP="00C83EA7">
            <w:pPr>
              <w:jc w:val="center"/>
              <w:rPr>
                <w:rFonts w:ascii="Times New Roman" w:hAnsi="Times New Roman"/>
                <w:color w:val="000000"/>
                <w:sz w:val="21"/>
                <w:szCs w:val="21"/>
                <w:lang w:val="fr-FR" w:eastAsia="es-ES_tradnl"/>
              </w:rPr>
            </w:pPr>
          </w:p>
          <w:p w14:paraId="0B59C467" w14:textId="77777777" w:rsidR="008B1794" w:rsidRPr="00623A2B" w:rsidRDefault="008B1794" w:rsidP="00C83EA7">
            <w:pPr>
              <w:jc w:val="center"/>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31 juillet 2022</w:t>
            </w:r>
          </w:p>
          <w:p w14:paraId="0DD048A9" w14:textId="77777777" w:rsidR="008B1794" w:rsidRPr="00623A2B" w:rsidRDefault="008B1794" w:rsidP="00C83EA7">
            <w:pPr>
              <w:jc w:val="center"/>
              <w:rPr>
                <w:rFonts w:ascii="Times New Roman" w:hAnsi="Times New Roman"/>
                <w:color w:val="000000"/>
                <w:sz w:val="21"/>
                <w:szCs w:val="21"/>
                <w:lang w:val="fr-FR" w:eastAsia="es-ES_tradnl"/>
              </w:rPr>
            </w:pPr>
          </w:p>
        </w:tc>
      </w:tr>
      <w:tr w:rsidR="008B1794" w:rsidRPr="00213B6A" w14:paraId="41F1DAF3" w14:textId="77777777" w:rsidTr="005A11FB">
        <w:trPr>
          <w:trHeight w:val="390"/>
        </w:trPr>
        <w:tc>
          <w:tcPr>
            <w:tcW w:w="479" w:type="dxa"/>
            <w:shd w:val="clear" w:color="auto" w:fill="auto"/>
          </w:tcPr>
          <w:p w14:paraId="74284072" w14:textId="77777777" w:rsidR="008B1794" w:rsidRPr="00623A2B" w:rsidRDefault="008B1794" w:rsidP="00C83EA7">
            <w:pPr>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7.</w:t>
            </w:r>
          </w:p>
        </w:tc>
        <w:tc>
          <w:tcPr>
            <w:tcW w:w="2037" w:type="dxa"/>
            <w:shd w:val="clear" w:color="auto" w:fill="auto"/>
            <w:noWrap/>
          </w:tcPr>
          <w:p w14:paraId="473D4F8C" w14:textId="77777777" w:rsidR="008B1794" w:rsidRPr="00623A2B" w:rsidRDefault="008B1794" w:rsidP="00C83EA7">
            <w:pPr>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Révision des Normes générales de fonctionnement du Secrétariat général de l’Organisation des États Américains</w:t>
            </w:r>
          </w:p>
        </w:tc>
        <w:tc>
          <w:tcPr>
            <w:tcW w:w="5674" w:type="dxa"/>
            <w:shd w:val="clear" w:color="auto" w:fill="auto"/>
            <w:noWrap/>
          </w:tcPr>
          <w:p w14:paraId="16218AB3" w14:textId="77777777" w:rsidR="008B1794" w:rsidRPr="00623A2B" w:rsidRDefault="008B1794" w:rsidP="00C83EA7">
            <w:pPr>
              <w:ind w:left="271" w:hanging="271"/>
              <w:rPr>
                <w:rFonts w:ascii="Times New Roman" w:hAnsi="Times New Roman"/>
                <w:b/>
                <w:bCs/>
                <w:color w:val="000000"/>
                <w:sz w:val="21"/>
                <w:szCs w:val="21"/>
                <w:lang w:val="pt-BR"/>
              </w:rPr>
            </w:pPr>
            <w:r w:rsidRPr="00623A2B">
              <w:rPr>
                <w:rFonts w:ascii="Times New Roman" w:eastAsia="Calibri" w:hAnsi="Times New Roman"/>
                <w:b/>
                <w:color w:val="000000"/>
                <w:sz w:val="21"/>
                <w:szCs w:val="21"/>
                <w:lang w:val="pt-BR"/>
              </w:rPr>
              <w:t>AG/RES. 2957 (L-O/20) paragraphe IV.9</w:t>
            </w:r>
          </w:p>
          <w:p w14:paraId="1FD2AA87" w14:textId="77777777" w:rsidR="008B1794" w:rsidRPr="00623A2B" w:rsidRDefault="008B1794" w:rsidP="00C83EA7">
            <w:pPr>
              <w:suppressAutoHyphens/>
              <w:ind w:left="271" w:hanging="271"/>
              <w:rPr>
                <w:rFonts w:ascii="Times New Roman" w:hAnsi="Times New Roman"/>
                <w:color w:val="000000"/>
                <w:sz w:val="21"/>
                <w:szCs w:val="21"/>
                <w:lang w:val="fr-FR"/>
              </w:rPr>
            </w:pPr>
            <w:r w:rsidRPr="00623A2B">
              <w:rPr>
                <w:rFonts w:ascii="Times New Roman" w:eastAsia="Calibri" w:hAnsi="Times New Roman"/>
                <w:b/>
                <w:color w:val="000000"/>
                <w:sz w:val="21"/>
                <w:szCs w:val="21"/>
                <w:lang w:val="fr-FR"/>
              </w:rPr>
              <w:t>Mandat :</w:t>
            </w:r>
          </w:p>
          <w:p w14:paraId="6FE4CB0A" w14:textId="77777777" w:rsidR="008B1794" w:rsidRPr="00623A2B" w:rsidRDefault="008B1794" w:rsidP="00573617">
            <w:pPr>
              <w:widowControl/>
              <w:numPr>
                <w:ilvl w:val="1"/>
                <w:numId w:val="42"/>
              </w:numPr>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hAnsi="Times New Roman"/>
                <w:color w:val="000000"/>
                <w:sz w:val="21"/>
                <w:szCs w:val="21"/>
                <w:lang w:val="fr-FR"/>
              </w:rPr>
            </w:pPr>
            <w:r w:rsidRPr="00623A2B">
              <w:rPr>
                <w:rFonts w:ascii="Times New Roman" w:eastAsia="Calibri" w:hAnsi="Times New Roman"/>
                <w:sz w:val="21"/>
                <w:szCs w:val="21"/>
                <w:lang w:val="fr-FR"/>
              </w:rPr>
              <w:t xml:space="preserve">De réaffirmer le mandat contenu dans la résolution </w:t>
            </w:r>
            <w:hyperlink r:id="rId107" w:history="1">
              <w:r w:rsidRPr="00623A2B">
                <w:rPr>
                  <w:rFonts w:ascii="Times New Roman" w:eastAsia="Calibri" w:hAnsi="Times New Roman"/>
                  <w:color w:val="0000FF"/>
                  <w:sz w:val="21"/>
                  <w:szCs w:val="21"/>
                  <w:u w:val="single"/>
                  <w:lang w:val="fr-FR"/>
                </w:rPr>
                <w:t>AG/RES.</w:t>
              </w:r>
            </w:hyperlink>
            <w:r w:rsidRPr="00623A2B">
              <w:rPr>
                <w:rFonts w:ascii="Times New Roman" w:eastAsia="Calibri" w:hAnsi="Times New Roman"/>
                <w:color w:val="0000FF"/>
                <w:sz w:val="21"/>
                <w:szCs w:val="21"/>
                <w:u w:val="single"/>
                <w:lang w:val="fr-FR"/>
              </w:rPr>
              <w:t xml:space="preserve">1 (XLVIII-E/14) </w:t>
            </w:r>
            <w:proofErr w:type="spellStart"/>
            <w:r w:rsidRPr="00623A2B">
              <w:rPr>
                <w:rFonts w:ascii="Times New Roman" w:eastAsia="Calibri" w:hAnsi="Times New Roman"/>
                <w:color w:val="0000FF"/>
                <w:sz w:val="21"/>
                <w:szCs w:val="21"/>
                <w:u w:val="single"/>
                <w:lang w:val="fr-FR"/>
              </w:rPr>
              <w:t>rev</w:t>
            </w:r>
            <w:proofErr w:type="spellEnd"/>
            <w:r w:rsidRPr="00623A2B">
              <w:rPr>
                <w:rFonts w:ascii="Times New Roman" w:eastAsia="Calibri" w:hAnsi="Times New Roman"/>
                <w:color w:val="0000FF"/>
                <w:sz w:val="21"/>
                <w:szCs w:val="21"/>
                <w:u w:val="single"/>
                <w:lang w:val="fr-FR"/>
              </w:rPr>
              <w:t>. 1</w:t>
            </w:r>
            <w:r w:rsidRPr="00623A2B">
              <w:rPr>
                <w:rFonts w:ascii="Times New Roman" w:eastAsia="Calibri" w:hAnsi="Times New Roman"/>
                <w:sz w:val="21"/>
                <w:szCs w:val="21"/>
                <w:lang w:val="fr-FR"/>
              </w:rPr>
              <w:t>, laquelle charge le Conseil permanent, par le truchement de la CAAP, de mener un examen exhaustif des Normes générales, en particulier les chapitres VII et VIII, et de charger la CAAP d’examiner ces chapitres, puis d’en présenter les résultats, une analyse ou des recommandations éventuelles à cet égard à l’Assemblée générale lors de sa cinquante-et-unième session ordinaire.</w:t>
            </w:r>
            <w:r w:rsidRPr="00623A2B">
              <w:rPr>
                <w:rFonts w:ascii="Times New Roman" w:eastAsia="Calibri" w:hAnsi="Times New Roman"/>
                <w:color w:val="000000"/>
                <w:sz w:val="21"/>
                <w:szCs w:val="21"/>
                <w:lang w:val="fr-FR"/>
              </w:rPr>
              <w:t xml:space="preserve"> Cette proposition doit contenir les règles de stabilité et de discipline financière et budgétaire qui garantissent la viabilité à moyen et à long terme de l'Organisation. </w:t>
            </w:r>
          </w:p>
          <w:p w14:paraId="374E4235" w14:textId="52CB7BC3" w:rsidR="008B1794" w:rsidRPr="00623A2B" w:rsidRDefault="008B1794" w:rsidP="00C83EA7">
            <w:pPr>
              <w:suppressAutoHyphens/>
              <w:ind w:left="271" w:hanging="271"/>
              <w:rPr>
                <w:rFonts w:ascii="Times New Roman" w:hAnsi="Times New Roman"/>
                <w:color w:val="000000"/>
                <w:sz w:val="21"/>
                <w:szCs w:val="21"/>
                <w:lang w:val="fr-FR" w:eastAsia="es-ES"/>
              </w:rPr>
            </w:pPr>
          </w:p>
          <w:p w14:paraId="6357C5A6" w14:textId="77777777" w:rsidR="005A11FB" w:rsidRPr="00623A2B" w:rsidRDefault="005A11FB" w:rsidP="00C83EA7">
            <w:pPr>
              <w:suppressAutoHyphens/>
              <w:ind w:left="271" w:hanging="271"/>
              <w:rPr>
                <w:rFonts w:ascii="Times New Roman" w:hAnsi="Times New Roman"/>
                <w:color w:val="000000"/>
                <w:sz w:val="21"/>
                <w:szCs w:val="21"/>
                <w:lang w:val="fr-FR" w:eastAsia="es-ES"/>
              </w:rPr>
            </w:pPr>
          </w:p>
          <w:p w14:paraId="504EC398" w14:textId="77777777" w:rsidR="008B1794" w:rsidRPr="00623A2B" w:rsidRDefault="008B1794" w:rsidP="00C83EA7">
            <w:pPr>
              <w:suppressAutoHyphens/>
              <w:ind w:left="271" w:hanging="271"/>
              <w:rPr>
                <w:rFonts w:ascii="Times New Roman" w:hAnsi="Times New Roman"/>
                <w:i/>
                <w:iCs/>
                <w:color w:val="000000"/>
                <w:sz w:val="21"/>
                <w:szCs w:val="21"/>
                <w:lang w:val="fr-FR"/>
              </w:rPr>
            </w:pPr>
            <w:r w:rsidRPr="00623A2B">
              <w:rPr>
                <w:rFonts w:ascii="Times New Roman" w:eastAsia="Calibri" w:hAnsi="Times New Roman"/>
                <w:color w:val="000000"/>
                <w:sz w:val="21"/>
                <w:szCs w:val="21"/>
                <w:lang w:val="fr-FR"/>
              </w:rPr>
              <w:lastRenderedPageBreak/>
              <w:t>b)</w:t>
            </w:r>
            <w:r w:rsidRPr="00623A2B">
              <w:rPr>
                <w:rFonts w:ascii="Times New Roman" w:eastAsia="Calibri" w:hAnsi="Times New Roman"/>
                <w:color w:val="000000"/>
                <w:sz w:val="21"/>
                <w:szCs w:val="21"/>
                <w:lang w:val="fr-FR"/>
              </w:rPr>
              <w:tab/>
              <w:t xml:space="preserve">De charger le Secrétaire général d'accompagner toutes les requêtes de virement de fonds subordonnées à l'approbation du Conseil permanent d'options possibles, basées sur les économies et les gains d'efficacité du chapitre du programme-budget, pour déterminer la provenance éventuelle des fonds ainsi qu’une justification correspondant à chaque option possible. </w:t>
            </w:r>
          </w:p>
          <w:p w14:paraId="78B27DF9" w14:textId="77777777" w:rsidR="008B1794" w:rsidRPr="00623A2B" w:rsidRDefault="008B1794" w:rsidP="00C83EA7">
            <w:pPr>
              <w:suppressAutoHyphens/>
              <w:ind w:left="271" w:hanging="271"/>
              <w:rPr>
                <w:rFonts w:ascii="Times New Roman" w:hAnsi="Times New Roman"/>
                <w:b/>
                <w:bCs/>
                <w:color w:val="000000"/>
                <w:sz w:val="21"/>
                <w:szCs w:val="21"/>
                <w:lang w:val="fr-FR" w:eastAsia="es-ES_tradnl"/>
              </w:rPr>
            </w:pPr>
          </w:p>
        </w:tc>
        <w:tc>
          <w:tcPr>
            <w:tcW w:w="1768" w:type="dxa"/>
            <w:shd w:val="clear" w:color="auto" w:fill="auto"/>
            <w:noWrap/>
          </w:tcPr>
          <w:p w14:paraId="7297BEE7" w14:textId="77777777" w:rsidR="008B1794" w:rsidRPr="00623A2B" w:rsidRDefault="008B1794" w:rsidP="00C83EA7">
            <w:pPr>
              <w:jc w:val="center"/>
              <w:rPr>
                <w:rFonts w:ascii="Times New Roman" w:hAnsi="Times New Roman"/>
                <w:color w:val="000000"/>
                <w:sz w:val="21"/>
                <w:szCs w:val="21"/>
                <w:lang w:val="fr-FR" w:eastAsia="es-ES_tradnl"/>
              </w:rPr>
            </w:pPr>
          </w:p>
          <w:p w14:paraId="42839117" w14:textId="77777777" w:rsidR="008B1794" w:rsidRPr="00623A2B" w:rsidRDefault="008B1794" w:rsidP="00C83EA7">
            <w:pPr>
              <w:jc w:val="center"/>
              <w:rPr>
                <w:rFonts w:ascii="Times New Roman" w:hAnsi="Times New Roman"/>
                <w:color w:val="000000"/>
                <w:sz w:val="21"/>
                <w:szCs w:val="21"/>
                <w:lang w:val="fr-FR" w:eastAsia="es-ES_tradnl"/>
              </w:rPr>
            </w:pPr>
          </w:p>
          <w:p w14:paraId="4C61EBDB" w14:textId="77777777" w:rsidR="008B1794" w:rsidRPr="00623A2B" w:rsidRDefault="008B1794" w:rsidP="00C83EA7">
            <w:pPr>
              <w:jc w:val="center"/>
              <w:rPr>
                <w:rFonts w:ascii="Times New Roman" w:hAnsi="Times New Roman"/>
                <w:color w:val="000000"/>
                <w:sz w:val="21"/>
                <w:szCs w:val="21"/>
                <w:lang w:val="fr-FR" w:eastAsia="es-ES_tradnl"/>
              </w:rPr>
            </w:pPr>
          </w:p>
          <w:p w14:paraId="63A21BDB" w14:textId="77777777" w:rsidR="008B1794" w:rsidRPr="00623A2B" w:rsidRDefault="008B1794" w:rsidP="00C83EA7">
            <w:pPr>
              <w:jc w:val="center"/>
              <w:rPr>
                <w:rFonts w:ascii="Times New Roman" w:hAnsi="Times New Roman"/>
                <w:color w:val="000000"/>
                <w:sz w:val="21"/>
                <w:szCs w:val="21"/>
                <w:lang w:val="fr-FR" w:eastAsia="es-ES_tradnl"/>
              </w:rPr>
            </w:pPr>
          </w:p>
          <w:p w14:paraId="5D137E98" w14:textId="77777777" w:rsidR="008B1794" w:rsidRPr="00623A2B" w:rsidRDefault="008B1794" w:rsidP="00C83EA7">
            <w:pPr>
              <w:jc w:val="center"/>
              <w:rPr>
                <w:rFonts w:ascii="Times New Roman" w:hAnsi="Times New Roman"/>
                <w:color w:val="000000"/>
                <w:sz w:val="21"/>
                <w:szCs w:val="21"/>
                <w:lang w:val="fr-FR" w:eastAsia="es-ES_tradnl"/>
              </w:rPr>
            </w:pPr>
          </w:p>
          <w:p w14:paraId="4FEC657C" w14:textId="77777777" w:rsidR="008B1794" w:rsidRPr="00623A2B" w:rsidRDefault="008B1794" w:rsidP="00C83EA7">
            <w:pPr>
              <w:jc w:val="center"/>
              <w:rPr>
                <w:rFonts w:ascii="Times New Roman" w:hAnsi="Times New Roman"/>
                <w:color w:val="000000"/>
                <w:sz w:val="21"/>
                <w:szCs w:val="21"/>
                <w:lang w:val="fr-FR" w:eastAsia="es-ES_tradnl"/>
              </w:rPr>
            </w:pPr>
          </w:p>
          <w:p w14:paraId="3AFE1ED6" w14:textId="77777777" w:rsidR="008B1794" w:rsidRPr="00623A2B" w:rsidRDefault="008B1794" w:rsidP="00C83EA7">
            <w:pPr>
              <w:jc w:val="center"/>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Cinquante-deuxième session ordinaire de l’Assemblée générale</w:t>
            </w:r>
          </w:p>
        </w:tc>
      </w:tr>
      <w:tr w:rsidR="008B1794" w:rsidRPr="00623A2B" w14:paraId="4112E1E9" w14:textId="77777777" w:rsidTr="005A11FB">
        <w:trPr>
          <w:trHeight w:val="390"/>
        </w:trPr>
        <w:tc>
          <w:tcPr>
            <w:tcW w:w="479" w:type="dxa"/>
            <w:shd w:val="clear" w:color="auto" w:fill="auto"/>
          </w:tcPr>
          <w:p w14:paraId="766962A2" w14:textId="77777777" w:rsidR="008B1794" w:rsidRPr="00623A2B" w:rsidRDefault="008B1794" w:rsidP="00C83EA7">
            <w:pPr>
              <w:keepNext/>
              <w:suppressAutoHyphens/>
              <w:contextualSpacing/>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8.</w:t>
            </w:r>
          </w:p>
        </w:tc>
        <w:tc>
          <w:tcPr>
            <w:tcW w:w="2037" w:type="dxa"/>
            <w:shd w:val="clear" w:color="auto" w:fill="auto"/>
            <w:noWrap/>
          </w:tcPr>
          <w:p w14:paraId="43F9D032" w14:textId="77777777" w:rsidR="008B1794" w:rsidRPr="00623A2B" w:rsidRDefault="008B1794" w:rsidP="00C83EA7">
            <w:pPr>
              <w:suppressAutoHyphens/>
              <w:contextualSpacing/>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Voyages officiels</w:t>
            </w:r>
          </w:p>
          <w:p w14:paraId="61B4E501" w14:textId="77777777" w:rsidR="008B1794" w:rsidRPr="00623A2B" w:rsidRDefault="008B1794" w:rsidP="00C83EA7">
            <w:pPr>
              <w:rPr>
                <w:rFonts w:ascii="Times New Roman" w:hAnsi="Times New Roman"/>
                <w:color w:val="000000"/>
                <w:sz w:val="21"/>
                <w:szCs w:val="21"/>
                <w:lang w:val="fr-FR" w:eastAsia="es-ES_tradnl"/>
              </w:rPr>
            </w:pPr>
          </w:p>
        </w:tc>
        <w:tc>
          <w:tcPr>
            <w:tcW w:w="5674" w:type="dxa"/>
            <w:shd w:val="clear" w:color="auto" w:fill="auto"/>
            <w:noWrap/>
          </w:tcPr>
          <w:p w14:paraId="73C24535" w14:textId="77777777" w:rsidR="008B1794" w:rsidRPr="00623A2B" w:rsidRDefault="008B1794" w:rsidP="00C83EA7">
            <w:pPr>
              <w:rPr>
                <w:rFonts w:ascii="Times New Roman" w:hAnsi="Times New Roman"/>
                <w:b/>
                <w:bCs/>
                <w:color w:val="000000"/>
                <w:sz w:val="21"/>
                <w:szCs w:val="21"/>
                <w:lang w:val="pt-BR"/>
              </w:rPr>
            </w:pPr>
            <w:r w:rsidRPr="00623A2B">
              <w:rPr>
                <w:rFonts w:ascii="Times New Roman" w:eastAsia="Calibri" w:hAnsi="Times New Roman"/>
                <w:b/>
                <w:color w:val="000000"/>
                <w:sz w:val="21"/>
                <w:szCs w:val="21"/>
                <w:lang w:val="pt-BR"/>
              </w:rPr>
              <w:t>AG/RES. 2957 (L-O/20) paragraphe IV.10</w:t>
            </w:r>
          </w:p>
          <w:p w14:paraId="7EE5E707" w14:textId="77777777" w:rsidR="008B1794" w:rsidRPr="00623A2B" w:rsidRDefault="008B1794" w:rsidP="00C83EA7">
            <w:pPr>
              <w:suppressAutoHyphens/>
              <w:rPr>
                <w:rFonts w:ascii="Times New Roman" w:hAnsi="Times New Roman"/>
                <w:b/>
                <w:bCs/>
                <w:color w:val="000000"/>
                <w:sz w:val="21"/>
                <w:szCs w:val="21"/>
                <w:lang w:val="fr-FR"/>
              </w:rPr>
            </w:pPr>
            <w:r w:rsidRPr="00623A2B">
              <w:rPr>
                <w:rFonts w:ascii="Times New Roman" w:eastAsia="Calibri" w:hAnsi="Times New Roman"/>
                <w:b/>
                <w:color w:val="000000"/>
                <w:sz w:val="21"/>
                <w:szCs w:val="21"/>
                <w:lang w:val="fr-FR"/>
              </w:rPr>
              <w:t>Mandat :</w:t>
            </w:r>
          </w:p>
          <w:p w14:paraId="54DD0395" w14:textId="77777777" w:rsidR="008B1794" w:rsidRPr="00623A2B" w:rsidRDefault="008B1794" w:rsidP="00C83EA7">
            <w:pPr>
              <w:suppressAutoHyphens/>
              <w:rPr>
                <w:rFonts w:ascii="Times New Roman" w:hAnsi="Times New Roman"/>
                <w:color w:val="000000"/>
                <w:sz w:val="21"/>
                <w:szCs w:val="21"/>
                <w:lang w:val="fr-FR"/>
              </w:rPr>
            </w:pPr>
          </w:p>
          <w:p w14:paraId="3DDF57B3" w14:textId="77777777" w:rsidR="008B1794" w:rsidRPr="00623A2B" w:rsidRDefault="008B1794" w:rsidP="00573617">
            <w:pPr>
              <w:widowControl/>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 xml:space="preserve">De charger le Secrétaire général, le Secrétaire général adjoint et les secrétariats de tous les chapitres, y compris ceux des organes et entités spécialisés, de soumettre tous les trimestres au Conseil permanent un rapport détaillé sur les activités hors siège de leurs bureaux, comportant, entre autres, les renseignements suivants : dates du voyage, destination, délégation et objet du voyage, avec une mention du mandat approuvé par les États membres qui justifie le voyage. </w:t>
            </w:r>
          </w:p>
          <w:p w14:paraId="3C344F6F" w14:textId="77777777" w:rsidR="008B1794" w:rsidRPr="00623A2B" w:rsidRDefault="008B1794" w:rsidP="00C83EA7">
            <w:pPr>
              <w:suppressAutoHyphens/>
              <w:ind w:left="271" w:hanging="270"/>
              <w:rPr>
                <w:rFonts w:ascii="Times New Roman" w:hAnsi="Times New Roman"/>
                <w:color w:val="000000"/>
                <w:sz w:val="21"/>
                <w:szCs w:val="21"/>
                <w:lang w:val="fr-FR" w:eastAsia="es-ES"/>
              </w:rPr>
            </w:pPr>
          </w:p>
          <w:p w14:paraId="3DD83442" w14:textId="77777777" w:rsidR="008B1794" w:rsidRPr="00623A2B" w:rsidRDefault="008B1794" w:rsidP="00C83EA7">
            <w:pPr>
              <w:suppressAutoHyphens/>
              <w:ind w:left="271" w:hanging="270"/>
              <w:rPr>
                <w:rFonts w:ascii="Times New Roman" w:hAnsi="Times New Roman"/>
                <w:i/>
                <w:iCs/>
                <w:color w:val="000000"/>
                <w:sz w:val="21"/>
                <w:szCs w:val="21"/>
                <w:lang w:val="fr-FR"/>
              </w:rPr>
            </w:pPr>
            <w:r w:rsidRPr="00623A2B">
              <w:rPr>
                <w:rFonts w:ascii="Times New Roman" w:eastAsia="Calibri" w:hAnsi="Times New Roman"/>
                <w:color w:val="000000"/>
                <w:sz w:val="21"/>
                <w:szCs w:val="21"/>
                <w:lang w:val="fr-FR"/>
              </w:rPr>
              <w:t>b)</w:t>
            </w:r>
            <w:r w:rsidRPr="00623A2B">
              <w:rPr>
                <w:rFonts w:ascii="Times New Roman" w:eastAsia="Calibri" w:hAnsi="Times New Roman"/>
                <w:color w:val="000000"/>
                <w:sz w:val="21"/>
                <w:szCs w:val="21"/>
                <w:lang w:val="fr-FR"/>
              </w:rPr>
              <w:tab/>
              <w:t xml:space="preserve">De charger le Secrétariat général de publier sur sa page web les rapports demandés au paragraphe précédent. </w:t>
            </w:r>
          </w:p>
          <w:p w14:paraId="2A59A723" w14:textId="77777777" w:rsidR="008B1794" w:rsidRPr="00623A2B" w:rsidRDefault="008B1794" w:rsidP="00C83EA7">
            <w:pPr>
              <w:rPr>
                <w:rFonts w:ascii="Times New Roman" w:hAnsi="Times New Roman"/>
                <w:b/>
                <w:bCs/>
                <w:color w:val="000000"/>
                <w:sz w:val="21"/>
                <w:szCs w:val="21"/>
                <w:lang w:val="fr-FR" w:eastAsia="es-ES_tradnl"/>
              </w:rPr>
            </w:pPr>
          </w:p>
        </w:tc>
        <w:tc>
          <w:tcPr>
            <w:tcW w:w="1768" w:type="dxa"/>
            <w:shd w:val="clear" w:color="auto" w:fill="auto"/>
            <w:noWrap/>
          </w:tcPr>
          <w:p w14:paraId="4C6DB76A" w14:textId="77777777" w:rsidR="008B1794" w:rsidRPr="00623A2B" w:rsidRDefault="008B1794" w:rsidP="00C83EA7">
            <w:pPr>
              <w:jc w:val="center"/>
              <w:rPr>
                <w:rFonts w:ascii="Times New Roman" w:hAnsi="Times New Roman"/>
                <w:color w:val="000000"/>
                <w:sz w:val="21"/>
                <w:szCs w:val="21"/>
                <w:lang w:val="fr-FR" w:eastAsia="es-ES_tradnl"/>
              </w:rPr>
            </w:pPr>
          </w:p>
          <w:p w14:paraId="28224536" w14:textId="77777777" w:rsidR="008B1794" w:rsidRPr="00623A2B" w:rsidRDefault="008B1794" w:rsidP="00C83EA7">
            <w:pPr>
              <w:jc w:val="center"/>
              <w:rPr>
                <w:rFonts w:ascii="Times New Roman" w:hAnsi="Times New Roman"/>
                <w:color w:val="000000"/>
                <w:sz w:val="21"/>
                <w:szCs w:val="21"/>
                <w:lang w:val="fr-FR" w:eastAsia="es-ES_tradnl"/>
              </w:rPr>
            </w:pPr>
          </w:p>
          <w:p w14:paraId="45C5EB14" w14:textId="77777777" w:rsidR="008B1794" w:rsidRPr="00623A2B" w:rsidRDefault="008B1794" w:rsidP="00C83EA7">
            <w:pPr>
              <w:jc w:val="center"/>
              <w:rPr>
                <w:rFonts w:ascii="Times New Roman" w:hAnsi="Times New Roman"/>
                <w:color w:val="000000"/>
                <w:sz w:val="21"/>
                <w:szCs w:val="21"/>
                <w:lang w:val="fr-FR" w:eastAsia="es-ES_tradnl"/>
              </w:rPr>
            </w:pPr>
          </w:p>
          <w:p w14:paraId="54D83C86" w14:textId="77777777" w:rsidR="008B1794" w:rsidRPr="00623A2B" w:rsidRDefault="008B1794" w:rsidP="00C83EA7">
            <w:pPr>
              <w:jc w:val="center"/>
              <w:rPr>
                <w:rFonts w:ascii="Times New Roman" w:hAnsi="Times New Roman"/>
                <w:color w:val="000000"/>
                <w:sz w:val="21"/>
                <w:szCs w:val="21"/>
                <w:lang w:val="fr-FR" w:eastAsia="es-ES_tradnl"/>
              </w:rPr>
            </w:pPr>
          </w:p>
          <w:p w14:paraId="0696CDDB" w14:textId="77777777" w:rsidR="008B1794" w:rsidRPr="00623A2B" w:rsidRDefault="008B1794" w:rsidP="00C83EA7">
            <w:pPr>
              <w:jc w:val="center"/>
              <w:rPr>
                <w:rFonts w:ascii="Times New Roman" w:hAnsi="Times New Roman"/>
                <w:color w:val="000000"/>
                <w:sz w:val="21"/>
                <w:szCs w:val="21"/>
                <w:lang w:val="fr-FR" w:eastAsia="es-ES_tradnl"/>
              </w:rPr>
            </w:pPr>
          </w:p>
          <w:p w14:paraId="6263F09F" w14:textId="77777777" w:rsidR="008B1794" w:rsidRPr="00623A2B" w:rsidRDefault="008B1794" w:rsidP="00C83EA7">
            <w:pPr>
              <w:jc w:val="center"/>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Tous les six mois</w:t>
            </w:r>
          </w:p>
          <w:p w14:paraId="2F12E818" w14:textId="77777777" w:rsidR="008B1794" w:rsidRPr="00623A2B" w:rsidRDefault="008B1794" w:rsidP="00C83EA7">
            <w:pPr>
              <w:jc w:val="center"/>
              <w:rPr>
                <w:rFonts w:ascii="Times New Roman" w:hAnsi="Times New Roman"/>
                <w:color w:val="000000"/>
                <w:sz w:val="21"/>
                <w:szCs w:val="21"/>
                <w:lang w:val="fr-FR" w:eastAsia="es-ES_tradnl"/>
              </w:rPr>
            </w:pPr>
          </w:p>
          <w:p w14:paraId="035E9C84" w14:textId="77777777" w:rsidR="008B1794" w:rsidRPr="00623A2B" w:rsidRDefault="008B1794" w:rsidP="00C83EA7">
            <w:pPr>
              <w:jc w:val="center"/>
              <w:rPr>
                <w:rFonts w:ascii="Times New Roman" w:hAnsi="Times New Roman"/>
                <w:color w:val="000000"/>
                <w:sz w:val="21"/>
                <w:szCs w:val="21"/>
                <w:lang w:val="fr-FR" w:eastAsia="es-ES_tradnl"/>
              </w:rPr>
            </w:pPr>
          </w:p>
          <w:p w14:paraId="5FA7257B" w14:textId="77777777" w:rsidR="008B1794" w:rsidRPr="00623A2B" w:rsidRDefault="008B1794" w:rsidP="00C83EA7">
            <w:pPr>
              <w:jc w:val="center"/>
              <w:rPr>
                <w:rFonts w:ascii="Times New Roman" w:hAnsi="Times New Roman"/>
                <w:color w:val="000000"/>
                <w:sz w:val="21"/>
                <w:szCs w:val="21"/>
                <w:lang w:val="fr-FR" w:eastAsia="es-ES_tradnl"/>
              </w:rPr>
            </w:pPr>
          </w:p>
          <w:p w14:paraId="2A55BBFF" w14:textId="77777777" w:rsidR="008B1794" w:rsidRPr="00623A2B" w:rsidRDefault="008B1794" w:rsidP="00C83EA7">
            <w:pPr>
              <w:jc w:val="center"/>
              <w:rPr>
                <w:rFonts w:ascii="Times New Roman" w:hAnsi="Times New Roman"/>
                <w:color w:val="000000"/>
                <w:sz w:val="21"/>
                <w:szCs w:val="21"/>
                <w:lang w:val="fr-FR" w:eastAsia="es-ES_tradnl"/>
              </w:rPr>
            </w:pPr>
          </w:p>
          <w:p w14:paraId="3619F716" w14:textId="77777777" w:rsidR="008B1794" w:rsidRPr="00623A2B" w:rsidRDefault="008B1794" w:rsidP="00C83EA7">
            <w:pPr>
              <w:jc w:val="center"/>
              <w:rPr>
                <w:rFonts w:ascii="Times New Roman" w:hAnsi="Times New Roman"/>
                <w:color w:val="000000"/>
                <w:sz w:val="21"/>
                <w:szCs w:val="21"/>
                <w:lang w:val="fr-FR" w:eastAsia="es-ES_tradnl"/>
              </w:rPr>
            </w:pPr>
          </w:p>
          <w:p w14:paraId="1D28CB7B" w14:textId="77777777" w:rsidR="008B1794" w:rsidRPr="00623A2B" w:rsidRDefault="008B1794" w:rsidP="00C83EA7">
            <w:pPr>
              <w:jc w:val="center"/>
              <w:rPr>
                <w:rFonts w:ascii="Times New Roman" w:hAnsi="Times New Roman"/>
                <w:color w:val="000000"/>
                <w:sz w:val="21"/>
                <w:szCs w:val="21"/>
                <w:lang w:val="fr-FR" w:eastAsia="es-ES_tradnl"/>
              </w:rPr>
            </w:pPr>
          </w:p>
        </w:tc>
      </w:tr>
      <w:tr w:rsidR="008B1794" w:rsidRPr="00623A2B" w14:paraId="547EFD5B" w14:textId="77777777" w:rsidTr="005A11FB">
        <w:trPr>
          <w:trHeight w:val="390"/>
        </w:trPr>
        <w:tc>
          <w:tcPr>
            <w:tcW w:w="479" w:type="dxa"/>
            <w:shd w:val="clear" w:color="auto" w:fill="auto"/>
          </w:tcPr>
          <w:p w14:paraId="0C717247" w14:textId="77777777" w:rsidR="008B1794" w:rsidRPr="00623A2B" w:rsidRDefault="008B1794" w:rsidP="00C83EA7">
            <w:pPr>
              <w:suppressAutoHyphens/>
              <w:rPr>
                <w:rFonts w:ascii="Times New Roman" w:hAnsi="Times New Roman"/>
                <w:sz w:val="21"/>
                <w:szCs w:val="21"/>
                <w:lang w:val="fr-FR"/>
              </w:rPr>
            </w:pPr>
            <w:r w:rsidRPr="00623A2B">
              <w:rPr>
                <w:rFonts w:ascii="Times New Roman" w:eastAsia="Calibri" w:hAnsi="Times New Roman"/>
                <w:sz w:val="21"/>
                <w:szCs w:val="21"/>
                <w:lang w:val="fr-FR"/>
              </w:rPr>
              <w:t>9.</w:t>
            </w:r>
          </w:p>
        </w:tc>
        <w:tc>
          <w:tcPr>
            <w:tcW w:w="2037" w:type="dxa"/>
            <w:shd w:val="clear" w:color="auto" w:fill="auto"/>
            <w:noWrap/>
          </w:tcPr>
          <w:p w14:paraId="7739BDF8" w14:textId="77777777" w:rsidR="008B1794" w:rsidRPr="00623A2B" w:rsidRDefault="008B1794" w:rsidP="00C83EA7">
            <w:pPr>
              <w:suppressAutoHyphens/>
              <w:rPr>
                <w:rFonts w:ascii="Times New Roman" w:hAnsi="Times New Roman"/>
                <w:sz w:val="21"/>
                <w:szCs w:val="21"/>
                <w:lang w:val="fr-FR"/>
              </w:rPr>
            </w:pPr>
            <w:r w:rsidRPr="00623A2B">
              <w:rPr>
                <w:rFonts w:ascii="Times New Roman" w:eastAsia="Calibri" w:hAnsi="Times New Roman"/>
                <w:sz w:val="21"/>
                <w:szCs w:val="21"/>
                <w:lang w:val="fr-FR"/>
              </w:rPr>
              <w:t>Ressources humaines</w:t>
            </w:r>
          </w:p>
          <w:p w14:paraId="7D39CB6D" w14:textId="77777777" w:rsidR="008B1794" w:rsidRPr="00623A2B" w:rsidRDefault="008B1794" w:rsidP="00C83EA7">
            <w:pPr>
              <w:rPr>
                <w:rFonts w:ascii="Times New Roman" w:hAnsi="Times New Roman"/>
                <w:color w:val="000000"/>
                <w:sz w:val="21"/>
                <w:szCs w:val="21"/>
                <w:lang w:val="fr-FR" w:eastAsia="es-ES_tradnl"/>
              </w:rPr>
            </w:pPr>
          </w:p>
        </w:tc>
        <w:tc>
          <w:tcPr>
            <w:tcW w:w="5674" w:type="dxa"/>
            <w:shd w:val="clear" w:color="auto" w:fill="auto"/>
            <w:noWrap/>
          </w:tcPr>
          <w:p w14:paraId="2D3E0A03" w14:textId="77777777" w:rsidR="008B1794" w:rsidRPr="00623A2B" w:rsidRDefault="008B1794" w:rsidP="00C83EA7">
            <w:pPr>
              <w:rPr>
                <w:rFonts w:ascii="Times New Roman" w:hAnsi="Times New Roman"/>
                <w:b/>
                <w:bCs/>
                <w:color w:val="000000"/>
                <w:sz w:val="21"/>
                <w:szCs w:val="21"/>
                <w:lang w:val="pt-BR"/>
              </w:rPr>
            </w:pPr>
            <w:r w:rsidRPr="00623A2B">
              <w:rPr>
                <w:rFonts w:ascii="Times New Roman" w:eastAsia="Calibri" w:hAnsi="Times New Roman"/>
                <w:b/>
                <w:color w:val="000000"/>
                <w:sz w:val="21"/>
                <w:szCs w:val="21"/>
                <w:lang w:val="pt-BR"/>
              </w:rPr>
              <w:t>AG/RES. 2957 (L-O/20) paragraphe IV.12</w:t>
            </w:r>
          </w:p>
          <w:p w14:paraId="4012E0D8"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b/>
                <w:color w:val="000000"/>
                <w:sz w:val="21"/>
                <w:szCs w:val="21"/>
                <w:lang w:val="fr-FR"/>
              </w:rPr>
              <w:t>Mandat :</w:t>
            </w:r>
          </w:p>
          <w:p w14:paraId="2F488A73" w14:textId="77777777" w:rsidR="008B1794" w:rsidRPr="00623A2B" w:rsidRDefault="008B1794" w:rsidP="00C83EA7">
            <w:pPr>
              <w:suppressAutoHyphens/>
              <w:ind w:left="451" w:hanging="360"/>
              <w:rPr>
                <w:rFonts w:ascii="Times New Roman" w:hAnsi="Times New Roman"/>
                <w:bCs/>
                <w:sz w:val="21"/>
                <w:szCs w:val="21"/>
                <w:lang w:val="fr-FR" w:eastAsia="es-ES"/>
              </w:rPr>
            </w:pPr>
          </w:p>
          <w:p w14:paraId="0CF4184D" w14:textId="77777777" w:rsidR="008B1794" w:rsidRPr="00623A2B" w:rsidRDefault="008B1794" w:rsidP="00573617">
            <w:pPr>
              <w:widowControl/>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93"/>
              <w:rPr>
                <w:rFonts w:ascii="Times New Roman" w:hAnsi="Times New Roman"/>
                <w:bCs/>
                <w:color w:val="000000"/>
                <w:sz w:val="21"/>
                <w:szCs w:val="21"/>
                <w:lang w:val="fr-FR"/>
              </w:rPr>
            </w:pPr>
            <w:r w:rsidRPr="00623A2B">
              <w:rPr>
                <w:rFonts w:ascii="Times New Roman" w:eastAsia="Calibri" w:hAnsi="Times New Roman"/>
                <w:color w:val="000000"/>
                <w:sz w:val="21"/>
                <w:szCs w:val="21"/>
                <w:lang w:val="fr-FR"/>
              </w:rPr>
              <w:t>De demander au Bureau de l’Inspecteur général de continuer d’élaborer ses rapports semestriels</w:t>
            </w:r>
            <w:r w:rsidRPr="00623A2B">
              <w:rPr>
                <w:rFonts w:ascii="Times New Roman" w:eastAsia="Calibri" w:hAnsi="Times New Roman"/>
                <w:sz w:val="21"/>
                <w:szCs w:val="21"/>
                <w:lang w:val="fr-FR"/>
              </w:rPr>
              <w:t xml:space="preserve"> </w:t>
            </w:r>
            <w:r w:rsidRPr="00623A2B">
              <w:rPr>
                <w:rFonts w:ascii="Times New Roman" w:eastAsia="Calibri" w:hAnsi="Times New Roman"/>
                <w:color w:val="000000"/>
                <w:sz w:val="21"/>
                <w:szCs w:val="21"/>
                <w:lang w:val="fr-FR"/>
              </w:rPr>
              <w:t xml:space="preserve">concernant les mutations de personnel, les concours internes et externes effectués ainsi que les reclassements de postes prévus dans ce programme-budget, et de vérifier que ceux-ci se sont déroulés en stricte conformité avec les normes applicables. </w:t>
            </w:r>
          </w:p>
          <w:p w14:paraId="0B54F022" w14:textId="77777777" w:rsidR="008B1794" w:rsidRPr="00623A2B" w:rsidRDefault="008B1794" w:rsidP="00C83EA7">
            <w:pPr>
              <w:suppressAutoHyphens/>
              <w:ind w:left="451" w:hanging="360"/>
              <w:rPr>
                <w:rFonts w:ascii="Times New Roman" w:hAnsi="Times New Roman"/>
                <w:bCs/>
                <w:color w:val="000000"/>
                <w:sz w:val="21"/>
                <w:szCs w:val="21"/>
                <w:lang w:val="fr-FR" w:eastAsia="es-ES"/>
              </w:rPr>
            </w:pPr>
          </w:p>
          <w:p w14:paraId="548CF7A1" w14:textId="77777777" w:rsidR="008B1794" w:rsidRPr="00623A2B" w:rsidRDefault="008B1794" w:rsidP="00573617">
            <w:pPr>
              <w:widowControl/>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93"/>
              <w:rPr>
                <w:rFonts w:ascii="Times New Roman" w:hAnsi="Times New Roman"/>
                <w:color w:val="000000"/>
                <w:sz w:val="21"/>
                <w:szCs w:val="21"/>
                <w:u w:val="single"/>
                <w:lang w:val="fr-FR"/>
              </w:rPr>
            </w:pPr>
            <w:r w:rsidRPr="00623A2B">
              <w:rPr>
                <w:rFonts w:ascii="Times New Roman" w:eastAsia="Calibri" w:hAnsi="Times New Roman"/>
                <w:color w:val="000000"/>
                <w:sz w:val="21"/>
                <w:szCs w:val="21"/>
                <w:lang w:val="fr-FR"/>
              </w:rPr>
              <w:t xml:space="preserve">Le Secrétariat général transmettra à la CAAP un rapport détaillé sur la situation de tous les postes financés par le Fonds ordinaire qui sont vacants. Si un poste vacant n’a pas fait l’objet d’une annonce publique, le Secrétariat général fournira une explication détaillée sur le motif du retard, étant entendu que le flux de trésorerie ne peut constituer une justification adéquate pour le retard de l’annonce. Le rapport sur le processus de recrutement par le biais du Fonds ordinaire devra être présenté chaque mois. </w:t>
            </w:r>
          </w:p>
          <w:p w14:paraId="3F04CCEE" w14:textId="77777777" w:rsidR="008B1794" w:rsidRPr="00623A2B" w:rsidRDefault="008B1794" w:rsidP="00C83EA7">
            <w:pPr>
              <w:ind w:left="451" w:hanging="360"/>
              <w:rPr>
                <w:rFonts w:ascii="Times New Roman" w:hAnsi="Times New Roman"/>
                <w:color w:val="000000"/>
                <w:sz w:val="21"/>
                <w:szCs w:val="21"/>
                <w:u w:val="single"/>
                <w:lang w:val="fr-FR" w:eastAsia="es-ES"/>
              </w:rPr>
            </w:pPr>
          </w:p>
          <w:p w14:paraId="3636A073" w14:textId="77777777" w:rsidR="008B1794" w:rsidRPr="00623A2B" w:rsidRDefault="008B1794" w:rsidP="00C83EA7">
            <w:pPr>
              <w:suppressAutoHyphens/>
              <w:ind w:left="451" w:hanging="360"/>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d)</w:t>
            </w:r>
            <w:r w:rsidRPr="00623A2B">
              <w:rPr>
                <w:rFonts w:ascii="Times New Roman" w:eastAsia="Calibri" w:hAnsi="Times New Roman"/>
                <w:color w:val="000000"/>
                <w:sz w:val="21"/>
                <w:szCs w:val="21"/>
                <w:lang w:val="fr-FR"/>
              </w:rPr>
              <w:tab/>
              <w:t xml:space="preserve">Les États membres reconnaissent que pour faire face aux importantes réductions budgétaires envisagées dans la présente résolution, les secrétaires et les secrétaires </w:t>
            </w:r>
            <w:r w:rsidRPr="00623A2B">
              <w:rPr>
                <w:rFonts w:ascii="Times New Roman" w:eastAsia="Calibri" w:hAnsi="Times New Roman"/>
                <w:color w:val="000000"/>
                <w:sz w:val="21"/>
                <w:szCs w:val="21"/>
                <w:lang w:val="fr-FR"/>
              </w:rPr>
              <w:lastRenderedPageBreak/>
              <w:t>exécutifs devraient être tenus responsables et autorisés à procéder aux changements nécessaires - à savoir réorganiser, consolider et réduire. Par conséquent, en reconnaissance de ce principe, le Secrétariat général :</w:t>
            </w:r>
          </w:p>
          <w:p w14:paraId="68B63B62" w14:textId="77777777" w:rsidR="008B1794" w:rsidRPr="00623A2B" w:rsidRDefault="008B1794" w:rsidP="00C83EA7">
            <w:pPr>
              <w:suppressAutoHyphens/>
              <w:ind w:left="2160" w:hanging="720"/>
              <w:rPr>
                <w:rFonts w:ascii="Times New Roman" w:hAnsi="Times New Roman"/>
                <w:color w:val="000000"/>
                <w:sz w:val="21"/>
                <w:szCs w:val="21"/>
                <w:lang w:val="fr-FR" w:eastAsia="es-ES"/>
              </w:rPr>
            </w:pPr>
          </w:p>
          <w:p w14:paraId="3211161D" w14:textId="77777777" w:rsidR="008B1794" w:rsidRPr="00623A2B" w:rsidRDefault="008B1794" w:rsidP="00C83EA7">
            <w:pPr>
              <w:suppressAutoHyphens/>
              <w:ind w:left="811" w:hanging="360"/>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(i)</w:t>
            </w:r>
            <w:r w:rsidRPr="00623A2B">
              <w:rPr>
                <w:rFonts w:ascii="Times New Roman" w:eastAsia="Calibri" w:hAnsi="Times New Roman"/>
                <w:color w:val="000000"/>
                <w:sz w:val="21"/>
                <w:szCs w:val="21"/>
                <w:lang w:val="fr-FR"/>
              </w:rPr>
              <w:tab/>
              <w:t xml:space="preserve">Autorisera l'embauche du personnel nécessaire au titre des plans de réorganisation et n’appliquera aucun gel des embauches tant que cette réorganisation n'est pas terminée ; </w:t>
            </w:r>
          </w:p>
          <w:p w14:paraId="548A2582" w14:textId="77777777" w:rsidR="008B1794" w:rsidRPr="00623A2B" w:rsidRDefault="008B1794" w:rsidP="00C83EA7">
            <w:pPr>
              <w:suppressAutoHyphens/>
              <w:ind w:left="811" w:hanging="360"/>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(ii)</w:t>
            </w:r>
            <w:r w:rsidRPr="00623A2B">
              <w:rPr>
                <w:rFonts w:ascii="Times New Roman" w:eastAsia="Calibri" w:hAnsi="Times New Roman"/>
                <w:color w:val="000000"/>
                <w:sz w:val="21"/>
                <w:szCs w:val="21"/>
                <w:lang w:val="fr-FR"/>
              </w:rPr>
              <w:tab/>
              <w:t>Permettra le reclassement des postes uniquement lorsque la suppression de postes pour des raisons budgétaires nécessite une réaffectation de responsabilités ;</w:t>
            </w:r>
          </w:p>
          <w:p w14:paraId="52CDD74C" w14:textId="77777777" w:rsidR="008B1794" w:rsidRPr="00623A2B" w:rsidRDefault="008B1794" w:rsidP="00C83EA7">
            <w:pPr>
              <w:suppressAutoHyphens/>
              <w:ind w:left="811" w:hanging="360"/>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(iii)</w:t>
            </w:r>
            <w:r w:rsidRPr="00623A2B">
              <w:rPr>
                <w:rFonts w:ascii="Times New Roman" w:eastAsia="Calibri" w:hAnsi="Times New Roman"/>
                <w:color w:val="000000"/>
                <w:sz w:val="21"/>
                <w:szCs w:val="21"/>
                <w:lang w:val="fr-FR"/>
              </w:rPr>
              <w:tab/>
              <w:t xml:space="preserve">Chargera le Secrétaire général de faire rapport au Conseil permanent d'ici à janvier 2021 sur la réorganisation du Secrétariat, en particulier sur les plans de recrutement et de reclassement. </w:t>
            </w:r>
          </w:p>
          <w:p w14:paraId="3DC96E1A" w14:textId="77777777" w:rsidR="008B1794" w:rsidRPr="00623A2B" w:rsidRDefault="008B1794" w:rsidP="00C83EA7">
            <w:pPr>
              <w:suppressAutoHyphens/>
              <w:ind w:left="811" w:hanging="360"/>
              <w:rPr>
                <w:rFonts w:ascii="Times New Roman" w:hAnsi="Times New Roman"/>
                <w:b/>
                <w:bCs/>
                <w:color w:val="000000"/>
                <w:sz w:val="21"/>
                <w:szCs w:val="21"/>
                <w:lang w:val="fr-FR" w:eastAsia="es-ES_tradnl"/>
              </w:rPr>
            </w:pPr>
          </w:p>
        </w:tc>
        <w:tc>
          <w:tcPr>
            <w:tcW w:w="1768" w:type="dxa"/>
            <w:shd w:val="clear" w:color="auto" w:fill="auto"/>
            <w:noWrap/>
          </w:tcPr>
          <w:p w14:paraId="7391C012" w14:textId="77777777" w:rsidR="008B1794" w:rsidRPr="00623A2B" w:rsidRDefault="008B1794" w:rsidP="00C83EA7">
            <w:pPr>
              <w:jc w:val="center"/>
              <w:rPr>
                <w:rFonts w:ascii="Times New Roman" w:hAnsi="Times New Roman"/>
                <w:color w:val="000000"/>
                <w:sz w:val="21"/>
                <w:szCs w:val="21"/>
                <w:lang w:val="fr-FR" w:eastAsia="es-ES_tradnl"/>
              </w:rPr>
            </w:pPr>
          </w:p>
          <w:p w14:paraId="39827092" w14:textId="77777777" w:rsidR="008B1794" w:rsidRPr="00623A2B" w:rsidRDefault="008B1794" w:rsidP="00C83EA7">
            <w:pPr>
              <w:jc w:val="center"/>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30 avril 2022</w:t>
            </w:r>
          </w:p>
          <w:p w14:paraId="5C255898" w14:textId="77777777" w:rsidR="008B1794" w:rsidRPr="00623A2B" w:rsidRDefault="008B1794" w:rsidP="00C83EA7">
            <w:pPr>
              <w:jc w:val="center"/>
              <w:rPr>
                <w:rFonts w:ascii="Times New Roman" w:hAnsi="Times New Roman"/>
                <w:color w:val="000000"/>
                <w:sz w:val="21"/>
                <w:szCs w:val="21"/>
                <w:lang w:val="fr-FR" w:eastAsia="es-ES_tradnl"/>
              </w:rPr>
            </w:pPr>
          </w:p>
          <w:p w14:paraId="1FC4AAF8" w14:textId="77777777" w:rsidR="008B1794" w:rsidRPr="00623A2B" w:rsidRDefault="008B1794" w:rsidP="00C83EA7">
            <w:pPr>
              <w:jc w:val="center"/>
              <w:rPr>
                <w:rFonts w:ascii="Times New Roman" w:hAnsi="Times New Roman"/>
                <w:color w:val="000000"/>
                <w:sz w:val="21"/>
                <w:szCs w:val="21"/>
                <w:lang w:val="fr-FR" w:eastAsia="es-ES_tradnl"/>
              </w:rPr>
            </w:pPr>
          </w:p>
          <w:p w14:paraId="56DFA736" w14:textId="77777777" w:rsidR="008B1794" w:rsidRPr="00623A2B" w:rsidRDefault="008B1794" w:rsidP="00C83EA7">
            <w:pPr>
              <w:jc w:val="center"/>
              <w:rPr>
                <w:rFonts w:ascii="Times New Roman" w:hAnsi="Times New Roman"/>
                <w:color w:val="000000"/>
                <w:sz w:val="21"/>
                <w:szCs w:val="21"/>
                <w:lang w:val="fr-FR" w:eastAsia="es-ES_tradnl"/>
              </w:rPr>
            </w:pPr>
          </w:p>
          <w:p w14:paraId="5D1EA885" w14:textId="77777777" w:rsidR="008B1794" w:rsidRPr="00623A2B" w:rsidRDefault="008B1794" w:rsidP="00C83EA7">
            <w:pPr>
              <w:jc w:val="center"/>
              <w:rPr>
                <w:rFonts w:ascii="Times New Roman" w:hAnsi="Times New Roman"/>
                <w:color w:val="000000"/>
                <w:sz w:val="21"/>
                <w:szCs w:val="21"/>
                <w:lang w:val="fr-FR" w:eastAsia="es-ES_tradnl"/>
              </w:rPr>
            </w:pPr>
          </w:p>
          <w:p w14:paraId="7C33D15A" w14:textId="77777777" w:rsidR="008B1794" w:rsidRPr="00623A2B" w:rsidRDefault="008B1794" w:rsidP="00C83EA7">
            <w:pPr>
              <w:jc w:val="center"/>
              <w:rPr>
                <w:rFonts w:ascii="Times New Roman" w:hAnsi="Times New Roman"/>
                <w:color w:val="000000"/>
                <w:sz w:val="21"/>
                <w:szCs w:val="21"/>
                <w:lang w:val="fr-FR" w:eastAsia="es-ES_tradnl"/>
              </w:rPr>
            </w:pPr>
          </w:p>
          <w:p w14:paraId="6AF35E22" w14:textId="77777777" w:rsidR="008B1794" w:rsidRPr="00623A2B" w:rsidRDefault="008B1794" w:rsidP="00C83EA7">
            <w:pPr>
              <w:jc w:val="center"/>
              <w:rPr>
                <w:rFonts w:ascii="Times New Roman" w:hAnsi="Times New Roman"/>
                <w:color w:val="000000"/>
                <w:sz w:val="21"/>
                <w:szCs w:val="21"/>
                <w:lang w:val="fr-FR" w:eastAsia="es-ES_tradnl"/>
              </w:rPr>
            </w:pPr>
          </w:p>
          <w:p w14:paraId="156F22AF" w14:textId="77777777" w:rsidR="008B1794" w:rsidRPr="00623A2B" w:rsidRDefault="008B1794" w:rsidP="00C83EA7">
            <w:pPr>
              <w:jc w:val="center"/>
              <w:rPr>
                <w:rFonts w:ascii="Times New Roman" w:hAnsi="Times New Roman"/>
                <w:color w:val="000000"/>
                <w:sz w:val="21"/>
                <w:szCs w:val="21"/>
                <w:lang w:val="fr-FR" w:eastAsia="es-ES_tradnl"/>
              </w:rPr>
            </w:pPr>
          </w:p>
          <w:p w14:paraId="63924F71" w14:textId="77777777" w:rsidR="008B1794" w:rsidRPr="00623A2B" w:rsidRDefault="008B1794" w:rsidP="00C83EA7">
            <w:pPr>
              <w:jc w:val="center"/>
              <w:rPr>
                <w:rFonts w:ascii="Times New Roman" w:hAnsi="Times New Roman"/>
                <w:color w:val="000000"/>
                <w:sz w:val="21"/>
                <w:szCs w:val="21"/>
                <w:lang w:val="fr-FR" w:eastAsia="es-ES_tradnl"/>
              </w:rPr>
            </w:pPr>
          </w:p>
          <w:p w14:paraId="7EFE80E8" w14:textId="77777777" w:rsidR="008B1794" w:rsidRPr="00623A2B" w:rsidRDefault="008B1794" w:rsidP="00C83EA7">
            <w:pPr>
              <w:jc w:val="center"/>
              <w:rPr>
                <w:rFonts w:ascii="Times New Roman" w:hAnsi="Times New Roman"/>
                <w:color w:val="000000"/>
                <w:sz w:val="21"/>
                <w:szCs w:val="21"/>
                <w:lang w:val="fr-FR" w:eastAsia="es-ES_tradnl"/>
              </w:rPr>
            </w:pPr>
          </w:p>
          <w:p w14:paraId="04A442D7" w14:textId="77777777" w:rsidR="008B1794" w:rsidRPr="00623A2B" w:rsidRDefault="008B1794" w:rsidP="00C83EA7">
            <w:pPr>
              <w:jc w:val="center"/>
              <w:rPr>
                <w:rFonts w:ascii="Times New Roman" w:hAnsi="Times New Roman"/>
                <w:color w:val="000000"/>
                <w:sz w:val="21"/>
                <w:szCs w:val="21"/>
                <w:lang w:val="fr-FR" w:eastAsia="es-ES_tradnl"/>
              </w:rPr>
            </w:pPr>
          </w:p>
          <w:p w14:paraId="2CA4DDA4" w14:textId="77777777" w:rsidR="008B1794" w:rsidRPr="00623A2B" w:rsidRDefault="008B1794" w:rsidP="00C83EA7">
            <w:pPr>
              <w:jc w:val="center"/>
              <w:rPr>
                <w:rFonts w:ascii="Times New Roman" w:hAnsi="Times New Roman"/>
                <w:color w:val="000000"/>
                <w:sz w:val="21"/>
                <w:szCs w:val="21"/>
                <w:lang w:val="fr-FR" w:eastAsia="es-ES_tradnl"/>
              </w:rPr>
            </w:pPr>
          </w:p>
          <w:p w14:paraId="4BD7A482" w14:textId="77777777" w:rsidR="008B1794" w:rsidRPr="00623A2B" w:rsidRDefault="008B1794" w:rsidP="00C83EA7">
            <w:pPr>
              <w:jc w:val="center"/>
              <w:rPr>
                <w:rFonts w:ascii="Times New Roman" w:hAnsi="Times New Roman"/>
                <w:color w:val="000000"/>
                <w:sz w:val="21"/>
                <w:szCs w:val="21"/>
                <w:lang w:val="fr-FR" w:eastAsia="es-ES_tradnl"/>
              </w:rPr>
            </w:pPr>
          </w:p>
          <w:p w14:paraId="2ACEF774" w14:textId="77777777" w:rsidR="008B1794" w:rsidRPr="00623A2B" w:rsidRDefault="008B1794" w:rsidP="00C83EA7">
            <w:pPr>
              <w:jc w:val="center"/>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Trimestriel</w:t>
            </w:r>
          </w:p>
          <w:p w14:paraId="60F7EA04" w14:textId="77777777" w:rsidR="008B1794" w:rsidRPr="00623A2B" w:rsidRDefault="008B1794" w:rsidP="00C83EA7">
            <w:pPr>
              <w:jc w:val="center"/>
              <w:rPr>
                <w:rFonts w:ascii="Times New Roman" w:hAnsi="Times New Roman"/>
                <w:color w:val="000000"/>
                <w:sz w:val="21"/>
                <w:szCs w:val="21"/>
                <w:lang w:val="fr-FR" w:eastAsia="es-ES_tradnl"/>
              </w:rPr>
            </w:pPr>
          </w:p>
          <w:p w14:paraId="21D9833B" w14:textId="77777777" w:rsidR="008B1794" w:rsidRPr="00623A2B" w:rsidRDefault="008B1794" w:rsidP="00C83EA7">
            <w:pPr>
              <w:jc w:val="center"/>
              <w:rPr>
                <w:rFonts w:ascii="Times New Roman" w:hAnsi="Times New Roman"/>
                <w:color w:val="000000"/>
                <w:sz w:val="21"/>
                <w:szCs w:val="21"/>
                <w:lang w:val="fr-FR" w:eastAsia="es-ES_tradnl"/>
              </w:rPr>
            </w:pPr>
          </w:p>
          <w:p w14:paraId="308C37DD" w14:textId="77777777" w:rsidR="008B1794" w:rsidRPr="00623A2B" w:rsidRDefault="008B1794" w:rsidP="00C83EA7">
            <w:pPr>
              <w:jc w:val="center"/>
              <w:rPr>
                <w:rFonts w:ascii="Times New Roman" w:hAnsi="Times New Roman"/>
                <w:color w:val="000000"/>
                <w:sz w:val="21"/>
                <w:szCs w:val="21"/>
                <w:lang w:val="fr-FR" w:eastAsia="es-ES_tradnl"/>
              </w:rPr>
            </w:pPr>
          </w:p>
          <w:p w14:paraId="0E47F36D" w14:textId="77777777" w:rsidR="008B1794" w:rsidRPr="00623A2B" w:rsidRDefault="008B1794" w:rsidP="00C83EA7">
            <w:pPr>
              <w:jc w:val="center"/>
              <w:rPr>
                <w:rFonts w:ascii="Times New Roman" w:hAnsi="Times New Roman"/>
                <w:color w:val="000000"/>
                <w:sz w:val="21"/>
                <w:szCs w:val="21"/>
                <w:lang w:val="fr-FR" w:eastAsia="es-ES_tradnl"/>
              </w:rPr>
            </w:pPr>
          </w:p>
          <w:p w14:paraId="795263C7" w14:textId="77777777" w:rsidR="008B1794" w:rsidRPr="00623A2B" w:rsidRDefault="008B1794" w:rsidP="00C83EA7">
            <w:pPr>
              <w:jc w:val="center"/>
              <w:rPr>
                <w:rFonts w:ascii="Times New Roman" w:hAnsi="Times New Roman"/>
                <w:color w:val="000000"/>
                <w:sz w:val="21"/>
                <w:szCs w:val="21"/>
                <w:lang w:val="fr-FR" w:eastAsia="es-ES_tradnl"/>
              </w:rPr>
            </w:pPr>
          </w:p>
          <w:p w14:paraId="68CAB88F" w14:textId="77777777" w:rsidR="008B1794" w:rsidRPr="00623A2B" w:rsidRDefault="008B1794" w:rsidP="00C83EA7">
            <w:pPr>
              <w:jc w:val="center"/>
              <w:rPr>
                <w:rFonts w:ascii="Times New Roman" w:hAnsi="Times New Roman"/>
                <w:color w:val="000000"/>
                <w:sz w:val="21"/>
                <w:szCs w:val="21"/>
                <w:lang w:val="fr-FR" w:eastAsia="es-ES_tradnl"/>
              </w:rPr>
            </w:pPr>
          </w:p>
          <w:p w14:paraId="44173C1C" w14:textId="77777777" w:rsidR="008B1794" w:rsidRPr="00623A2B" w:rsidRDefault="008B1794" w:rsidP="00C83EA7">
            <w:pPr>
              <w:jc w:val="center"/>
              <w:rPr>
                <w:rFonts w:ascii="Times New Roman" w:hAnsi="Times New Roman"/>
                <w:color w:val="000000"/>
                <w:sz w:val="21"/>
                <w:szCs w:val="21"/>
                <w:lang w:val="fr-FR" w:eastAsia="es-ES_tradnl"/>
              </w:rPr>
            </w:pPr>
          </w:p>
          <w:p w14:paraId="4A69E92B" w14:textId="77777777" w:rsidR="008B1794" w:rsidRPr="00623A2B" w:rsidRDefault="008B1794" w:rsidP="00C83EA7">
            <w:pPr>
              <w:jc w:val="center"/>
              <w:rPr>
                <w:rFonts w:ascii="Times New Roman" w:hAnsi="Times New Roman"/>
                <w:color w:val="000000"/>
                <w:sz w:val="21"/>
                <w:szCs w:val="21"/>
                <w:lang w:val="fr-FR" w:eastAsia="es-ES_tradnl"/>
              </w:rPr>
            </w:pPr>
          </w:p>
          <w:p w14:paraId="5C22FF25" w14:textId="77777777" w:rsidR="008B1794" w:rsidRPr="00623A2B" w:rsidRDefault="008B1794" w:rsidP="00C83EA7">
            <w:pPr>
              <w:jc w:val="center"/>
              <w:rPr>
                <w:rFonts w:ascii="Times New Roman" w:hAnsi="Times New Roman"/>
                <w:color w:val="000000"/>
                <w:sz w:val="21"/>
                <w:szCs w:val="21"/>
                <w:lang w:val="fr-FR" w:eastAsia="es-ES_tradnl"/>
              </w:rPr>
            </w:pPr>
          </w:p>
          <w:p w14:paraId="45A31731" w14:textId="77777777" w:rsidR="008B1794" w:rsidRPr="00623A2B" w:rsidRDefault="008B1794" w:rsidP="00C83EA7">
            <w:pPr>
              <w:jc w:val="center"/>
              <w:rPr>
                <w:rFonts w:ascii="Times New Roman" w:hAnsi="Times New Roman"/>
                <w:color w:val="000000"/>
                <w:sz w:val="21"/>
                <w:szCs w:val="21"/>
                <w:lang w:val="fr-FR" w:eastAsia="es-ES_tradnl"/>
              </w:rPr>
            </w:pPr>
          </w:p>
          <w:p w14:paraId="1CBD8A18" w14:textId="77777777" w:rsidR="008B1794" w:rsidRPr="00623A2B" w:rsidRDefault="008B1794" w:rsidP="00C83EA7">
            <w:pPr>
              <w:jc w:val="center"/>
              <w:rPr>
                <w:rFonts w:ascii="Times New Roman" w:hAnsi="Times New Roman"/>
                <w:color w:val="000000"/>
                <w:sz w:val="21"/>
                <w:szCs w:val="21"/>
                <w:lang w:val="fr-FR" w:eastAsia="es-ES_tradnl"/>
              </w:rPr>
            </w:pPr>
          </w:p>
          <w:p w14:paraId="2E6785A6" w14:textId="77777777" w:rsidR="008B1794" w:rsidRPr="00623A2B" w:rsidRDefault="008B1794" w:rsidP="00C83EA7">
            <w:pPr>
              <w:jc w:val="center"/>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Janvier 2022</w:t>
            </w:r>
          </w:p>
        </w:tc>
      </w:tr>
      <w:tr w:rsidR="008B1794" w:rsidRPr="00623A2B" w14:paraId="71726C51" w14:textId="77777777" w:rsidTr="005A11FB">
        <w:trPr>
          <w:trHeight w:val="390"/>
        </w:trPr>
        <w:tc>
          <w:tcPr>
            <w:tcW w:w="479" w:type="dxa"/>
            <w:shd w:val="clear" w:color="auto" w:fill="auto"/>
          </w:tcPr>
          <w:p w14:paraId="26CA73E9"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lastRenderedPageBreak/>
              <w:t>10.</w:t>
            </w:r>
          </w:p>
        </w:tc>
        <w:tc>
          <w:tcPr>
            <w:tcW w:w="2037" w:type="dxa"/>
            <w:shd w:val="clear" w:color="auto" w:fill="auto"/>
            <w:noWrap/>
          </w:tcPr>
          <w:p w14:paraId="3FCD820B" w14:textId="77777777" w:rsidR="008B1794" w:rsidRPr="00623A2B" w:rsidRDefault="008B1794" w:rsidP="00C83EA7">
            <w:pPr>
              <w:keepNext/>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 xml:space="preserve">Politiques d’équité et de parité hommes-femmes </w:t>
            </w:r>
          </w:p>
          <w:p w14:paraId="4A02B603" w14:textId="77777777" w:rsidR="008B1794" w:rsidRPr="00623A2B" w:rsidRDefault="008B1794" w:rsidP="00C83EA7">
            <w:pPr>
              <w:rPr>
                <w:rFonts w:ascii="Times New Roman" w:hAnsi="Times New Roman"/>
                <w:color w:val="000000"/>
                <w:sz w:val="21"/>
                <w:szCs w:val="21"/>
                <w:lang w:val="fr-FR" w:eastAsia="es-ES_tradnl"/>
              </w:rPr>
            </w:pPr>
          </w:p>
        </w:tc>
        <w:tc>
          <w:tcPr>
            <w:tcW w:w="5674" w:type="dxa"/>
            <w:shd w:val="clear" w:color="auto" w:fill="auto"/>
            <w:noWrap/>
          </w:tcPr>
          <w:p w14:paraId="650D7F02" w14:textId="77777777" w:rsidR="008B1794" w:rsidRPr="00623A2B" w:rsidRDefault="008B1794" w:rsidP="00C83EA7">
            <w:pPr>
              <w:rPr>
                <w:rFonts w:ascii="Times New Roman" w:hAnsi="Times New Roman"/>
                <w:b/>
                <w:bCs/>
                <w:color w:val="000000"/>
                <w:sz w:val="21"/>
                <w:szCs w:val="21"/>
                <w:lang w:val="pt-BR"/>
              </w:rPr>
            </w:pPr>
            <w:r w:rsidRPr="00623A2B">
              <w:rPr>
                <w:rFonts w:ascii="Times New Roman" w:eastAsia="Calibri" w:hAnsi="Times New Roman"/>
                <w:b/>
                <w:color w:val="000000"/>
                <w:sz w:val="21"/>
                <w:szCs w:val="21"/>
                <w:lang w:val="pt-BR"/>
              </w:rPr>
              <w:t>AG/RES. 2957 (L-O/20) paragraphe IV.13</w:t>
            </w:r>
          </w:p>
          <w:p w14:paraId="51CE5B79"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b/>
                <w:color w:val="000000"/>
                <w:sz w:val="21"/>
                <w:szCs w:val="21"/>
                <w:lang w:val="fr-FR"/>
              </w:rPr>
              <w:t>Mandat :</w:t>
            </w:r>
          </w:p>
          <w:p w14:paraId="74981270" w14:textId="77777777" w:rsidR="008B1794" w:rsidRPr="00623A2B" w:rsidRDefault="008B1794" w:rsidP="00C83EA7">
            <w:pPr>
              <w:suppressAutoHyphens/>
              <w:rPr>
                <w:rFonts w:ascii="Times New Roman" w:eastAsia="Calibri" w:hAnsi="Times New Roman"/>
                <w:color w:val="000000"/>
                <w:sz w:val="21"/>
                <w:szCs w:val="21"/>
                <w:lang w:val="fr-FR"/>
              </w:rPr>
            </w:pPr>
            <w:r w:rsidRPr="00623A2B">
              <w:rPr>
                <w:rFonts w:ascii="Times New Roman" w:eastAsia="Calibri" w:hAnsi="Times New Roman"/>
                <w:sz w:val="21"/>
                <w:szCs w:val="21"/>
                <w:lang w:val="fr-FR"/>
              </w:rPr>
              <w:t xml:space="preserve">De prier instamment le Secrétariat général de poursuivre ses travaux visant à mettre en œuvre et exécuter des politiques d’équité et de parité hommes-femmes dans le lieu de travail et, dans le contexte de la parité, de favoriser l’accès des femmes aux catégories dans lesquelles elles sont actuellement sous-représentées au sein de l’Organisation, et d’assurer la responsabilité au titre de l’application de ces politiques et de la mise en œuvre des dispositions de la résolution </w:t>
            </w:r>
            <w:hyperlink r:id="rId108" w:history="1">
              <w:r w:rsidRPr="00623A2B">
                <w:rPr>
                  <w:rFonts w:ascii="Times New Roman" w:eastAsia="Calibri" w:hAnsi="Times New Roman"/>
                  <w:color w:val="0563C1"/>
                  <w:sz w:val="21"/>
                  <w:szCs w:val="21"/>
                  <w:u w:val="single"/>
                  <w:lang w:val="fr-FR"/>
                </w:rPr>
                <w:t>CP/RES.</w:t>
              </w:r>
            </w:hyperlink>
            <w:hyperlink r:id="rId109" w:history="1">
              <w:r w:rsidRPr="00623A2B">
                <w:rPr>
                  <w:rFonts w:ascii="Times New Roman" w:eastAsia="Calibri" w:hAnsi="Times New Roman"/>
                  <w:color w:val="0563C1"/>
                  <w:sz w:val="21"/>
                  <w:szCs w:val="21"/>
                  <w:u w:val="single"/>
                  <w:lang w:val="fr-FR"/>
                </w:rPr>
                <w:t>1149 (2278/20)</w:t>
              </w:r>
            </w:hyperlink>
            <w:r w:rsidRPr="00623A2B">
              <w:rPr>
                <w:rFonts w:ascii="Times New Roman" w:eastAsia="Calibri" w:hAnsi="Times New Roman"/>
                <w:sz w:val="21"/>
                <w:szCs w:val="21"/>
                <w:lang w:val="fr-FR"/>
              </w:rPr>
              <w:t>, « Représentation et participation des femmes à l’OEA ».</w:t>
            </w:r>
            <w:r w:rsidRPr="00623A2B">
              <w:rPr>
                <w:rFonts w:ascii="Times New Roman" w:eastAsia="Calibri" w:hAnsi="Times New Roman"/>
                <w:color w:val="000000"/>
                <w:sz w:val="21"/>
                <w:szCs w:val="21"/>
                <w:lang w:val="fr-FR"/>
              </w:rPr>
              <w:t xml:space="preserve"> </w:t>
            </w:r>
          </w:p>
          <w:p w14:paraId="09083898" w14:textId="77777777" w:rsidR="008B1794" w:rsidRPr="00623A2B" w:rsidRDefault="008B1794" w:rsidP="00C83EA7">
            <w:pPr>
              <w:suppressAutoHyphens/>
              <w:rPr>
                <w:rFonts w:ascii="Times New Roman" w:hAnsi="Times New Roman"/>
                <w:b/>
                <w:bCs/>
                <w:color w:val="000000"/>
                <w:sz w:val="21"/>
                <w:szCs w:val="21"/>
                <w:lang w:val="fr-FR" w:eastAsia="es-ES_tradnl"/>
              </w:rPr>
            </w:pPr>
            <w:r w:rsidRPr="00623A2B">
              <w:rPr>
                <w:rFonts w:ascii="Times New Roman" w:eastAsia="Calibri" w:hAnsi="Times New Roman"/>
                <w:i/>
                <w:color w:val="000000"/>
                <w:sz w:val="21"/>
                <w:szCs w:val="21"/>
                <w:lang w:val="fr-FR"/>
              </w:rPr>
              <w:t xml:space="preserve"> </w:t>
            </w:r>
          </w:p>
        </w:tc>
        <w:tc>
          <w:tcPr>
            <w:tcW w:w="1768" w:type="dxa"/>
            <w:shd w:val="clear" w:color="auto" w:fill="auto"/>
            <w:noWrap/>
          </w:tcPr>
          <w:p w14:paraId="1B6FD3E5" w14:textId="77777777" w:rsidR="008B1794" w:rsidRPr="00623A2B" w:rsidRDefault="008B1794" w:rsidP="00C83EA7">
            <w:pPr>
              <w:jc w:val="center"/>
              <w:rPr>
                <w:rFonts w:ascii="Times New Roman" w:hAnsi="Times New Roman"/>
                <w:color w:val="000000"/>
                <w:sz w:val="21"/>
                <w:szCs w:val="21"/>
                <w:lang w:val="fr-FR" w:eastAsia="es-ES_tradnl"/>
              </w:rPr>
            </w:pPr>
          </w:p>
          <w:p w14:paraId="2C20C645" w14:textId="77777777" w:rsidR="008B1794" w:rsidRPr="00623A2B" w:rsidRDefault="008B1794" w:rsidP="00C83EA7">
            <w:pPr>
              <w:jc w:val="center"/>
              <w:rPr>
                <w:rFonts w:ascii="Times New Roman" w:hAnsi="Times New Roman"/>
                <w:color w:val="000000"/>
                <w:sz w:val="21"/>
                <w:szCs w:val="21"/>
                <w:lang w:val="fr-FR" w:eastAsia="es-ES_tradnl"/>
              </w:rPr>
            </w:pPr>
          </w:p>
          <w:p w14:paraId="006302E3" w14:textId="77777777" w:rsidR="008B1794" w:rsidRPr="00623A2B" w:rsidRDefault="008B1794" w:rsidP="00C83EA7">
            <w:pPr>
              <w:jc w:val="center"/>
              <w:rPr>
                <w:rFonts w:ascii="Times New Roman" w:hAnsi="Times New Roman"/>
                <w:color w:val="000000"/>
                <w:sz w:val="21"/>
                <w:szCs w:val="21"/>
                <w:lang w:val="fr-FR" w:eastAsia="es-ES_tradnl"/>
              </w:rPr>
            </w:pPr>
            <w:r w:rsidRPr="00623A2B">
              <w:rPr>
                <w:rFonts w:ascii="Times New Roman" w:hAnsi="Times New Roman"/>
                <w:color w:val="000000"/>
                <w:sz w:val="21"/>
                <w:szCs w:val="21"/>
                <w:lang w:val="fr-FR" w:eastAsia="es-ES_tradnl"/>
              </w:rPr>
              <w:t>30 avril 2022</w:t>
            </w:r>
          </w:p>
        </w:tc>
      </w:tr>
      <w:tr w:rsidR="008B1794" w:rsidRPr="00623A2B" w14:paraId="1F344599" w14:textId="77777777" w:rsidTr="005A11FB">
        <w:tc>
          <w:tcPr>
            <w:tcW w:w="479" w:type="dxa"/>
            <w:shd w:val="clear" w:color="auto" w:fill="auto"/>
          </w:tcPr>
          <w:p w14:paraId="4DB265EC" w14:textId="77777777" w:rsidR="008B1794" w:rsidRPr="00623A2B" w:rsidRDefault="008B1794" w:rsidP="00C83EA7">
            <w:pPr>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11.</w:t>
            </w:r>
          </w:p>
        </w:tc>
        <w:tc>
          <w:tcPr>
            <w:tcW w:w="2037" w:type="dxa"/>
            <w:shd w:val="clear" w:color="auto" w:fill="auto"/>
            <w:noWrap/>
          </w:tcPr>
          <w:p w14:paraId="4FFCF8C2" w14:textId="77777777" w:rsidR="008B1794" w:rsidRPr="00623A2B" w:rsidRDefault="008B1794" w:rsidP="00C83EA7">
            <w:pPr>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Représentation géographique</w:t>
            </w:r>
          </w:p>
        </w:tc>
        <w:tc>
          <w:tcPr>
            <w:tcW w:w="5674" w:type="dxa"/>
            <w:shd w:val="clear" w:color="auto" w:fill="auto"/>
            <w:noWrap/>
          </w:tcPr>
          <w:p w14:paraId="36E00524" w14:textId="77777777" w:rsidR="008B1794" w:rsidRPr="00623A2B" w:rsidRDefault="008B1794" w:rsidP="00C83EA7">
            <w:pPr>
              <w:rPr>
                <w:rFonts w:ascii="Times New Roman" w:hAnsi="Times New Roman"/>
                <w:b/>
                <w:bCs/>
                <w:color w:val="000000"/>
                <w:sz w:val="21"/>
                <w:szCs w:val="21"/>
                <w:lang w:val="pt-BR"/>
              </w:rPr>
            </w:pPr>
            <w:r w:rsidRPr="00623A2B">
              <w:rPr>
                <w:rFonts w:ascii="Times New Roman" w:eastAsia="Calibri" w:hAnsi="Times New Roman"/>
                <w:b/>
                <w:color w:val="000000"/>
                <w:sz w:val="21"/>
                <w:szCs w:val="21"/>
                <w:lang w:val="pt-BR"/>
              </w:rPr>
              <w:t>AG/RES. 2957 (L-O/20) paragraphe IV.14</w:t>
            </w:r>
          </w:p>
          <w:p w14:paraId="4B3207AD"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b/>
                <w:color w:val="000000"/>
                <w:sz w:val="21"/>
                <w:szCs w:val="21"/>
                <w:lang w:val="fr-FR"/>
              </w:rPr>
              <w:t>Mandat :</w:t>
            </w:r>
          </w:p>
          <w:p w14:paraId="595D4A44" w14:textId="77777777" w:rsidR="008B1794" w:rsidRPr="00623A2B" w:rsidRDefault="008B1794" w:rsidP="00C83EA7">
            <w:pPr>
              <w:suppressAutoHyphens/>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 xml:space="preserve">De prendre note de la Stratégie de représentation géographique présentée au Conseil permanent le 13 mars 2019, et de charger le Secrétariat général d’établir des objectifs et des indicateurs pour cette stratégie afin d’assurer la mise en œuvre du plan d’action et d’obtenir une représentation géographique équitable du personnel, conformément aux dispositions de l’article 120 de la Charte de l’OEA qui comprenne, en outre, les consultants et les stagiaires. </w:t>
            </w:r>
          </w:p>
          <w:p w14:paraId="6AF70B69" w14:textId="77777777" w:rsidR="008B1794" w:rsidRPr="00623A2B" w:rsidRDefault="008B1794" w:rsidP="00C83EA7">
            <w:pPr>
              <w:suppressAutoHyphens/>
              <w:rPr>
                <w:rFonts w:ascii="Times New Roman" w:hAnsi="Times New Roman"/>
                <w:i/>
                <w:iCs/>
                <w:color w:val="000000"/>
                <w:sz w:val="21"/>
                <w:szCs w:val="21"/>
                <w:lang w:val="fr-FR"/>
              </w:rPr>
            </w:pPr>
          </w:p>
        </w:tc>
        <w:tc>
          <w:tcPr>
            <w:tcW w:w="1768" w:type="dxa"/>
            <w:shd w:val="clear" w:color="auto" w:fill="auto"/>
            <w:noWrap/>
          </w:tcPr>
          <w:p w14:paraId="227DACE3" w14:textId="77777777" w:rsidR="008B1794" w:rsidRPr="00623A2B" w:rsidRDefault="008B1794" w:rsidP="00C83EA7">
            <w:pPr>
              <w:jc w:val="center"/>
              <w:rPr>
                <w:rFonts w:ascii="Times New Roman" w:hAnsi="Times New Roman"/>
                <w:color w:val="000000"/>
                <w:sz w:val="21"/>
                <w:szCs w:val="21"/>
                <w:lang w:val="fr-FR" w:eastAsia="es-ES_tradnl"/>
              </w:rPr>
            </w:pPr>
          </w:p>
          <w:p w14:paraId="4A5E501D" w14:textId="77777777" w:rsidR="008B1794" w:rsidRPr="00623A2B" w:rsidRDefault="008B1794" w:rsidP="00C83EA7">
            <w:pPr>
              <w:jc w:val="center"/>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30 avril 2022</w:t>
            </w:r>
          </w:p>
        </w:tc>
      </w:tr>
      <w:tr w:rsidR="008B1794" w:rsidRPr="00213B6A" w14:paraId="62B3978C" w14:textId="77777777" w:rsidTr="005A11FB">
        <w:trPr>
          <w:trHeight w:val="390"/>
        </w:trPr>
        <w:tc>
          <w:tcPr>
            <w:tcW w:w="479" w:type="dxa"/>
            <w:shd w:val="clear" w:color="auto" w:fill="auto"/>
          </w:tcPr>
          <w:p w14:paraId="335EC8FD" w14:textId="77777777" w:rsidR="008B1794" w:rsidRPr="00623A2B" w:rsidRDefault="008B1794" w:rsidP="00C83EA7">
            <w:pPr>
              <w:suppressAutoHyphens/>
              <w:contextualSpacing/>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12.</w:t>
            </w:r>
          </w:p>
        </w:tc>
        <w:tc>
          <w:tcPr>
            <w:tcW w:w="2037" w:type="dxa"/>
            <w:shd w:val="clear" w:color="auto" w:fill="auto"/>
            <w:noWrap/>
          </w:tcPr>
          <w:p w14:paraId="5651538C" w14:textId="77777777" w:rsidR="008B1794" w:rsidRPr="00623A2B" w:rsidRDefault="008B1794" w:rsidP="00C83EA7">
            <w:pPr>
              <w:suppressAutoHyphens/>
              <w:contextualSpacing/>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Honoraires</w:t>
            </w:r>
          </w:p>
          <w:p w14:paraId="08FF0033" w14:textId="77777777" w:rsidR="008B1794" w:rsidRPr="00623A2B" w:rsidRDefault="008B1794" w:rsidP="00C83EA7">
            <w:pPr>
              <w:rPr>
                <w:rFonts w:ascii="Times New Roman" w:eastAsia="Calibri" w:hAnsi="Times New Roman"/>
                <w:color w:val="000000"/>
                <w:sz w:val="21"/>
                <w:szCs w:val="21"/>
                <w:lang w:val="fr-FR"/>
              </w:rPr>
            </w:pPr>
          </w:p>
        </w:tc>
        <w:tc>
          <w:tcPr>
            <w:tcW w:w="5674" w:type="dxa"/>
            <w:shd w:val="clear" w:color="auto" w:fill="auto"/>
            <w:noWrap/>
          </w:tcPr>
          <w:p w14:paraId="39B74BF1" w14:textId="77777777" w:rsidR="008B1794" w:rsidRPr="00623A2B" w:rsidRDefault="008B1794" w:rsidP="00C83EA7">
            <w:pPr>
              <w:rPr>
                <w:rFonts w:ascii="Times New Roman" w:hAnsi="Times New Roman"/>
                <w:b/>
                <w:bCs/>
                <w:color w:val="000000"/>
                <w:sz w:val="21"/>
                <w:szCs w:val="21"/>
                <w:lang w:val="pt-BR"/>
              </w:rPr>
            </w:pPr>
            <w:r w:rsidRPr="00623A2B">
              <w:rPr>
                <w:rFonts w:ascii="Times New Roman" w:eastAsia="Calibri" w:hAnsi="Times New Roman"/>
                <w:b/>
                <w:color w:val="000000"/>
                <w:sz w:val="21"/>
                <w:szCs w:val="21"/>
                <w:lang w:val="pt-BR"/>
              </w:rPr>
              <w:t>AG/RES. 2957 (L-O/20) paragraphe IV.15</w:t>
            </w:r>
          </w:p>
          <w:p w14:paraId="47E924DB"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b/>
                <w:color w:val="000000"/>
                <w:sz w:val="21"/>
                <w:szCs w:val="21"/>
                <w:lang w:val="fr-FR"/>
              </w:rPr>
              <w:t>Mandat :</w:t>
            </w:r>
          </w:p>
          <w:p w14:paraId="5637CA43" w14:textId="77777777" w:rsidR="008B1794" w:rsidRPr="00623A2B" w:rsidRDefault="008B1794" w:rsidP="00C83EA7">
            <w:pPr>
              <w:suppressAutoHyphens/>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 xml:space="preserve">Les honoraires versés aux membres de la CIDH, de la Cour interaméricaine des droits de l’homme, du Tribunal administratif, de la Commission des vérificateurs extérieurs et du Comité </w:t>
            </w:r>
            <w:r w:rsidRPr="00623A2B">
              <w:rPr>
                <w:rFonts w:ascii="Times New Roman" w:eastAsia="Calibri" w:hAnsi="Times New Roman"/>
                <w:color w:val="000000"/>
                <w:sz w:val="21"/>
                <w:szCs w:val="21"/>
                <w:lang w:val="fr-FR"/>
              </w:rPr>
              <w:lastRenderedPageBreak/>
              <w:t>juridique interaméricain sont de 300 USD par jour. Les coûts afférents à ces honoraires seront financés par les crédits ouverts dans le présent programme-budget.</w:t>
            </w:r>
          </w:p>
          <w:p w14:paraId="35574AFA" w14:textId="77777777" w:rsidR="008B1794" w:rsidRPr="00623A2B" w:rsidRDefault="008B1794" w:rsidP="00C83EA7">
            <w:pPr>
              <w:rPr>
                <w:rFonts w:ascii="Times New Roman" w:eastAsia="Calibri" w:hAnsi="Times New Roman"/>
                <w:color w:val="000000"/>
                <w:sz w:val="21"/>
                <w:szCs w:val="21"/>
                <w:lang w:val="fr-FR"/>
              </w:rPr>
            </w:pPr>
          </w:p>
          <w:p w14:paraId="70E41C1A" w14:textId="77777777" w:rsidR="008B1794" w:rsidRPr="00623A2B" w:rsidRDefault="008B1794" w:rsidP="00C83EA7">
            <w:pPr>
              <w:rPr>
                <w:rFonts w:ascii="Times New Roman" w:eastAsia="Calibri" w:hAnsi="Times New Roman"/>
                <w:color w:val="000000"/>
                <w:sz w:val="21"/>
                <w:szCs w:val="21"/>
                <w:lang w:val="fr-FR"/>
              </w:rPr>
            </w:pPr>
          </w:p>
        </w:tc>
        <w:tc>
          <w:tcPr>
            <w:tcW w:w="1768" w:type="dxa"/>
            <w:shd w:val="clear" w:color="auto" w:fill="auto"/>
            <w:noWrap/>
          </w:tcPr>
          <w:p w14:paraId="7A1715FE" w14:textId="77777777" w:rsidR="008B1794" w:rsidRPr="00623A2B" w:rsidRDefault="008B1794" w:rsidP="00C83EA7">
            <w:pPr>
              <w:jc w:val="center"/>
              <w:rPr>
                <w:rFonts w:ascii="Times New Roman" w:hAnsi="Times New Roman"/>
                <w:color w:val="000000"/>
                <w:sz w:val="21"/>
                <w:szCs w:val="21"/>
                <w:lang w:val="fr-FR" w:eastAsia="es-ES_tradnl"/>
              </w:rPr>
            </w:pPr>
          </w:p>
        </w:tc>
      </w:tr>
      <w:tr w:rsidR="008B1794" w:rsidRPr="00213B6A" w14:paraId="6400B2C9" w14:textId="77777777" w:rsidTr="005A11FB">
        <w:trPr>
          <w:trHeight w:val="390"/>
        </w:trPr>
        <w:tc>
          <w:tcPr>
            <w:tcW w:w="479" w:type="dxa"/>
            <w:shd w:val="clear" w:color="auto" w:fill="auto"/>
          </w:tcPr>
          <w:p w14:paraId="1EC9D3D1" w14:textId="77777777" w:rsidR="008B1794" w:rsidRPr="00623A2B" w:rsidRDefault="008B1794" w:rsidP="00C83EA7">
            <w:pPr>
              <w:keepNext/>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13.</w:t>
            </w:r>
          </w:p>
        </w:tc>
        <w:tc>
          <w:tcPr>
            <w:tcW w:w="2037" w:type="dxa"/>
            <w:shd w:val="clear" w:color="auto" w:fill="auto"/>
            <w:noWrap/>
          </w:tcPr>
          <w:p w14:paraId="3FCFB95D" w14:textId="77777777" w:rsidR="008B1794" w:rsidRPr="00623A2B" w:rsidRDefault="008B1794" w:rsidP="00C83EA7">
            <w:pPr>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Commission interaméricaine des droits de l’homme</w:t>
            </w:r>
          </w:p>
          <w:p w14:paraId="1F0706B8" w14:textId="77777777" w:rsidR="008B1794" w:rsidRPr="00623A2B" w:rsidRDefault="008B1794" w:rsidP="00C83EA7">
            <w:pPr>
              <w:suppressAutoHyphens/>
              <w:rPr>
                <w:rFonts w:ascii="Times New Roman" w:eastAsia="Calibri" w:hAnsi="Times New Roman"/>
                <w:color w:val="000000"/>
                <w:sz w:val="21"/>
                <w:szCs w:val="21"/>
                <w:lang w:val="fr-FR"/>
              </w:rPr>
            </w:pPr>
          </w:p>
        </w:tc>
        <w:tc>
          <w:tcPr>
            <w:tcW w:w="5674" w:type="dxa"/>
            <w:shd w:val="clear" w:color="auto" w:fill="auto"/>
            <w:noWrap/>
          </w:tcPr>
          <w:p w14:paraId="6B9983D4" w14:textId="77777777" w:rsidR="008B1794" w:rsidRPr="00623A2B" w:rsidRDefault="008B1794" w:rsidP="00C83EA7">
            <w:pPr>
              <w:rPr>
                <w:rFonts w:ascii="Times New Roman" w:hAnsi="Times New Roman"/>
                <w:b/>
                <w:bCs/>
                <w:color w:val="000000"/>
                <w:sz w:val="21"/>
                <w:szCs w:val="21"/>
                <w:lang w:val="pt-BR"/>
              </w:rPr>
            </w:pPr>
            <w:r w:rsidRPr="00623A2B">
              <w:rPr>
                <w:rFonts w:ascii="Times New Roman" w:eastAsia="Calibri" w:hAnsi="Times New Roman"/>
                <w:b/>
                <w:color w:val="000000"/>
                <w:sz w:val="21"/>
                <w:szCs w:val="21"/>
                <w:lang w:val="pt-BR"/>
              </w:rPr>
              <w:t>AG/RES. 2957 (L-O/20) paragraphe IV.16</w:t>
            </w:r>
          </w:p>
          <w:p w14:paraId="7B6344B0"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b/>
                <w:color w:val="000000"/>
                <w:sz w:val="21"/>
                <w:szCs w:val="21"/>
                <w:lang w:val="fr-FR"/>
              </w:rPr>
              <w:t>Mandat :</w:t>
            </w:r>
          </w:p>
          <w:p w14:paraId="2A4F0AB3" w14:textId="77777777" w:rsidR="008B1794" w:rsidRPr="00623A2B" w:rsidRDefault="008B1794" w:rsidP="00C83EA7">
            <w:pPr>
              <w:suppressAutoHyphens/>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De reconduire l’autorisation budgétaire accordée à la CIDH afin de couvrir les paiements effectués aux membres de la CIDH au titre de services spéciaux, à concurrence de 4 000 USD par mois, par membre. Cette mesure budgétaire sera prise sans préjudice du droit au paiement des honoraires conformément aux dispositions de l’Assemblée générale figurant au paragraphe IV.15 de la présente résolution.</w:t>
            </w:r>
          </w:p>
        </w:tc>
        <w:tc>
          <w:tcPr>
            <w:tcW w:w="1768" w:type="dxa"/>
            <w:shd w:val="clear" w:color="auto" w:fill="auto"/>
            <w:noWrap/>
          </w:tcPr>
          <w:p w14:paraId="355A4B1F" w14:textId="77777777" w:rsidR="008B1794" w:rsidRPr="00623A2B" w:rsidRDefault="008B1794" w:rsidP="00C83EA7">
            <w:pPr>
              <w:jc w:val="center"/>
              <w:rPr>
                <w:rFonts w:ascii="Times New Roman" w:hAnsi="Times New Roman"/>
                <w:color w:val="000000"/>
                <w:sz w:val="21"/>
                <w:szCs w:val="21"/>
                <w:lang w:val="fr-FR" w:eastAsia="es-ES_tradnl"/>
              </w:rPr>
            </w:pPr>
          </w:p>
        </w:tc>
      </w:tr>
      <w:tr w:rsidR="008B1794" w:rsidRPr="00213B6A" w14:paraId="59D0DB76" w14:textId="77777777" w:rsidTr="005A11FB">
        <w:trPr>
          <w:trHeight w:val="390"/>
        </w:trPr>
        <w:tc>
          <w:tcPr>
            <w:tcW w:w="479" w:type="dxa"/>
            <w:shd w:val="clear" w:color="auto" w:fill="auto"/>
          </w:tcPr>
          <w:p w14:paraId="09D7B0A6" w14:textId="77777777" w:rsidR="008B1794" w:rsidRPr="00623A2B" w:rsidRDefault="008B1794" w:rsidP="00C83EA7">
            <w:pPr>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14.</w:t>
            </w:r>
          </w:p>
        </w:tc>
        <w:tc>
          <w:tcPr>
            <w:tcW w:w="2037" w:type="dxa"/>
            <w:shd w:val="clear" w:color="auto" w:fill="auto"/>
            <w:noWrap/>
          </w:tcPr>
          <w:p w14:paraId="32A08BCD" w14:textId="77777777" w:rsidR="008B1794" w:rsidRPr="00623A2B" w:rsidRDefault="008B1794" w:rsidP="00C83EA7">
            <w:pPr>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Cour interaméricaine des droits de l’homme</w:t>
            </w:r>
          </w:p>
          <w:p w14:paraId="541FF37D" w14:textId="77777777" w:rsidR="008B1794" w:rsidRPr="00623A2B" w:rsidRDefault="008B1794" w:rsidP="00C83EA7">
            <w:pPr>
              <w:rPr>
                <w:rFonts w:ascii="Times New Roman" w:eastAsia="Calibri" w:hAnsi="Times New Roman"/>
                <w:color w:val="000000"/>
                <w:sz w:val="21"/>
                <w:szCs w:val="21"/>
                <w:lang w:val="fr-FR"/>
              </w:rPr>
            </w:pPr>
          </w:p>
        </w:tc>
        <w:tc>
          <w:tcPr>
            <w:tcW w:w="5674" w:type="dxa"/>
            <w:shd w:val="clear" w:color="auto" w:fill="auto"/>
            <w:noWrap/>
          </w:tcPr>
          <w:p w14:paraId="68CCEF34" w14:textId="77777777" w:rsidR="008B1794" w:rsidRPr="00623A2B" w:rsidRDefault="008B1794" w:rsidP="00C83EA7">
            <w:pPr>
              <w:rPr>
                <w:rFonts w:ascii="Times New Roman" w:hAnsi="Times New Roman"/>
                <w:b/>
                <w:bCs/>
                <w:color w:val="000000"/>
                <w:sz w:val="21"/>
                <w:szCs w:val="21"/>
                <w:lang w:val="pt-BR"/>
              </w:rPr>
            </w:pPr>
            <w:r w:rsidRPr="00623A2B">
              <w:rPr>
                <w:rFonts w:ascii="Times New Roman" w:eastAsia="Calibri" w:hAnsi="Times New Roman"/>
                <w:b/>
                <w:color w:val="000000"/>
                <w:sz w:val="21"/>
                <w:szCs w:val="21"/>
                <w:lang w:val="pt-BR"/>
              </w:rPr>
              <w:t>AG/RES. 2957 (L-O/20) paragraphe IV.17</w:t>
            </w:r>
          </w:p>
          <w:p w14:paraId="19019435" w14:textId="77777777" w:rsidR="008B1794" w:rsidRPr="00623A2B" w:rsidRDefault="008B1794" w:rsidP="00C83EA7">
            <w:pPr>
              <w:suppressAutoHyphens/>
              <w:rPr>
                <w:rFonts w:ascii="Times New Roman" w:hAnsi="Times New Roman"/>
                <w:b/>
                <w:bCs/>
                <w:color w:val="000000"/>
                <w:sz w:val="21"/>
                <w:szCs w:val="21"/>
                <w:lang w:val="fr-FR"/>
              </w:rPr>
            </w:pPr>
            <w:r w:rsidRPr="00623A2B">
              <w:rPr>
                <w:rFonts w:ascii="Times New Roman" w:eastAsia="Calibri" w:hAnsi="Times New Roman"/>
                <w:b/>
                <w:color w:val="000000"/>
                <w:sz w:val="21"/>
                <w:szCs w:val="21"/>
                <w:lang w:val="fr-FR"/>
              </w:rPr>
              <w:t>Mandat :</w:t>
            </w:r>
          </w:p>
          <w:p w14:paraId="6C9F6176" w14:textId="77777777" w:rsidR="008B1794" w:rsidRPr="00623A2B" w:rsidRDefault="008B1794" w:rsidP="00C83EA7">
            <w:pPr>
              <w:suppressAutoHyphens/>
              <w:rPr>
                <w:rFonts w:ascii="Times New Roman" w:hAnsi="Times New Roman"/>
                <w:color w:val="000000"/>
                <w:sz w:val="21"/>
                <w:szCs w:val="21"/>
                <w:lang w:val="fr-FR"/>
              </w:rPr>
            </w:pPr>
          </w:p>
          <w:p w14:paraId="396ACC27" w14:textId="77777777" w:rsidR="008B1794" w:rsidRPr="00623A2B" w:rsidRDefault="008B1794" w:rsidP="00C83EA7">
            <w:pPr>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De reconduire l’autorisation budgétaire accordée à la Cour interaméricaine des droits de l’homme afin de couvrir le paiement des émoluments perçus par les juges de la Cour, à concurrence de 4 000 USD par mois, par juge. Cette mesure budgétaire sera prise sans préjudice de l’article 26 du Statut de la Cour, et sans préjudice du droit au paiement des honoraires conformément aux dispositions de l’Assemblée générale figurant au paragraphe IV.15 de la présente résolution.</w:t>
            </w:r>
          </w:p>
          <w:p w14:paraId="5126B761" w14:textId="77777777" w:rsidR="008B1794" w:rsidRPr="00623A2B" w:rsidRDefault="008B1794" w:rsidP="00C83EA7">
            <w:pPr>
              <w:rPr>
                <w:rFonts w:ascii="Times New Roman" w:eastAsia="Calibri" w:hAnsi="Times New Roman"/>
                <w:color w:val="000000"/>
                <w:sz w:val="21"/>
                <w:szCs w:val="21"/>
                <w:highlight w:val="yellow"/>
                <w:lang w:val="fr-FR"/>
              </w:rPr>
            </w:pPr>
          </w:p>
        </w:tc>
        <w:tc>
          <w:tcPr>
            <w:tcW w:w="1768" w:type="dxa"/>
            <w:shd w:val="clear" w:color="auto" w:fill="auto"/>
            <w:noWrap/>
          </w:tcPr>
          <w:p w14:paraId="5555DB74" w14:textId="77777777" w:rsidR="008B1794" w:rsidRPr="00623A2B" w:rsidRDefault="008B1794" w:rsidP="00C83EA7">
            <w:pPr>
              <w:jc w:val="center"/>
              <w:rPr>
                <w:rFonts w:ascii="Times New Roman" w:hAnsi="Times New Roman"/>
                <w:color w:val="000000"/>
                <w:sz w:val="21"/>
                <w:szCs w:val="21"/>
                <w:lang w:val="fr-FR" w:eastAsia="es-ES_tradnl"/>
              </w:rPr>
            </w:pPr>
          </w:p>
        </w:tc>
      </w:tr>
      <w:tr w:rsidR="008B1794" w:rsidRPr="00213B6A" w14:paraId="24289BCF" w14:textId="77777777" w:rsidTr="005A11FB">
        <w:trPr>
          <w:trHeight w:val="390"/>
        </w:trPr>
        <w:tc>
          <w:tcPr>
            <w:tcW w:w="479" w:type="dxa"/>
            <w:shd w:val="clear" w:color="auto" w:fill="auto"/>
          </w:tcPr>
          <w:p w14:paraId="3C803467"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15.</w:t>
            </w:r>
          </w:p>
        </w:tc>
        <w:tc>
          <w:tcPr>
            <w:tcW w:w="2037" w:type="dxa"/>
            <w:shd w:val="clear" w:color="auto" w:fill="auto"/>
            <w:noWrap/>
          </w:tcPr>
          <w:p w14:paraId="1D673AE5"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 xml:space="preserve">Réalisation d’économies </w:t>
            </w:r>
          </w:p>
          <w:p w14:paraId="1C4B371D" w14:textId="77777777" w:rsidR="008B1794" w:rsidRPr="00623A2B" w:rsidRDefault="008B1794" w:rsidP="00C83EA7">
            <w:pPr>
              <w:rPr>
                <w:rFonts w:ascii="Times New Roman" w:hAnsi="Times New Roman"/>
                <w:color w:val="000000"/>
                <w:sz w:val="21"/>
                <w:szCs w:val="21"/>
                <w:lang w:val="fr-FR" w:eastAsia="es-ES_tradnl"/>
              </w:rPr>
            </w:pPr>
          </w:p>
        </w:tc>
        <w:tc>
          <w:tcPr>
            <w:tcW w:w="5674" w:type="dxa"/>
            <w:shd w:val="clear" w:color="auto" w:fill="auto"/>
            <w:noWrap/>
          </w:tcPr>
          <w:p w14:paraId="0C8E17CC" w14:textId="77777777" w:rsidR="008B1794" w:rsidRPr="00623A2B" w:rsidRDefault="008B1794" w:rsidP="00C83EA7">
            <w:pPr>
              <w:rPr>
                <w:rFonts w:ascii="Times New Roman" w:hAnsi="Times New Roman"/>
                <w:b/>
                <w:bCs/>
                <w:color w:val="000000"/>
                <w:sz w:val="21"/>
                <w:szCs w:val="21"/>
                <w:lang w:val="pt-BR"/>
              </w:rPr>
            </w:pPr>
            <w:r w:rsidRPr="00623A2B">
              <w:rPr>
                <w:rFonts w:ascii="Times New Roman" w:eastAsia="Calibri" w:hAnsi="Times New Roman"/>
                <w:b/>
                <w:color w:val="000000"/>
                <w:sz w:val="21"/>
                <w:szCs w:val="21"/>
                <w:lang w:val="pt-BR"/>
              </w:rPr>
              <w:t>AG/RES. 2957 (L-O/20) paragraphe IV.19</w:t>
            </w:r>
          </w:p>
          <w:p w14:paraId="4233B2CB" w14:textId="77777777" w:rsidR="008B1794" w:rsidRPr="00623A2B" w:rsidRDefault="008B1794" w:rsidP="00C83EA7">
            <w:pPr>
              <w:suppressAutoHyphens/>
              <w:rPr>
                <w:rFonts w:ascii="Times New Roman" w:hAnsi="Times New Roman"/>
                <w:b/>
                <w:bCs/>
                <w:color w:val="000000"/>
                <w:sz w:val="21"/>
                <w:szCs w:val="21"/>
                <w:lang w:val="fr-FR"/>
              </w:rPr>
            </w:pPr>
            <w:r w:rsidRPr="00623A2B">
              <w:rPr>
                <w:rFonts w:ascii="Times New Roman" w:eastAsia="Calibri" w:hAnsi="Times New Roman"/>
                <w:b/>
                <w:color w:val="000000"/>
                <w:sz w:val="21"/>
                <w:szCs w:val="21"/>
                <w:lang w:val="fr-FR"/>
              </w:rPr>
              <w:t>Mandat :</w:t>
            </w:r>
          </w:p>
          <w:p w14:paraId="545EECBD" w14:textId="77777777" w:rsidR="008B1794" w:rsidRPr="00623A2B" w:rsidRDefault="008B1794" w:rsidP="00C83EA7">
            <w:pPr>
              <w:suppressAutoHyphens/>
              <w:rPr>
                <w:rFonts w:ascii="Times New Roman" w:hAnsi="Times New Roman"/>
                <w:color w:val="000000"/>
                <w:sz w:val="21"/>
                <w:szCs w:val="21"/>
                <w:lang w:val="fr-FR"/>
              </w:rPr>
            </w:pPr>
          </w:p>
          <w:p w14:paraId="58ACE414" w14:textId="77777777" w:rsidR="008B1794" w:rsidRPr="00623A2B" w:rsidRDefault="008B1794" w:rsidP="00C83EA7">
            <w:pPr>
              <w:suppressAutoHyphens/>
              <w:rPr>
                <w:rFonts w:ascii="Times New Roman" w:hAnsi="Times New Roman"/>
                <w:b/>
                <w:bCs/>
                <w:color w:val="000000"/>
                <w:sz w:val="21"/>
                <w:szCs w:val="21"/>
                <w:highlight w:val="yellow"/>
                <w:lang w:val="fr-FR" w:eastAsia="es-ES_tradnl"/>
              </w:rPr>
            </w:pPr>
            <w:r w:rsidRPr="00623A2B">
              <w:rPr>
                <w:rFonts w:ascii="Times New Roman" w:eastAsia="Calibri" w:hAnsi="Times New Roman"/>
                <w:color w:val="000000"/>
                <w:sz w:val="21"/>
                <w:szCs w:val="21"/>
                <w:lang w:val="fr-FR"/>
              </w:rPr>
              <w:t xml:space="preserve">De charger le Secrétariat général d’inclure dans son rapport semestriel adressé à la CAAP sur l’administration des ressources et les résultats les économies réalisées grâce au fonctionnement efficient du Secrétariat général, y compris celles provenant des frais communs. </w:t>
            </w:r>
          </w:p>
        </w:tc>
        <w:tc>
          <w:tcPr>
            <w:tcW w:w="1768" w:type="dxa"/>
            <w:shd w:val="clear" w:color="auto" w:fill="auto"/>
            <w:noWrap/>
          </w:tcPr>
          <w:p w14:paraId="7BB6AFCC" w14:textId="77777777" w:rsidR="008B1794" w:rsidRPr="00623A2B" w:rsidRDefault="008B1794" w:rsidP="00C83EA7">
            <w:pPr>
              <w:jc w:val="center"/>
              <w:rPr>
                <w:rFonts w:ascii="Times New Roman" w:hAnsi="Times New Roman"/>
                <w:color w:val="000000"/>
                <w:sz w:val="21"/>
                <w:szCs w:val="21"/>
                <w:lang w:val="fr-FR" w:eastAsia="es-ES_tradnl"/>
              </w:rPr>
            </w:pPr>
          </w:p>
          <w:p w14:paraId="2A8331D4" w14:textId="77777777" w:rsidR="008B1794" w:rsidRPr="00623A2B" w:rsidRDefault="008B1794" w:rsidP="00C83EA7">
            <w:pPr>
              <w:jc w:val="center"/>
              <w:rPr>
                <w:rFonts w:ascii="Times New Roman" w:hAnsi="Times New Roman"/>
                <w:color w:val="000000"/>
                <w:sz w:val="21"/>
                <w:szCs w:val="21"/>
                <w:lang w:val="fr-FR" w:eastAsia="es-ES_tradnl"/>
              </w:rPr>
            </w:pPr>
          </w:p>
          <w:p w14:paraId="061B4A4A" w14:textId="77777777" w:rsidR="008B1794" w:rsidRPr="00623A2B" w:rsidRDefault="008B1794" w:rsidP="00C83EA7">
            <w:pPr>
              <w:jc w:val="center"/>
              <w:rPr>
                <w:rFonts w:ascii="Times New Roman" w:hAnsi="Times New Roman"/>
                <w:color w:val="000000"/>
                <w:sz w:val="21"/>
                <w:szCs w:val="21"/>
                <w:lang w:val="fr-FR" w:eastAsia="es-ES_tradnl"/>
              </w:rPr>
            </w:pPr>
          </w:p>
          <w:p w14:paraId="5FFDBC2B" w14:textId="77777777" w:rsidR="008B1794" w:rsidRPr="00623A2B" w:rsidRDefault="008B1794" w:rsidP="00C83EA7">
            <w:pPr>
              <w:jc w:val="center"/>
              <w:rPr>
                <w:rFonts w:ascii="Times New Roman" w:hAnsi="Times New Roman"/>
                <w:color w:val="000000"/>
                <w:sz w:val="21"/>
                <w:szCs w:val="21"/>
                <w:lang w:val="fr-FR"/>
              </w:rPr>
            </w:pPr>
          </w:p>
        </w:tc>
      </w:tr>
      <w:tr w:rsidR="008B1794" w:rsidRPr="00213B6A" w14:paraId="1CD6AB22" w14:textId="77777777" w:rsidTr="005A11FB">
        <w:trPr>
          <w:trHeight w:val="390"/>
        </w:trPr>
        <w:tc>
          <w:tcPr>
            <w:tcW w:w="479" w:type="dxa"/>
            <w:shd w:val="clear" w:color="auto" w:fill="auto"/>
          </w:tcPr>
          <w:p w14:paraId="44EE140A"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16.</w:t>
            </w:r>
          </w:p>
        </w:tc>
        <w:tc>
          <w:tcPr>
            <w:tcW w:w="2037" w:type="dxa"/>
            <w:shd w:val="clear" w:color="auto" w:fill="auto"/>
            <w:noWrap/>
          </w:tcPr>
          <w:p w14:paraId="7C83942D"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Département de la presse et de la communication</w:t>
            </w:r>
          </w:p>
          <w:p w14:paraId="5ED88CAA" w14:textId="77777777" w:rsidR="008B1794" w:rsidRPr="00623A2B" w:rsidRDefault="008B1794" w:rsidP="00C83EA7">
            <w:pPr>
              <w:rPr>
                <w:rFonts w:ascii="Times New Roman" w:hAnsi="Times New Roman"/>
                <w:color w:val="000000"/>
                <w:sz w:val="21"/>
                <w:szCs w:val="21"/>
                <w:lang w:val="fr-FR" w:eastAsia="es-ES_tradnl"/>
              </w:rPr>
            </w:pPr>
          </w:p>
        </w:tc>
        <w:tc>
          <w:tcPr>
            <w:tcW w:w="5674" w:type="dxa"/>
            <w:shd w:val="clear" w:color="auto" w:fill="auto"/>
            <w:noWrap/>
          </w:tcPr>
          <w:p w14:paraId="34993B96" w14:textId="77777777" w:rsidR="008B1794" w:rsidRPr="00623A2B" w:rsidRDefault="008B1794" w:rsidP="00C83EA7">
            <w:pPr>
              <w:rPr>
                <w:rFonts w:ascii="Times New Roman" w:hAnsi="Times New Roman"/>
                <w:b/>
                <w:bCs/>
                <w:color w:val="000000"/>
                <w:sz w:val="21"/>
                <w:szCs w:val="21"/>
                <w:lang w:val="pt-BR"/>
              </w:rPr>
            </w:pPr>
            <w:r w:rsidRPr="00623A2B">
              <w:rPr>
                <w:rFonts w:ascii="Times New Roman" w:eastAsia="Calibri" w:hAnsi="Times New Roman"/>
                <w:b/>
                <w:color w:val="000000"/>
                <w:sz w:val="21"/>
                <w:szCs w:val="21"/>
                <w:lang w:val="pt-BR"/>
              </w:rPr>
              <w:t>AG/RES. 2957 (L-O/20) paragraphe IV.20</w:t>
            </w:r>
          </w:p>
          <w:p w14:paraId="758FBD8F" w14:textId="77777777" w:rsidR="008B1794" w:rsidRPr="00623A2B" w:rsidRDefault="008B1794" w:rsidP="00C83EA7">
            <w:pPr>
              <w:suppressAutoHyphens/>
              <w:rPr>
                <w:rFonts w:ascii="Times New Roman" w:hAnsi="Times New Roman"/>
                <w:b/>
                <w:bCs/>
                <w:color w:val="000000"/>
                <w:sz w:val="21"/>
                <w:szCs w:val="21"/>
                <w:lang w:val="fr-FR"/>
              </w:rPr>
            </w:pPr>
            <w:r w:rsidRPr="00623A2B">
              <w:rPr>
                <w:rFonts w:ascii="Times New Roman" w:eastAsia="Calibri" w:hAnsi="Times New Roman"/>
                <w:b/>
                <w:color w:val="000000"/>
                <w:sz w:val="21"/>
                <w:szCs w:val="21"/>
                <w:lang w:val="fr-FR"/>
              </w:rPr>
              <w:t>Mandat :</w:t>
            </w:r>
          </w:p>
          <w:p w14:paraId="26680F83" w14:textId="77777777" w:rsidR="008B1794" w:rsidRPr="00623A2B" w:rsidRDefault="008B1794" w:rsidP="00C83EA7">
            <w:pPr>
              <w:suppressAutoHyphens/>
              <w:rPr>
                <w:rFonts w:ascii="Times New Roman" w:hAnsi="Times New Roman"/>
                <w:i/>
                <w:iCs/>
                <w:color w:val="000000"/>
                <w:sz w:val="21"/>
                <w:szCs w:val="21"/>
                <w:lang w:val="fr-FR"/>
              </w:rPr>
            </w:pPr>
            <w:r w:rsidRPr="00623A2B">
              <w:rPr>
                <w:rFonts w:ascii="Times New Roman" w:eastAsia="Calibri" w:hAnsi="Times New Roman"/>
                <w:sz w:val="21"/>
                <w:szCs w:val="21"/>
                <w:lang w:val="fr-FR"/>
              </w:rPr>
              <w:t xml:space="preserve">De demander au Secrétaire général de charger le Département de la presse et de la communication de présenter des rapports sur l’état d’avancement de la mise en œuvre de la Stratégie de communication, et d’inclure ces informations dans le rapport semestriel sur l’administration des ressources et les résultats. </w:t>
            </w:r>
          </w:p>
          <w:p w14:paraId="0127D21C" w14:textId="77777777" w:rsidR="008B1794" w:rsidRPr="00623A2B" w:rsidRDefault="008B1794" w:rsidP="00C83EA7">
            <w:pPr>
              <w:rPr>
                <w:rFonts w:ascii="Times New Roman" w:hAnsi="Times New Roman"/>
                <w:b/>
                <w:bCs/>
                <w:color w:val="000000"/>
                <w:sz w:val="21"/>
                <w:szCs w:val="21"/>
                <w:lang w:val="fr-FR" w:eastAsia="es-ES_tradnl"/>
              </w:rPr>
            </w:pPr>
          </w:p>
        </w:tc>
        <w:tc>
          <w:tcPr>
            <w:tcW w:w="1768" w:type="dxa"/>
            <w:shd w:val="clear" w:color="auto" w:fill="auto"/>
            <w:noWrap/>
          </w:tcPr>
          <w:p w14:paraId="6FB43484" w14:textId="77777777" w:rsidR="008B1794" w:rsidRPr="00623A2B" w:rsidRDefault="008B1794" w:rsidP="00C83EA7">
            <w:pPr>
              <w:jc w:val="center"/>
              <w:rPr>
                <w:rFonts w:ascii="Times New Roman" w:hAnsi="Times New Roman"/>
                <w:color w:val="000000"/>
                <w:sz w:val="21"/>
                <w:szCs w:val="21"/>
                <w:lang w:val="fr-FR" w:eastAsia="es-ES_tradnl"/>
              </w:rPr>
            </w:pPr>
          </w:p>
          <w:p w14:paraId="6F4F9C92" w14:textId="77777777" w:rsidR="008B1794" w:rsidRPr="00623A2B" w:rsidRDefault="008B1794" w:rsidP="00C83EA7">
            <w:pPr>
              <w:jc w:val="center"/>
              <w:rPr>
                <w:rFonts w:ascii="Times New Roman" w:hAnsi="Times New Roman"/>
                <w:color w:val="000000"/>
                <w:sz w:val="21"/>
                <w:szCs w:val="21"/>
                <w:lang w:val="fr-FR" w:eastAsia="es-ES_tradnl"/>
              </w:rPr>
            </w:pPr>
          </w:p>
          <w:p w14:paraId="5C3672B7" w14:textId="77777777" w:rsidR="008B1794" w:rsidRPr="00623A2B" w:rsidRDefault="008B1794" w:rsidP="00C83EA7">
            <w:pPr>
              <w:jc w:val="center"/>
              <w:rPr>
                <w:rFonts w:ascii="Times New Roman" w:hAnsi="Times New Roman"/>
                <w:color w:val="000000"/>
                <w:sz w:val="21"/>
                <w:szCs w:val="21"/>
                <w:lang w:val="fr-FR" w:eastAsia="es-ES_tradnl"/>
              </w:rPr>
            </w:pPr>
          </w:p>
          <w:p w14:paraId="2FDBC30E" w14:textId="77777777" w:rsidR="008B1794" w:rsidRPr="00623A2B" w:rsidRDefault="008B1794" w:rsidP="00C83EA7">
            <w:pPr>
              <w:jc w:val="center"/>
              <w:rPr>
                <w:rFonts w:ascii="Times New Roman" w:hAnsi="Times New Roman"/>
                <w:color w:val="000000"/>
                <w:sz w:val="21"/>
                <w:szCs w:val="21"/>
                <w:lang w:val="fr-FR"/>
              </w:rPr>
            </w:pPr>
          </w:p>
        </w:tc>
      </w:tr>
      <w:tr w:rsidR="008B1794" w:rsidRPr="00213B6A" w14:paraId="2C24F1CA" w14:textId="77777777" w:rsidTr="005A11FB">
        <w:trPr>
          <w:trHeight w:val="390"/>
        </w:trPr>
        <w:tc>
          <w:tcPr>
            <w:tcW w:w="479" w:type="dxa"/>
            <w:shd w:val="clear" w:color="auto" w:fill="auto"/>
          </w:tcPr>
          <w:p w14:paraId="726FEFEB" w14:textId="77777777" w:rsidR="008B1794" w:rsidRPr="00623A2B" w:rsidRDefault="008B1794" w:rsidP="00C83EA7">
            <w:pPr>
              <w:keepNext/>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lastRenderedPageBreak/>
              <w:t>17.</w:t>
            </w:r>
          </w:p>
        </w:tc>
        <w:tc>
          <w:tcPr>
            <w:tcW w:w="2037" w:type="dxa"/>
            <w:shd w:val="clear" w:color="auto" w:fill="auto"/>
            <w:noWrap/>
          </w:tcPr>
          <w:p w14:paraId="4B540FE5" w14:textId="77777777" w:rsidR="008B1794" w:rsidRPr="00623A2B" w:rsidRDefault="008B1794" w:rsidP="00C83EA7">
            <w:pPr>
              <w:keepNext/>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Personnel de confiance</w:t>
            </w:r>
          </w:p>
        </w:tc>
        <w:tc>
          <w:tcPr>
            <w:tcW w:w="5674" w:type="dxa"/>
            <w:shd w:val="clear" w:color="auto" w:fill="auto"/>
            <w:noWrap/>
          </w:tcPr>
          <w:p w14:paraId="72F2920A" w14:textId="77777777" w:rsidR="008B1794" w:rsidRPr="00623A2B" w:rsidRDefault="008B1794" w:rsidP="00C83EA7">
            <w:pPr>
              <w:rPr>
                <w:rFonts w:ascii="Times New Roman" w:hAnsi="Times New Roman"/>
                <w:b/>
                <w:bCs/>
                <w:color w:val="000000"/>
                <w:sz w:val="21"/>
                <w:szCs w:val="21"/>
                <w:lang w:val="pt-BR"/>
              </w:rPr>
            </w:pPr>
            <w:r w:rsidRPr="00623A2B">
              <w:rPr>
                <w:rFonts w:ascii="Times New Roman" w:eastAsia="Calibri" w:hAnsi="Times New Roman"/>
                <w:b/>
                <w:color w:val="000000"/>
                <w:sz w:val="21"/>
                <w:szCs w:val="21"/>
                <w:lang w:val="pt-BR"/>
              </w:rPr>
              <w:t>AG/RES. 2957 (L-O/20) paragraphe IV.21</w:t>
            </w:r>
          </w:p>
          <w:p w14:paraId="5ED97F45"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b/>
                <w:color w:val="000000"/>
                <w:sz w:val="21"/>
                <w:szCs w:val="21"/>
                <w:lang w:val="fr-FR"/>
              </w:rPr>
              <w:t>Mandat :</w:t>
            </w:r>
          </w:p>
          <w:p w14:paraId="58F45ACC" w14:textId="77777777" w:rsidR="008B1794" w:rsidRPr="00623A2B" w:rsidRDefault="008B1794" w:rsidP="00C83EA7">
            <w:pPr>
              <w:suppressAutoHyphens/>
              <w:ind w:left="14"/>
              <w:rPr>
                <w:rFonts w:ascii="Times New Roman" w:eastAsia="Arial Unicode MS" w:hAnsi="Times New Roman"/>
                <w:color w:val="000000"/>
                <w:sz w:val="21"/>
                <w:szCs w:val="21"/>
                <w:lang w:val="fr-FR"/>
              </w:rPr>
            </w:pPr>
            <w:r w:rsidRPr="00623A2B">
              <w:rPr>
                <w:rFonts w:ascii="Times New Roman" w:eastAsia="Calibri" w:hAnsi="Times New Roman"/>
                <w:color w:val="000000"/>
                <w:sz w:val="21"/>
                <w:szCs w:val="21"/>
                <w:lang w:val="fr-FR"/>
              </w:rPr>
              <w:t>c)</w:t>
            </w:r>
            <w:r w:rsidRPr="00623A2B">
              <w:rPr>
                <w:rFonts w:ascii="Times New Roman" w:eastAsia="Calibri" w:hAnsi="Times New Roman"/>
                <w:color w:val="000000"/>
                <w:sz w:val="21"/>
                <w:szCs w:val="21"/>
                <w:lang w:val="fr-FR"/>
              </w:rPr>
              <w:tab/>
              <w:t xml:space="preserve">D’arrêter que le personnel engagé pour occuper un poste de confiance ne peut avoir droit au paiement de congés annuels accumulés et non utilisés au moment de sa cessation de service auprès de l’Organisation. La présente disposition ne concerne pas le personnel de la fonction publique internationale ni le personnel titulaire de contrats permanents et de contrats de la série A et de la série B ayant accepté un poste de confiance. </w:t>
            </w:r>
          </w:p>
          <w:p w14:paraId="314C310E" w14:textId="77777777" w:rsidR="008B1794" w:rsidRPr="00623A2B" w:rsidRDefault="008B1794" w:rsidP="00C83EA7">
            <w:pPr>
              <w:suppressAutoHyphens/>
              <w:rPr>
                <w:rFonts w:ascii="Times New Roman" w:hAnsi="Times New Roman"/>
                <w:b/>
                <w:bCs/>
                <w:color w:val="000000"/>
                <w:sz w:val="21"/>
                <w:szCs w:val="21"/>
                <w:lang w:val="fr-FR" w:eastAsia="es-ES_tradnl"/>
              </w:rPr>
            </w:pPr>
          </w:p>
        </w:tc>
        <w:tc>
          <w:tcPr>
            <w:tcW w:w="1768" w:type="dxa"/>
            <w:shd w:val="clear" w:color="auto" w:fill="auto"/>
            <w:noWrap/>
          </w:tcPr>
          <w:p w14:paraId="5302C3F8" w14:textId="77777777" w:rsidR="008B1794" w:rsidRPr="00623A2B" w:rsidRDefault="008B1794" w:rsidP="00C83EA7">
            <w:pPr>
              <w:jc w:val="center"/>
              <w:rPr>
                <w:rFonts w:ascii="Times New Roman" w:hAnsi="Times New Roman"/>
                <w:color w:val="000000"/>
                <w:sz w:val="21"/>
                <w:szCs w:val="21"/>
                <w:lang w:val="fr-FR" w:eastAsia="es-ES_tradnl"/>
              </w:rPr>
            </w:pPr>
          </w:p>
        </w:tc>
      </w:tr>
      <w:tr w:rsidR="008B1794" w:rsidRPr="00623A2B" w14:paraId="5EB6E512" w14:textId="77777777" w:rsidTr="005A11FB">
        <w:trPr>
          <w:trHeight w:val="390"/>
        </w:trPr>
        <w:tc>
          <w:tcPr>
            <w:tcW w:w="479" w:type="dxa"/>
            <w:shd w:val="clear" w:color="auto" w:fill="auto"/>
          </w:tcPr>
          <w:p w14:paraId="205C8D0E" w14:textId="77777777" w:rsidR="008B1794" w:rsidRPr="00623A2B" w:rsidRDefault="008B1794" w:rsidP="00C83EA7">
            <w:pPr>
              <w:suppressAutoHyphens/>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18.</w:t>
            </w:r>
          </w:p>
        </w:tc>
        <w:tc>
          <w:tcPr>
            <w:tcW w:w="2037" w:type="dxa"/>
            <w:shd w:val="clear" w:color="auto" w:fill="auto"/>
            <w:noWrap/>
          </w:tcPr>
          <w:p w14:paraId="199C0E2E" w14:textId="77777777" w:rsidR="008B1794" w:rsidRPr="00623A2B" w:rsidRDefault="008B1794" w:rsidP="00C83EA7">
            <w:pPr>
              <w:suppressAutoHyphens/>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Éthique et intégrité</w:t>
            </w:r>
          </w:p>
        </w:tc>
        <w:tc>
          <w:tcPr>
            <w:tcW w:w="5674" w:type="dxa"/>
            <w:shd w:val="clear" w:color="auto" w:fill="auto"/>
            <w:noWrap/>
          </w:tcPr>
          <w:p w14:paraId="12D8C81D" w14:textId="77777777" w:rsidR="008B1794" w:rsidRPr="00623A2B" w:rsidRDefault="008B1794" w:rsidP="00C83EA7">
            <w:pPr>
              <w:rPr>
                <w:rFonts w:ascii="Times New Roman" w:hAnsi="Times New Roman"/>
                <w:b/>
                <w:color w:val="000000"/>
                <w:sz w:val="21"/>
                <w:szCs w:val="21"/>
                <w:lang w:val="pt-BR"/>
              </w:rPr>
            </w:pPr>
            <w:r w:rsidRPr="00623A2B">
              <w:rPr>
                <w:rFonts w:ascii="Times New Roman" w:eastAsia="Calibri" w:hAnsi="Times New Roman"/>
                <w:b/>
                <w:color w:val="000000"/>
                <w:sz w:val="21"/>
                <w:szCs w:val="21"/>
                <w:lang w:val="pt-BR"/>
              </w:rPr>
              <w:t>AG/RES. 2957 (L-O/20) paragraphe IV.23</w:t>
            </w:r>
          </w:p>
          <w:p w14:paraId="2181CC5D" w14:textId="77777777" w:rsidR="008B1794" w:rsidRPr="00623A2B" w:rsidRDefault="008B1794" w:rsidP="00C83EA7">
            <w:pPr>
              <w:suppressAutoHyphens/>
              <w:rPr>
                <w:rFonts w:ascii="Times New Roman" w:hAnsi="Times New Roman"/>
                <w:b/>
                <w:color w:val="000000"/>
                <w:sz w:val="21"/>
                <w:szCs w:val="21"/>
                <w:lang w:val="fr-FR"/>
              </w:rPr>
            </w:pPr>
            <w:r w:rsidRPr="00623A2B">
              <w:rPr>
                <w:rFonts w:ascii="Times New Roman" w:eastAsia="Calibri" w:hAnsi="Times New Roman"/>
                <w:b/>
                <w:color w:val="000000"/>
                <w:sz w:val="21"/>
                <w:szCs w:val="21"/>
                <w:lang w:val="fr-FR"/>
              </w:rPr>
              <w:t>Mandat :</w:t>
            </w:r>
          </w:p>
          <w:p w14:paraId="0B89DEBC" w14:textId="77777777" w:rsidR="008B1794" w:rsidRPr="00623A2B" w:rsidRDefault="008B1794" w:rsidP="00C83EA7">
            <w:pPr>
              <w:rPr>
                <w:rFonts w:ascii="Times New Roman" w:eastAsia="Calibri" w:hAnsi="Times New Roman"/>
                <w:bCs/>
                <w:color w:val="000000"/>
                <w:sz w:val="21"/>
                <w:szCs w:val="21"/>
                <w:lang w:val="fr-FR"/>
              </w:rPr>
            </w:pPr>
            <w:r w:rsidRPr="00623A2B">
              <w:rPr>
                <w:rFonts w:ascii="Times New Roman" w:eastAsia="Calibri" w:hAnsi="Times New Roman"/>
                <w:bCs/>
                <w:color w:val="000000"/>
                <w:sz w:val="21"/>
                <w:szCs w:val="21"/>
                <w:lang w:val="fr-FR"/>
              </w:rPr>
              <w:t>De charger le Secrétaire général de procéder à la mise à jour de la Déclaration d’allégeance, de la Déclaration de conflit d’intérêts et du Code de déontologie du Secrétariat général aux fins de conformité avec l’article 120 de la Charte de l’OEA qui exige que le personnel soit recruté en fonction de son efficacité, de sa compétence et de son intégrité. Le concept d'intégrité inclut notamment la probité, l’impartialité, la justice, la sincérité et la véracité dans toutes les questions influant sur son travail, sa condition et ses relations avec autrui. Le nom de la Déclaration d’allégeance et de la Déclaration de conflit d’intérêts doit être modifié et devenir Déclaration de conflit d’intérêts et de reconnaissance d’une conduite acceptable, qui doit être signée (en personne ou par voie électronique) par tout le personnel au plus tard le 1</w:t>
            </w:r>
            <w:r w:rsidRPr="00623A2B">
              <w:rPr>
                <w:rFonts w:ascii="Times New Roman" w:eastAsia="Calibri" w:hAnsi="Times New Roman"/>
                <w:bCs/>
                <w:color w:val="000000"/>
                <w:sz w:val="21"/>
                <w:szCs w:val="21"/>
                <w:vertAlign w:val="superscript"/>
                <w:lang w:val="fr-FR"/>
              </w:rPr>
              <w:t>er</w:t>
            </w:r>
            <w:r w:rsidRPr="00623A2B">
              <w:rPr>
                <w:rFonts w:ascii="Times New Roman" w:eastAsia="Calibri" w:hAnsi="Times New Roman"/>
                <w:bCs/>
                <w:color w:val="000000"/>
                <w:sz w:val="21"/>
                <w:szCs w:val="21"/>
                <w:lang w:val="fr-FR"/>
              </w:rPr>
              <w:t xml:space="preserve"> décembre 2020 et par tout le personnel nouvellement recruté avant son entrée en fonctions. Ensuite, la Déclaration devra être signée tous les ans par tout le personnel.</w:t>
            </w:r>
          </w:p>
          <w:p w14:paraId="433288B2" w14:textId="77777777" w:rsidR="008B1794" w:rsidRPr="00623A2B" w:rsidRDefault="008B1794" w:rsidP="00C83EA7">
            <w:pPr>
              <w:rPr>
                <w:rFonts w:ascii="Times New Roman" w:eastAsia="Calibri" w:hAnsi="Times New Roman"/>
                <w:b/>
                <w:color w:val="000000"/>
                <w:sz w:val="21"/>
                <w:szCs w:val="21"/>
                <w:lang w:val="fr-FR"/>
              </w:rPr>
            </w:pPr>
          </w:p>
        </w:tc>
        <w:tc>
          <w:tcPr>
            <w:tcW w:w="1768" w:type="dxa"/>
            <w:shd w:val="clear" w:color="auto" w:fill="auto"/>
            <w:noWrap/>
          </w:tcPr>
          <w:p w14:paraId="04B2E990" w14:textId="77777777" w:rsidR="008B1794" w:rsidRPr="00623A2B" w:rsidRDefault="008B1794" w:rsidP="00C83EA7">
            <w:pPr>
              <w:jc w:val="center"/>
              <w:rPr>
                <w:rFonts w:ascii="Times New Roman" w:hAnsi="Times New Roman"/>
                <w:color w:val="000000"/>
                <w:sz w:val="21"/>
                <w:szCs w:val="21"/>
                <w:lang w:val="fr-FR" w:eastAsia="es-ES_tradnl"/>
              </w:rPr>
            </w:pPr>
            <w:r w:rsidRPr="00623A2B">
              <w:rPr>
                <w:rFonts w:ascii="Times New Roman" w:hAnsi="Times New Roman"/>
                <w:color w:val="000000"/>
                <w:sz w:val="21"/>
                <w:szCs w:val="21"/>
                <w:lang w:val="fr-FR" w:eastAsia="es-ES_tradnl"/>
              </w:rPr>
              <w:t>1</w:t>
            </w:r>
            <w:r w:rsidRPr="00623A2B">
              <w:rPr>
                <w:rFonts w:ascii="Times New Roman" w:hAnsi="Times New Roman"/>
                <w:color w:val="000000"/>
                <w:sz w:val="21"/>
                <w:szCs w:val="21"/>
                <w:vertAlign w:val="superscript"/>
                <w:lang w:val="fr-FR" w:eastAsia="es-ES_tradnl"/>
              </w:rPr>
              <w:t>er</w:t>
            </w:r>
            <w:r w:rsidRPr="00623A2B">
              <w:rPr>
                <w:rFonts w:ascii="Times New Roman" w:hAnsi="Times New Roman"/>
                <w:color w:val="000000"/>
                <w:sz w:val="21"/>
                <w:szCs w:val="21"/>
                <w:lang w:val="fr-FR" w:eastAsia="es-ES_tradnl"/>
              </w:rPr>
              <w:t xml:space="preserve"> décembre 2021</w:t>
            </w:r>
          </w:p>
        </w:tc>
      </w:tr>
      <w:tr w:rsidR="008B1794" w:rsidRPr="00213B6A" w14:paraId="585D619A" w14:textId="77777777" w:rsidTr="005A11FB">
        <w:trPr>
          <w:trHeight w:val="390"/>
        </w:trPr>
        <w:tc>
          <w:tcPr>
            <w:tcW w:w="479" w:type="dxa"/>
            <w:shd w:val="clear" w:color="auto" w:fill="auto"/>
          </w:tcPr>
          <w:p w14:paraId="297EC060" w14:textId="77777777" w:rsidR="008B1794" w:rsidRPr="00623A2B" w:rsidRDefault="008B1794" w:rsidP="00C83EA7">
            <w:pPr>
              <w:suppressAutoHyphens/>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19.</w:t>
            </w:r>
          </w:p>
        </w:tc>
        <w:tc>
          <w:tcPr>
            <w:tcW w:w="2037" w:type="dxa"/>
            <w:shd w:val="clear" w:color="auto" w:fill="auto"/>
            <w:noWrap/>
          </w:tcPr>
          <w:p w14:paraId="7EA6FEBC" w14:textId="77777777" w:rsidR="008B1794" w:rsidRPr="00623A2B" w:rsidRDefault="008B1794" w:rsidP="00C83EA7">
            <w:pPr>
              <w:suppressAutoHyphens/>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Normes comptables internationales pour le secteur public</w:t>
            </w:r>
          </w:p>
        </w:tc>
        <w:tc>
          <w:tcPr>
            <w:tcW w:w="5674" w:type="dxa"/>
            <w:shd w:val="clear" w:color="auto" w:fill="auto"/>
            <w:noWrap/>
          </w:tcPr>
          <w:p w14:paraId="678766A9" w14:textId="77777777" w:rsidR="008B1794" w:rsidRPr="00623A2B" w:rsidRDefault="008B1794" w:rsidP="00C83EA7">
            <w:pPr>
              <w:rPr>
                <w:rFonts w:ascii="Times New Roman" w:hAnsi="Times New Roman"/>
                <w:b/>
                <w:color w:val="000000"/>
                <w:sz w:val="21"/>
                <w:szCs w:val="21"/>
                <w:lang w:val="pt-BR"/>
              </w:rPr>
            </w:pPr>
            <w:r w:rsidRPr="00623A2B">
              <w:rPr>
                <w:rFonts w:ascii="Times New Roman" w:eastAsia="Calibri" w:hAnsi="Times New Roman"/>
                <w:b/>
                <w:color w:val="000000"/>
                <w:sz w:val="21"/>
                <w:szCs w:val="21"/>
                <w:lang w:val="pt-BR"/>
              </w:rPr>
              <w:t>AG/RES. 2957 (L-O/20) paragraphe IV.25</w:t>
            </w:r>
          </w:p>
          <w:p w14:paraId="507A3EAE" w14:textId="77777777" w:rsidR="008B1794" w:rsidRPr="00623A2B" w:rsidRDefault="008B1794" w:rsidP="00C83EA7">
            <w:pPr>
              <w:suppressAutoHyphens/>
              <w:rPr>
                <w:rFonts w:ascii="Times New Roman" w:hAnsi="Times New Roman"/>
                <w:b/>
                <w:color w:val="000000"/>
                <w:sz w:val="21"/>
                <w:szCs w:val="21"/>
                <w:lang w:val="fr-FR"/>
              </w:rPr>
            </w:pPr>
            <w:r w:rsidRPr="00623A2B">
              <w:rPr>
                <w:rFonts w:ascii="Times New Roman" w:eastAsia="Calibri" w:hAnsi="Times New Roman"/>
                <w:b/>
                <w:color w:val="000000"/>
                <w:sz w:val="21"/>
                <w:szCs w:val="21"/>
                <w:lang w:val="fr-FR"/>
              </w:rPr>
              <w:t>Mandat :</w:t>
            </w:r>
          </w:p>
          <w:p w14:paraId="7CC37884" w14:textId="01C11217" w:rsidR="008B1794" w:rsidRPr="00623A2B" w:rsidRDefault="008B1794" w:rsidP="00C83EA7">
            <w:pPr>
              <w:rPr>
                <w:rFonts w:ascii="Times New Roman" w:hAnsi="Times New Roman"/>
                <w:color w:val="000000"/>
                <w:sz w:val="21"/>
                <w:szCs w:val="21"/>
                <w:lang w:val="fr-FR"/>
              </w:rPr>
            </w:pPr>
            <w:r w:rsidRPr="00623A2B">
              <w:rPr>
                <w:rFonts w:ascii="Times New Roman" w:hAnsi="Times New Roman"/>
                <w:color w:val="000000"/>
                <w:sz w:val="21"/>
                <w:szCs w:val="21"/>
                <w:lang w:val="fr-FR"/>
              </w:rPr>
              <w:t>De charger le Conseil permanent de déterminer, par l’intermédiaire de la CAAP, le financement nécessaire pour le projet dénommé Mise en application des Normes comptables internationales pour le secteur public (Normes IPSAS) au sein du Secrétariat général, une fois mis en place le nouveau système de planification des ressources institutionnelles (ERP), et dans des délais raisonnables.</w:t>
            </w:r>
          </w:p>
          <w:p w14:paraId="71F361F3" w14:textId="77777777" w:rsidR="008B1794" w:rsidRPr="00623A2B" w:rsidRDefault="008B1794" w:rsidP="00C83EA7">
            <w:pPr>
              <w:rPr>
                <w:rFonts w:ascii="Times New Roman" w:eastAsia="Calibri" w:hAnsi="Times New Roman"/>
                <w:b/>
                <w:color w:val="000000"/>
                <w:sz w:val="21"/>
                <w:szCs w:val="21"/>
                <w:lang w:val="fr-FR"/>
              </w:rPr>
            </w:pPr>
          </w:p>
        </w:tc>
        <w:tc>
          <w:tcPr>
            <w:tcW w:w="1768" w:type="dxa"/>
            <w:shd w:val="clear" w:color="auto" w:fill="auto"/>
            <w:noWrap/>
          </w:tcPr>
          <w:p w14:paraId="2101AD2D" w14:textId="77777777" w:rsidR="008B1794" w:rsidRPr="00623A2B" w:rsidRDefault="008B1794" w:rsidP="00C83EA7">
            <w:pPr>
              <w:jc w:val="center"/>
              <w:rPr>
                <w:rFonts w:ascii="Times New Roman" w:hAnsi="Times New Roman"/>
                <w:color w:val="000000"/>
                <w:sz w:val="21"/>
                <w:szCs w:val="21"/>
                <w:lang w:val="fr-FR" w:eastAsia="es-ES_tradnl"/>
              </w:rPr>
            </w:pPr>
          </w:p>
        </w:tc>
      </w:tr>
      <w:tr w:rsidR="008B1794" w:rsidRPr="00213B6A" w14:paraId="609A6F4B" w14:textId="77777777" w:rsidTr="005A11FB">
        <w:trPr>
          <w:trHeight w:val="390"/>
        </w:trPr>
        <w:tc>
          <w:tcPr>
            <w:tcW w:w="479" w:type="dxa"/>
            <w:shd w:val="clear" w:color="auto" w:fill="auto"/>
          </w:tcPr>
          <w:p w14:paraId="11762B03"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20.</w:t>
            </w:r>
          </w:p>
        </w:tc>
        <w:tc>
          <w:tcPr>
            <w:tcW w:w="2037" w:type="dxa"/>
            <w:shd w:val="clear" w:color="auto" w:fill="auto"/>
            <w:noWrap/>
          </w:tcPr>
          <w:p w14:paraId="7D5CD24D"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Responsabilisation et transparence</w:t>
            </w:r>
          </w:p>
          <w:p w14:paraId="6CFCC75C" w14:textId="77777777" w:rsidR="008B1794" w:rsidRPr="00623A2B" w:rsidRDefault="008B1794" w:rsidP="00C83EA7">
            <w:pPr>
              <w:rPr>
                <w:rFonts w:ascii="Times New Roman" w:hAnsi="Times New Roman"/>
                <w:color w:val="000000"/>
                <w:sz w:val="21"/>
                <w:szCs w:val="21"/>
                <w:lang w:val="fr-FR" w:eastAsia="es-ES_tradnl"/>
              </w:rPr>
            </w:pPr>
          </w:p>
        </w:tc>
        <w:tc>
          <w:tcPr>
            <w:tcW w:w="5674" w:type="dxa"/>
            <w:shd w:val="clear" w:color="auto" w:fill="auto"/>
            <w:noWrap/>
          </w:tcPr>
          <w:p w14:paraId="38790A23" w14:textId="77777777" w:rsidR="008B1794" w:rsidRPr="00623A2B" w:rsidRDefault="008B1794" w:rsidP="00C83EA7">
            <w:pPr>
              <w:rPr>
                <w:rFonts w:ascii="Times New Roman" w:hAnsi="Times New Roman"/>
                <w:b/>
                <w:bCs/>
                <w:color w:val="000000"/>
                <w:sz w:val="21"/>
                <w:szCs w:val="21"/>
                <w:lang w:val="pt-BR"/>
              </w:rPr>
            </w:pPr>
            <w:r w:rsidRPr="00623A2B">
              <w:rPr>
                <w:rFonts w:ascii="Times New Roman" w:eastAsia="Calibri" w:hAnsi="Times New Roman"/>
                <w:b/>
                <w:color w:val="000000"/>
                <w:sz w:val="21"/>
                <w:szCs w:val="21"/>
                <w:lang w:val="pt-BR"/>
              </w:rPr>
              <w:t>AG/RES. 2957 (L-O/20) paragraphe IV.28</w:t>
            </w:r>
          </w:p>
          <w:p w14:paraId="1686A1FB"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b/>
                <w:color w:val="000000"/>
                <w:sz w:val="21"/>
                <w:szCs w:val="21"/>
                <w:lang w:val="fr-FR"/>
              </w:rPr>
              <w:t>Mandat :</w:t>
            </w:r>
          </w:p>
          <w:p w14:paraId="4600D5AD" w14:textId="77777777" w:rsidR="008B1794" w:rsidRPr="00623A2B" w:rsidRDefault="008B1794" w:rsidP="00573617">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 xml:space="preserve">Le Secrétariat général continuera de publier sur le site Web de l’Organisation les renseignements actualisés indiqués ci-dessous, conformément au régime juridique de l’Organisation : </w:t>
            </w:r>
          </w:p>
          <w:p w14:paraId="2912303B" w14:textId="77777777" w:rsidR="008B1794" w:rsidRPr="00623A2B" w:rsidRDefault="008B1794" w:rsidP="00C83EA7">
            <w:pPr>
              <w:suppressAutoHyphens/>
              <w:rPr>
                <w:rFonts w:ascii="Times New Roman" w:hAnsi="Times New Roman"/>
                <w:color w:val="000000"/>
                <w:sz w:val="21"/>
                <w:szCs w:val="21"/>
                <w:lang w:val="fr-FR" w:eastAsia="es-ES"/>
              </w:rPr>
            </w:pPr>
          </w:p>
          <w:p w14:paraId="39D10DDE" w14:textId="77777777" w:rsidR="008B1794" w:rsidRPr="00623A2B" w:rsidRDefault="008B1794" w:rsidP="00573617">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lastRenderedPageBreak/>
              <w:t xml:space="preserve">La structure organique de chaque service de l’Organisation. </w:t>
            </w:r>
          </w:p>
          <w:p w14:paraId="240DCD99" w14:textId="77777777" w:rsidR="008B1794" w:rsidRPr="00623A2B" w:rsidRDefault="008B1794" w:rsidP="00C83EA7">
            <w:pPr>
              <w:suppressAutoHyphens/>
              <w:ind w:left="721" w:hanging="360"/>
              <w:rPr>
                <w:rFonts w:ascii="Times New Roman" w:hAnsi="Times New Roman"/>
                <w:color w:val="000000"/>
                <w:sz w:val="21"/>
                <w:szCs w:val="21"/>
                <w:lang w:val="fr-FR" w:eastAsia="es-ES"/>
              </w:rPr>
            </w:pPr>
          </w:p>
          <w:p w14:paraId="40953927" w14:textId="77777777" w:rsidR="008B1794" w:rsidRPr="00623A2B" w:rsidRDefault="008B1794" w:rsidP="00573617">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 xml:space="preserve">Les plans opérationnels des services du Secrétariat général, établis sur la base des lignes stratégiques et des objectifs du Plan stratégique adopté aux termes des résolutions AG/RES. 1 (LI-E/16) </w:t>
            </w:r>
            <w:proofErr w:type="spellStart"/>
            <w:r w:rsidRPr="00623A2B">
              <w:rPr>
                <w:rFonts w:ascii="Times New Roman" w:eastAsia="Calibri" w:hAnsi="Times New Roman"/>
                <w:color w:val="000000"/>
                <w:sz w:val="21"/>
                <w:szCs w:val="21"/>
                <w:lang w:val="fr-FR"/>
              </w:rPr>
              <w:t>rev</w:t>
            </w:r>
            <w:proofErr w:type="spellEnd"/>
            <w:r w:rsidRPr="00623A2B">
              <w:rPr>
                <w:rFonts w:ascii="Times New Roman" w:eastAsia="Calibri" w:hAnsi="Times New Roman"/>
                <w:color w:val="000000"/>
                <w:sz w:val="21"/>
                <w:szCs w:val="21"/>
                <w:lang w:val="fr-FR"/>
              </w:rPr>
              <w:t xml:space="preserve">. 1 et CP/RES. 1121 (2209/19). </w:t>
            </w:r>
          </w:p>
          <w:p w14:paraId="37BE6D74" w14:textId="77777777" w:rsidR="008B1794" w:rsidRPr="00623A2B" w:rsidRDefault="008B1794" w:rsidP="00C83EA7">
            <w:pPr>
              <w:suppressAutoHyphens/>
              <w:ind w:left="631" w:hanging="270"/>
              <w:rPr>
                <w:rFonts w:ascii="Times New Roman" w:hAnsi="Times New Roman"/>
                <w:color w:val="000000"/>
                <w:sz w:val="21"/>
                <w:szCs w:val="21"/>
                <w:lang w:val="fr-FR" w:eastAsia="es-ES"/>
              </w:rPr>
            </w:pPr>
          </w:p>
          <w:p w14:paraId="1F79BE47" w14:textId="77777777" w:rsidR="008B1794" w:rsidRPr="00623A2B" w:rsidRDefault="008B1794" w:rsidP="00573617">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 xml:space="preserve">Les résultats des évaluations, activités de suivi et audits des programmes et activités. </w:t>
            </w:r>
          </w:p>
          <w:p w14:paraId="1C857A0B" w14:textId="77777777" w:rsidR="008B1794" w:rsidRPr="00623A2B" w:rsidRDefault="008B1794" w:rsidP="00C83EA7">
            <w:pPr>
              <w:suppressAutoHyphens/>
              <w:ind w:left="631" w:hanging="270"/>
              <w:rPr>
                <w:rFonts w:ascii="Times New Roman" w:hAnsi="Times New Roman"/>
                <w:color w:val="000000"/>
                <w:sz w:val="21"/>
                <w:szCs w:val="21"/>
                <w:lang w:val="fr-FR" w:eastAsia="es-ES"/>
              </w:rPr>
            </w:pPr>
          </w:p>
          <w:p w14:paraId="47A7C014" w14:textId="77777777" w:rsidR="008B1794" w:rsidRPr="00623A2B" w:rsidRDefault="008B1794" w:rsidP="00573617">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 xml:space="preserve">La dotation en personnel par service de l'Organisation, comprenant en outre le barème des salaires et autres avantages sociaux, de même que les postes vacants. </w:t>
            </w:r>
          </w:p>
          <w:p w14:paraId="09808F11" w14:textId="77777777" w:rsidR="008B1794" w:rsidRPr="00623A2B" w:rsidRDefault="008B1794" w:rsidP="00C83EA7">
            <w:pPr>
              <w:suppressAutoHyphens/>
              <w:ind w:left="631" w:hanging="270"/>
              <w:rPr>
                <w:rFonts w:ascii="Times New Roman" w:hAnsi="Times New Roman"/>
                <w:color w:val="000000"/>
                <w:sz w:val="21"/>
                <w:szCs w:val="21"/>
                <w:lang w:val="fr-FR" w:eastAsia="es-ES"/>
              </w:rPr>
            </w:pPr>
          </w:p>
          <w:p w14:paraId="23FD43D0" w14:textId="77777777" w:rsidR="008B1794" w:rsidRPr="00623A2B" w:rsidRDefault="008B1794" w:rsidP="00573617">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 xml:space="preserve">Les contrats à la tâche accordés à des consultants et les contrats de biens et services, selon les normes applicables. </w:t>
            </w:r>
          </w:p>
          <w:p w14:paraId="461F44B9" w14:textId="77777777" w:rsidR="008B1794" w:rsidRPr="00623A2B" w:rsidRDefault="008B1794" w:rsidP="00C83EA7">
            <w:pPr>
              <w:rPr>
                <w:rFonts w:ascii="Times New Roman" w:hAnsi="Times New Roman"/>
                <w:b/>
                <w:bCs/>
                <w:color w:val="000000"/>
                <w:sz w:val="21"/>
                <w:szCs w:val="21"/>
                <w:highlight w:val="yellow"/>
                <w:lang w:val="fr-FR" w:eastAsia="es-ES_tradnl"/>
              </w:rPr>
            </w:pPr>
          </w:p>
        </w:tc>
        <w:tc>
          <w:tcPr>
            <w:tcW w:w="1768" w:type="dxa"/>
            <w:shd w:val="clear" w:color="auto" w:fill="auto"/>
            <w:noWrap/>
          </w:tcPr>
          <w:p w14:paraId="389C55F5" w14:textId="77777777" w:rsidR="008B1794" w:rsidRPr="00623A2B" w:rsidRDefault="008B1794" w:rsidP="00C83EA7">
            <w:pPr>
              <w:jc w:val="center"/>
              <w:rPr>
                <w:rFonts w:ascii="Times New Roman" w:hAnsi="Times New Roman"/>
                <w:color w:val="000000"/>
                <w:sz w:val="21"/>
                <w:szCs w:val="21"/>
                <w:lang w:val="fr-FR" w:eastAsia="es-ES_tradnl"/>
              </w:rPr>
            </w:pPr>
          </w:p>
        </w:tc>
      </w:tr>
      <w:tr w:rsidR="008B1794" w:rsidRPr="00213B6A" w14:paraId="796EF11F" w14:textId="77777777" w:rsidTr="005A11FB">
        <w:trPr>
          <w:trHeight w:val="390"/>
        </w:trPr>
        <w:tc>
          <w:tcPr>
            <w:tcW w:w="479" w:type="dxa"/>
            <w:shd w:val="clear" w:color="auto" w:fill="auto"/>
          </w:tcPr>
          <w:p w14:paraId="1FAC818A" w14:textId="77777777" w:rsidR="008B1794" w:rsidRPr="00623A2B" w:rsidRDefault="008B1794" w:rsidP="00C83EA7">
            <w:pPr>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21.</w:t>
            </w:r>
          </w:p>
        </w:tc>
        <w:tc>
          <w:tcPr>
            <w:tcW w:w="2037" w:type="dxa"/>
            <w:shd w:val="clear" w:color="auto" w:fill="auto"/>
            <w:noWrap/>
          </w:tcPr>
          <w:p w14:paraId="37F25730" w14:textId="77777777" w:rsidR="008B1794" w:rsidRPr="00623A2B" w:rsidRDefault="008B1794" w:rsidP="00C83EA7">
            <w:pPr>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Recommandations de l’Inspecteur général</w:t>
            </w:r>
          </w:p>
        </w:tc>
        <w:tc>
          <w:tcPr>
            <w:tcW w:w="5674" w:type="dxa"/>
            <w:shd w:val="clear" w:color="auto" w:fill="auto"/>
            <w:noWrap/>
          </w:tcPr>
          <w:p w14:paraId="67078DEC" w14:textId="77777777" w:rsidR="008B1794" w:rsidRPr="00623A2B" w:rsidRDefault="008B1794" w:rsidP="00C83EA7">
            <w:pPr>
              <w:rPr>
                <w:rFonts w:ascii="Times New Roman" w:hAnsi="Times New Roman"/>
                <w:b/>
                <w:bCs/>
                <w:color w:val="000000"/>
                <w:sz w:val="21"/>
                <w:szCs w:val="21"/>
                <w:lang w:val="pt-BR"/>
              </w:rPr>
            </w:pPr>
            <w:r w:rsidRPr="00623A2B">
              <w:rPr>
                <w:rFonts w:ascii="Times New Roman" w:eastAsia="Calibri" w:hAnsi="Times New Roman"/>
                <w:b/>
                <w:color w:val="000000"/>
                <w:sz w:val="21"/>
                <w:szCs w:val="21"/>
                <w:lang w:val="pt-BR"/>
              </w:rPr>
              <w:t>AG/RES. 2957 (L-O/20) paragraphe IV.30</w:t>
            </w:r>
          </w:p>
          <w:p w14:paraId="27DC8D7F" w14:textId="77777777" w:rsidR="008B1794" w:rsidRPr="00623A2B" w:rsidRDefault="008B1794" w:rsidP="00C83EA7">
            <w:pPr>
              <w:suppressAutoHyphens/>
              <w:rPr>
                <w:rFonts w:ascii="Times New Roman" w:hAnsi="Times New Roman"/>
                <w:b/>
                <w:bCs/>
                <w:color w:val="000000"/>
                <w:sz w:val="21"/>
                <w:szCs w:val="21"/>
                <w:lang w:val="fr-FR"/>
              </w:rPr>
            </w:pPr>
            <w:r w:rsidRPr="00623A2B">
              <w:rPr>
                <w:rFonts w:ascii="Times New Roman" w:eastAsia="Calibri" w:hAnsi="Times New Roman"/>
                <w:b/>
                <w:color w:val="000000"/>
                <w:sz w:val="21"/>
                <w:szCs w:val="21"/>
                <w:lang w:val="fr-FR"/>
              </w:rPr>
              <w:t>Mandat :</w:t>
            </w:r>
          </w:p>
          <w:p w14:paraId="532D1727" w14:textId="77777777" w:rsidR="008B1794" w:rsidRPr="00623A2B" w:rsidRDefault="008B1794" w:rsidP="00573617">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 xml:space="preserve">De charger l’Inspecteur général de continuer de présenter à la CAAP tous les trimestres une analyse sur l’état de la mise en œuvre des recommandations formulées. </w:t>
            </w:r>
          </w:p>
          <w:p w14:paraId="03DE2117" w14:textId="77777777" w:rsidR="008B1794" w:rsidRPr="00623A2B" w:rsidRDefault="008B1794" w:rsidP="00C83EA7">
            <w:pPr>
              <w:suppressAutoHyphens/>
              <w:ind w:left="361" w:hanging="360"/>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 xml:space="preserve"> </w:t>
            </w:r>
          </w:p>
          <w:p w14:paraId="7BA834BC" w14:textId="77777777" w:rsidR="008B1794" w:rsidRPr="00623A2B" w:rsidRDefault="008B1794" w:rsidP="00573617">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De charger le Secrétariat général de présenter à la CAAP pour examen, dans le contexte des préparatifs en vue des discussions sur le programme-budget 2022, un aperçu général des changements institutionnels proposés pour renforcer le Bureau de l’Inspecteur général ainsi que des ressources nécessaires correspondant aux changements proposés.</w:t>
            </w:r>
          </w:p>
        </w:tc>
        <w:tc>
          <w:tcPr>
            <w:tcW w:w="1768" w:type="dxa"/>
            <w:shd w:val="clear" w:color="auto" w:fill="auto"/>
            <w:noWrap/>
          </w:tcPr>
          <w:p w14:paraId="7EFC1823" w14:textId="77777777" w:rsidR="008B1794" w:rsidRPr="00623A2B" w:rsidRDefault="008B1794" w:rsidP="00C83EA7">
            <w:pPr>
              <w:jc w:val="center"/>
              <w:rPr>
                <w:rFonts w:ascii="Times New Roman" w:hAnsi="Times New Roman"/>
                <w:color w:val="000000"/>
                <w:sz w:val="21"/>
                <w:szCs w:val="21"/>
                <w:lang w:val="fr-FR" w:eastAsia="es-ES_tradnl"/>
              </w:rPr>
            </w:pPr>
          </w:p>
          <w:p w14:paraId="2837030F" w14:textId="77777777" w:rsidR="008B1794" w:rsidRPr="00623A2B" w:rsidRDefault="008B1794" w:rsidP="00C83EA7">
            <w:pPr>
              <w:jc w:val="center"/>
              <w:rPr>
                <w:rFonts w:ascii="Times New Roman" w:hAnsi="Times New Roman"/>
                <w:color w:val="000000"/>
                <w:sz w:val="21"/>
                <w:szCs w:val="21"/>
                <w:lang w:val="fr-FR" w:eastAsia="es-ES_tradnl"/>
              </w:rPr>
            </w:pPr>
          </w:p>
          <w:p w14:paraId="617D122A" w14:textId="77777777" w:rsidR="008B1794" w:rsidRPr="00623A2B" w:rsidRDefault="008B1794" w:rsidP="00C83EA7">
            <w:pPr>
              <w:jc w:val="center"/>
              <w:rPr>
                <w:rFonts w:ascii="Times New Roman" w:hAnsi="Times New Roman"/>
                <w:color w:val="000000"/>
                <w:sz w:val="21"/>
                <w:szCs w:val="21"/>
                <w:lang w:val="fr-FR" w:eastAsia="es-ES_tradnl"/>
              </w:rPr>
            </w:pPr>
            <w:r w:rsidRPr="00623A2B">
              <w:rPr>
                <w:rFonts w:ascii="Times New Roman" w:hAnsi="Times New Roman"/>
                <w:color w:val="000000"/>
                <w:sz w:val="21"/>
                <w:szCs w:val="21"/>
                <w:lang w:val="fr-FR" w:eastAsia="es-ES_tradnl"/>
              </w:rPr>
              <w:t>Tous les six mois</w:t>
            </w:r>
          </w:p>
          <w:p w14:paraId="162ECC8C" w14:textId="77777777" w:rsidR="008B1794" w:rsidRPr="00623A2B" w:rsidRDefault="008B1794" w:rsidP="00C83EA7">
            <w:pPr>
              <w:jc w:val="center"/>
              <w:rPr>
                <w:rFonts w:ascii="Times New Roman" w:hAnsi="Times New Roman"/>
                <w:color w:val="000000"/>
                <w:sz w:val="21"/>
                <w:szCs w:val="21"/>
                <w:lang w:val="fr-FR" w:eastAsia="es-ES_tradnl"/>
              </w:rPr>
            </w:pPr>
          </w:p>
          <w:p w14:paraId="1C69D0EE" w14:textId="77777777" w:rsidR="008B1794" w:rsidRPr="00623A2B" w:rsidRDefault="008B1794" w:rsidP="00C83EA7">
            <w:pPr>
              <w:jc w:val="center"/>
              <w:rPr>
                <w:rFonts w:ascii="Times New Roman" w:hAnsi="Times New Roman"/>
                <w:color w:val="000000"/>
                <w:sz w:val="21"/>
                <w:szCs w:val="21"/>
                <w:lang w:val="fr-FR" w:eastAsia="es-ES_tradnl"/>
              </w:rPr>
            </w:pPr>
          </w:p>
          <w:p w14:paraId="22810B89" w14:textId="77777777" w:rsidR="008B1794" w:rsidRPr="00623A2B" w:rsidRDefault="008B1794" w:rsidP="00C83EA7">
            <w:pPr>
              <w:jc w:val="center"/>
              <w:rPr>
                <w:rFonts w:ascii="Times New Roman" w:hAnsi="Times New Roman"/>
                <w:color w:val="000000"/>
                <w:sz w:val="21"/>
                <w:szCs w:val="21"/>
                <w:lang w:val="fr-FR" w:eastAsia="es-ES_tradnl"/>
              </w:rPr>
            </w:pPr>
          </w:p>
          <w:p w14:paraId="4BA44EC6" w14:textId="77777777" w:rsidR="008B1794" w:rsidRPr="00623A2B" w:rsidRDefault="008B1794" w:rsidP="00C83EA7">
            <w:pPr>
              <w:jc w:val="center"/>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b) remplacer par 2023</w:t>
            </w:r>
          </w:p>
        </w:tc>
      </w:tr>
      <w:tr w:rsidR="008B1794" w:rsidRPr="00213B6A" w14:paraId="34E803F7" w14:textId="77777777" w:rsidTr="005A11FB">
        <w:trPr>
          <w:trHeight w:val="390"/>
        </w:trPr>
        <w:tc>
          <w:tcPr>
            <w:tcW w:w="479" w:type="dxa"/>
            <w:shd w:val="clear" w:color="auto" w:fill="auto"/>
          </w:tcPr>
          <w:p w14:paraId="30252162" w14:textId="77777777" w:rsidR="008B1794" w:rsidRPr="00623A2B" w:rsidRDefault="008B1794" w:rsidP="00C83EA7">
            <w:pPr>
              <w:keepNext/>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lastRenderedPageBreak/>
              <w:t>22.</w:t>
            </w:r>
          </w:p>
        </w:tc>
        <w:tc>
          <w:tcPr>
            <w:tcW w:w="2037" w:type="dxa"/>
            <w:shd w:val="clear" w:color="auto" w:fill="auto"/>
            <w:noWrap/>
          </w:tcPr>
          <w:p w14:paraId="1B7E6E77"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Éthique/harcèlement</w:t>
            </w:r>
          </w:p>
        </w:tc>
        <w:tc>
          <w:tcPr>
            <w:tcW w:w="5674" w:type="dxa"/>
            <w:shd w:val="clear" w:color="auto" w:fill="auto"/>
            <w:noWrap/>
          </w:tcPr>
          <w:p w14:paraId="5C60981B" w14:textId="77777777" w:rsidR="008B1794" w:rsidRPr="00623A2B" w:rsidRDefault="008B1794" w:rsidP="00C83EA7">
            <w:pPr>
              <w:rPr>
                <w:rFonts w:ascii="Times New Roman" w:hAnsi="Times New Roman"/>
                <w:b/>
                <w:bCs/>
                <w:color w:val="000000"/>
                <w:sz w:val="21"/>
                <w:szCs w:val="21"/>
                <w:lang w:val="pt-BR"/>
              </w:rPr>
            </w:pPr>
            <w:r w:rsidRPr="00623A2B">
              <w:rPr>
                <w:rFonts w:ascii="Times New Roman" w:eastAsia="Calibri" w:hAnsi="Times New Roman"/>
                <w:b/>
                <w:color w:val="000000"/>
                <w:sz w:val="21"/>
                <w:szCs w:val="21"/>
                <w:lang w:val="pt-BR"/>
              </w:rPr>
              <w:t>AG/RES. 2957 (L-O/20) paragraphe IV.31</w:t>
            </w:r>
          </w:p>
          <w:p w14:paraId="00B82B97" w14:textId="77777777" w:rsidR="008B1794" w:rsidRPr="00623A2B" w:rsidRDefault="008B1794" w:rsidP="00C83EA7">
            <w:pPr>
              <w:suppressAutoHyphens/>
              <w:rPr>
                <w:rFonts w:ascii="Times New Roman" w:hAnsi="Times New Roman"/>
                <w:b/>
                <w:bCs/>
                <w:color w:val="000000"/>
                <w:sz w:val="21"/>
                <w:szCs w:val="21"/>
                <w:lang w:val="fr-FR"/>
              </w:rPr>
            </w:pPr>
            <w:r w:rsidRPr="00623A2B">
              <w:rPr>
                <w:rFonts w:ascii="Times New Roman" w:eastAsia="Calibri" w:hAnsi="Times New Roman"/>
                <w:b/>
                <w:color w:val="000000"/>
                <w:sz w:val="21"/>
                <w:szCs w:val="21"/>
                <w:lang w:val="fr-FR"/>
              </w:rPr>
              <w:t>Mandat :</w:t>
            </w:r>
          </w:p>
          <w:p w14:paraId="346CE2EC" w14:textId="77777777" w:rsidR="008B1794" w:rsidRPr="00623A2B" w:rsidRDefault="008B1794" w:rsidP="00C83EA7">
            <w:pPr>
              <w:suppressAutoHyphens/>
              <w:rPr>
                <w:rFonts w:ascii="Times New Roman" w:hAnsi="Times New Roman"/>
                <w:bCs/>
                <w:i/>
                <w:iCs/>
                <w:color w:val="000000"/>
                <w:sz w:val="21"/>
                <w:szCs w:val="21"/>
                <w:lang w:val="fr-FR"/>
              </w:rPr>
            </w:pPr>
            <w:r w:rsidRPr="00623A2B">
              <w:rPr>
                <w:rFonts w:ascii="Times New Roman" w:eastAsia="Calibri" w:hAnsi="Times New Roman"/>
                <w:sz w:val="21"/>
                <w:szCs w:val="21"/>
                <w:lang w:val="fr-FR"/>
              </w:rPr>
              <w:t xml:space="preserve">De charger le Bureau de l’Inspecteur général et le Bureau de l’Ombudsman de présenter aux États membres un rapport incluant en détail le nombre annuel de cas, parmi lesquels les cas de fraude, de harcèlement, de lanceurs d’alerte qui ont été traités, le temps employé au traitement de chaque procédure d’enquête, les mesures adoptées en général, de même que le dénombrement des carences et manquements éventuels qui ont été constatés dans la mise en œuvre des politiques de l’Organisation sur la fraude, le harcèlement et les lanceurs d’alerte, de même que sur les mesures de protection des lanceurs d’alerte. </w:t>
            </w:r>
          </w:p>
          <w:p w14:paraId="504A51E0" w14:textId="77777777" w:rsidR="008B1794" w:rsidRPr="00623A2B" w:rsidRDefault="008B1794" w:rsidP="00C83EA7">
            <w:pPr>
              <w:rPr>
                <w:rFonts w:ascii="Times New Roman" w:hAnsi="Times New Roman"/>
                <w:b/>
                <w:bCs/>
                <w:color w:val="000000"/>
                <w:sz w:val="21"/>
                <w:szCs w:val="21"/>
                <w:lang w:val="fr-FR" w:eastAsia="es-ES_tradnl"/>
              </w:rPr>
            </w:pPr>
          </w:p>
        </w:tc>
        <w:tc>
          <w:tcPr>
            <w:tcW w:w="1768" w:type="dxa"/>
            <w:shd w:val="clear" w:color="auto" w:fill="auto"/>
            <w:noWrap/>
          </w:tcPr>
          <w:p w14:paraId="4E33D10F" w14:textId="77777777" w:rsidR="008B1794" w:rsidRPr="00623A2B" w:rsidRDefault="008B1794" w:rsidP="00C83EA7">
            <w:pPr>
              <w:jc w:val="center"/>
              <w:rPr>
                <w:rFonts w:ascii="Times New Roman" w:hAnsi="Times New Roman"/>
                <w:color w:val="000000"/>
                <w:sz w:val="21"/>
                <w:szCs w:val="21"/>
                <w:lang w:val="fr-FR" w:eastAsia="es-ES_tradnl"/>
              </w:rPr>
            </w:pPr>
          </w:p>
        </w:tc>
      </w:tr>
      <w:tr w:rsidR="008B1794" w:rsidRPr="00213B6A" w14:paraId="2E9BD6FB" w14:textId="77777777" w:rsidTr="005A11FB">
        <w:trPr>
          <w:trHeight w:val="390"/>
        </w:trPr>
        <w:tc>
          <w:tcPr>
            <w:tcW w:w="479" w:type="dxa"/>
            <w:shd w:val="clear" w:color="auto" w:fill="auto"/>
          </w:tcPr>
          <w:p w14:paraId="43ECFA90"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23.</w:t>
            </w:r>
          </w:p>
        </w:tc>
        <w:tc>
          <w:tcPr>
            <w:tcW w:w="2037" w:type="dxa"/>
            <w:shd w:val="clear" w:color="auto" w:fill="auto"/>
            <w:noWrap/>
          </w:tcPr>
          <w:p w14:paraId="75554C5D"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Stratégie immobilière</w:t>
            </w:r>
          </w:p>
        </w:tc>
        <w:tc>
          <w:tcPr>
            <w:tcW w:w="5674" w:type="dxa"/>
            <w:shd w:val="clear" w:color="auto" w:fill="auto"/>
            <w:noWrap/>
          </w:tcPr>
          <w:p w14:paraId="645F74C2" w14:textId="77777777" w:rsidR="008B1794" w:rsidRPr="00623A2B" w:rsidRDefault="008B1794" w:rsidP="00C83EA7">
            <w:pPr>
              <w:ind w:left="271" w:hanging="271"/>
              <w:rPr>
                <w:rFonts w:ascii="Times New Roman" w:hAnsi="Times New Roman"/>
                <w:b/>
                <w:bCs/>
                <w:color w:val="000000"/>
                <w:sz w:val="21"/>
                <w:szCs w:val="21"/>
                <w:lang w:val="pt-BR"/>
              </w:rPr>
            </w:pPr>
            <w:r w:rsidRPr="00623A2B">
              <w:rPr>
                <w:rFonts w:ascii="Times New Roman" w:eastAsia="Calibri" w:hAnsi="Times New Roman"/>
                <w:b/>
                <w:color w:val="000000"/>
                <w:sz w:val="21"/>
                <w:szCs w:val="21"/>
                <w:lang w:val="pt-BR"/>
              </w:rPr>
              <w:t>AG/RES. 2957 (L-O/20) paragraphe IV.32</w:t>
            </w:r>
          </w:p>
          <w:p w14:paraId="3D0F22C0" w14:textId="77777777" w:rsidR="008B1794" w:rsidRPr="00623A2B" w:rsidRDefault="008B1794" w:rsidP="00C83EA7">
            <w:pPr>
              <w:suppressAutoHyphens/>
              <w:ind w:left="271" w:hanging="271"/>
              <w:rPr>
                <w:rFonts w:ascii="Times New Roman" w:hAnsi="Times New Roman"/>
                <w:b/>
                <w:bCs/>
                <w:color w:val="000000"/>
                <w:sz w:val="21"/>
                <w:szCs w:val="21"/>
                <w:lang w:val="fr-FR"/>
              </w:rPr>
            </w:pPr>
            <w:r w:rsidRPr="00623A2B">
              <w:rPr>
                <w:rFonts w:ascii="Times New Roman" w:eastAsia="Calibri" w:hAnsi="Times New Roman"/>
                <w:b/>
                <w:color w:val="000000"/>
                <w:sz w:val="21"/>
                <w:szCs w:val="21"/>
                <w:lang w:val="fr-FR"/>
              </w:rPr>
              <w:t>Mandat :</w:t>
            </w:r>
          </w:p>
          <w:p w14:paraId="08B4E54A" w14:textId="77777777" w:rsidR="008B1794" w:rsidRPr="00623A2B" w:rsidRDefault="008B1794" w:rsidP="00C83EA7">
            <w:pPr>
              <w:suppressAutoHyphens/>
              <w:ind w:left="271" w:hanging="271"/>
              <w:rPr>
                <w:rFonts w:ascii="Times New Roman" w:hAnsi="Times New Roman"/>
                <w:color w:val="000000"/>
                <w:sz w:val="21"/>
                <w:szCs w:val="21"/>
                <w:lang w:val="fr-FR" w:eastAsia="es-ES"/>
              </w:rPr>
            </w:pPr>
          </w:p>
          <w:p w14:paraId="1ECCEA94" w14:textId="77777777" w:rsidR="008B1794" w:rsidRPr="00623A2B" w:rsidRDefault="008B1794" w:rsidP="00C83EA7">
            <w:pPr>
              <w:rPr>
                <w:rFonts w:ascii="Times New Roman" w:hAnsi="Times New Roman"/>
                <w:b/>
                <w:bCs/>
                <w:color w:val="000000"/>
                <w:sz w:val="21"/>
                <w:szCs w:val="21"/>
                <w:lang w:val="fr-FR"/>
              </w:rPr>
            </w:pPr>
            <w:r w:rsidRPr="00623A2B">
              <w:rPr>
                <w:rFonts w:ascii="Times New Roman" w:eastAsia="Calibri" w:hAnsi="Times New Roman"/>
                <w:color w:val="000000"/>
                <w:sz w:val="21"/>
                <w:szCs w:val="21"/>
                <w:lang w:val="fr-FR"/>
              </w:rPr>
              <w:t>b)</w:t>
            </w:r>
            <w:r w:rsidRPr="00623A2B">
              <w:rPr>
                <w:rFonts w:ascii="Times New Roman" w:eastAsia="Calibri" w:hAnsi="Times New Roman"/>
                <w:color w:val="000000"/>
                <w:sz w:val="21"/>
                <w:szCs w:val="21"/>
                <w:lang w:val="fr-FR"/>
              </w:rPr>
              <w:tab/>
              <w:t xml:space="preserve">De charger le Secrétariat général, agissant en étroite collaboration avec la CAAP et dans le cadre de la stratégie immobilière, d’envisager des possibilités pour parvenir à une utilisation optimale des immobilisations de l’Organisation et, à cette fin, d’examiner les possibilités d’obtenir les ressources nécessaires à leur entretien. </w:t>
            </w:r>
          </w:p>
          <w:p w14:paraId="364FE710" w14:textId="77777777" w:rsidR="008B1794" w:rsidRPr="00623A2B" w:rsidRDefault="008B1794" w:rsidP="00C83EA7">
            <w:pPr>
              <w:rPr>
                <w:rFonts w:ascii="Times New Roman" w:hAnsi="Times New Roman"/>
                <w:b/>
                <w:bCs/>
                <w:color w:val="000000"/>
                <w:sz w:val="21"/>
                <w:szCs w:val="21"/>
                <w:lang w:val="fr-FR" w:eastAsia="es-ES_tradnl"/>
              </w:rPr>
            </w:pPr>
          </w:p>
        </w:tc>
        <w:tc>
          <w:tcPr>
            <w:tcW w:w="1768" w:type="dxa"/>
            <w:shd w:val="clear" w:color="auto" w:fill="auto"/>
            <w:noWrap/>
          </w:tcPr>
          <w:p w14:paraId="32602C9A" w14:textId="77777777" w:rsidR="008B1794" w:rsidRPr="00623A2B" w:rsidRDefault="008B1794" w:rsidP="00C83EA7">
            <w:pPr>
              <w:jc w:val="center"/>
              <w:rPr>
                <w:rFonts w:ascii="Times New Roman" w:hAnsi="Times New Roman"/>
                <w:color w:val="000000"/>
                <w:sz w:val="21"/>
                <w:szCs w:val="21"/>
                <w:lang w:val="fr-FR" w:eastAsia="es-ES_tradnl"/>
              </w:rPr>
            </w:pPr>
          </w:p>
        </w:tc>
      </w:tr>
      <w:tr w:rsidR="008B1794" w:rsidRPr="00213B6A" w14:paraId="5A7D2C46" w14:textId="77777777" w:rsidTr="005A11FB">
        <w:trPr>
          <w:trHeight w:val="390"/>
        </w:trPr>
        <w:tc>
          <w:tcPr>
            <w:tcW w:w="479" w:type="dxa"/>
            <w:shd w:val="clear" w:color="auto" w:fill="auto"/>
          </w:tcPr>
          <w:p w14:paraId="2B931627" w14:textId="77777777" w:rsidR="008B1794" w:rsidRPr="00623A2B" w:rsidRDefault="008B1794" w:rsidP="00C83EA7">
            <w:pPr>
              <w:rPr>
                <w:rFonts w:ascii="Times New Roman" w:eastAsia="Calibri" w:hAnsi="Times New Roman"/>
                <w:color w:val="000000"/>
                <w:sz w:val="21"/>
                <w:szCs w:val="21"/>
                <w:lang w:val="fr-FR"/>
              </w:rPr>
            </w:pPr>
            <w:r w:rsidRPr="00623A2B">
              <w:rPr>
                <w:rFonts w:ascii="Times New Roman" w:eastAsia="Calibri" w:hAnsi="Times New Roman"/>
                <w:color w:val="000000"/>
                <w:sz w:val="21"/>
                <w:szCs w:val="21"/>
                <w:lang w:val="fr-FR"/>
              </w:rPr>
              <w:t>24.</w:t>
            </w:r>
          </w:p>
        </w:tc>
        <w:tc>
          <w:tcPr>
            <w:tcW w:w="2037" w:type="dxa"/>
            <w:shd w:val="clear" w:color="auto" w:fill="auto"/>
            <w:noWrap/>
          </w:tcPr>
          <w:p w14:paraId="44C5AE22" w14:textId="77777777" w:rsidR="008B1794" w:rsidRPr="00623A2B" w:rsidRDefault="008B1794" w:rsidP="00C83EA7">
            <w:pPr>
              <w:rPr>
                <w:rFonts w:ascii="Times New Roman" w:hAnsi="Times New Roman"/>
                <w:color w:val="000000"/>
                <w:sz w:val="21"/>
                <w:szCs w:val="21"/>
                <w:lang w:val="fr-FR"/>
              </w:rPr>
            </w:pPr>
            <w:r w:rsidRPr="00623A2B">
              <w:rPr>
                <w:rFonts w:ascii="Times New Roman" w:eastAsia="Calibri" w:hAnsi="Times New Roman"/>
                <w:color w:val="000000"/>
                <w:sz w:val="21"/>
                <w:szCs w:val="21"/>
                <w:lang w:val="fr-FR"/>
              </w:rPr>
              <w:t xml:space="preserve">Mise en œuvre du Système de planification des ressources institutionnelles (ERP) </w:t>
            </w:r>
          </w:p>
        </w:tc>
        <w:tc>
          <w:tcPr>
            <w:tcW w:w="5674" w:type="dxa"/>
            <w:shd w:val="clear" w:color="auto" w:fill="auto"/>
            <w:noWrap/>
          </w:tcPr>
          <w:p w14:paraId="6EB631A1" w14:textId="77777777" w:rsidR="008B1794" w:rsidRPr="00623A2B" w:rsidRDefault="008B1794" w:rsidP="00C83EA7">
            <w:pPr>
              <w:rPr>
                <w:rFonts w:ascii="Times New Roman" w:hAnsi="Times New Roman"/>
                <w:b/>
                <w:bCs/>
                <w:color w:val="000000"/>
                <w:sz w:val="21"/>
                <w:szCs w:val="21"/>
                <w:lang w:val="pt-BR"/>
              </w:rPr>
            </w:pPr>
            <w:r w:rsidRPr="00623A2B">
              <w:rPr>
                <w:rFonts w:ascii="Times New Roman" w:eastAsia="Calibri" w:hAnsi="Times New Roman"/>
                <w:b/>
                <w:color w:val="000000"/>
                <w:sz w:val="21"/>
                <w:szCs w:val="21"/>
                <w:lang w:val="pt-BR"/>
              </w:rPr>
              <w:t>AG/RES. 2957 (L-O/20) paragraphe IV.33</w:t>
            </w:r>
          </w:p>
          <w:p w14:paraId="5E9AE12D" w14:textId="77777777" w:rsidR="008B1794" w:rsidRPr="00623A2B" w:rsidRDefault="008B1794" w:rsidP="00C83EA7">
            <w:pPr>
              <w:suppressAutoHyphens/>
              <w:rPr>
                <w:rFonts w:ascii="Times New Roman" w:hAnsi="Times New Roman"/>
                <w:color w:val="000000"/>
                <w:sz w:val="21"/>
                <w:szCs w:val="21"/>
                <w:lang w:val="fr-FR"/>
              </w:rPr>
            </w:pPr>
            <w:r w:rsidRPr="00623A2B">
              <w:rPr>
                <w:rFonts w:ascii="Times New Roman" w:eastAsia="Calibri" w:hAnsi="Times New Roman"/>
                <w:b/>
                <w:color w:val="000000"/>
                <w:sz w:val="21"/>
                <w:szCs w:val="21"/>
                <w:lang w:val="fr-FR"/>
              </w:rPr>
              <w:t>Mandat :</w:t>
            </w:r>
          </w:p>
          <w:p w14:paraId="76BD6691" w14:textId="77777777" w:rsidR="008B1794" w:rsidRPr="00623A2B" w:rsidRDefault="008B1794" w:rsidP="00C83EA7">
            <w:pPr>
              <w:suppressAutoHyphens/>
              <w:rPr>
                <w:rFonts w:ascii="Times New Roman" w:eastAsia="Calibri" w:hAnsi="Times New Roman"/>
                <w:i/>
                <w:iCs/>
                <w:color w:val="000000"/>
                <w:sz w:val="21"/>
                <w:szCs w:val="21"/>
                <w:lang w:val="fr-FR"/>
              </w:rPr>
            </w:pPr>
            <w:r w:rsidRPr="00623A2B">
              <w:rPr>
                <w:rFonts w:ascii="Times New Roman" w:eastAsia="Calibri" w:hAnsi="Times New Roman"/>
                <w:sz w:val="21"/>
                <w:szCs w:val="21"/>
                <w:lang w:val="fr-FR"/>
              </w:rPr>
              <w:t xml:space="preserve">De charger le Secrétariat général de poursuivre la mise en œuvre du système ERP en conformité avec la résolution </w:t>
            </w:r>
            <w:hyperlink r:id="rId110" w:history="1">
              <w:r w:rsidRPr="00623A2B">
                <w:rPr>
                  <w:rFonts w:ascii="Times New Roman" w:eastAsia="Calibri" w:hAnsi="Times New Roman"/>
                  <w:color w:val="0563C1"/>
                  <w:sz w:val="21"/>
                  <w:szCs w:val="21"/>
                  <w:u w:val="single"/>
                  <w:lang w:val="fr-FR"/>
                </w:rPr>
                <w:t>CP/RES.</w:t>
              </w:r>
            </w:hyperlink>
            <w:hyperlink r:id="rId111" w:history="1">
              <w:r w:rsidRPr="00623A2B">
                <w:rPr>
                  <w:rFonts w:ascii="Times New Roman" w:eastAsia="Calibri" w:hAnsi="Times New Roman"/>
                  <w:color w:val="0563C1"/>
                  <w:sz w:val="21"/>
                  <w:szCs w:val="21"/>
                  <w:u w:val="single"/>
                  <w:lang w:val="fr-FR"/>
                </w:rPr>
                <w:t xml:space="preserve"> 1155 (2290/20)</w:t>
              </w:r>
            </w:hyperlink>
            <w:r w:rsidRPr="00623A2B">
              <w:rPr>
                <w:rFonts w:ascii="Times New Roman" w:eastAsia="Calibri" w:hAnsi="Times New Roman"/>
                <w:color w:val="000000"/>
                <w:sz w:val="21"/>
                <w:szCs w:val="21"/>
                <w:lang w:val="fr-FR"/>
              </w:rPr>
              <w:t>,</w:t>
            </w:r>
            <w:r w:rsidRPr="00623A2B">
              <w:rPr>
                <w:rFonts w:ascii="Times New Roman" w:eastAsia="Calibri" w:hAnsi="Times New Roman"/>
                <w:sz w:val="21"/>
                <w:szCs w:val="21"/>
                <w:lang w:val="fr-FR"/>
              </w:rPr>
              <w:t xml:space="preserve"> et de présenter tous les mois à la CAAP un rapport d’avancement en la matière.</w:t>
            </w:r>
            <w:r w:rsidRPr="00623A2B">
              <w:rPr>
                <w:rFonts w:ascii="Times New Roman" w:eastAsia="Calibri" w:hAnsi="Times New Roman"/>
                <w:color w:val="000000"/>
                <w:sz w:val="21"/>
                <w:szCs w:val="21"/>
                <w:lang w:val="fr-FR"/>
              </w:rPr>
              <w:t xml:space="preserve"> </w:t>
            </w:r>
          </w:p>
        </w:tc>
        <w:tc>
          <w:tcPr>
            <w:tcW w:w="1768" w:type="dxa"/>
            <w:shd w:val="clear" w:color="auto" w:fill="auto"/>
            <w:noWrap/>
          </w:tcPr>
          <w:p w14:paraId="5B14C61B" w14:textId="77777777" w:rsidR="008B1794" w:rsidRPr="00623A2B" w:rsidRDefault="008B1794" w:rsidP="00C83EA7">
            <w:pPr>
              <w:jc w:val="center"/>
              <w:rPr>
                <w:rFonts w:ascii="Times New Roman" w:hAnsi="Times New Roman"/>
                <w:color w:val="000000"/>
                <w:sz w:val="21"/>
                <w:szCs w:val="21"/>
                <w:lang w:val="fr-FR" w:eastAsia="es-ES_tradnl"/>
              </w:rPr>
            </w:pPr>
          </w:p>
          <w:p w14:paraId="4700D658" w14:textId="77777777" w:rsidR="008B1794" w:rsidRPr="00623A2B" w:rsidRDefault="008B1794" w:rsidP="00C83EA7">
            <w:pPr>
              <w:jc w:val="center"/>
              <w:rPr>
                <w:rFonts w:ascii="Times New Roman" w:hAnsi="Times New Roman"/>
                <w:color w:val="000000"/>
                <w:sz w:val="21"/>
                <w:szCs w:val="21"/>
                <w:lang w:val="fr-FR" w:eastAsia="es-ES_tradnl"/>
              </w:rPr>
            </w:pPr>
          </w:p>
          <w:p w14:paraId="062BD453" w14:textId="77777777" w:rsidR="008B1794" w:rsidRPr="00623A2B" w:rsidRDefault="008B1794" w:rsidP="00C83EA7">
            <w:pPr>
              <w:jc w:val="center"/>
              <w:rPr>
                <w:rFonts w:ascii="Times New Roman" w:hAnsi="Times New Roman"/>
                <w:color w:val="000000"/>
                <w:sz w:val="21"/>
                <w:szCs w:val="21"/>
                <w:lang w:val="fr-FR"/>
              </w:rPr>
            </w:pPr>
          </w:p>
        </w:tc>
      </w:tr>
    </w:tbl>
    <w:p w14:paraId="0F185525" w14:textId="77777777" w:rsidR="008B1794" w:rsidRPr="00623A2B" w:rsidRDefault="008B1794" w:rsidP="008B1794">
      <w:pPr>
        <w:rPr>
          <w:rFonts w:ascii="Times New Roman" w:eastAsia="Calibri" w:hAnsi="Times New Roman"/>
          <w:color w:val="000000"/>
          <w:lang w:val="fr-FR"/>
        </w:rPr>
        <w:sectPr w:rsidR="008B1794" w:rsidRPr="00623A2B" w:rsidSect="00623A2B">
          <w:footnotePr>
            <w:numRestart w:val="eachSect"/>
          </w:footnotePr>
          <w:type w:val="oddPage"/>
          <w:pgSz w:w="12240" w:h="15840" w:code="1"/>
          <w:pgMar w:top="2160" w:right="1570" w:bottom="1296" w:left="1699" w:header="720" w:footer="720" w:gutter="0"/>
          <w:cols w:space="720"/>
          <w:docGrid w:linePitch="360"/>
        </w:sectPr>
      </w:pPr>
    </w:p>
    <w:p w14:paraId="33872C82" w14:textId="77777777" w:rsidR="008B1794" w:rsidRPr="00623A2B" w:rsidRDefault="008B1794" w:rsidP="00DD002B">
      <w:pPr>
        <w:ind w:right="-569"/>
        <w:jc w:val="right"/>
        <w:rPr>
          <w:rFonts w:ascii="Times New Roman" w:eastAsia="Calibri" w:hAnsi="Times New Roman"/>
          <w:color w:val="000000"/>
          <w:lang w:val="fr-FR"/>
        </w:rPr>
      </w:pPr>
      <w:r w:rsidRPr="00623A2B">
        <w:rPr>
          <w:rFonts w:ascii="Times New Roman" w:eastAsia="Calibri" w:hAnsi="Times New Roman"/>
          <w:color w:val="000000"/>
          <w:lang w:val="fr-FR"/>
        </w:rPr>
        <w:lastRenderedPageBreak/>
        <w:t>ANNEXE III - Calendrier des rapports</w:t>
      </w:r>
    </w:p>
    <w:tbl>
      <w:tblPr>
        <w:tblW w:w="10030" w:type="dxa"/>
        <w:tblInd w:w="-470" w:type="dxa"/>
        <w:tblCellMar>
          <w:left w:w="70" w:type="dxa"/>
          <w:right w:w="70" w:type="dxa"/>
        </w:tblCellMar>
        <w:tblLook w:val="04A0" w:firstRow="1" w:lastRow="0" w:firstColumn="1" w:lastColumn="0" w:noHBand="0" w:noVBand="1"/>
      </w:tblPr>
      <w:tblGrid>
        <w:gridCol w:w="1894"/>
        <w:gridCol w:w="1677"/>
        <w:gridCol w:w="4105"/>
        <w:gridCol w:w="2354"/>
      </w:tblGrid>
      <w:tr w:rsidR="008B1794" w:rsidRPr="00623A2B" w14:paraId="1CA93025" w14:textId="77777777" w:rsidTr="00C83EA7">
        <w:trPr>
          <w:trHeight w:val="887"/>
          <w:tblHeader/>
        </w:trPr>
        <w:tc>
          <w:tcPr>
            <w:tcW w:w="1894" w:type="dxa"/>
            <w:tcBorders>
              <w:top w:val="single" w:sz="4" w:space="0" w:color="4F81BD"/>
              <w:left w:val="single" w:sz="8" w:space="0" w:color="4F81BD"/>
              <w:bottom w:val="single" w:sz="4" w:space="0" w:color="4F81BD"/>
              <w:right w:val="single" w:sz="4" w:space="0" w:color="4F81BD"/>
            </w:tcBorders>
            <w:shd w:val="clear" w:color="auto" w:fill="D5DCE4"/>
            <w:vAlign w:val="center"/>
          </w:tcPr>
          <w:p w14:paraId="63C33650" w14:textId="77777777" w:rsidR="008B1794" w:rsidRPr="00623A2B" w:rsidRDefault="008B1794" w:rsidP="00C83EA7">
            <w:pPr>
              <w:jc w:val="center"/>
              <w:rPr>
                <w:rFonts w:ascii="Times New Roman" w:hAnsi="Times New Roman"/>
                <w:i/>
                <w:color w:val="000000"/>
                <w:lang w:val="fr-FR"/>
              </w:rPr>
            </w:pPr>
            <w:bookmarkStart w:id="38" w:name="_Hlk78187375"/>
            <w:r w:rsidRPr="00623A2B">
              <w:rPr>
                <w:rFonts w:ascii="Times New Roman" w:eastAsia="Calibri" w:hAnsi="Times New Roman"/>
                <w:i/>
                <w:color w:val="000000"/>
                <w:lang w:val="fr-FR"/>
              </w:rPr>
              <w:t>Fréquence et délais de présentation</w:t>
            </w:r>
          </w:p>
        </w:tc>
        <w:tc>
          <w:tcPr>
            <w:tcW w:w="1677" w:type="dxa"/>
            <w:tcBorders>
              <w:top w:val="single" w:sz="4" w:space="0" w:color="4F81BD"/>
              <w:left w:val="nil"/>
              <w:bottom w:val="single" w:sz="4" w:space="0" w:color="4F81BD"/>
              <w:right w:val="single" w:sz="4" w:space="0" w:color="4F81BD"/>
            </w:tcBorders>
            <w:shd w:val="clear" w:color="auto" w:fill="D5DCE4"/>
            <w:noWrap/>
            <w:vAlign w:val="center"/>
          </w:tcPr>
          <w:p w14:paraId="53079904" w14:textId="77777777" w:rsidR="008B1794" w:rsidRPr="00623A2B" w:rsidRDefault="008B1794" w:rsidP="00C83EA7">
            <w:pPr>
              <w:jc w:val="center"/>
              <w:rPr>
                <w:rFonts w:ascii="Times New Roman" w:hAnsi="Times New Roman"/>
                <w:i/>
                <w:color w:val="000000"/>
                <w:lang w:val="fr-FR"/>
              </w:rPr>
            </w:pPr>
            <w:r w:rsidRPr="00623A2B">
              <w:rPr>
                <w:rFonts w:ascii="Times New Roman" w:eastAsia="Calibri" w:hAnsi="Times New Roman"/>
                <w:i/>
                <w:color w:val="000000"/>
                <w:lang w:val="fr-FR"/>
              </w:rPr>
              <w:t>Dernière référence</w:t>
            </w:r>
          </w:p>
        </w:tc>
        <w:tc>
          <w:tcPr>
            <w:tcW w:w="4105" w:type="dxa"/>
            <w:tcBorders>
              <w:top w:val="single" w:sz="4" w:space="0" w:color="4F81BD"/>
              <w:left w:val="nil"/>
              <w:bottom w:val="single" w:sz="4" w:space="0" w:color="4F81BD"/>
              <w:right w:val="single" w:sz="4" w:space="0" w:color="4F81BD"/>
            </w:tcBorders>
            <w:shd w:val="clear" w:color="auto" w:fill="D5DCE4"/>
            <w:vAlign w:val="center"/>
          </w:tcPr>
          <w:p w14:paraId="65861541" w14:textId="77777777" w:rsidR="008B1794" w:rsidRPr="00623A2B" w:rsidRDefault="008B1794" w:rsidP="00C83EA7">
            <w:pPr>
              <w:jc w:val="center"/>
              <w:rPr>
                <w:rFonts w:ascii="Times New Roman" w:hAnsi="Times New Roman"/>
                <w:i/>
                <w:color w:val="000000"/>
                <w:lang w:val="fr-FR"/>
              </w:rPr>
            </w:pPr>
            <w:r w:rsidRPr="00623A2B">
              <w:rPr>
                <w:rFonts w:ascii="Times New Roman" w:eastAsia="Calibri" w:hAnsi="Times New Roman"/>
                <w:i/>
                <w:color w:val="000000"/>
                <w:lang w:val="fr-FR"/>
              </w:rPr>
              <w:t>Rapport/Thème</w:t>
            </w:r>
          </w:p>
        </w:tc>
        <w:tc>
          <w:tcPr>
            <w:tcW w:w="2354" w:type="dxa"/>
            <w:tcBorders>
              <w:top w:val="single" w:sz="4" w:space="0" w:color="4F81BD"/>
              <w:left w:val="nil"/>
              <w:bottom w:val="single" w:sz="4" w:space="0" w:color="4F81BD"/>
              <w:right w:val="single" w:sz="8" w:space="0" w:color="4F81BD"/>
            </w:tcBorders>
            <w:shd w:val="clear" w:color="auto" w:fill="D5DCE4"/>
            <w:vAlign w:val="center"/>
          </w:tcPr>
          <w:p w14:paraId="63EA408B" w14:textId="77777777" w:rsidR="008B1794" w:rsidRPr="00623A2B" w:rsidRDefault="008B1794" w:rsidP="00C83EA7">
            <w:pPr>
              <w:jc w:val="center"/>
              <w:rPr>
                <w:rFonts w:ascii="Times New Roman" w:eastAsia="Calibri" w:hAnsi="Times New Roman"/>
                <w:i/>
                <w:color w:val="000000"/>
                <w:lang w:val="fr-FR"/>
              </w:rPr>
            </w:pPr>
            <w:r w:rsidRPr="00623A2B">
              <w:rPr>
                <w:rFonts w:ascii="Times New Roman" w:eastAsia="Calibri" w:hAnsi="Times New Roman"/>
                <w:i/>
                <w:color w:val="000000"/>
                <w:lang w:val="fr-FR"/>
              </w:rPr>
              <w:t>Service responsable</w:t>
            </w:r>
          </w:p>
          <w:p w14:paraId="2CBAFDD9" w14:textId="77777777" w:rsidR="008B1794" w:rsidRPr="00623A2B" w:rsidRDefault="008B1794" w:rsidP="00C83EA7">
            <w:pPr>
              <w:jc w:val="center"/>
              <w:rPr>
                <w:rFonts w:ascii="Times New Roman" w:hAnsi="Times New Roman"/>
                <w:i/>
                <w:color w:val="000000"/>
                <w:lang w:val="fr-FR"/>
              </w:rPr>
            </w:pPr>
            <w:r w:rsidRPr="00623A2B">
              <w:rPr>
                <w:rFonts w:ascii="Times New Roman" w:hAnsi="Times New Roman"/>
                <w:i/>
                <w:color w:val="000000"/>
                <w:lang w:val="fr-FR"/>
              </w:rPr>
              <w:t>CONVENU</w:t>
            </w:r>
          </w:p>
        </w:tc>
      </w:tr>
      <w:bookmarkEnd w:id="38"/>
      <w:tr w:rsidR="008B1794" w:rsidRPr="00623A2B" w14:paraId="25D41B14" w14:textId="77777777" w:rsidTr="00C83EA7">
        <w:trPr>
          <w:trHeight w:val="887"/>
        </w:trPr>
        <w:tc>
          <w:tcPr>
            <w:tcW w:w="1894" w:type="dxa"/>
            <w:tcBorders>
              <w:top w:val="single" w:sz="4" w:space="0" w:color="4F81BD"/>
              <w:left w:val="single" w:sz="8" w:space="0" w:color="4F81BD"/>
              <w:bottom w:val="single" w:sz="4" w:space="0" w:color="4F81BD"/>
              <w:right w:val="single" w:sz="4" w:space="0" w:color="4F81BD"/>
            </w:tcBorders>
            <w:shd w:val="clear" w:color="auto" w:fill="auto"/>
            <w:vAlign w:val="center"/>
          </w:tcPr>
          <w:p w14:paraId="21A8CBC4"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Chaque année</w:t>
            </w:r>
          </w:p>
          <w:p w14:paraId="639DED40" w14:textId="77777777" w:rsidR="008B1794" w:rsidRPr="00623A2B" w:rsidRDefault="008B1794" w:rsidP="00C83EA7">
            <w:pPr>
              <w:jc w:val="center"/>
              <w:rPr>
                <w:rFonts w:ascii="Times New Roman" w:hAnsi="Times New Roman"/>
                <w:color w:val="000000"/>
                <w:lang w:val="fr-FR" w:eastAsia="es-ES"/>
              </w:rPr>
            </w:pPr>
          </w:p>
          <w:p w14:paraId="3CA3A24B"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 xml:space="preserve">(Au plus tard à la fin janvier 2022) </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C95DC41"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AG/RES. 2957 (L-O/20)</w:t>
            </w:r>
          </w:p>
          <w:p w14:paraId="4C2F8E9E"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IV.12.d.iii</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577F178B"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Rapport sur la réorganisation du Secrétariat pour le nouvel exercice financier, selon le besoin, en particulier les plans de recrutement et de reclassement.</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41B708A9"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SAF (DHR et DFS)</w:t>
            </w:r>
          </w:p>
        </w:tc>
      </w:tr>
      <w:tr w:rsidR="008B1794" w:rsidRPr="00213B6A" w14:paraId="32D4A021" w14:textId="77777777" w:rsidTr="00C83EA7">
        <w:trPr>
          <w:trHeight w:val="887"/>
        </w:trPr>
        <w:tc>
          <w:tcPr>
            <w:tcW w:w="1894" w:type="dxa"/>
            <w:tcBorders>
              <w:top w:val="single" w:sz="4" w:space="0" w:color="4F81BD"/>
              <w:left w:val="single" w:sz="8" w:space="0" w:color="4F81BD"/>
              <w:bottom w:val="single" w:sz="4" w:space="0" w:color="4F81BD"/>
              <w:right w:val="single" w:sz="4" w:space="0" w:color="4F81BD"/>
            </w:tcBorders>
            <w:shd w:val="clear" w:color="auto" w:fill="auto"/>
            <w:vAlign w:val="center"/>
          </w:tcPr>
          <w:p w14:paraId="551FA661"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Chaque année</w:t>
            </w:r>
          </w:p>
          <w:p w14:paraId="3A3EC875" w14:textId="77777777" w:rsidR="008B1794" w:rsidRPr="00623A2B" w:rsidRDefault="008B1794" w:rsidP="00C83EA7">
            <w:pPr>
              <w:jc w:val="center"/>
              <w:rPr>
                <w:rFonts w:ascii="Times New Roman" w:hAnsi="Times New Roman"/>
                <w:color w:val="000000"/>
                <w:lang w:val="fr-FR" w:eastAsia="es-ES"/>
              </w:rPr>
            </w:pPr>
          </w:p>
          <w:p w14:paraId="159CF597"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(Au plus tard 45 jours après la fin de l’année)</w:t>
            </w:r>
          </w:p>
          <w:p w14:paraId="41866777" w14:textId="77777777" w:rsidR="008B1794" w:rsidRPr="00623A2B" w:rsidRDefault="008B1794" w:rsidP="00C83EA7">
            <w:pPr>
              <w:jc w:val="center"/>
              <w:rPr>
                <w:rFonts w:ascii="Times New Roman" w:hAnsi="Times New Roman"/>
                <w:color w:val="000000"/>
                <w:lang w:val="fr-FR"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C3C1041"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AG/RES. 2957 (L-O/20)</w:t>
            </w:r>
          </w:p>
          <w:p w14:paraId="07486728"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I.4</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7FAA1F54"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Rapport annuel et plan de dépenses de la Cour interaméricaine des droits de l’homme et de la Commission interaméricaine des droits de l’homme</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C80C364"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Cour et Commission interaméricaines des droits de l'homme</w:t>
            </w:r>
          </w:p>
        </w:tc>
      </w:tr>
      <w:tr w:rsidR="008B1794" w:rsidRPr="00213B6A" w14:paraId="5569AE84" w14:textId="77777777" w:rsidTr="00C83EA7">
        <w:trPr>
          <w:trHeight w:val="887"/>
        </w:trPr>
        <w:tc>
          <w:tcPr>
            <w:tcW w:w="1894" w:type="dxa"/>
            <w:tcBorders>
              <w:top w:val="single" w:sz="4" w:space="0" w:color="4F81BD"/>
              <w:left w:val="single" w:sz="8" w:space="0" w:color="4F81BD"/>
              <w:bottom w:val="single" w:sz="4" w:space="0" w:color="4F81BD"/>
              <w:right w:val="single" w:sz="4" w:space="0" w:color="4F81BD"/>
            </w:tcBorders>
            <w:shd w:val="clear" w:color="auto" w:fill="auto"/>
            <w:vAlign w:val="center"/>
          </w:tcPr>
          <w:p w14:paraId="220FF2CC"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Chaque année</w:t>
            </w:r>
          </w:p>
          <w:p w14:paraId="58E249A9" w14:textId="77777777" w:rsidR="008B1794" w:rsidRPr="00623A2B" w:rsidRDefault="008B1794" w:rsidP="00C83EA7">
            <w:pPr>
              <w:jc w:val="center"/>
              <w:rPr>
                <w:rFonts w:ascii="Times New Roman" w:hAnsi="Times New Roman"/>
                <w:color w:val="000000"/>
                <w:lang w:val="fr-FR" w:eastAsia="es-ES"/>
              </w:rPr>
            </w:pPr>
          </w:p>
          <w:p w14:paraId="7C30B228"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(Au plus tard 60 jours après la fin de l’année)</w:t>
            </w:r>
          </w:p>
          <w:p w14:paraId="732F9998" w14:textId="77777777" w:rsidR="008B1794" w:rsidRPr="00623A2B" w:rsidRDefault="008B1794" w:rsidP="00C83EA7">
            <w:pPr>
              <w:jc w:val="center"/>
              <w:rPr>
                <w:rFonts w:ascii="Times New Roman" w:hAnsi="Times New Roman"/>
                <w:color w:val="000000"/>
                <w:lang w:val="fr-FR"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424602C"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AG/RES. 2957 (L-O/20)</w:t>
            </w:r>
          </w:p>
          <w:p w14:paraId="028A2685"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IV.31</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08F46814"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Rapport de l’Inspecteur général et de l’Ombudsman incluant le nombre annuel</w:t>
            </w:r>
            <w:r w:rsidRPr="00623A2B">
              <w:rPr>
                <w:rFonts w:ascii="Times New Roman" w:eastAsia="Calibri" w:hAnsi="Times New Roman"/>
                <w:b/>
                <w:bCs/>
                <w:color w:val="000000"/>
                <w:lang w:val="fr-FR"/>
              </w:rPr>
              <w:t xml:space="preserve"> </w:t>
            </w:r>
            <w:r w:rsidRPr="00623A2B">
              <w:rPr>
                <w:rFonts w:ascii="Times New Roman" w:eastAsia="Calibri" w:hAnsi="Times New Roman"/>
                <w:color w:val="000000"/>
                <w:lang w:val="fr-FR"/>
              </w:rPr>
              <w:t>de cas traités l’année précédente et des recommandations sur la mise en œuvre des politiques de l’Organisation sur la fraude, le harcèlement et les lanceurs d’alerte, de même que sur les mesures de protection des lanceurs d’alerte.</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3497DBE"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Bureau de l’Inspecteur général et Bureau de l’Ombudsman</w:t>
            </w:r>
          </w:p>
        </w:tc>
      </w:tr>
      <w:tr w:rsidR="008B1794" w:rsidRPr="00623A2B" w14:paraId="7CCD1496" w14:textId="77777777" w:rsidTr="00C83EA7">
        <w:trPr>
          <w:trHeight w:val="887"/>
        </w:trPr>
        <w:tc>
          <w:tcPr>
            <w:tcW w:w="1894" w:type="dxa"/>
            <w:tcBorders>
              <w:top w:val="single" w:sz="4" w:space="0" w:color="4F81BD"/>
              <w:left w:val="single" w:sz="8" w:space="0" w:color="4F81BD"/>
              <w:bottom w:val="single" w:sz="4" w:space="0" w:color="4F81BD"/>
              <w:right w:val="single" w:sz="4" w:space="0" w:color="4F81BD"/>
            </w:tcBorders>
            <w:shd w:val="clear" w:color="auto" w:fill="auto"/>
            <w:vAlign w:val="center"/>
          </w:tcPr>
          <w:p w14:paraId="5258DA00"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Chaque année</w:t>
            </w:r>
          </w:p>
          <w:p w14:paraId="35B024A4" w14:textId="77777777" w:rsidR="008B1794" w:rsidRPr="00623A2B" w:rsidRDefault="008B1794" w:rsidP="00C83EA7">
            <w:pPr>
              <w:jc w:val="center"/>
              <w:rPr>
                <w:rFonts w:ascii="Times New Roman" w:hAnsi="Times New Roman"/>
                <w:color w:val="000000"/>
                <w:lang w:val="fr-FR" w:eastAsia="es-ES"/>
              </w:rPr>
            </w:pPr>
          </w:p>
          <w:p w14:paraId="417A7DF8"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(Au plus tard 60 jours après la fin de l’année)</w:t>
            </w:r>
          </w:p>
          <w:p w14:paraId="133F7D7F" w14:textId="77777777" w:rsidR="008B1794" w:rsidRPr="00623A2B" w:rsidRDefault="008B1794" w:rsidP="00C83EA7">
            <w:pPr>
              <w:jc w:val="center"/>
              <w:rPr>
                <w:rFonts w:ascii="Times New Roman" w:hAnsi="Times New Roman"/>
                <w:color w:val="000000"/>
                <w:lang w:val="fr-FR"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5BE21EB"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AG/RES. 2957 (L-O/20)</w:t>
            </w:r>
          </w:p>
          <w:p w14:paraId="6A27F15C"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IV.24</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19635115"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Rapport sur les activités de la Bibliothèque Colomb</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122A535F"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SHA/CML</w:t>
            </w:r>
          </w:p>
        </w:tc>
      </w:tr>
      <w:tr w:rsidR="008B1794" w:rsidRPr="00623A2B" w14:paraId="270C4798" w14:textId="77777777" w:rsidTr="00C83EA7">
        <w:trPr>
          <w:trHeight w:val="1440"/>
        </w:trPr>
        <w:tc>
          <w:tcPr>
            <w:tcW w:w="1894" w:type="dxa"/>
            <w:tcBorders>
              <w:top w:val="nil"/>
              <w:left w:val="single" w:sz="8" w:space="0" w:color="4F81BD"/>
              <w:bottom w:val="single" w:sz="4" w:space="0" w:color="4F81BD"/>
              <w:right w:val="single" w:sz="4" w:space="0" w:color="4F81BD"/>
            </w:tcBorders>
            <w:shd w:val="clear" w:color="auto" w:fill="auto"/>
            <w:vAlign w:val="center"/>
          </w:tcPr>
          <w:p w14:paraId="629BBDB8"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Semestriel</w:t>
            </w:r>
          </w:p>
          <w:p w14:paraId="0BCA262C" w14:textId="77777777" w:rsidR="008B1794" w:rsidRPr="00623A2B" w:rsidRDefault="008B1794" w:rsidP="00C83EA7">
            <w:pPr>
              <w:jc w:val="center"/>
              <w:rPr>
                <w:rFonts w:ascii="Times New Roman" w:hAnsi="Times New Roman"/>
                <w:color w:val="000000"/>
                <w:lang w:val="fr-FR" w:eastAsia="es-ES"/>
              </w:rPr>
            </w:pPr>
          </w:p>
          <w:p w14:paraId="65270FCB" w14:textId="77777777" w:rsidR="008B1794" w:rsidRPr="00623A2B" w:rsidRDefault="008B1794" w:rsidP="00C83EA7">
            <w:pPr>
              <w:jc w:val="center"/>
              <w:rPr>
                <w:rFonts w:ascii="Times New Roman" w:eastAsia="Calibri" w:hAnsi="Times New Roman"/>
                <w:color w:val="000000"/>
                <w:lang w:val="fr-FR"/>
              </w:rPr>
            </w:pPr>
            <w:r w:rsidRPr="00623A2B">
              <w:rPr>
                <w:rFonts w:ascii="Times New Roman" w:eastAsia="Calibri" w:hAnsi="Times New Roman"/>
                <w:color w:val="000000"/>
                <w:lang w:val="fr-FR"/>
              </w:rPr>
              <w:t>(Au plus tard 45 jours après la fin du semestre)</w:t>
            </w:r>
          </w:p>
          <w:p w14:paraId="2695C639" w14:textId="77777777" w:rsidR="008B1794" w:rsidRPr="00623A2B" w:rsidRDefault="008B1794" w:rsidP="00C83EA7">
            <w:pPr>
              <w:jc w:val="center"/>
              <w:rPr>
                <w:rFonts w:ascii="Times New Roman" w:eastAsia="Calibri" w:hAnsi="Times New Roman"/>
                <w:color w:val="000000"/>
                <w:lang w:val="fr-FR"/>
              </w:rPr>
            </w:pPr>
          </w:p>
          <w:p w14:paraId="5AE24CA0" w14:textId="77777777" w:rsidR="008B1794" w:rsidRPr="00623A2B" w:rsidRDefault="008B1794" w:rsidP="00C83EA7">
            <w:pPr>
              <w:jc w:val="center"/>
              <w:rPr>
                <w:rFonts w:ascii="Times New Roman" w:eastAsia="Calibri" w:hAnsi="Times New Roman"/>
                <w:color w:val="000000"/>
                <w:lang w:val="fr-FR"/>
              </w:rPr>
            </w:pPr>
          </w:p>
          <w:p w14:paraId="36A280C0" w14:textId="77777777" w:rsidR="008B1794" w:rsidRPr="00623A2B" w:rsidRDefault="008B1794" w:rsidP="00C83EA7">
            <w:pPr>
              <w:jc w:val="center"/>
              <w:rPr>
                <w:rFonts w:ascii="Times New Roman" w:eastAsia="Calibri" w:hAnsi="Times New Roman"/>
                <w:strike/>
                <w:color w:val="000000"/>
                <w:lang w:val="fr-FR"/>
              </w:rPr>
            </w:pPr>
          </w:p>
        </w:tc>
        <w:tc>
          <w:tcPr>
            <w:tcW w:w="1677" w:type="dxa"/>
            <w:tcBorders>
              <w:top w:val="nil"/>
              <w:left w:val="nil"/>
              <w:bottom w:val="single" w:sz="4" w:space="0" w:color="4F81BD"/>
              <w:right w:val="single" w:sz="4" w:space="0" w:color="4F81BD"/>
            </w:tcBorders>
            <w:shd w:val="clear" w:color="auto" w:fill="auto"/>
            <w:noWrap/>
            <w:vAlign w:val="center"/>
          </w:tcPr>
          <w:p w14:paraId="13320B70"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AG/RES. 2957 (L-O/20)</w:t>
            </w:r>
          </w:p>
          <w:p w14:paraId="01ED7852"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IV.2</w:t>
            </w:r>
          </w:p>
          <w:p w14:paraId="0E2D90D9"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IV.3 (“a”, “c”, “d”)</w:t>
            </w:r>
          </w:p>
          <w:p w14:paraId="051A8B03"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IV.13</w:t>
            </w:r>
          </w:p>
          <w:p w14:paraId="6653A2B7"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IV.14</w:t>
            </w:r>
          </w:p>
          <w:p w14:paraId="31964243" w14:textId="77777777" w:rsidR="008B1794" w:rsidRPr="00623A2B" w:rsidRDefault="008B1794" w:rsidP="00C83EA7">
            <w:pPr>
              <w:jc w:val="center"/>
              <w:rPr>
                <w:rFonts w:ascii="Times New Roman" w:eastAsia="Calibri" w:hAnsi="Times New Roman"/>
                <w:lang w:val="pt-BR"/>
              </w:rPr>
            </w:pPr>
            <w:r w:rsidRPr="00623A2B">
              <w:rPr>
                <w:rFonts w:ascii="Times New Roman" w:eastAsia="Calibri" w:hAnsi="Times New Roman"/>
                <w:lang w:val="pt-BR"/>
              </w:rPr>
              <w:t>IV.18.a</w:t>
            </w:r>
          </w:p>
          <w:p w14:paraId="6C78E0E0"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IV.19</w:t>
            </w:r>
          </w:p>
          <w:p w14:paraId="7457D7B9"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IV.20</w:t>
            </w:r>
          </w:p>
          <w:p w14:paraId="68FBD934" w14:textId="77777777" w:rsidR="008B1794" w:rsidRPr="00623A2B" w:rsidRDefault="008B1794" w:rsidP="00C83EA7">
            <w:pPr>
              <w:jc w:val="center"/>
              <w:rPr>
                <w:rFonts w:ascii="Times New Roman" w:eastAsia="Calibri" w:hAnsi="Times New Roman"/>
                <w:strike/>
                <w:color w:val="000000"/>
                <w:lang w:val="pt-BR"/>
              </w:rPr>
            </w:pPr>
          </w:p>
        </w:tc>
        <w:tc>
          <w:tcPr>
            <w:tcW w:w="4105" w:type="dxa"/>
            <w:tcBorders>
              <w:top w:val="nil"/>
              <w:left w:val="nil"/>
              <w:bottom w:val="single" w:sz="4" w:space="0" w:color="4F81BD"/>
              <w:right w:val="single" w:sz="4" w:space="0" w:color="4F81BD"/>
            </w:tcBorders>
            <w:shd w:val="clear" w:color="auto" w:fill="auto"/>
            <w:vAlign w:val="center"/>
          </w:tcPr>
          <w:p w14:paraId="20C8899E" w14:textId="77777777" w:rsidR="008B1794" w:rsidRPr="00623A2B" w:rsidRDefault="008B1794" w:rsidP="00C83EA7">
            <w:pPr>
              <w:rPr>
                <w:rFonts w:ascii="Times New Roman" w:eastAsia="Calibri" w:hAnsi="Times New Roman"/>
                <w:color w:val="000000"/>
                <w:lang w:val="fr-FR"/>
              </w:rPr>
            </w:pPr>
            <w:r w:rsidRPr="00623A2B">
              <w:rPr>
                <w:rFonts w:ascii="Times New Roman" w:eastAsia="Calibri" w:hAnsi="Times New Roman"/>
                <w:color w:val="000000"/>
                <w:lang w:val="fr-FR"/>
              </w:rPr>
              <w:t xml:space="preserve">Rapport semestriel sur l’administration des ressources et les résultats [conformément à l’annexe I de la résolution AG/RES. 1 (XLVIII-E/14) </w:t>
            </w:r>
            <w:proofErr w:type="spellStart"/>
            <w:r w:rsidRPr="00623A2B">
              <w:rPr>
                <w:rFonts w:ascii="Times New Roman" w:eastAsia="Calibri" w:hAnsi="Times New Roman"/>
                <w:color w:val="000000"/>
                <w:lang w:val="fr-FR"/>
              </w:rPr>
              <w:t>rev</w:t>
            </w:r>
            <w:proofErr w:type="spellEnd"/>
            <w:r w:rsidRPr="00623A2B">
              <w:rPr>
                <w:rFonts w:ascii="Times New Roman" w:eastAsia="Calibri" w:hAnsi="Times New Roman"/>
                <w:color w:val="000000"/>
                <w:lang w:val="fr-FR"/>
              </w:rPr>
              <w:t>. 1]</w:t>
            </w:r>
          </w:p>
          <w:p w14:paraId="48543130" w14:textId="77777777" w:rsidR="008B1794" w:rsidRPr="00623A2B" w:rsidRDefault="008B1794" w:rsidP="00C83EA7">
            <w:pPr>
              <w:rPr>
                <w:rFonts w:ascii="Times New Roman" w:eastAsia="Calibri" w:hAnsi="Times New Roman"/>
                <w:color w:val="000000"/>
                <w:lang w:val="fr-FR"/>
              </w:rPr>
            </w:pPr>
          </w:p>
          <w:p w14:paraId="60EFE084" w14:textId="77777777" w:rsidR="008B1794" w:rsidRPr="00623A2B" w:rsidRDefault="008B1794" w:rsidP="00C83EA7">
            <w:pPr>
              <w:rPr>
                <w:rFonts w:ascii="Times New Roman" w:eastAsia="Calibri" w:hAnsi="Times New Roman"/>
                <w:strike/>
                <w:color w:val="000000"/>
                <w:lang w:val="fr-FR"/>
              </w:rPr>
            </w:pPr>
          </w:p>
        </w:tc>
        <w:tc>
          <w:tcPr>
            <w:tcW w:w="2354" w:type="dxa"/>
            <w:tcBorders>
              <w:top w:val="nil"/>
              <w:left w:val="nil"/>
              <w:bottom w:val="single" w:sz="4" w:space="0" w:color="4F81BD"/>
              <w:right w:val="single" w:sz="8" w:space="0" w:color="4F81BD"/>
            </w:tcBorders>
            <w:shd w:val="clear" w:color="auto" w:fill="auto"/>
            <w:noWrap/>
            <w:vAlign w:val="center"/>
          </w:tcPr>
          <w:p w14:paraId="6D851F3D" w14:textId="77777777" w:rsidR="008B1794" w:rsidRPr="00623A2B" w:rsidRDefault="008B1794" w:rsidP="00C83EA7">
            <w:pPr>
              <w:jc w:val="center"/>
              <w:rPr>
                <w:rFonts w:ascii="Times New Roman" w:eastAsia="Calibri" w:hAnsi="Times New Roman"/>
                <w:strike/>
                <w:color w:val="000000"/>
                <w:lang w:val="fr-FR"/>
              </w:rPr>
            </w:pPr>
            <w:r w:rsidRPr="00623A2B">
              <w:rPr>
                <w:rFonts w:ascii="Times New Roman" w:eastAsia="Calibri" w:hAnsi="Times New Roman"/>
                <w:color w:val="000000"/>
                <w:lang w:val="fr-FR"/>
              </w:rPr>
              <w:t>SAF/SCODMR/OGSMS</w:t>
            </w:r>
          </w:p>
        </w:tc>
      </w:tr>
      <w:tr w:rsidR="008B1794" w:rsidRPr="00213B6A" w14:paraId="45038437" w14:textId="77777777" w:rsidTr="00C83EA7">
        <w:trPr>
          <w:trHeight w:val="1440"/>
        </w:trPr>
        <w:tc>
          <w:tcPr>
            <w:tcW w:w="1894" w:type="dxa"/>
            <w:tcBorders>
              <w:top w:val="nil"/>
              <w:left w:val="single" w:sz="8" w:space="0" w:color="4F81BD"/>
              <w:bottom w:val="single" w:sz="4" w:space="0" w:color="4F81BD"/>
              <w:right w:val="single" w:sz="4" w:space="0" w:color="4F81BD"/>
            </w:tcBorders>
            <w:shd w:val="clear" w:color="auto" w:fill="auto"/>
            <w:vAlign w:val="center"/>
          </w:tcPr>
          <w:p w14:paraId="1D23635E" w14:textId="77777777" w:rsidR="008B1794" w:rsidRPr="00623A2B" w:rsidRDefault="008B1794" w:rsidP="00C83EA7">
            <w:pPr>
              <w:jc w:val="center"/>
              <w:rPr>
                <w:rFonts w:ascii="Times New Roman" w:hAnsi="Times New Roman"/>
                <w:b/>
                <w:bCs/>
                <w:color w:val="000000"/>
                <w:lang w:val="fr-FR"/>
              </w:rPr>
            </w:pPr>
            <w:r w:rsidRPr="00623A2B">
              <w:rPr>
                <w:rFonts w:ascii="Times New Roman" w:eastAsia="Calibri" w:hAnsi="Times New Roman"/>
                <w:color w:val="000000"/>
                <w:lang w:val="fr-FR"/>
              </w:rPr>
              <w:t>Semestriel</w:t>
            </w:r>
          </w:p>
          <w:p w14:paraId="71A7DC1F" w14:textId="77777777" w:rsidR="008B1794" w:rsidRPr="00623A2B" w:rsidRDefault="008B1794" w:rsidP="00C83EA7">
            <w:pPr>
              <w:jc w:val="center"/>
              <w:rPr>
                <w:rFonts w:ascii="Times New Roman" w:hAnsi="Times New Roman"/>
                <w:color w:val="000000"/>
                <w:lang w:val="fr-FR" w:eastAsia="es-ES"/>
              </w:rPr>
            </w:pPr>
          </w:p>
          <w:p w14:paraId="4FB47C55" w14:textId="77777777" w:rsidR="008B1794" w:rsidRPr="00623A2B" w:rsidRDefault="008B1794" w:rsidP="00C83EA7">
            <w:pPr>
              <w:jc w:val="center"/>
              <w:rPr>
                <w:rFonts w:ascii="Times New Roman" w:eastAsia="Calibri" w:hAnsi="Times New Roman"/>
                <w:b/>
                <w:bCs/>
                <w:color w:val="000000"/>
                <w:lang w:val="fr-FR"/>
              </w:rPr>
            </w:pPr>
            <w:r w:rsidRPr="00623A2B">
              <w:rPr>
                <w:rFonts w:ascii="Times New Roman" w:eastAsia="Calibri" w:hAnsi="Times New Roman"/>
                <w:color w:val="000000"/>
                <w:lang w:val="fr-FR"/>
              </w:rPr>
              <w:t>(Au plus tard 45 jours après la fin du semestre)</w:t>
            </w:r>
          </w:p>
        </w:tc>
        <w:tc>
          <w:tcPr>
            <w:tcW w:w="1677" w:type="dxa"/>
            <w:tcBorders>
              <w:top w:val="nil"/>
              <w:left w:val="nil"/>
              <w:bottom w:val="single" w:sz="4" w:space="0" w:color="4F81BD"/>
              <w:right w:val="single" w:sz="4" w:space="0" w:color="4F81BD"/>
            </w:tcBorders>
            <w:shd w:val="clear" w:color="auto" w:fill="auto"/>
            <w:noWrap/>
            <w:vAlign w:val="center"/>
          </w:tcPr>
          <w:p w14:paraId="5A12B872"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AG/RES. 2957 (L-O/20)</w:t>
            </w:r>
          </w:p>
          <w:p w14:paraId="1B3AD903"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IV.10.a</w:t>
            </w:r>
          </w:p>
          <w:p w14:paraId="3BA41BA3" w14:textId="77777777" w:rsidR="008B1794" w:rsidRPr="00623A2B" w:rsidRDefault="008B1794" w:rsidP="00C83EA7">
            <w:pPr>
              <w:jc w:val="center"/>
              <w:rPr>
                <w:rFonts w:ascii="Times New Roman" w:eastAsia="Calibri" w:hAnsi="Times New Roman"/>
                <w:b/>
                <w:bCs/>
                <w:color w:val="000000"/>
                <w:lang w:val="pt-BR"/>
              </w:rPr>
            </w:pPr>
            <w:r w:rsidRPr="00623A2B">
              <w:rPr>
                <w:rFonts w:ascii="Times New Roman" w:eastAsia="Calibri" w:hAnsi="Times New Roman"/>
                <w:color w:val="000000"/>
                <w:lang w:val="pt-BR"/>
              </w:rPr>
              <w:t>IV.10.b</w:t>
            </w:r>
          </w:p>
        </w:tc>
        <w:tc>
          <w:tcPr>
            <w:tcW w:w="4105" w:type="dxa"/>
            <w:tcBorders>
              <w:top w:val="nil"/>
              <w:left w:val="nil"/>
              <w:bottom w:val="single" w:sz="4" w:space="0" w:color="4F81BD"/>
              <w:right w:val="single" w:sz="4" w:space="0" w:color="4F81BD"/>
            </w:tcBorders>
            <w:shd w:val="clear" w:color="auto" w:fill="auto"/>
            <w:vAlign w:val="center"/>
          </w:tcPr>
          <w:p w14:paraId="21C50400" w14:textId="77777777" w:rsidR="008B1794" w:rsidRPr="00623A2B" w:rsidRDefault="008B1794" w:rsidP="00C83EA7">
            <w:pPr>
              <w:rPr>
                <w:rFonts w:ascii="Times New Roman" w:eastAsia="Calibri" w:hAnsi="Times New Roman"/>
                <w:b/>
                <w:bCs/>
                <w:color w:val="000000"/>
                <w:lang w:val="fr-FR"/>
              </w:rPr>
            </w:pPr>
            <w:r w:rsidRPr="00623A2B">
              <w:rPr>
                <w:rFonts w:ascii="Times New Roman" w:eastAsia="Calibri" w:hAnsi="Times New Roman"/>
                <w:color w:val="000000"/>
                <w:lang w:val="fr-FR"/>
              </w:rPr>
              <w:t>Rapport du Secrétaire général, du Secrétaire général adjoint et des secrétariats de tous les chapitres, y compris ceux des organes et entités spécialisés, sur les activités hors siège de leurs bureaux</w:t>
            </w:r>
          </w:p>
        </w:tc>
        <w:tc>
          <w:tcPr>
            <w:tcW w:w="2354" w:type="dxa"/>
            <w:tcBorders>
              <w:top w:val="nil"/>
              <w:left w:val="nil"/>
              <w:bottom w:val="single" w:sz="4" w:space="0" w:color="4F81BD"/>
              <w:right w:val="single" w:sz="8" w:space="0" w:color="4F81BD"/>
            </w:tcBorders>
            <w:shd w:val="clear" w:color="auto" w:fill="auto"/>
            <w:noWrap/>
            <w:vAlign w:val="center"/>
          </w:tcPr>
          <w:p w14:paraId="1E3727ED" w14:textId="77777777" w:rsidR="008B1794" w:rsidRPr="00623A2B" w:rsidRDefault="008B1794" w:rsidP="00C83EA7">
            <w:pPr>
              <w:jc w:val="center"/>
              <w:rPr>
                <w:rFonts w:ascii="Times New Roman" w:eastAsia="Calibri" w:hAnsi="Times New Roman"/>
                <w:b/>
                <w:bCs/>
                <w:color w:val="000000"/>
                <w:lang w:val="fr-FR"/>
              </w:rPr>
            </w:pPr>
            <w:r w:rsidRPr="00623A2B">
              <w:rPr>
                <w:rFonts w:ascii="Times New Roman" w:eastAsia="Calibri" w:hAnsi="Times New Roman"/>
                <w:color w:val="000000"/>
                <w:lang w:val="fr-FR"/>
              </w:rPr>
              <w:t>OSG, ASG et tous les secrétariats</w:t>
            </w:r>
          </w:p>
        </w:tc>
      </w:tr>
      <w:tr w:rsidR="008B1794" w:rsidRPr="00623A2B" w14:paraId="3EEF5DF6" w14:textId="77777777" w:rsidTr="00C83EA7">
        <w:trPr>
          <w:trHeight w:val="1440"/>
        </w:trPr>
        <w:tc>
          <w:tcPr>
            <w:tcW w:w="1894" w:type="dxa"/>
            <w:tcBorders>
              <w:top w:val="nil"/>
              <w:left w:val="single" w:sz="8" w:space="0" w:color="4F81BD"/>
              <w:bottom w:val="single" w:sz="4" w:space="0" w:color="4F81BD"/>
              <w:right w:val="single" w:sz="4" w:space="0" w:color="4F81BD"/>
            </w:tcBorders>
            <w:shd w:val="clear" w:color="auto" w:fill="auto"/>
            <w:vAlign w:val="center"/>
          </w:tcPr>
          <w:p w14:paraId="32F41902"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lastRenderedPageBreak/>
              <w:t>Semestriel</w:t>
            </w:r>
          </w:p>
          <w:p w14:paraId="59703233" w14:textId="77777777" w:rsidR="008B1794" w:rsidRPr="00623A2B" w:rsidRDefault="008B1794" w:rsidP="00C83EA7">
            <w:pPr>
              <w:jc w:val="center"/>
              <w:rPr>
                <w:rFonts w:ascii="Times New Roman" w:hAnsi="Times New Roman"/>
                <w:color w:val="000000"/>
                <w:lang w:val="fr-FR" w:eastAsia="es-ES"/>
              </w:rPr>
            </w:pPr>
          </w:p>
          <w:p w14:paraId="4042AB83"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(Au plus tard 45 jours après la clôture du semestre)</w:t>
            </w:r>
          </w:p>
          <w:p w14:paraId="58BAAA63" w14:textId="77777777" w:rsidR="008B1794" w:rsidRPr="00623A2B" w:rsidRDefault="008B1794" w:rsidP="00C83EA7">
            <w:pPr>
              <w:jc w:val="center"/>
              <w:rPr>
                <w:rFonts w:ascii="Times New Roman" w:hAnsi="Times New Roman"/>
                <w:color w:val="000000"/>
                <w:lang w:val="fr-FR" w:eastAsia="es-ES"/>
              </w:rPr>
            </w:pPr>
          </w:p>
        </w:tc>
        <w:tc>
          <w:tcPr>
            <w:tcW w:w="1677" w:type="dxa"/>
            <w:tcBorders>
              <w:top w:val="nil"/>
              <w:left w:val="nil"/>
              <w:bottom w:val="single" w:sz="4" w:space="0" w:color="4F81BD"/>
              <w:right w:val="single" w:sz="4" w:space="0" w:color="4F81BD"/>
            </w:tcBorders>
            <w:shd w:val="clear" w:color="auto" w:fill="auto"/>
            <w:noWrap/>
            <w:vAlign w:val="center"/>
          </w:tcPr>
          <w:p w14:paraId="0C278417"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AG/RES. 2957 (L-O/20)</w:t>
            </w:r>
          </w:p>
          <w:p w14:paraId="63031DF3"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IV.3.f.i</w:t>
            </w:r>
          </w:p>
          <w:p w14:paraId="09A0EAF1"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IV.</w:t>
            </w:r>
            <w:proofErr w:type="gramStart"/>
            <w:r w:rsidRPr="00623A2B">
              <w:rPr>
                <w:rFonts w:ascii="Times New Roman" w:eastAsia="Calibri" w:hAnsi="Times New Roman"/>
                <w:color w:val="000000"/>
                <w:lang w:val="fr-FR"/>
              </w:rPr>
              <w:t>3.g</w:t>
            </w:r>
            <w:proofErr w:type="gramEnd"/>
          </w:p>
        </w:tc>
        <w:tc>
          <w:tcPr>
            <w:tcW w:w="4105" w:type="dxa"/>
            <w:tcBorders>
              <w:top w:val="nil"/>
              <w:left w:val="nil"/>
              <w:bottom w:val="single" w:sz="4" w:space="0" w:color="4F81BD"/>
              <w:right w:val="single" w:sz="4" w:space="0" w:color="4F81BD"/>
            </w:tcBorders>
            <w:shd w:val="clear" w:color="auto" w:fill="auto"/>
            <w:vAlign w:val="center"/>
          </w:tcPr>
          <w:p w14:paraId="7D61D618"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 xml:space="preserve">Rapport sur les projets qui n'émargent pas au programme-budget mais bénéficient de contributions apportées par des États </w:t>
            </w:r>
            <w:proofErr w:type="gramStart"/>
            <w:r w:rsidRPr="00623A2B">
              <w:rPr>
                <w:rFonts w:ascii="Times New Roman" w:eastAsia="Calibri" w:hAnsi="Times New Roman"/>
                <w:color w:val="000000"/>
                <w:lang w:val="fr-FR"/>
              </w:rPr>
              <w:t>non membres</w:t>
            </w:r>
            <w:proofErr w:type="gramEnd"/>
            <w:r w:rsidRPr="00623A2B">
              <w:rPr>
                <w:rFonts w:ascii="Times New Roman" w:eastAsia="Calibri" w:hAnsi="Times New Roman"/>
                <w:color w:val="000000"/>
                <w:lang w:val="fr-FR"/>
              </w:rPr>
              <w:t xml:space="preserve"> ayant le statut d'observateur permanent auprès de l'OEA, et sur les conventions, contrats et/ou lettres d'entente s’y rapportant qui font l’objet de discussions ou d’accords.</w:t>
            </w:r>
          </w:p>
        </w:tc>
        <w:tc>
          <w:tcPr>
            <w:tcW w:w="2354" w:type="dxa"/>
            <w:tcBorders>
              <w:top w:val="nil"/>
              <w:left w:val="nil"/>
              <w:bottom w:val="single" w:sz="4" w:space="0" w:color="4F81BD"/>
              <w:right w:val="single" w:sz="8" w:space="0" w:color="4F81BD"/>
            </w:tcBorders>
            <w:shd w:val="clear" w:color="auto" w:fill="auto"/>
            <w:noWrap/>
            <w:vAlign w:val="center"/>
          </w:tcPr>
          <w:p w14:paraId="2D5F5FEA"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SCODMR</w:t>
            </w:r>
          </w:p>
        </w:tc>
      </w:tr>
      <w:tr w:rsidR="008B1794" w:rsidRPr="00623A2B" w14:paraId="1A36E7BE" w14:textId="77777777" w:rsidTr="00C83EA7">
        <w:trPr>
          <w:trHeight w:val="1495"/>
        </w:trPr>
        <w:tc>
          <w:tcPr>
            <w:tcW w:w="1894" w:type="dxa"/>
            <w:tcBorders>
              <w:top w:val="nil"/>
              <w:left w:val="single" w:sz="8" w:space="0" w:color="4F81BD"/>
              <w:bottom w:val="single" w:sz="4" w:space="0" w:color="4F81BD"/>
              <w:right w:val="single" w:sz="4" w:space="0" w:color="4F81BD"/>
            </w:tcBorders>
            <w:shd w:val="clear" w:color="auto" w:fill="auto"/>
            <w:vAlign w:val="center"/>
          </w:tcPr>
          <w:p w14:paraId="7FF48AEB"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Semestriel</w:t>
            </w:r>
          </w:p>
          <w:p w14:paraId="6382506E" w14:textId="77777777" w:rsidR="008B1794" w:rsidRPr="00623A2B" w:rsidRDefault="008B1794" w:rsidP="00C83EA7">
            <w:pPr>
              <w:jc w:val="center"/>
              <w:rPr>
                <w:rFonts w:ascii="Times New Roman" w:hAnsi="Times New Roman"/>
                <w:color w:val="000000"/>
                <w:lang w:val="fr-FR" w:eastAsia="es-ES"/>
              </w:rPr>
            </w:pPr>
          </w:p>
          <w:p w14:paraId="19547DEE"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(Au plus tard 45 jours après la clôture du semestre)</w:t>
            </w:r>
          </w:p>
        </w:tc>
        <w:tc>
          <w:tcPr>
            <w:tcW w:w="1677" w:type="dxa"/>
            <w:tcBorders>
              <w:top w:val="nil"/>
              <w:left w:val="nil"/>
              <w:bottom w:val="single" w:sz="4" w:space="0" w:color="4F81BD"/>
              <w:right w:val="single" w:sz="4" w:space="0" w:color="4F81BD"/>
            </w:tcBorders>
            <w:shd w:val="clear" w:color="auto" w:fill="auto"/>
            <w:noWrap/>
            <w:vAlign w:val="center"/>
          </w:tcPr>
          <w:p w14:paraId="596FD180"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AG/RES. 2957 (L-O/20)</w:t>
            </w:r>
          </w:p>
          <w:p w14:paraId="31C504A0"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IV.12.b</w:t>
            </w:r>
          </w:p>
        </w:tc>
        <w:tc>
          <w:tcPr>
            <w:tcW w:w="4105" w:type="dxa"/>
            <w:tcBorders>
              <w:top w:val="nil"/>
              <w:left w:val="nil"/>
              <w:bottom w:val="single" w:sz="4" w:space="0" w:color="4F81BD"/>
              <w:right w:val="single" w:sz="4" w:space="0" w:color="4F81BD"/>
            </w:tcBorders>
            <w:shd w:val="clear" w:color="auto" w:fill="auto"/>
            <w:vAlign w:val="center"/>
          </w:tcPr>
          <w:p w14:paraId="6E4F41E4"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 xml:space="preserve">Rapport de l'Inspecteur général sur les mutations de personnel, les concours internes et externes ainsi que les reclassements de postes prévus dans le présent programme-budget. </w:t>
            </w:r>
          </w:p>
        </w:tc>
        <w:tc>
          <w:tcPr>
            <w:tcW w:w="2354" w:type="dxa"/>
            <w:tcBorders>
              <w:top w:val="nil"/>
              <w:left w:val="nil"/>
              <w:bottom w:val="single" w:sz="4" w:space="0" w:color="4F81BD"/>
              <w:right w:val="single" w:sz="8" w:space="0" w:color="4F81BD"/>
            </w:tcBorders>
            <w:shd w:val="clear" w:color="auto" w:fill="auto"/>
            <w:vAlign w:val="center"/>
          </w:tcPr>
          <w:p w14:paraId="719FCAE0"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OIG</w:t>
            </w:r>
          </w:p>
        </w:tc>
      </w:tr>
      <w:tr w:rsidR="008B1794" w:rsidRPr="00623A2B" w14:paraId="2CA3D6A0" w14:textId="77777777" w:rsidTr="00C83EA7">
        <w:trPr>
          <w:trHeight w:val="1157"/>
        </w:trPr>
        <w:tc>
          <w:tcPr>
            <w:tcW w:w="1894" w:type="dxa"/>
            <w:tcBorders>
              <w:top w:val="nil"/>
              <w:left w:val="single" w:sz="8" w:space="0" w:color="4F81BD"/>
              <w:bottom w:val="single" w:sz="4" w:space="0" w:color="4F81BD"/>
              <w:right w:val="single" w:sz="4" w:space="0" w:color="4F81BD"/>
            </w:tcBorders>
            <w:shd w:val="clear" w:color="auto" w:fill="auto"/>
            <w:vAlign w:val="center"/>
          </w:tcPr>
          <w:p w14:paraId="47651AF2"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Semestriel</w:t>
            </w:r>
          </w:p>
          <w:p w14:paraId="0CC7953A" w14:textId="77777777" w:rsidR="008B1794" w:rsidRPr="00623A2B" w:rsidRDefault="008B1794" w:rsidP="00C83EA7">
            <w:pPr>
              <w:jc w:val="center"/>
              <w:rPr>
                <w:rFonts w:ascii="Times New Roman" w:hAnsi="Times New Roman"/>
                <w:color w:val="000000"/>
                <w:lang w:val="fr-FR" w:eastAsia="es-ES"/>
              </w:rPr>
            </w:pPr>
          </w:p>
          <w:p w14:paraId="5FB48758"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(Au plus tard 45 jours après la clôture du semestre)</w:t>
            </w:r>
          </w:p>
        </w:tc>
        <w:tc>
          <w:tcPr>
            <w:tcW w:w="1677" w:type="dxa"/>
            <w:tcBorders>
              <w:top w:val="nil"/>
              <w:left w:val="nil"/>
              <w:bottom w:val="single" w:sz="4" w:space="0" w:color="4F81BD"/>
              <w:right w:val="single" w:sz="4" w:space="0" w:color="4F81BD"/>
            </w:tcBorders>
            <w:shd w:val="clear" w:color="auto" w:fill="auto"/>
            <w:noWrap/>
            <w:vAlign w:val="center"/>
          </w:tcPr>
          <w:p w14:paraId="2BB91A6E"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AG/RES. 2957 (L-O/20)</w:t>
            </w:r>
          </w:p>
          <w:p w14:paraId="7737B12B"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IV.30.a.</w:t>
            </w:r>
          </w:p>
        </w:tc>
        <w:tc>
          <w:tcPr>
            <w:tcW w:w="4105" w:type="dxa"/>
            <w:tcBorders>
              <w:top w:val="nil"/>
              <w:left w:val="nil"/>
              <w:bottom w:val="single" w:sz="4" w:space="0" w:color="4F81BD"/>
              <w:right w:val="single" w:sz="4" w:space="0" w:color="4F81BD"/>
            </w:tcBorders>
            <w:shd w:val="clear" w:color="auto" w:fill="auto"/>
            <w:vAlign w:val="center"/>
          </w:tcPr>
          <w:p w14:paraId="2E94BC34"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Rapport de l’Inspecteur général sur l’état d'avancement de la mise en œuvre des recommandations émises par le Comité d’audit</w:t>
            </w:r>
          </w:p>
          <w:p w14:paraId="1B04DADA" w14:textId="77777777" w:rsidR="008B1794" w:rsidRPr="00623A2B" w:rsidRDefault="008B1794" w:rsidP="00C83EA7">
            <w:pPr>
              <w:rPr>
                <w:rFonts w:ascii="Times New Roman" w:hAnsi="Times New Roman"/>
                <w:color w:val="000000"/>
                <w:lang w:val="fr-FR" w:eastAsia="es-ES"/>
              </w:rPr>
            </w:pPr>
          </w:p>
        </w:tc>
        <w:tc>
          <w:tcPr>
            <w:tcW w:w="2354" w:type="dxa"/>
            <w:tcBorders>
              <w:top w:val="nil"/>
              <w:left w:val="nil"/>
              <w:bottom w:val="single" w:sz="4" w:space="0" w:color="4F81BD"/>
              <w:right w:val="single" w:sz="8" w:space="0" w:color="4F81BD"/>
            </w:tcBorders>
            <w:shd w:val="clear" w:color="auto" w:fill="auto"/>
            <w:vAlign w:val="center"/>
          </w:tcPr>
          <w:p w14:paraId="244CAD5F"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OIG</w:t>
            </w:r>
          </w:p>
        </w:tc>
      </w:tr>
      <w:tr w:rsidR="008B1794" w:rsidRPr="00623A2B" w14:paraId="07A202BF" w14:textId="77777777" w:rsidTr="00C83EA7">
        <w:trPr>
          <w:trHeight w:val="1220"/>
        </w:trPr>
        <w:tc>
          <w:tcPr>
            <w:tcW w:w="1894" w:type="dxa"/>
            <w:tcBorders>
              <w:top w:val="nil"/>
              <w:left w:val="single" w:sz="8" w:space="0" w:color="4F81BD"/>
              <w:bottom w:val="single" w:sz="4" w:space="0" w:color="4F81BD"/>
              <w:right w:val="single" w:sz="4" w:space="0" w:color="4F81BD"/>
            </w:tcBorders>
            <w:shd w:val="clear" w:color="auto" w:fill="auto"/>
            <w:vAlign w:val="center"/>
          </w:tcPr>
          <w:p w14:paraId="246D8C0C"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Trimestriel</w:t>
            </w:r>
          </w:p>
          <w:p w14:paraId="19A26C9F" w14:textId="77777777" w:rsidR="008B1794" w:rsidRPr="00623A2B" w:rsidRDefault="008B1794" w:rsidP="00C83EA7">
            <w:pPr>
              <w:jc w:val="center"/>
              <w:rPr>
                <w:rFonts w:ascii="Times New Roman" w:hAnsi="Times New Roman"/>
                <w:color w:val="000000"/>
                <w:lang w:val="fr-FR" w:eastAsia="es-ES"/>
              </w:rPr>
            </w:pPr>
          </w:p>
          <w:p w14:paraId="072DD573"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(Au plus tard 30 jours après la clôture du trimestre)</w:t>
            </w:r>
          </w:p>
        </w:tc>
        <w:tc>
          <w:tcPr>
            <w:tcW w:w="1677" w:type="dxa"/>
            <w:tcBorders>
              <w:top w:val="nil"/>
              <w:left w:val="nil"/>
              <w:bottom w:val="single" w:sz="4" w:space="0" w:color="4F81BD"/>
              <w:right w:val="single" w:sz="4" w:space="0" w:color="4F81BD"/>
            </w:tcBorders>
            <w:shd w:val="clear" w:color="auto" w:fill="auto"/>
            <w:noWrap/>
            <w:vAlign w:val="center"/>
          </w:tcPr>
          <w:p w14:paraId="04624D69"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AG/RES. 2957 (L-O/20)</w:t>
            </w:r>
          </w:p>
          <w:p w14:paraId="4A406433"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IV.12.c</w:t>
            </w:r>
          </w:p>
        </w:tc>
        <w:tc>
          <w:tcPr>
            <w:tcW w:w="4105" w:type="dxa"/>
            <w:tcBorders>
              <w:top w:val="nil"/>
              <w:left w:val="nil"/>
              <w:bottom w:val="single" w:sz="4" w:space="0" w:color="4F81BD"/>
              <w:right w:val="single" w:sz="4" w:space="0" w:color="4F81BD"/>
            </w:tcBorders>
            <w:shd w:val="clear" w:color="auto" w:fill="auto"/>
            <w:vAlign w:val="center"/>
          </w:tcPr>
          <w:p w14:paraId="2350D511"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 xml:space="preserve">Rapport détaillé sur la situation de tous les postes vacants financés par le Fonds ordinaire et, selon le besoin, une explication des raisons des retards de publication des vacances. </w:t>
            </w:r>
          </w:p>
        </w:tc>
        <w:tc>
          <w:tcPr>
            <w:tcW w:w="2354" w:type="dxa"/>
            <w:tcBorders>
              <w:top w:val="nil"/>
              <w:left w:val="nil"/>
              <w:bottom w:val="single" w:sz="4" w:space="0" w:color="4F81BD"/>
              <w:right w:val="single" w:sz="8" w:space="0" w:color="4F81BD"/>
            </w:tcBorders>
            <w:shd w:val="clear" w:color="auto" w:fill="auto"/>
            <w:vAlign w:val="center"/>
          </w:tcPr>
          <w:p w14:paraId="6F0AAD29"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SAF(DHR)</w:t>
            </w:r>
          </w:p>
        </w:tc>
      </w:tr>
      <w:tr w:rsidR="008B1794" w:rsidRPr="00623A2B" w14:paraId="0F82F52C" w14:textId="77777777" w:rsidTr="00C83EA7">
        <w:trPr>
          <w:trHeight w:val="1440"/>
        </w:trPr>
        <w:tc>
          <w:tcPr>
            <w:tcW w:w="18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D500ECF"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Mensuel</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3550898"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AG/RES. 2957 (L-O/20)</w:t>
            </w:r>
          </w:p>
          <w:p w14:paraId="6037908D"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IV.33</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4EB14930"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Rapport sur l’état d'avancement du programme de modernisation des processus opérationnels (OASCORE)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025199B9" w14:textId="77777777" w:rsidR="008B1794" w:rsidRPr="00623A2B" w:rsidRDefault="008B1794" w:rsidP="00C83EA7">
            <w:pPr>
              <w:jc w:val="center"/>
              <w:rPr>
                <w:rFonts w:ascii="Times New Roman" w:hAnsi="Times New Roman"/>
                <w:color w:val="000000"/>
                <w:lang w:val="fr-FR"/>
              </w:rPr>
            </w:pPr>
            <w:proofErr w:type="gramStart"/>
            <w:r w:rsidRPr="00623A2B">
              <w:rPr>
                <w:rFonts w:ascii="Times New Roman" w:eastAsia="Calibri" w:hAnsi="Times New Roman"/>
                <w:color w:val="000000"/>
                <w:lang w:val="fr-FR"/>
              </w:rPr>
              <w:t>SAF(</w:t>
            </w:r>
            <w:proofErr w:type="gramEnd"/>
            <w:r w:rsidRPr="00623A2B">
              <w:rPr>
                <w:rFonts w:ascii="Times New Roman" w:eastAsia="Calibri" w:hAnsi="Times New Roman"/>
                <w:color w:val="000000"/>
                <w:lang w:val="fr-FR"/>
              </w:rPr>
              <w:t>Bureau exécutif/SAF)</w:t>
            </w:r>
          </w:p>
        </w:tc>
      </w:tr>
      <w:tr w:rsidR="008B1794" w:rsidRPr="00623A2B" w14:paraId="384652DE" w14:textId="77777777" w:rsidTr="00C83EA7">
        <w:trPr>
          <w:trHeight w:val="1440"/>
        </w:trPr>
        <w:tc>
          <w:tcPr>
            <w:tcW w:w="18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E045DD9"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Mensuel</w:t>
            </w:r>
          </w:p>
          <w:p w14:paraId="78911589" w14:textId="77777777" w:rsidR="008B1794" w:rsidRPr="00623A2B" w:rsidRDefault="008B1794" w:rsidP="00C83EA7">
            <w:pPr>
              <w:jc w:val="center"/>
              <w:rPr>
                <w:rFonts w:ascii="Times New Roman" w:hAnsi="Times New Roman"/>
                <w:color w:val="000000"/>
                <w:lang w:val="fr-FR" w:eastAsia="es-ES"/>
              </w:rPr>
            </w:pPr>
          </w:p>
          <w:p w14:paraId="70F42273" w14:textId="77777777" w:rsidR="008B1794" w:rsidRPr="00623A2B" w:rsidRDefault="008B1794" w:rsidP="00C83EA7">
            <w:pPr>
              <w:jc w:val="center"/>
              <w:rPr>
                <w:rFonts w:ascii="Times New Roman" w:hAnsi="Times New Roman"/>
                <w:color w:val="000000"/>
                <w:lang w:val="fr-FR"/>
              </w:rPr>
            </w:pPr>
            <w:proofErr w:type="gramStart"/>
            <w:r w:rsidRPr="00623A2B">
              <w:rPr>
                <w:rFonts w:ascii="Times New Roman" w:eastAsia="Calibri" w:hAnsi="Times New Roman"/>
                <w:color w:val="000000"/>
                <w:lang w:val="fr-FR"/>
              </w:rPr>
              <w:t>en</w:t>
            </w:r>
            <w:proofErr w:type="gramEnd"/>
            <w:r w:rsidRPr="00623A2B">
              <w:rPr>
                <w:rFonts w:ascii="Times New Roman" w:eastAsia="Calibri" w:hAnsi="Times New Roman"/>
                <w:color w:val="000000"/>
                <w:lang w:val="fr-FR"/>
              </w:rPr>
              <w:t xml:space="preserve"> cas de solde de prêt impayé</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0DA9561"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AG/RES. 2957 (L-O/20)</w:t>
            </w:r>
          </w:p>
          <w:p w14:paraId="3CA190F7"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I.6</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1D432EB2"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Rapport à la CAAP sur la situation du Fonds de trésorerie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356329C6"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SAF(DFS)</w:t>
            </w:r>
          </w:p>
        </w:tc>
      </w:tr>
      <w:tr w:rsidR="008B1794" w:rsidRPr="00623A2B" w14:paraId="7D89B49D" w14:textId="77777777" w:rsidTr="00C83EA7">
        <w:trPr>
          <w:trHeight w:val="1440"/>
        </w:trPr>
        <w:tc>
          <w:tcPr>
            <w:tcW w:w="18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CE5E27D"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Constant</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A2EDF6E"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AG/RES. 2957 (L-O/20)</w:t>
            </w:r>
          </w:p>
          <w:p w14:paraId="133E48EB"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IV.28.a</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57801D8F"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Publication des informations à jour sur le site de l’OEA</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8FAEE02"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SCODMR/SAF</w:t>
            </w:r>
          </w:p>
        </w:tc>
      </w:tr>
      <w:tr w:rsidR="008B1794" w:rsidRPr="00623A2B" w14:paraId="5900BF23" w14:textId="77777777" w:rsidTr="00C83EA7">
        <w:trPr>
          <w:trHeight w:val="1652"/>
        </w:trPr>
        <w:tc>
          <w:tcPr>
            <w:tcW w:w="18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6E2EED6"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lastRenderedPageBreak/>
              <w:t>Dans l’immédiat, sur demande de virement de fonds applicable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AF14EB2"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AG/RES. 2957 (L-O/20)</w:t>
            </w:r>
          </w:p>
          <w:p w14:paraId="46650364" w14:textId="77777777" w:rsidR="008B1794" w:rsidRPr="00623A2B" w:rsidRDefault="008B1794" w:rsidP="00C83EA7">
            <w:pPr>
              <w:jc w:val="center"/>
              <w:rPr>
                <w:rFonts w:ascii="Times New Roman" w:hAnsi="Times New Roman"/>
                <w:color w:val="000000"/>
                <w:lang w:val="pt-BR"/>
              </w:rPr>
            </w:pPr>
            <w:r w:rsidRPr="00623A2B">
              <w:rPr>
                <w:rFonts w:ascii="Times New Roman" w:eastAsia="Calibri" w:hAnsi="Times New Roman"/>
                <w:color w:val="000000"/>
                <w:lang w:val="pt-BR"/>
              </w:rPr>
              <w:t>IV.9.b</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2C3FEF91"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Rapport décrivant les éventuelles sources pour financer les requêtes de virements qui dépassent les limites fixées à l’article 110 des Normes générales. Les options devraient être basées de préférence sur les économies et les gains d'efficacité issus des chapitres du programme-budget, en cas de disponibilité.</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2BD65828"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SAF</w:t>
            </w:r>
          </w:p>
        </w:tc>
      </w:tr>
      <w:tr w:rsidR="008B1794" w:rsidRPr="00623A2B" w14:paraId="0FD4848D" w14:textId="77777777" w:rsidTr="00C83EA7">
        <w:trPr>
          <w:trHeight w:val="887"/>
        </w:trPr>
        <w:tc>
          <w:tcPr>
            <w:tcW w:w="18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CB17BEF"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30 mars 2022</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FEC279D" w14:textId="77777777" w:rsidR="008B1794" w:rsidRPr="00623A2B" w:rsidRDefault="008B1794" w:rsidP="00C83EA7">
            <w:pPr>
              <w:jc w:val="center"/>
              <w:rPr>
                <w:rFonts w:ascii="Times New Roman" w:hAnsi="Times New Roman"/>
                <w:color w:val="000000"/>
                <w:lang w:val="fr-FR"/>
              </w:rPr>
            </w:pPr>
            <w:r w:rsidRPr="00623A2B">
              <w:rPr>
                <w:rFonts w:ascii="Times New Roman" w:hAnsi="Times New Roman"/>
                <w:color w:val="000000"/>
                <w:lang w:val="fr-FR"/>
              </w:rPr>
              <w:t>II.6</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71B876D1" w14:textId="77777777" w:rsidR="008B1794" w:rsidRPr="00623A2B" w:rsidRDefault="008B1794" w:rsidP="00C83EA7">
            <w:pPr>
              <w:rPr>
                <w:rFonts w:ascii="Times New Roman" w:hAnsi="Times New Roman"/>
                <w:color w:val="000000"/>
                <w:lang w:val="fr-FR"/>
              </w:rPr>
            </w:pPr>
            <w:r w:rsidRPr="00623A2B">
              <w:rPr>
                <w:rFonts w:ascii="Times New Roman" w:eastAsia="Calibri" w:hAnsi="Times New Roman"/>
                <w:color w:val="000000"/>
                <w:lang w:val="fr-FR"/>
              </w:rPr>
              <w:t>Mise à jour du plan d’exécution de la stratégie globale de ressources humaines de l’Organisation.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4CB32663" w14:textId="77777777" w:rsidR="008B1794" w:rsidRPr="00623A2B" w:rsidRDefault="008B1794" w:rsidP="00C83EA7">
            <w:pPr>
              <w:jc w:val="center"/>
              <w:rPr>
                <w:rFonts w:ascii="Times New Roman" w:hAnsi="Times New Roman"/>
                <w:color w:val="000000"/>
                <w:lang w:val="fr-FR"/>
              </w:rPr>
            </w:pPr>
            <w:r w:rsidRPr="00623A2B">
              <w:rPr>
                <w:rFonts w:ascii="Times New Roman" w:eastAsia="Calibri" w:hAnsi="Times New Roman"/>
                <w:color w:val="000000"/>
                <w:lang w:val="fr-FR"/>
              </w:rPr>
              <w:t>SAF(DHR)</w:t>
            </w:r>
          </w:p>
        </w:tc>
      </w:tr>
    </w:tbl>
    <w:p w14:paraId="66EDCDDE" w14:textId="77777777" w:rsidR="008B1794" w:rsidRPr="00623A2B" w:rsidRDefault="008B1794" w:rsidP="008B1794">
      <w:pPr>
        <w:rPr>
          <w:rFonts w:ascii="Times New Roman" w:eastAsia="Calibri" w:hAnsi="Times New Roman"/>
          <w:color w:val="000000"/>
          <w:lang w:val="fr-FR"/>
        </w:rPr>
        <w:sectPr w:rsidR="008B1794" w:rsidRPr="00623A2B" w:rsidSect="00623A2B">
          <w:footnotePr>
            <w:numRestart w:val="eachSect"/>
          </w:footnotePr>
          <w:type w:val="oddPage"/>
          <w:pgSz w:w="12240" w:h="15840" w:code="1"/>
          <w:pgMar w:top="2160" w:right="1570" w:bottom="1296" w:left="1699" w:header="720" w:footer="720" w:gutter="0"/>
          <w:cols w:space="720"/>
          <w:docGrid w:linePitch="360"/>
        </w:sectPr>
      </w:pPr>
    </w:p>
    <w:p w14:paraId="4BFFA3C6" w14:textId="77777777" w:rsidR="008B1794" w:rsidRPr="00623A2B" w:rsidRDefault="008B1794" w:rsidP="008B1794">
      <w:pPr>
        <w:jc w:val="right"/>
        <w:rPr>
          <w:rFonts w:ascii="Times New Roman" w:eastAsia="Calibri" w:hAnsi="Times New Roman"/>
          <w:color w:val="000000"/>
          <w:lang w:val="fr-FR"/>
        </w:rPr>
      </w:pPr>
      <w:r w:rsidRPr="00623A2B">
        <w:rPr>
          <w:rFonts w:ascii="Times New Roman" w:eastAsia="Calibri" w:hAnsi="Times New Roman"/>
          <w:color w:val="000000"/>
          <w:lang w:val="fr-FR"/>
        </w:rPr>
        <w:lastRenderedPageBreak/>
        <w:t>ANNEXE IV</w:t>
      </w:r>
    </w:p>
    <w:p w14:paraId="293AD2E0" w14:textId="77777777" w:rsidR="008B1794" w:rsidRPr="00623A2B" w:rsidRDefault="008B1794" w:rsidP="008B1794">
      <w:pPr>
        <w:keepNext/>
        <w:suppressAutoHyphens/>
        <w:spacing w:line="252" w:lineRule="auto"/>
        <w:jc w:val="right"/>
        <w:rPr>
          <w:rFonts w:ascii="Times New Roman" w:eastAsia="Arial Unicode MS" w:hAnsi="Times New Roman"/>
          <w:color w:val="000000"/>
          <w:lang w:val="fr-FR"/>
        </w:rPr>
      </w:pPr>
    </w:p>
    <w:tbl>
      <w:tblPr>
        <w:tblW w:w="9782" w:type="dxa"/>
        <w:jc w:val="center"/>
        <w:tblCellMar>
          <w:left w:w="70" w:type="dxa"/>
          <w:right w:w="70" w:type="dxa"/>
        </w:tblCellMar>
        <w:tblLook w:val="04A0" w:firstRow="1" w:lastRow="0" w:firstColumn="1" w:lastColumn="0" w:noHBand="0" w:noVBand="1"/>
      </w:tblPr>
      <w:tblGrid>
        <w:gridCol w:w="1339"/>
        <w:gridCol w:w="5131"/>
        <w:gridCol w:w="1144"/>
        <w:gridCol w:w="11"/>
        <w:gridCol w:w="2146"/>
        <w:gridCol w:w="11"/>
      </w:tblGrid>
      <w:tr w:rsidR="008B1794" w:rsidRPr="00623A2B" w14:paraId="6C1A7CC8" w14:textId="77777777" w:rsidTr="00DD002B">
        <w:trPr>
          <w:gridAfter w:val="1"/>
          <w:wAfter w:w="11" w:type="dxa"/>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50B89D16" w14:textId="77777777" w:rsidR="008B1794" w:rsidRPr="00623A2B" w:rsidRDefault="008B1794" w:rsidP="00C83EA7">
            <w:pPr>
              <w:suppressAutoHyphens/>
              <w:jc w:val="center"/>
              <w:rPr>
                <w:rFonts w:ascii="Times New Roman" w:hAnsi="Times New Roman"/>
                <w:bCs/>
                <w:color w:val="000000"/>
                <w:lang w:val="fr-FR"/>
              </w:rPr>
            </w:pPr>
            <w:r w:rsidRPr="00623A2B">
              <w:rPr>
                <w:rFonts w:ascii="Times New Roman" w:eastAsia="Calibri" w:hAnsi="Times New Roman"/>
                <w:color w:val="000000"/>
                <w:lang w:val="fr-FR"/>
              </w:rPr>
              <w:t>POSTES</w:t>
            </w:r>
          </w:p>
        </w:tc>
        <w:tc>
          <w:tcPr>
            <w:tcW w:w="5131" w:type="dxa"/>
            <w:tcBorders>
              <w:top w:val="single" w:sz="8" w:space="0" w:color="auto"/>
              <w:left w:val="nil"/>
              <w:bottom w:val="single" w:sz="8" w:space="0" w:color="auto"/>
              <w:right w:val="single" w:sz="8" w:space="0" w:color="auto"/>
            </w:tcBorders>
            <w:vAlign w:val="center"/>
            <w:hideMark/>
          </w:tcPr>
          <w:p w14:paraId="556F3A4B" w14:textId="77777777" w:rsidR="008B1794" w:rsidRPr="00623A2B" w:rsidRDefault="008B1794" w:rsidP="00C83EA7">
            <w:pPr>
              <w:suppressAutoHyphens/>
              <w:jc w:val="center"/>
              <w:rPr>
                <w:rFonts w:ascii="Times New Roman" w:hAnsi="Times New Roman"/>
                <w:bCs/>
                <w:color w:val="000000"/>
                <w:lang w:val="fr-FR"/>
              </w:rPr>
            </w:pPr>
            <w:r w:rsidRPr="00623A2B">
              <w:rPr>
                <w:rFonts w:ascii="Times New Roman" w:eastAsia="Calibri" w:hAnsi="Times New Roman"/>
                <w:color w:val="000000"/>
                <w:lang w:val="fr-FR"/>
              </w:rPr>
              <w:t>DESCRIPTION</w:t>
            </w:r>
          </w:p>
        </w:tc>
        <w:tc>
          <w:tcPr>
            <w:tcW w:w="1144" w:type="dxa"/>
            <w:tcBorders>
              <w:top w:val="single" w:sz="8" w:space="0" w:color="auto"/>
              <w:left w:val="nil"/>
              <w:bottom w:val="single" w:sz="8" w:space="0" w:color="auto"/>
              <w:right w:val="single" w:sz="8" w:space="0" w:color="auto"/>
            </w:tcBorders>
            <w:vAlign w:val="center"/>
            <w:hideMark/>
          </w:tcPr>
          <w:p w14:paraId="271C3F44" w14:textId="77777777" w:rsidR="008B1794" w:rsidRPr="00623A2B" w:rsidRDefault="008B1794" w:rsidP="00C83EA7">
            <w:pPr>
              <w:suppressAutoHyphens/>
              <w:jc w:val="center"/>
              <w:rPr>
                <w:rFonts w:ascii="Times New Roman" w:hAnsi="Times New Roman"/>
                <w:bCs/>
                <w:color w:val="000000"/>
                <w:lang w:val="fr-FR"/>
              </w:rPr>
            </w:pPr>
            <w:r w:rsidRPr="00623A2B">
              <w:rPr>
                <w:rFonts w:ascii="Times New Roman" w:eastAsia="Calibri" w:hAnsi="Times New Roman"/>
                <w:color w:val="000000"/>
                <w:lang w:val="fr-FR"/>
              </w:rPr>
              <w:t>GRADE</w:t>
            </w:r>
          </w:p>
        </w:tc>
        <w:tc>
          <w:tcPr>
            <w:tcW w:w="2157" w:type="dxa"/>
            <w:gridSpan w:val="2"/>
            <w:tcBorders>
              <w:top w:val="single" w:sz="8" w:space="0" w:color="auto"/>
              <w:left w:val="nil"/>
              <w:bottom w:val="single" w:sz="8" w:space="0" w:color="auto"/>
              <w:right w:val="single" w:sz="8" w:space="0" w:color="auto"/>
            </w:tcBorders>
            <w:hideMark/>
          </w:tcPr>
          <w:p w14:paraId="01B3DC63" w14:textId="77777777" w:rsidR="008B1794" w:rsidRPr="00623A2B" w:rsidRDefault="008B1794" w:rsidP="00C83EA7">
            <w:pPr>
              <w:suppressAutoHyphens/>
              <w:jc w:val="center"/>
              <w:rPr>
                <w:rFonts w:ascii="Times New Roman" w:hAnsi="Times New Roman"/>
                <w:bCs/>
                <w:color w:val="000000"/>
                <w:lang w:val="fr-FR"/>
              </w:rPr>
            </w:pPr>
            <w:r w:rsidRPr="00623A2B">
              <w:rPr>
                <w:rFonts w:ascii="Times New Roman" w:eastAsia="Calibri" w:hAnsi="Times New Roman"/>
                <w:color w:val="000000"/>
                <w:lang w:val="fr-FR"/>
              </w:rPr>
              <w:t>SOURCE DE FINANCEMENT</w:t>
            </w:r>
          </w:p>
        </w:tc>
      </w:tr>
      <w:tr w:rsidR="008B1794" w:rsidRPr="00623A2B" w14:paraId="12DDC5FB" w14:textId="77777777" w:rsidTr="00DD002B">
        <w:trPr>
          <w:gridAfter w:val="1"/>
          <w:wAfter w:w="11" w:type="dxa"/>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4F31F50D"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1</w:t>
            </w:r>
          </w:p>
        </w:tc>
        <w:tc>
          <w:tcPr>
            <w:tcW w:w="5131" w:type="dxa"/>
            <w:tcBorders>
              <w:top w:val="single" w:sz="4" w:space="0" w:color="auto"/>
              <w:left w:val="nil"/>
              <w:bottom w:val="single" w:sz="4" w:space="0" w:color="auto"/>
              <w:right w:val="single" w:sz="4" w:space="0" w:color="auto"/>
            </w:tcBorders>
            <w:vAlign w:val="center"/>
            <w:hideMark/>
          </w:tcPr>
          <w:p w14:paraId="4A92CFF6" w14:textId="77777777"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Chef de cabinet du Secrétaire général</w:t>
            </w:r>
          </w:p>
        </w:tc>
        <w:tc>
          <w:tcPr>
            <w:tcW w:w="1144" w:type="dxa"/>
            <w:tcBorders>
              <w:top w:val="single" w:sz="4" w:space="0" w:color="auto"/>
              <w:left w:val="nil"/>
              <w:bottom w:val="single" w:sz="4" w:space="0" w:color="auto"/>
              <w:right w:val="single" w:sz="4" w:space="0" w:color="auto"/>
            </w:tcBorders>
            <w:noWrap/>
            <w:vAlign w:val="bottom"/>
            <w:hideMark/>
          </w:tcPr>
          <w:p w14:paraId="7D40DAD8"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D01</w:t>
            </w:r>
          </w:p>
        </w:tc>
        <w:tc>
          <w:tcPr>
            <w:tcW w:w="2157" w:type="dxa"/>
            <w:gridSpan w:val="2"/>
            <w:tcBorders>
              <w:top w:val="single" w:sz="4" w:space="0" w:color="auto"/>
              <w:left w:val="nil"/>
              <w:bottom w:val="single" w:sz="4" w:space="0" w:color="auto"/>
              <w:right w:val="single" w:sz="4" w:space="0" w:color="auto"/>
            </w:tcBorders>
            <w:hideMark/>
          </w:tcPr>
          <w:p w14:paraId="3C187F70"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Fonds ordinaire</w:t>
            </w:r>
          </w:p>
        </w:tc>
      </w:tr>
      <w:tr w:rsidR="008B1794" w:rsidRPr="00623A2B" w14:paraId="6CE8482A" w14:textId="77777777" w:rsidTr="00DD002B">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100DCF0"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1</w:t>
            </w:r>
          </w:p>
        </w:tc>
        <w:tc>
          <w:tcPr>
            <w:tcW w:w="5131" w:type="dxa"/>
            <w:tcBorders>
              <w:top w:val="nil"/>
              <w:left w:val="nil"/>
              <w:bottom w:val="single" w:sz="4" w:space="0" w:color="auto"/>
              <w:right w:val="single" w:sz="4" w:space="0" w:color="auto"/>
            </w:tcBorders>
            <w:vAlign w:val="center"/>
            <w:hideMark/>
          </w:tcPr>
          <w:p w14:paraId="7928CA36" w14:textId="77777777"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Chef de cabinet du Secrétaire général adjoint</w:t>
            </w:r>
          </w:p>
        </w:tc>
        <w:tc>
          <w:tcPr>
            <w:tcW w:w="1144" w:type="dxa"/>
            <w:tcBorders>
              <w:top w:val="nil"/>
              <w:left w:val="nil"/>
              <w:bottom w:val="single" w:sz="4" w:space="0" w:color="auto"/>
              <w:right w:val="single" w:sz="4" w:space="0" w:color="auto"/>
            </w:tcBorders>
            <w:noWrap/>
            <w:vAlign w:val="bottom"/>
            <w:hideMark/>
          </w:tcPr>
          <w:p w14:paraId="2CE27074"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D01</w:t>
            </w:r>
          </w:p>
        </w:tc>
        <w:tc>
          <w:tcPr>
            <w:tcW w:w="2157" w:type="dxa"/>
            <w:gridSpan w:val="2"/>
            <w:tcBorders>
              <w:top w:val="nil"/>
              <w:left w:val="nil"/>
              <w:bottom w:val="single" w:sz="4" w:space="0" w:color="auto"/>
              <w:right w:val="single" w:sz="4" w:space="0" w:color="auto"/>
            </w:tcBorders>
            <w:hideMark/>
          </w:tcPr>
          <w:p w14:paraId="0600EF48"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Fonds ordinaire</w:t>
            </w:r>
          </w:p>
        </w:tc>
      </w:tr>
      <w:tr w:rsidR="008B1794" w:rsidRPr="00623A2B" w14:paraId="49EA6642" w14:textId="77777777" w:rsidTr="00DD002B">
        <w:trPr>
          <w:gridAfter w:val="1"/>
          <w:wAfter w:w="11" w:type="dxa"/>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26255724"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1</w:t>
            </w:r>
          </w:p>
        </w:tc>
        <w:tc>
          <w:tcPr>
            <w:tcW w:w="5131" w:type="dxa"/>
            <w:tcBorders>
              <w:top w:val="nil"/>
              <w:left w:val="nil"/>
              <w:bottom w:val="single" w:sz="4" w:space="0" w:color="auto"/>
              <w:right w:val="single" w:sz="4" w:space="0" w:color="auto"/>
            </w:tcBorders>
            <w:vAlign w:val="center"/>
            <w:hideMark/>
          </w:tcPr>
          <w:p w14:paraId="018CB881" w14:textId="77777777"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Bureau du Conseiller stratégique pour le développement institutionnel et la gestion axée sur les résultats</w:t>
            </w:r>
          </w:p>
        </w:tc>
        <w:tc>
          <w:tcPr>
            <w:tcW w:w="1144" w:type="dxa"/>
            <w:tcBorders>
              <w:top w:val="nil"/>
              <w:left w:val="nil"/>
              <w:bottom w:val="single" w:sz="4" w:space="0" w:color="auto"/>
              <w:right w:val="single" w:sz="4" w:space="0" w:color="auto"/>
            </w:tcBorders>
            <w:noWrap/>
            <w:vAlign w:val="center"/>
            <w:hideMark/>
          </w:tcPr>
          <w:p w14:paraId="0E8ED7BA"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D02</w:t>
            </w:r>
          </w:p>
        </w:tc>
        <w:tc>
          <w:tcPr>
            <w:tcW w:w="2157" w:type="dxa"/>
            <w:gridSpan w:val="2"/>
            <w:tcBorders>
              <w:top w:val="nil"/>
              <w:left w:val="nil"/>
              <w:bottom w:val="single" w:sz="4" w:space="0" w:color="auto"/>
              <w:right w:val="single" w:sz="4" w:space="0" w:color="auto"/>
            </w:tcBorders>
            <w:vAlign w:val="center"/>
            <w:hideMark/>
          </w:tcPr>
          <w:p w14:paraId="18F6AA27"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Fonds ordinaire</w:t>
            </w:r>
          </w:p>
        </w:tc>
      </w:tr>
      <w:tr w:rsidR="008B1794" w:rsidRPr="00623A2B" w14:paraId="30501C9F" w14:textId="77777777" w:rsidTr="00DD002B">
        <w:trPr>
          <w:gridAfter w:val="1"/>
          <w:wAfter w:w="11" w:type="dxa"/>
          <w:trHeight w:val="300"/>
          <w:jc w:val="center"/>
        </w:trPr>
        <w:tc>
          <w:tcPr>
            <w:tcW w:w="1339" w:type="dxa"/>
            <w:tcBorders>
              <w:top w:val="nil"/>
              <w:left w:val="single" w:sz="4" w:space="0" w:color="auto"/>
              <w:bottom w:val="nil"/>
              <w:right w:val="nil"/>
            </w:tcBorders>
            <w:noWrap/>
            <w:vAlign w:val="bottom"/>
            <w:hideMark/>
          </w:tcPr>
          <w:p w14:paraId="4061CA21"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7</w:t>
            </w:r>
          </w:p>
        </w:tc>
        <w:tc>
          <w:tcPr>
            <w:tcW w:w="5131" w:type="dxa"/>
            <w:tcBorders>
              <w:top w:val="nil"/>
              <w:left w:val="single" w:sz="4" w:space="0" w:color="auto"/>
              <w:bottom w:val="nil"/>
              <w:right w:val="single" w:sz="4" w:space="0" w:color="auto"/>
            </w:tcBorders>
            <w:noWrap/>
            <w:vAlign w:val="bottom"/>
            <w:hideMark/>
          </w:tcPr>
          <w:p w14:paraId="0294358D" w14:textId="77777777"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Secrétaires</w:t>
            </w:r>
          </w:p>
        </w:tc>
        <w:tc>
          <w:tcPr>
            <w:tcW w:w="1144" w:type="dxa"/>
            <w:tcBorders>
              <w:top w:val="nil"/>
              <w:left w:val="nil"/>
              <w:bottom w:val="nil"/>
              <w:right w:val="single" w:sz="4" w:space="0" w:color="auto"/>
            </w:tcBorders>
            <w:noWrap/>
            <w:vAlign w:val="bottom"/>
            <w:hideMark/>
          </w:tcPr>
          <w:p w14:paraId="0AD7025F"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D02</w:t>
            </w:r>
          </w:p>
        </w:tc>
        <w:tc>
          <w:tcPr>
            <w:tcW w:w="2157" w:type="dxa"/>
            <w:gridSpan w:val="2"/>
            <w:tcBorders>
              <w:top w:val="single" w:sz="4" w:space="0" w:color="auto"/>
              <w:left w:val="nil"/>
              <w:bottom w:val="single" w:sz="4" w:space="0" w:color="auto"/>
              <w:right w:val="single" w:sz="4" w:space="0" w:color="auto"/>
            </w:tcBorders>
            <w:hideMark/>
          </w:tcPr>
          <w:p w14:paraId="7582A711"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Fonds ordinaire</w:t>
            </w:r>
          </w:p>
        </w:tc>
      </w:tr>
      <w:tr w:rsidR="008B1794" w:rsidRPr="00623A2B" w14:paraId="1055BDD2" w14:textId="77777777" w:rsidTr="00DD002B">
        <w:trPr>
          <w:gridAfter w:val="1"/>
          <w:wAfter w:w="11" w:type="dxa"/>
          <w:trHeight w:val="333"/>
          <w:jc w:val="center"/>
        </w:trPr>
        <w:tc>
          <w:tcPr>
            <w:tcW w:w="1339" w:type="dxa"/>
            <w:tcBorders>
              <w:top w:val="nil"/>
              <w:left w:val="single" w:sz="4" w:space="0" w:color="auto"/>
              <w:bottom w:val="nil"/>
              <w:right w:val="nil"/>
            </w:tcBorders>
            <w:noWrap/>
            <w:vAlign w:val="bottom"/>
            <w:hideMark/>
          </w:tcPr>
          <w:p w14:paraId="0C66C839"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 </w:t>
            </w:r>
          </w:p>
        </w:tc>
        <w:tc>
          <w:tcPr>
            <w:tcW w:w="5131" w:type="dxa"/>
            <w:tcBorders>
              <w:top w:val="nil"/>
              <w:left w:val="single" w:sz="4" w:space="0" w:color="auto"/>
              <w:bottom w:val="nil"/>
              <w:right w:val="single" w:sz="4" w:space="0" w:color="auto"/>
            </w:tcBorders>
            <w:vAlign w:val="center"/>
            <w:hideMark/>
          </w:tcPr>
          <w:p w14:paraId="5E1BD89F" w14:textId="77777777"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 Secrétaire exécutif au développement intégré</w:t>
            </w:r>
          </w:p>
        </w:tc>
        <w:tc>
          <w:tcPr>
            <w:tcW w:w="1144" w:type="dxa"/>
            <w:tcBorders>
              <w:top w:val="nil"/>
              <w:left w:val="nil"/>
              <w:bottom w:val="nil"/>
              <w:right w:val="single" w:sz="4" w:space="0" w:color="auto"/>
            </w:tcBorders>
            <w:noWrap/>
            <w:vAlign w:val="bottom"/>
            <w:hideMark/>
          </w:tcPr>
          <w:p w14:paraId="6D522227"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 </w:t>
            </w:r>
          </w:p>
        </w:tc>
        <w:tc>
          <w:tcPr>
            <w:tcW w:w="2157" w:type="dxa"/>
            <w:gridSpan w:val="2"/>
            <w:tcBorders>
              <w:top w:val="single" w:sz="4" w:space="0" w:color="auto"/>
              <w:left w:val="nil"/>
              <w:bottom w:val="single" w:sz="4" w:space="0" w:color="auto"/>
              <w:right w:val="single" w:sz="4" w:space="0" w:color="auto"/>
            </w:tcBorders>
            <w:hideMark/>
          </w:tcPr>
          <w:p w14:paraId="02F51C92"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Fonds ordinaire</w:t>
            </w:r>
          </w:p>
        </w:tc>
      </w:tr>
      <w:tr w:rsidR="008B1794" w:rsidRPr="00623A2B" w14:paraId="19FAE4D4" w14:textId="77777777" w:rsidTr="00DD002B">
        <w:trPr>
          <w:gridAfter w:val="1"/>
          <w:wAfter w:w="11" w:type="dxa"/>
          <w:trHeight w:val="360"/>
          <w:jc w:val="center"/>
        </w:trPr>
        <w:tc>
          <w:tcPr>
            <w:tcW w:w="1339" w:type="dxa"/>
            <w:tcBorders>
              <w:top w:val="nil"/>
              <w:left w:val="single" w:sz="4" w:space="0" w:color="auto"/>
              <w:bottom w:val="nil"/>
              <w:right w:val="nil"/>
            </w:tcBorders>
            <w:noWrap/>
            <w:vAlign w:val="bottom"/>
            <w:hideMark/>
          </w:tcPr>
          <w:p w14:paraId="445FDE48"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 </w:t>
            </w:r>
          </w:p>
        </w:tc>
        <w:tc>
          <w:tcPr>
            <w:tcW w:w="5131" w:type="dxa"/>
            <w:tcBorders>
              <w:top w:val="nil"/>
              <w:left w:val="single" w:sz="4" w:space="0" w:color="auto"/>
              <w:bottom w:val="nil"/>
              <w:right w:val="single" w:sz="4" w:space="0" w:color="auto"/>
            </w:tcBorders>
            <w:vAlign w:val="center"/>
            <w:hideMark/>
          </w:tcPr>
          <w:p w14:paraId="2CDF5B74" w14:textId="77777777"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 Secrétaire à l'accès aux droits et à l'équité</w:t>
            </w:r>
          </w:p>
        </w:tc>
        <w:tc>
          <w:tcPr>
            <w:tcW w:w="1144" w:type="dxa"/>
            <w:tcBorders>
              <w:top w:val="nil"/>
              <w:left w:val="nil"/>
              <w:bottom w:val="nil"/>
              <w:right w:val="single" w:sz="4" w:space="0" w:color="auto"/>
            </w:tcBorders>
            <w:noWrap/>
            <w:vAlign w:val="bottom"/>
            <w:hideMark/>
          </w:tcPr>
          <w:p w14:paraId="0FC44F2E"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 </w:t>
            </w:r>
          </w:p>
        </w:tc>
        <w:tc>
          <w:tcPr>
            <w:tcW w:w="2157" w:type="dxa"/>
            <w:gridSpan w:val="2"/>
            <w:tcBorders>
              <w:top w:val="single" w:sz="4" w:space="0" w:color="auto"/>
              <w:left w:val="nil"/>
              <w:bottom w:val="single" w:sz="4" w:space="0" w:color="auto"/>
              <w:right w:val="single" w:sz="4" w:space="0" w:color="auto"/>
            </w:tcBorders>
            <w:hideMark/>
          </w:tcPr>
          <w:p w14:paraId="791E499C"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Fonds ordinaire</w:t>
            </w:r>
          </w:p>
        </w:tc>
      </w:tr>
      <w:tr w:rsidR="008B1794" w:rsidRPr="00623A2B" w14:paraId="5ABC740F" w14:textId="77777777" w:rsidTr="00DD002B">
        <w:trPr>
          <w:gridAfter w:val="1"/>
          <w:wAfter w:w="11" w:type="dxa"/>
          <w:trHeight w:val="314"/>
          <w:jc w:val="center"/>
        </w:trPr>
        <w:tc>
          <w:tcPr>
            <w:tcW w:w="1339" w:type="dxa"/>
            <w:tcBorders>
              <w:top w:val="nil"/>
              <w:left w:val="single" w:sz="4" w:space="0" w:color="auto"/>
              <w:bottom w:val="nil"/>
              <w:right w:val="nil"/>
            </w:tcBorders>
            <w:noWrap/>
            <w:vAlign w:val="bottom"/>
            <w:hideMark/>
          </w:tcPr>
          <w:p w14:paraId="492955EF"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 </w:t>
            </w:r>
          </w:p>
        </w:tc>
        <w:tc>
          <w:tcPr>
            <w:tcW w:w="5131" w:type="dxa"/>
            <w:tcBorders>
              <w:top w:val="nil"/>
              <w:left w:val="single" w:sz="4" w:space="0" w:color="auto"/>
              <w:bottom w:val="nil"/>
              <w:right w:val="single" w:sz="4" w:space="0" w:color="auto"/>
            </w:tcBorders>
            <w:vAlign w:val="center"/>
            <w:hideMark/>
          </w:tcPr>
          <w:p w14:paraId="51D27F26" w14:textId="77777777"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 Secrétaire au renforcement de la démocratie</w:t>
            </w:r>
          </w:p>
        </w:tc>
        <w:tc>
          <w:tcPr>
            <w:tcW w:w="1144" w:type="dxa"/>
            <w:tcBorders>
              <w:top w:val="nil"/>
              <w:left w:val="nil"/>
              <w:bottom w:val="nil"/>
              <w:right w:val="single" w:sz="4" w:space="0" w:color="auto"/>
            </w:tcBorders>
            <w:noWrap/>
            <w:vAlign w:val="bottom"/>
            <w:hideMark/>
          </w:tcPr>
          <w:p w14:paraId="1364C008"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 </w:t>
            </w:r>
          </w:p>
        </w:tc>
        <w:tc>
          <w:tcPr>
            <w:tcW w:w="2157" w:type="dxa"/>
            <w:gridSpan w:val="2"/>
            <w:tcBorders>
              <w:top w:val="single" w:sz="4" w:space="0" w:color="auto"/>
              <w:left w:val="nil"/>
              <w:bottom w:val="single" w:sz="4" w:space="0" w:color="auto"/>
              <w:right w:val="single" w:sz="4" w:space="0" w:color="auto"/>
            </w:tcBorders>
            <w:hideMark/>
          </w:tcPr>
          <w:p w14:paraId="1B27A39D"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Fonds ordinaire</w:t>
            </w:r>
          </w:p>
        </w:tc>
      </w:tr>
      <w:tr w:rsidR="008B1794" w:rsidRPr="00623A2B" w14:paraId="48CC222D" w14:textId="77777777" w:rsidTr="00DD002B">
        <w:trPr>
          <w:gridAfter w:val="1"/>
          <w:wAfter w:w="11" w:type="dxa"/>
          <w:trHeight w:val="296"/>
          <w:jc w:val="center"/>
        </w:trPr>
        <w:tc>
          <w:tcPr>
            <w:tcW w:w="1339" w:type="dxa"/>
            <w:tcBorders>
              <w:top w:val="nil"/>
              <w:left w:val="single" w:sz="4" w:space="0" w:color="auto"/>
              <w:bottom w:val="nil"/>
              <w:right w:val="nil"/>
            </w:tcBorders>
            <w:noWrap/>
            <w:vAlign w:val="bottom"/>
            <w:hideMark/>
          </w:tcPr>
          <w:p w14:paraId="0ABD3BDE"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noProof/>
                <w:lang w:val="fr-FR"/>
              </w:rPr>
              <mc:AlternateContent>
                <mc:Choice Requires="wps">
                  <w:drawing>
                    <wp:anchor distT="0" distB="0" distL="114300" distR="114300" simplePos="0" relativeHeight="251588608" behindDoc="0" locked="1" layoutInCell="1" allowOverlap="1" wp14:anchorId="12E78A0E" wp14:editId="57A7FE72">
                      <wp:simplePos x="0" y="0"/>
                      <wp:positionH relativeFrom="column">
                        <wp:posOffset>3904615</wp:posOffset>
                      </wp:positionH>
                      <wp:positionV relativeFrom="page">
                        <wp:posOffset>7431405</wp:posOffset>
                      </wp:positionV>
                      <wp:extent cx="2164715" cy="1460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14D875A9" w14:textId="77777777" w:rsidR="008B1794" w:rsidRDefault="008B1794" w:rsidP="008B1794">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78A0E" id="_x0000_t202" coordsize="21600,21600" o:spt="202" path="m,l,21600r21600,l21600,xe">
                      <v:stroke joinstyle="miter"/>
                      <v:path gradientshapeok="t" o:connecttype="rect"/>
                    </v:shapetype>
                    <v:shape id="Text Box 8" o:spid="_x0000_s1026" type="#_x0000_t202" style="position:absolute;left:0;text-align:left;margin-left:307.45pt;margin-top:585.15pt;width:170.45pt;height:11.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" filled="f" stroked="f">
                      <v:textbox>
                        <w:txbxContent>
                          <w:p w14:paraId="14D875A9" w14:textId="77777777" w:rsidR="008B1794" w:rsidRDefault="008B1794" w:rsidP="008B1794">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v:textbox>
                      <w10:wrap anchory="page"/>
                      <w10:anchorlock/>
                    </v:shape>
                  </w:pict>
                </mc:Fallback>
              </mc:AlternateContent>
            </w:r>
            <w:r w:rsidRPr="00623A2B">
              <w:rPr>
                <w:rFonts w:ascii="Times New Roman" w:eastAsia="Calibri" w:hAnsi="Times New Roman"/>
                <w:noProof/>
                <w:lang w:val="fr-FR"/>
              </w:rPr>
              <mc:AlternateContent>
                <mc:Choice Requires="wps">
                  <w:drawing>
                    <wp:anchor distT="0" distB="0" distL="114300" distR="114300" simplePos="0" relativeHeight="251615232" behindDoc="0" locked="1" layoutInCell="1" allowOverlap="1" wp14:anchorId="62D94091" wp14:editId="438EDCC2">
                      <wp:simplePos x="0" y="0"/>
                      <wp:positionH relativeFrom="column">
                        <wp:posOffset>-91440</wp:posOffset>
                      </wp:positionH>
                      <wp:positionV relativeFrom="page">
                        <wp:posOffset>9144000</wp:posOffset>
                      </wp:positionV>
                      <wp:extent cx="2164715" cy="1460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4F26A0BF" w14:textId="77777777" w:rsidR="008B1794" w:rsidRDefault="008B1794" w:rsidP="008B1794">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94091" id="Text Box 7" o:spid="_x0000_s1027" type="#_x0000_t202" style="position:absolute;left:0;text-align:left;margin-left:-7.2pt;margin-top:10in;width:170.45pt;height:1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" filled="f" stroked="f">
                      <v:textbox>
                        <w:txbxContent>
                          <w:p w14:paraId="4F26A0BF" w14:textId="77777777" w:rsidR="008B1794" w:rsidRDefault="008B1794" w:rsidP="008B1794">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v:textbox>
                      <w10:wrap anchory="page"/>
                      <w10:anchorlock/>
                    </v:shape>
                  </w:pict>
                </mc:Fallback>
              </mc:AlternateContent>
            </w:r>
            <w:r w:rsidRPr="00623A2B">
              <w:rPr>
                <w:rFonts w:ascii="Times New Roman" w:eastAsia="Calibri" w:hAnsi="Times New Roman"/>
                <w:noProof/>
                <w:lang w:val="fr-FR"/>
              </w:rPr>
              <mc:AlternateContent>
                <mc:Choice Requires="wps">
                  <w:drawing>
                    <wp:anchor distT="0" distB="0" distL="114300" distR="114300" simplePos="0" relativeHeight="251641856" behindDoc="0" locked="1" layoutInCell="1" allowOverlap="1" wp14:anchorId="5AB7CF66" wp14:editId="589C5C7C">
                      <wp:simplePos x="0" y="0"/>
                      <wp:positionH relativeFrom="column">
                        <wp:posOffset>-91440</wp:posOffset>
                      </wp:positionH>
                      <wp:positionV relativeFrom="page">
                        <wp:posOffset>9144000</wp:posOffset>
                      </wp:positionV>
                      <wp:extent cx="1450340" cy="97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2B1731AA" w14:textId="77777777" w:rsidR="008B1794" w:rsidRDefault="008B1794" w:rsidP="008B1794">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7CF66" id="Text Box 6" o:spid="_x0000_s1028" type="#_x0000_t202" style="position:absolute;left:0;text-align:left;margin-left:-7.2pt;margin-top:10in;width:114.2pt;height:7.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" filled="f" stroked="f">
                      <v:textbox>
                        <w:txbxContent>
                          <w:p w14:paraId="2B1731AA" w14:textId="77777777" w:rsidR="008B1794" w:rsidRDefault="008B1794" w:rsidP="008B1794">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v:textbox>
                      <w10:wrap anchory="page"/>
                      <w10:anchorlock/>
                    </v:shape>
                  </w:pict>
                </mc:Fallback>
              </mc:AlternateContent>
            </w:r>
            <w:r w:rsidRPr="00623A2B">
              <w:rPr>
                <w:rFonts w:ascii="Times New Roman" w:eastAsia="Calibri" w:hAnsi="Times New Roman"/>
                <w:color w:val="000000"/>
                <w:lang w:val="fr-FR"/>
              </w:rPr>
              <w:t> </w:t>
            </w:r>
          </w:p>
        </w:tc>
        <w:tc>
          <w:tcPr>
            <w:tcW w:w="5131" w:type="dxa"/>
            <w:tcBorders>
              <w:top w:val="nil"/>
              <w:left w:val="single" w:sz="4" w:space="0" w:color="auto"/>
              <w:bottom w:val="nil"/>
              <w:right w:val="single" w:sz="4" w:space="0" w:color="auto"/>
            </w:tcBorders>
            <w:vAlign w:val="center"/>
            <w:hideMark/>
          </w:tcPr>
          <w:p w14:paraId="18AE7404" w14:textId="77777777"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 Secrétaire à la sécurité multidimensionnelle</w:t>
            </w:r>
          </w:p>
        </w:tc>
        <w:tc>
          <w:tcPr>
            <w:tcW w:w="1144" w:type="dxa"/>
            <w:tcBorders>
              <w:top w:val="nil"/>
              <w:left w:val="nil"/>
              <w:bottom w:val="nil"/>
              <w:right w:val="single" w:sz="4" w:space="0" w:color="auto"/>
            </w:tcBorders>
            <w:noWrap/>
            <w:vAlign w:val="bottom"/>
            <w:hideMark/>
          </w:tcPr>
          <w:p w14:paraId="77A5720D"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 </w:t>
            </w:r>
          </w:p>
        </w:tc>
        <w:tc>
          <w:tcPr>
            <w:tcW w:w="2157" w:type="dxa"/>
            <w:gridSpan w:val="2"/>
            <w:tcBorders>
              <w:top w:val="single" w:sz="4" w:space="0" w:color="auto"/>
              <w:left w:val="nil"/>
              <w:bottom w:val="single" w:sz="4" w:space="0" w:color="auto"/>
              <w:right w:val="single" w:sz="4" w:space="0" w:color="auto"/>
            </w:tcBorders>
            <w:hideMark/>
          </w:tcPr>
          <w:p w14:paraId="21154A32"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Fonds ordinaire</w:t>
            </w:r>
          </w:p>
        </w:tc>
      </w:tr>
      <w:tr w:rsidR="008B1794" w:rsidRPr="00623A2B" w14:paraId="7BAD47AE" w14:textId="77777777" w:rsidTr="00DD002B">
        <w:trPr>
          <w:gridAfter w:val="1"/>
          <w:wAfter w:w="11" w:type="dxa"/>
          <w:trHeight w:val="300"/>
          <w:jc w:val="center"/>
        </w:trPr>
        <w:tc>
          <w:tcPr>
            <w:tcW w:w="1339" w:type="dxa"/>
            <w:tcBorders>
              <w:top w:val="nil"/>
              <w:left w:val="single" w:sz="4" w:space="0" w:color="auto"/>
              <w:bottom w:val="nil"/>
              <w:right w:val="nil"/>
            </w:tcBorders>
            <w:noWrap/>
            <w:vAlign w:val="bottom"/>
            <w:hideMark/>
          </w:tcPr>
          <w:p w14:paraId="5A47F329"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 </w:t>
            </w:r>
          </w:p>
        </w:tc>
        <w:tc>
          <w:tcPr>
            <w:tcW w:w="5131" w:type="dxa"/>
            <w:tcBorders>
              <w:top w:val="nil"/>
              <w:left w:val="single" w:sz="4" w:space="0" w:color="auto"/>
              <w:bottom w:val="nil"/>
              <w:right w:val="single" w:sz="4" w:space="0" w:color="auto"/>
            </w:tcBorders>
            <w:vAlign w:val="center"/>
            <w:hideMark/>
          </w:tcPr>
          <w:p w14:paraId="15484B6E" w14:textId="77777777"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 Secrétaire aux questions continentales</w:t>
            </w:r>
          </w:p>
        </w:tc>
        <w:tc>
          <w:tcPr>
            <w:tcW w:w="1144" w:type="dxa"/>
            <w:tcBorders>
              <w:top w:val="nil"/>
              <w:left w:val="nil"/>
              <w:bottom w:val="nil"/>
              <w:right w:val="single" w:sz="4" w:space="0" w:color="auto"/>
            </w:tcBorders>
            <w:noWrap/>
            <w:vAlign w:val="bottom"/>
            <w:hideMark/>
          </w:tcPr>
          <w:p w14:paraId="11828525"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 </w:t>
            </w:r>
          </w:p>
        </w:tc>
        <w:tc>
          <w:tcPr>
            <w:tcW w:w="2157" w:type="dxa"/>
            <w:gridSpan w:val="2"/>
            <w:tcBorders>
              <w:top w:val="single" w:sz="4" w:space="0" w:color="auto"/>
              <w:left w:val="nil"/>
              <w:bottom w:val="single" w:sz="4" w:space="0" w:color="auto"/>
              <w:right w:val="single" w:sz="4" w:space="0" w:color="auto"/>
            </w:tcBorders>
            <w:hideMark/>
          </w:tcPr>
          <w:p w14:paraId="573A892C"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Fonds ordinaire</w:t>
            </w:r>
          </w:p>
        </w:tc>
      </w:tr>
      <w:tr w:rsidR="008B1794" w:rsidRPr="00623A2B" w14:paraId="0C91C880" w14:textId="77777777" w:rsidTr="00DD002B">
        <w:trPr>
          <w:gridAfter w:val="1"/>
          <w:wAfter w:w="11" w:type="dxa"/>
          <w:trHeight w:val="300"/>
          <w:jc w:val="center"/>
        </w:trPr>
        <w:tc>
          <w:tcPr>
            <w:tcW w:w="1339" w:type="dxa"/>
            <w:tcBorders>
              <w:top w:val="nil"/>
              <w:left w:val="single" w:sz="4" w:space="0" w:color="auto"/>
              <w:bottom w:val="nil"/>
              <w:right w:val="nil"/>
            </w:tcBorders>
            <w:noWrap/>
            <w:vAlign w:val="bottom"/>
            <w:hideMark/>
          </w:tcPr>
          <w:p w14:paraId="41A3D13A"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 </w:t>
            </w:r>
          </w:p>
        </w:tc>
        <w:tc>
          <w:tcPr>
            <w:tcW w:w="5131" w:type="dxa"/>
            <w:tcBorders>
              <w:top w:val="nil"/>
              <w:left w:val="single" w:sz="4" w:space="0" w:color="auto"/>
              <w:bottom w:val="nil"/>
              <w:right w:val="single" w:sz="4" w:space="0" w:color="auto"/>
            </w:tcBorders>
            <w:vAlign w:val="center"/>
            <w:hideMark/>
          </w:tcPr>
          <w:p w14:paraId="449E7104" w14:textId="77777777"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 Secrétaire aux questions juridiques</w:t>
            </w:r>
          </w:p>
        </w:tc>
        <w:tc>
          <w:tcPr>
            <w:tcW w:w="1144" w:type="dxa"/>
            <w:tcBorders>
              <w:top w:val="nil"/>
              <w:left w:val="nil"/>
              <w:bottom w:val="nil"/>
              <w:right w:val="single" w:sz="4" w:space="0" w:color="auto"/>
            </w:tcBorders>
            <w:noWrap/>
            <w:vAlign w:val="bottom"/>
            <w:hideMark/>
          </w:tcPr>
          <w:p w14:paraId="0D628338"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 </w:t>
            </w:r>
          </w:p>
        </w:tc>
        <w:tc>
          <w:tcPr>
            <w:tcW w:w="2157" w:type="dxa"/>
            <w:gridSpan w:val="2"/>
            <w:tcBorders>
              <w:top w:val="single" w:sz="4" w:space="0" w:color="auto"/>
              <w:left w:val="nil"/>
              <w:bottom w:val="single" w:sz="4" w:space="0" w:color="auto"/>
              <w:right w:val="single" w:sz="4" w:space="0" w:color="auto"/>
            </w:tcBorders>
            <w:hideMark/>
          </w:tcPr>
          <w:p w14:paraId="1750A9E1"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Fonds ordinaire</w:t>
            </w:r>
          </w:p>
        </w:tc>
      </w:tr>
      <w:tr w:rsidR="008B1794" w:rsidRPr="00623A2B" w14:paraId="707F308E" w14:textId="77777777" w:rsidTr="00DD002B">
        <w:trPr>
          <w:gridAfter w:val="1"/>
          <w:wAfter w:w="11" w:type="dxa"/>
          <w:trHeight w:val="305"/>
          <w:jc w:val="center"/>
        </w:trPr>
        <w:tc>
          <w:tcPr>
            <w:tcW w:w="1339" w:type="dxa"/>
            <w:tcBorders>
              <w:top w:val="nil"/>
              <w:left w:val="single" w:sz="4" w:space="0" w:color="auto"/>
              <w:bottom w:val="single" w:sz="4" w:space="0" w:color="auto"/>
              <w:right w:val="nil"/>
            </w:tcBorders>
            <w:noWrap/>
            <w:vAlign w:val="bottom"/>
            <w:hideMark/>
          </w:tcPr>
          <w:p w14:paraId="4FC58CF9" w14:textId="77777777" w:rsidR="008B1794" w:rsidRPr="00623A2B" w:rsidRDefault="008B1794" w:rsidP="00C83EA7">
            <w:pPr>
              <w:suppressAutoHyphens/>
              <w:spacing w:line="276" w:lineRule="auto"/>
              <w:rPr>
                <w:rFonts w:ascii="Times New Roman" w:hAnsi="Times New Roman"/>
                <w:color w:val="000000"/>
                <w:lang w:val="fr-FR"/>
              </w:rPr>
            </w:pPr>
          </w:p>
        </w:tc>
        <w:tc>
          <w:tcPr>
            <w:tcW w:w="5131" w:type="dxa"/>
            <w:tcBorders>
              <w:top w:val="nil"/>
              <w:left w:val="single" w:sz="4" w:space="0" w:color="auto"/>
              <w:bottom w:val="single" w:sz="4" w:space="0" w:color="auto"/>
              <w:right w:val="single" w:sz="4" w:space="0" w:color="auto"/>
            </w:tcBorders>
            <w:vAlign w:val="center"/>
            <w:hideMark/>
          </w:tcPr>
          <w:p w14:paraId="68BE0851" w14:textId="77777777"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 Secrétaire aux questions administratives et financières</w:t>
            </w:r>
          </w:p>
        </w:tc>
        <w:tc>
          <w:tcPr>
            <w:tcW w:w="1144" w:type="dxa"/>
            <w:tcBorders>
              <w:top w:val="nil"/>
              <w:left w:val="nil"/>
              <w:bottom w:val="single" w:sz="4" w:space="0" w:color="auto"/>
              <w:right w:val="single" w:sz="4" w:space="0" w:color="auto"/>
            </w:tcBorders>
            <w:noWrap/>
            <w:vAlign w:val="bottom"/>
            <w:hideMark/>
          </w:tcPr>
          <w:p w14:paraId="5D51FFCA" w14:textId="77777777" w:rsidR="008B1794" w:rsidRPr="00623A2B" w:rsidRDefault="008B1794" w:rsidP="00C83EA7">
            <w:pPr>
              <w:suppressAutoHyphens/>
              <w:spacing w:line="276" w:lineRule="auto"/>
              <w:rPr>
                <w:rFonts w:ascii="Times New Roman" w:hAnsi="Times New Roman"/>
                <w:color w:val="000000"/>
                <w:lang w:val="fr-FR"/>
              </w:rPr>
            </w:pPr>
          </w:p>
        </w:tc>
        <w:tc>
          <w:tcPr>
            <w:tcW w:w="2157" w:type="dxa"/>
            <w:gridSpan w:val="2"/>
            <w:tcBorders>
              <w:top w:val="single" w:sz="4" w:space="0" w:color="auto"/>
              <w:left w:val="nil"/>
              <w:bottom w:val="single" w:sz="4" w:space="0" w:color="auto"/>
              <w:right w:val="single" w:sz="4" w:space="0" w:color="auto"/>
            </w:tcBorders>
            <w:vAlign w:val="center"/>
            <w:hideMark/>
          </w:tcPr>
          <w:p w14:paraId="2DCEC598"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Fonds ordinaire</w:t>
            </w:r>
          </w:p>
        </w:tc>
      </w:tr>
      <w:tr w:rsidR="008B1794" w:rsidRPr="00623A2B" w14:paraId="1FADB72C" w14:textId="77777777" w:rsidTr="00DD002B">
        <w:trPr>
          <w:gridAfter w:val="1"/>
          <w:wAfter w:w="11" w:type="dxa"/>
          <w:trHeight w:val="300"/>
          <w:jc w:val="center"/>
        </w:trPr>
        <w:tc>
          <w:tcPr>
            <w:tcW w:w="1339" w:type="dxa"/>
            <w:tcBorders>
              <w:top w:val="nil"/>
              <w:left w:val="single" w:sz="4" w:space="0" w:color="auto"/>
              <w:bottom w:val="nil"/>
              <w:right w:val="nil"/>
            </w:tcBorders>
            <w:noWrap/>
            <w:vAlign w:val="bottom"/>
            <w:hideMark/>
          </w:tcPr>
          <w:p w14:paraId="5A76BDB5"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2</w:t>
            </w:r>
          </w:p>
        </w:tc>
        <w:tc>
          <w:tcPr>
            <w:tcW w:w="5131" w:type="dxa"/>
            <w:tcBorders>
              <w:top w:val="nil"/>
              <w:left w:val="single" w:sz="4" w:space="0" w:color="auto"/>
              <w:bottom w:val="nil"/>
              <w:right w:val="single" w:sz="4" w:space="0" w:color="auto"/>
            </w:tcBorders>
            <w:noWrap/>
            <w:vAlign w:val="bottom"/>
            <w:hideMark/>
          </w:tcPr>
          <w:p w14:paraId="1858A7FE" w14:textId="77777777"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Conseillers du Secrétaire général</w:t>
            </w:r>
          </w:p>
        </w:tc>
        <w:tc>
          <w:tcPr>
            <w:tcW w:w="1144" w:type="dxa"/>
            <w:tcBorders>
              <w:top w:val="nil"/>
              <w:left w:val="nil"/>
              <w:bottom w:val="nil"/>
              <w:right w:val="single" w:sz="4" w:space="0" w:color="auto"/>
            </w:tcBorders>
            <w:noWrap/>
            <w:vAlign w:val="bottom"/>
            <w:hideMark/>
          </w:tcPr>
          <w:p w14:paraId="1C316995"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D01</w:t>
            </w:r>
          </w:p>
        </w:tc>
        <w:tc>
          <w:tcPr>
            <w:tcW w:w="2157" w:type="dxa"/>
            <w:gridSpan w:val="2"/>
            <w:tcBorders>
              <w:top w:val="single" w:sz="4" w:space="0" w:color="auto"/>
              <w:left w:val="nil"/>
              <w:bottom w:val="single" w:sz="4" w:space="0" w:color="auto"/>
              <w:right w:val="single" w:sz="4" w:space="0" w:color="auto"/>
            </w:tcBorders>
            <w:hideMark/>
          </w:tcPr>
          <w:p w14:paraId="2EAC3659"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Fonds ordinaire</w:t>
            </w:r>
          </w:p>
        </w:tc>
      </w:tr>
      <w:tr w:rsidR="008B1794" w:rsidRPr="00623A2B" w14:paraId="4FF4C755" w14:textId="77777777" w:rsidTr="00DD002B">
        <w:trPr>
          <w:gridAfter w:val="1"/>
          <w:wAfter w:w="11" w:type="dxa"/>
          <w:trHeight w:val="300"/>
          <w:jc w:val="center"/>
        </w:trPr>
        <w:tc>
          <w:tcPr>
            <w:tcW w:w="1339" w:type="dxa"/>
            <w:tcBorders>
              <w:top w:val="nil"/>
              <w:left w:val="single" w:sz="4" w:space="0" w:color="auto"/>
              <w:bottom w:val="single" w:sz="4" w:space="0" w:color="auto"/>
              <w:right w:val="nil"/>
            </w:tcBorders>
            <w:noWrap/>
            <w:vAlign w:val="bottom"/>
            <w:hideMark/>
          </w:tcPr>
          <w:p w14:paraId="6658C75B"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 </w:t>
            </w:r>
          </w:p>
        </w:tc>
        <w:tc>
          <w:tcPr>
            <w:tcW w:w="5131" w:type="dxa"/>
            <w:tcBorders>
              <w:top w:val="nil"/>
              <w:left w:val="single" w:sz="4" w:space="0" w:color="auto"/>
              <w:bottom w:val="single" w:sz="4" w:space="0" w:color="auto"/>
              <w:right w:val="single" w:sz="4" w:space="0" w:color="auto"/>
            </w:tcBorders>
            <w:noWrap/>
            <w:vAlign w:val="bottom"/>
            <w:hideMark/>
          </w:tcPr>
          <w:p w14:paraId="76E4ECFC" w14:textId="77777777"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 </w:t>
            </w:r>
          </w:p>
        </w:tc>
        <w:tc>
          <w:tcPr>
            <w:tcW w:w="1144" w:type="dxa"/>
            <w:tcBorders>
              <w:top w:val="nil"/>
              <w:left w:val="nil"/>
              <w:bottom w:val="single" w:sz="4" w:space="0" w:color="auto"/>
              <w:right w:val="single" w:sz="4" w:space="0" w:color="auto"/>
            </w:tcBorders>
            <w:noWrap/>
            <w:vAlign w:val="bottom"/>
            <w:hideMark/>
          </w:tcPr>
          <w:p w14:paraId="47647436"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P05</w:t>
            </w:r>
          </w:p>
        </w:tc>
        <w:tc>
          <w:tcPr>
            <w:tcW w:w="2157" w:type="dxa"/>
            <w:gridSpan w:val="2"/>
            <w:tcBorders>
              <w:top w:val="single" w:sz="4" w:space="0" w:color="auto"/>
              <w:left w:val="nil"/>
              <w:bottom w:val="single" w:sz="4" w:space="0" w:color="auto"/>
              <w:right w:val="single" w:sz="4" w:space="0" w:color="auto"/>
            </w:tcBorders>
            <w:hideMark/>
          </w:tcPr>
          <w:p w14:paraId="73CB0E69"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Fonds ordinaire</w:t>
            </w:r>
          </w:p>
        </w:tc>
      </w:tr>
      <w:tr w:rsidR="008B1794" w:rsidRPr="00623A2B" w14:paraId="08CE75F0" w14:textId="77777777" w:rsidTr="00DD002B">
        <w:trPr>
          <w:gridAfter w:val="1"/>
          <w:wAfter w:w="11" w:type="dxa"/>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7C8FE503"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1</w:t>
            </w:r>
          </w:p>
        </w:tc>
        <w:tc>
          <w:tcPr>
            <w:tcW w:w="5131" w:type="dxa"/>
            <w:tcBorders>
              <w:top w:val="single" w:sz="4" w:space="0" w:color="auto"/>
              <w:left w:val="single" w:sz="4" w:space="0" w:color="auto"/>
              <w:bottom w:val="single" w:sz="4" w:space="0" w:color="auto"/>
              <w:right w:val="single" w:sz="4" w:space="0" w:color="auto"/>
            </w:tcBorders>
            <w:noWrap/>
            <w:vAlign w:val="bottom"/>
            <w:hideMark/>
          </w:tcPr>
          <w:p w14:paraId="37519BD3" w14:textId="77777777"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Conseiller du Secrétaire général adjoint</w:t>
            </w:r>
          </w:p>
        </w:tc>
        <w:tc>
          <w:tcPr>
            <w:tcW w:w="1144" w:type="dxa"/>
            <w:tcBorders>
              <w:top w:val="single" w:sz="4" w:space="0" w:color="auto"/>
              <w:left w:val="nil"/>
              <w:bottom w:val="single" w:sz="4" w:space="0" w:color="auto"/>
              <w:right w:val="single" w:sz="4" w:space="0" w:color="auto"/>
            </w:tcBorders>
            <w:noWrap/>
            <w:vAlign w:val="bottom"/>
            <w:hideMark/>
          </w:tcPr>
          <w:p w14:paraId="50D3D1AE"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 xml:space="preserve">P04 </w:t>
            </w:r>
          </w:p>
        </w:tc>
        <w:tc>
          <w:tcPr>
            <w:tcW w:w="2157" w:type="dxa"/>
            <w:gridSpan w:val="2"/>
            <w:tcBorders>
              <w:top w:val="single" w:sz="4" w:space="0" w:color="auto"/>
              <w:left w:val="nil"/>
              <w:bottom w:val="single" w:sz="4" w:space="0" w:color="auto"/>
              <w:right w:val="single" w:sz="4" w:space="0" w:color="auto"/>
            </w:tcBorders>
            <w:hideMark/>
          </w:tcPr>
          <w:p w14:paraId="691FECDB"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Fonds ordinaire</w:t>
            </w:r>
          </w:p>
        </w:tc>
      </w:tr>
      <w:tr w:rsidR="008B1794" w:rsidRPr="00623A2B" w14:paraId="1179B42D" w14:textId="77777777" w:rsidTr="00DD002B">
        <w:trPr>
          <w:gridAfter w:val="1"/>
          <w:wAfter w:w="11" w:type="dxa"/>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738F2CA2"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1</w:t>
            </w:r>
          </w:p>
        </w:tc>
        <w:tc>
          <w:tcPr>
            <w:tcW w:w="5131" w:type="dxa"/>
            <w:tcBorders>
              <w:top w:val="single" w:sz="4" w:space="0" w:color="auto"/>
              <w:left w:val="nil"/>
              <w:bottom w:val="single" w:sz="4" w:space="0" w:color="auto"/>
              <w:right w:val="single" w:sz="4" w:space="0" w:color="auto"/>
            </w:tcBorders>
            <w:noWrap/>
            <w:vAlign w:val="bottom"/>
            <w:hideMark/>
          </w:tcPr>
          <w:p w14:paraId="56B048BF" w14:textId="77777777"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Secrétaire de direction du Secrétaire général</w:t>
            </w:r>
          </w:p>
        </w:tc>
        <w:tc>
          <w:tcPr>
            <w:tcW w:w="1144" w:type="dxa"/>
            <w:tcBorders>
              <w:top w:val="single" w:sz="4" w:space="0" w:color="auto"/>
              <w:left w:val="nil"/>
              <w:bottom w:val="single" w:sz="4" w:space="0" w:color="auto"/>
              <w:right w:val="single" w:sz="4" w:space="0" w:color="auto"/>
            </w:tcBorders>
            <w:noWrap/>
            <w:vAlign w:val="bottom"/>
            <w:hideMark/>
          </w:tcPr>
          <w:p w14:paraId="43E3B801"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G07</w:t>
            </w:r>
          </w:p>
        </w:tc>
        <w:tc>
          <w:tcPr>
            <w:tcW w:w="2157" w:type="dxa"/>
            <w:gridSpan w:val="2"/>
            <w:tcBorders>
              <w:top w:val="single" w:sz="4" w:space="0" w:color="auto"/>
              <w:left w:val="nil"/>
              <w:bottom w:val="single" w:sz="4" w:space="0" w:color="auto"/>
              <w:right w:val="single" w:sz="4" w:space="0" w:color="auto"/>
            </w:tcBorders>
            <w:hideMark/>
          </w:tcPr>
          <w:p w14:paraId="1216D86E"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Fonds ordinaire</w:t>
            </w:r>
          </w:p>
        </w:tc>
      </w:tr>
      <w:tr w:rsidR="008B1794" w:rsidRPr="00623A2B" w14:paraId="33FAA5CA" w14:textId="77777777" w:rsidTr="00DD002B">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501EF61"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1</w:t>
            </w:r>
          </w:p>
        </w:tc>
        <w:tc>
          <w:tcPr>
            <w:tcW w:w="5131" w:type="dxa"/>
            <w:tcBorders>
              <w:top w:val="nil"/>
              <w:left w:val="nil"/>
              <w:bottom w:val="single" w:sz="4" w:space="0" w:color="auto"/>
              <w:right w:val="single" w:sz="4" w:space="0" w:color="auto"/>
            </w:tcBorders>
            <w:noWrap/>
            <w:vAlign w:val="bottom"/>
            <w:hideMark/>
          </w:tcPr>
          <w:p w14:paraId="3649053A" w14:textId="77777777"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Conseiller subalterne du Secrétaire général adjoint</w:t>
            </w:r>
          </w:p>
        </w:tc>
        <w:tc>
          <w:tcPr>
            <w:tcW w:w="1144" w:type="dxa"/>
            <w:tcBorders>
              <w:top w:val="nil"/>
              <w:left w:val="nil"/>
              <w:bottom w:val="single" w:sz="4" w:space="0" w:color="auto"/>
              <w:right w:val="single" w:sz="4" w:space="0" w:color="auto"/>
            </w:tcBorders>
            <w:noWrap/>
            <w:vAlign w:val="bottom"/>
            <w:hideMark/>
          </w:tcPr>
          <w:p w14:paraId="2A5A4342"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P02</w:t>
            </w:r>
          </w:p>
        </w:tc>
        <w:tc>
          <w:tcPr>
            <w:tcW w:w="2157" w:type="dxa"/>
            <w:gridSpan w:val="2"/>
            <w:tcBorders>
              <w:top w:val="nil"/>
              <w:left w:val="nil"/>
              <w:bottom w:val="single" w:sz="4" w:space="0" w:color="auto"/>
              <w:right w:val="single" w:sz="4" w:space="0" w:color="auto"/>
            </w:tcBorders>
            <w:hideMark/>
          </w:tcPr>
          <w:p w14:paraId="63D315DD"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Fonds ordinaire</w:t>
            </w:r>
          </w:p>
        </w:tc>
      </w:tr>
      <w:tr w:rsidR="008B1794" w:rsidRPr="00623A2B" w14:paraId="041162D2" w14:textId="77777777" w:rsidTr="00DD002B">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1B6FC71"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1</w:t>
            </w:r>
          </w:p>
        </w:tc>
        <w:tc>
          <w:tcPr>
            <w:tcW w:w="5131" w:type="dxa"/>
            <w:tcBorders>
              <w:top w:val="nil"/>
              <w:left w:val="nil"/>
              <w:bottom w:val="single" w:sz="4" w:space="0" w:color="auto"/>
              <w:right w:val="single" w:sz="4" w:space="0" w:color="auto"/>
            </w:tcBorders>
            <w:noWrap/>
            <w:vAlign w:val="bottom"/>
            <w:hideMark/>
          </w:tcPr>
          <w:p w14:paraId="53FF4E85" w14:textId="77777777"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Bureau du Protocole</w:t>
            </w:r>
          </w:p>
        </w:tc>
        <w:tc>
          <w:tcPr>
            <w:tcW w:w="1144" w:type="dxa"/>
            <w:tcBorders>
              <w:top w:val="nil"/>
              <w:left w:val="nil"/>
              <w:bottom w:val="single" w:sz="4" w:space="0" w:color="auto"/>
              <w:right w:val="single" w:sz="4" w:space="0" w:color="auto"/>
            </w:tcBorders>
            <w:noWrap/>
            <w:vAlign w:val="bottom"/>
            <w:hideMark/>
          </w:tcPr>
          <w:p w14:paraId="04742B7F"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P05</w:t>
            </w:r>
          </w:p>
        </w:tc>
        <w:tc>
          <w:tcPr>
            <w:tcW w:w="2157" w:type="dxa"/>
            <w:gridSpan w:val="2"/>
            <w:tcBorders>
              <w:top w:val="nil"/>
              <w:left w:val="nil"/>
              <w:bottom w:val="single" w:sz="4" w:space="0" w:color="auto"/>
              <w:right w:val="single" w:sz="4" w:space="0" w:color="auto"/>
            </w:tcBorders>
            <w:hideMark/>
          </w:tcPr>
          <w:p w14:paraId="77B55F2E"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Fonds ordinaire</w:t>
            </w:r>
          </w:p>
        </w:tc>
      </w:tr>
      <w:tr w:rsidR="008B1794" w:rsidRPr="00623A2B" w14:paraId="404C125E" w14:textId="77777777" w:rsidTr="00DD002B">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A08D68D"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1</w:t>
            </w:r>
          </w:p>
        </w:tc>
        <w:tc>
          <w:tcPr>
            <w:tcW w:w="5131" w:type="dxa"/>
            <w:tcBorders>
              <w:top w:val="nil"/>
              <w:left w:val="nil"/>
              <w:bottom w:val="single" w:sz="4" w:space="0" w:color="auto"/>
              <w:right w:val="single" w:sz="4" w:space="0" w:color="auto"/>
            </w:tcBorders>
            <w:noWrap/>
            <w:vAlign w:val="bottom"/>
            <w:hideMark/>
          </w:tcPr>
          <w:p w14:paraId="301BA4E8" w14:textId="7E3A4763"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Directeur de la CICAD</w:t>
            </w:r>
            <w:r w:rsidR="00F13A02" w:rsidRPr="00623A2B">
              <w:rPr>
                <w:rFonts w:ascii="Times New Roman" w:eastAsia="Calibri" w:hAnsi="Times New Roman"/>
                <w:color w:val="000000"/>
                <w:u w:val="single"/>
                <w:vertAlign w:val="superscript"/>
                <w:lang w:val="fr-FR"/>
              </w:rPr>
              <w:t>5</w:t>
            </w:r>
            <w:r w:rsidR="00F13A02" w:rsidRPr="00623A2B">
              <w:rPr>
                <w:rFonts w:ascii="Times New Roman" w:eastAsia="Calibri" w:hAnsi="Times New Roman"/>
                <w:color w:val="000000"/>
                <w:vertAlign w:val="superscript"/>
                <w:lang w:val="fr-FR"/>
              </w:rPr>
              <w:t>/</w:t>
            </w:r>
            <w:r w:rsidRPr="00623A2B">
              <w:rPr>
                <w:rFonts w:ascii="Times New Roman" w:hAnsi="Times New Roman"/>
                <w:color w:val="FFFFFF" w:themeColor="background1"/>
                <w:u w:val="single"/>
                <w:vertAlign w:val="superscript"/>
                <w:lang w:val="fr-FR" w:eastAsia="es-ES"/>
              </w:rPr>
              <w:footnoteReference w:id="60"/>
            </w:r>
          </w:p>
        </w:tc>
        <w:tc>
          <w:tcPr>
            <w:tcW w:w="1144" w:type="dxa"/>
            <w:tcBorders>
              <w:top w:val="nil"/>
              <w:left w:val="nil"/>
              <w:bottom w:val="single" w:sz="4" w:space="0" w:color="auto"/>
              <w:right w:val="single" w:sz="4" w:space="0" w:color="auto"/>
            </w:tcBorders>
            <w:noWrap/>
            <w:vAlign w:val="bottom"/>
            <w:hideMark/>
          </w:tcPr>
          <w:p w14:paraId="2F922F46"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P05</w:t>
            </w:r>
          </w:p>
        </w:tc>
        <w:tc>
          <w:tcPr>
            <w:tcW w:w="2157" w:type="dxa"/>
            <w:gridSpan w:val="2"/>
            <w:tcBorders>
              <w:top w:val="nil"/>
              <w:left w:val="nil"/>
              <w:bottom w:val="single" w:sz="4" w:space="0" w:color="auto"/>
              <w:right w:val="single" w:sz="4" w:space="0" w:color="auto"/>
            </w:tcBorders>
            <w:hideMark/>
          </w:tcPr>
          <w:p w14:paraId="162C65DA"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Fonds ordinaire</w:t>
            </w:r>
          </w:p>
        </w:tc>
      </w:tr>
      <w:tr w:rsidR="008B1794" w:rsidRPr="00623A2B" w14:paraId="40922FF2" w14:textId="77777777" w:rsidTr="00DD002B">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1698680"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1</w:t>
            </w:r>
          </w:p>
        </w:tc>
        <w:tc>
          <w:tcPr>
            <w:tcW w:w="5131" w:type="dxa"/>
            <w:tcBorders>
              <w:top w:val="nil"/>
              <w:left w:val="nil"/>
              <w:bottom w:val="single" w:sz="4" w:space="0" w:color="auto"/>
              <w:right w:val="single" w:sz="4" w:space="0" w:color="auto"/>
            </w:tcBorders>
            <w:noWrap/>
            <w:vAlign w:val="bottom"/>
            <w:hideMark/>
          </w:tcPr>
          <w:p w14:paraId="0859BAFD" w14:textId="6F803FEA"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Directeur du CICTE</w:t>
            </w:r>
            <w:r w:rsidR="00F13A02" w:rsidRPr="00623A2B">
              <w:rPr>
                <w:rFonts w:ascii="Times New Roman" w:eastAsia="Calibri" w:hAnsi="Times New Roman"/>
                <w:color w:val="000000"/>
                <w:u w:val="single"/>
                <w:vertAlign w:val="superscript"/>
                <w:lang w:val="fr-FR"/>
              </w:rPr>
              <w:t>6</w:t>
            </w:r>
            <w:r w:rsidR="00F13A02" w:rsidRPr="00623A2B">
              <w:rPr>
                <w:rFonts w:ascii="Times New Roman" w:eastAsia="Calibri" w:hAnsi="Times New Roman"/>
                <w:color w:val="000000"/>
                <w:vertAlign w:val="superscript"/>
                <w:lang w:val="fr-FR"/>
              </w:rPr>
              <w:t>/</w:t>
            </w:r>
            <w:r w:rsidRPr="00623A2B">
              <w:rPr>
                <w:rFonts w:ascii="Times New Roman" w:hAnsi="Times New Roman"/>
                <w:color w:val="FFFFFF" w:themeColor="background1"/>
                <w:u w:val="single"/>
                <w:vertAlign w:val="superscript"/>
                <w:lang w:val="fr-FR" w:eastAsia="es-ES"/>
              </w:rPr>
              <w:footnoteReference w:id="61"/>
            </w:r>
          </w:p>
        </w:tc>
        <w:tc>
          <w:tcPr>
            <w:tcW w:w="1144" w:type="dxa"/>
            <w:tcBorders>
              <w:top w:val="nil"/>
              <w:left w:val="nil"/>
              <w:bottom w:val="single" w:sz="4" w:space="0" w:color="auto"/>
              <w:right w:val="single" w:sz="4" w:space="0" w:color="auto"/>
            </w:tcBorders>
            <w:noWrap/>
            <w:vAlign w:val="bottom"/>
            <w:hideMark/>
          </w:tcPr>
          <w:p w14:paraId="75673142"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P05</w:t>
            </w:r>
          </w:p>
        </w:tc>
        <w:tc>
          <w:tcPr>
            <w:tcW w:w="2157" w:type="dxa"/>
            <w:gridSpan w:val="2"/>
            <w:tcBorders>
              <w:top w:val="nil"/>
              <w:left w:val="nil"/>
              <w:bottom w:val="single" w:sz="4" w:space="0" w:color="auto"/>
              <w:right w:val="single" w:sz="4" w:space="0" w:color="auto"/>
            </w:tcBorders>
            <w:hideMark/>
          </w:tcPr>
          <w:p w14:paraId="12D99768"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Fonds ordinaire</w:t>
            </w:r>
          </w:p>
        </w:tc>
      </w:tr>
      <w:tr w:rsidR="008B1794" w:rsidRPr="00623A2B" w14:paraId="267D4ACA" w14:textId="77777777" w:rsidTr="00DD002B">
        <w:trPr>
          <w:gridAfter w:val="1"/>
          <w:wAfter w:w="11" w:type="dxa"/>
          <w:trHeight w:val="300"/>
          <w:jc w:val="center"/>
        </w:trPr>
        <w:tc>
          <w:tcPr>
            <w:tcW w:w="1339" w:type="dxa"/>
            <w:tcBorders>
              <w:top w:val="nil"/>
              <w:left w:val="nil"/>
              <w:bottom w:val="single" w:sz="4" w:space="0" w:color="auto"/>
              <w:right w:val="nil"/>
            </w:tcBorders>
            <w:noWrap/>
            <w:vAlign w:val="bottom"/>
          </w:tcPr>
          <w:p w14:paraId="43463579" w14:textId="77777777" w:rsidR="008B1794" w:rsidRPr="00623A2B" w:rsidRDefault="008B1794" w:rsidP="00C83EA7">
            <w:pPr>
              <w:suppressAutoHyphens/>
              <w:jc w:val="center"/>
              <w:rPr>
                <w:rFonts w:ascii="Times New Roman" w:hAnsi="Times New Roman"/>
                <w:color w:val="000000"/>
                <w:lang w:val="fr-FR" w:eastAsia="es-ES"/>
              </w:rPr>
            </w:pPr>
          </w:p>
          <w:p w14:paraId="777E45A2" w14:textId="77777777" w:rsidR="008B1794" w:rsidRPr="00623A2B" w:rsidRDefault="008B1794" w:rsidP="00C83EA7">
            <w:pPr>
              <w:suppressAutoHyphens/>
              <w:jc w:val="center"/>
              <w:rPr>
                <w:rFonts w:ascii="Times New Roman" w:hAnsi="Times New Roman"/>
                <w:color w:val="000000"/>
                <w:lang w:val="fr-FR" w:eastAsia="es-ES"/>
              </w:rPr>
            </w:pPr>
          </w:p>
        </w:tc>
        <w:tc>
          <w:tcPr>
            <w:tcW w:w="5131" w:type="dxa"/>
            <w:tcBorders>
              <w:top w:val="nil"/>
              <w:left w:val="nil"/>
              <w:bottom w:val="single" w:sz="4" w:space="0" w:color="auto"/>
              <w:right w:val="nil"/>
            </w:tcBorders>
            <w:noWrap/>
            <w:vAlign w:val="bottom"/>
            <w:hideMark/>
          </w:tcPr>
          <w:p w14:paraId="42426085" w14:textId="77777777"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POSTES DE CONFIANCE SUPPLÉMENTAIRES</w:t>
            </w:r>
          </w:p>
        </w:tc>
        <w:tc>
          <w:tcPr>
            <w:tcW w:w="1144" w:type="dxa"/>
            <w:tcBorders>
              <w:top w:val="nil"/>
              <w:left w:val="nil"/>
              <w:bottom w:val="single" w:sz="4" w:space="0" w:color="auto"/>
              <w:right w:val="nil"/>
            </w:tcBorders>
            <w:noWrap/>
            <w:vAlign w:val="bottom"/>
            <w:hideMark/>
          </w:tcPr>
          <w:p w14:paraId="077DB426" w14:textId="77777777" w:rsidR="008B1794" w:rsidRPr="00623A2B" w:rsidRDefault="008B1794" w:rsidP="00C83EA7">
            <w:pPr>
              <w:suppressAutoHyphens/>
              <w:spacing w:line="276" w:lineRule="auto"/>
              <w:rPr>
                <w:rFonts w:ascii="Times New Roman" w:hAnsi="Times New Roman"/>
                <w:color w:val="000000"/>
                <w:lang w:val="fr-FR"/>
              </w:rPr>
            </w:pPr>
          </w:p>
        </w:tc>
        <w:tc>
          <w:tcPr>
            <w:tcW w:w="2157" w:type="dxa"/>
            <w:gridSpan w:val="2"/>
            <w:tcBorders>
              <w:top w:val="nil"/>
              <w:left w:val="nil"/>
              <w:bottom w:val="single" w:sz="4" w:space="0" w:color="auto"/>
              <w:right w:val="nil"/>
            </w:tcBorders>
          </w:tcPr>
          <w:p w14:paraId="7C74C382" w14:textId="77777777" w:rsidR="008B1794" w:rsidRPr="00623A2B" w:rsidRDefault="008B1794" w:rsidP="00C83EA7">
            <w:pPr>
              <w:suppressAutoHyphens/>
              <w:jc w:val="center"/>
              <w:rPr>
                <w:rFonts w:ascii="Times New Roman" w:hAnsi="Times New Roman"/>
                <w:color w:val="000000"/>
                <w:lang w:val="fr-FR" w:eastAsia="es-ES"/>
              </w:rPr>
            </w:pPr>
          </w:p>
        </w:tc>
      </w:tr>
      <w:tr w:rsidR="008B1794" w:rsidRPr="00623A2B" w14:paraId="2A903BC1" w14:textId="77777777" w:rsidTr="00DD002B">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FAAE4E6"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1</w:t>
            </w:r>
          </w:p>
        </w:tc>
        <w:tc>
          <w:tcPr>
            <w:tcW w:w="5131" w:type="dxa"/>
            <w:tcBorders>
              <w:top w:val="nil"/>
              <w:left w:val="nil"/>
              <w:bottom w:val="single" w:sz="4" w:space="0" w:color="auto"/>
              <w:right w:val="single" w:sz="4" w:space="0" w:color="auto"/>
            </w:tcBorders>
            <w:noWrap/>
            <w:vAlign w:val="bottom"/>
            <w:hideMark/>
          </w:tcPr>
          <w:p w14:paraId="4A1C2A44" w14:textId="77777777"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Conseiller du Secrétaire général</w:t>
            </w:r>
          </w:p>
        </w:tc>
        <w:tc>
          <w:tcPr>
            <w:tcW w:w="1144" w:type="dxa"/>
            <w:tcBorders>
              <w:top w:val="nil"/>
              <w:left w:val="nil"/>
              <w:bottom w:val="single" w:sz="4" w:space="0" w:color="auto"/>
              <w:right w:val="single" w:sz="4" w:space="0" w:color="auto"/>
            </w:tcBorders>
            <w:noWrap/>
            <w:vAlign w:val="bottom"/>
            <w:hideMark/>
          </w:tcPr>
          <w:p w14:paraId="358E3CF5"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P05</w:t>
            </w:r>
          </w:p>
        </w:tc>
        <w:tc>
          <w:tcPr>
            <w:tcW w:w="2157" w:type="dxa"/>
            <w:gridSpan w:val="2"/>
            <w:tcBorders>
              <w:top w:val="nil"/>
              <w:left w:val="nil"/>
              <w:bottom w:val="single" w:sz="4" w:space="0" w:color="auto"/>
              <w:right w:val="single" w:sz="4" w:space="0" w:color="auto"/>
            </w:tcBorders>
            <w:hideMark/>
          </w:tcPr>
          <w:p w14:paraId="2CC55D12"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Fonds ordinaire</w:t>
            </w:r>
          </w:p>
        </w:tc>
      </w:tr>
      <w:tr w:rsidR="008B1794" w:rsidRPr="00623A2B" w14:paraId="224543D8" w14:textId="77777777" w:rsidTr="00DD002B">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A512823"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2</w:t>
            </w:r>
          </w:p>
        </w:tc>
        <w:tc>
          <w:tcPr>
            <w:tcW w:w="5131" w:type="dxa"/>
            <w:tcBorders>
              <w:top w:val="nil"/>
              <w:left w:val="nil"/>
              <w:bottom w:val="single" w:sz="4" w:space="0" w:color="auto"/>
              <w:right w:val="single" w:sz="4" w:space="0" w:color="auto"/>
            </w:tcBorders>
            <w:noWrap/>
            <w:vAlign w:val="bottom"/>
            <w:hideMark/>
          </w:tcPr>
          <w:p w14:paraId="167DBC6E" w14:textId="77777777"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Conseiller du Secrétaire général adjoint</w:t>
            </w:r>
          </w:p>
        </w:tc>
        <w:tc>
          <w:tcPr>
            <w:tcW w:w="1144" w:type="dxa"/>
            <w:tcBorders>
              <w:top w:val="nil"/>
              <w:left w:val="nil"/>
              <w:bottom w:val="single" w:sz="4" w:space="0" w:color="auto"/>
              <w:right w:val="single" w:sz="4" w:space="0" w:color="auto"/>
            </w:tcBorders>
            <w:noWrap/>
            <w:vAlign w:val="bottom"/>
            <w:hideMark/>
          </w:tcPr>
          <w:p w14:paraId="70B28939"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P05</w:t>
            </w:r>
          </w:p>
        </w:tc>
        <w:tc>
          <w:tcPr>
            <w:tcW w:w="2157" w:type="dxa"/>
            <w:gridSpan w:val="2"/>
            <w:tcBorders>
              <w:top w:val="nil"/>
              <w:left w:val="nil"/>
              <w:bottom w:val="single" w:sz="4" w:space="0" w:color="auto"/>
              <w:right w:val="single" w:sz="4" w:space="0" w:color="auto"/>
            </w:tcBorders>
            <w:hideMark/>
          </w:tcPr>
          <w:p w14:paraId="0C473191"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Fonds ordinaire</w:t>
            </w:r>
          </w:p>
        </w:tc>
      </w:tr>
      <w:tr w:rsidR="008B1794" w:rsidRPr="00623A2B" w14:paraId="58BCAD42" w14:textId="77777777" w:rsidTr="00DD002B">
        <w:trPr>
          <w:gridAfter w:val="1"/>
          <w:wAfter w:w="11" w:type="dxa"/>
          <w:trHeight w:val="152"/>
          <w:jc w:val="center"/>
        </w:trPr>
        <w:tc>
          <w:tcPr>
            <w:tcW w:w="1339" w:type="dxa"/>
            <w:tcBorders>
              <w:top w:val="single" w:sz="4" w:space="0" w:color="auto"/>
              <w:left w:val="nil"/>
              <w:bottom w:val="nil"/>
              <w:right w:val="nil"/>
            </w:tcBorders>
            <w:noWrap/>
            <w:vAlign w:val="bottom"/>
            <w:hideMark/>
          </w:tcPr>
          <w:p w14:paraId="564889D6" w14:textId="77777777" w:rsidR="008B1794" w:rsidRPr="00623A2B" w:rsidRDefault="008B1794" w:rsidP="00C83EA7">
            <w:pPr>
              <w:suppressAutoHyphens/>
              <w:spacing w:line="276" w:lineRule="auto"/>
              <w:rPr>
                <w:rFonts w:ascii="Times New Roman" w:hAnsi="Times New Roman"/>
                <w:color w:val="000000"/>
                <w:lang w:val="fr-FR"/>
              </w:rPr>
            </w:pPr>
          </w:p>
        </w:tc>
        <w:tc>
          <w:tcPr>
            <w:tcW w:w="5131" w:type="dxa"/>
            <w:tcBorders>
              <w:top w:val="single" w:sz="4" w:space="0" w:color="auto"/>
              <w:left w:val="nil"/>
              <w:bottom w:val="nil"/>
              <w:right w:val="nil"/>
            </w:tcBorders>
            <w:noWrap/>
            <w:vAlign w:val="bottom"/>
            <w:hideMark/>
          </w:tcPr>
          <w:p w14:paraId="37DCC4D0" w14:textId="77777777" w:rsidR="008B1794" w:rsidRPr="00623A2B" w:rsidRDefault="008B1794" w:rsidP="00C83EA7">
            <w:pPr>
              <w:suppressAutoHyphens/>
              <w:spacing w:line="276" w:lineRule="auto"/>
              <w:rPr>
                <w:rFonts w:ascii="Times New Roman" w:eastAsia="Calibri" w:hAnsi="Times New Roman"/>
                <w:lang w:val="fr-FR"/>
              </w:rPr>
            </w:pPr>
          </w:p>
        </w:tc>
        <w:tc>
          <w:tcPr>
            <w:tcW w:w="1144" w:type="dxa"/>
            <w:tcBorders>
              <w:top w:val="single" w:sz="4" w:space="0" w:color="auto"/>
              <w:left w:val="nil"/>
              <w:bottom w:val="nil"/>
              <w:right w:val="nil"/>
            </w:tcBorders>
            <w:noWrap/>
            <w:vAlign w:val="bottom"/>
            <w:hideMark/>
          </w:tcPr>
          <w:p w14:paraId="2B7732E2" w14:textId="77777777" w:rsidR="008B1794" w:rsidRPr="00623A2B" w:rsidRDefault="008B1794" w:rsidP="00C83EA7">
            <w:pPr>
              <w:suppressAutoHyphens/>
              <w:spacing w:line="276" w:lineRule="auto"/>
              <w:rPr>
                <w:rFonts w:ascii="Times New Roman" w:eastAsia="Calibri" w:hAnsi="Times New Roman"/>
                <w:lang w:val="fr-FR"/>
              </w:rPr>
            </w:pPr>
          </w:p>
        </w:tc>
        <w:tc>
          <w:tcPr>
            <w:tcW w:w="2157" w:type="dxa"/>
            <w:gridSpan w:val="2"/>
            <w:tcBorders>
              <w:top w:val="single" w:sz="4" w:space="0" w:color="auto"/>
              <w:left w:val="nil"/>
              <w:bottom w:val="nil"/>
              <w:right w:val="nil"/>
            </w:tcBorders>
          </w:tcPr>
          <w:p w14:paraId="16E7E158" w14:textId="77777777" w:rsidR="008B1794" w:rsidRPr="00623A2B" w:rsidRDefault="008B1794" w:rsidP="00C83EA7">
            <w:pPr>
              <w:suppressAutoHyphens/>
              <w:jc w:val="center"/>
              <w:rPr>
                <w:rFonts w:ascii="Times New Roman" w:hAnsi="Times New Roman"/>
                <w:color w:val="000000"/>
                <w:lang w:val="fr-FR" w:eastAsia="es-ES"/>
              </w:rPr>
            </w:pPr>
          </w:p>
        </w:tc>
      </w:tr>
      <w:tr w:rsidR="008B1794" w:rsidRPr="00213B6A" w14:paraId="5B9105DD" w14:textId="77777777" w:rsidTr="00DD002B">
        <w:trPr>
          <w:trHeight w:val="300"/>
          <w:jc w:val="center"/>
        </w:trPr>
        <w:tc>
          <w:tcPr>
            <w:tcW w:w="1339" w:type="dxa"/>
            <w:tcBorders>
              <w:top w:val="nil"/>
              <w:left w:val="nil"/>
              <w:bottom w:val="single" w:sz="4" w:space="0" w:color="auto"/>
              <w:right w:val="nil"/>
            </w:tcBorders>
            <w:noWrap/>
            <w:vAlign w:val="bottom"/>
            <w:hideMark/>
          </w:tcPr>
          <w:p w14:paraId="594F90F8" w14:textId="77777777" w:rsidR="008B1794" w:rsidRPr="00623A2B" w:rsidRDefault="008B1794" w:rsidP="00C83EA7">
            <w:pPr>
              <w:suppressAutoHyphens/>
              <w:spacing w:line="276" w:lineRule="auto"/>
              <w:rPr>
                <w:rFonts w:ascii="Times New Roman" w:hAnsi="Times New Roman"/>
                <w:color w:val="000000"/>
                <w:lang w:val="fr-FR" w:eastAsia="es-ES"/>
              </w:rPr>
            </w:pPr>
          </w:p>
        </w:tc>
        <w:tc>
          <w:tcPr>
            <w:tcW w:w="6286" w:type="dxa"/>
            <w:gridSpan w:val="3"/>
            <w:tcBorders>
              <w:top w:val="nil"/>
              <w:left w:val="nil"/>
              <w:bottom w:val="single" w:sz="4" w:space="0" w:color="auto"/>
              <w:right w:val="nil"/>
            </w:tcBorders>
            <w:noWrap/>
            <w:vAlign w:val="bottom"/>
            <w:hideMark/>
          </w:tcPr>
          <w:p w14:paraId="5C796BAF" w14:textId="77777777" w:rsidR="008B1794" w:rsidRPr="00623A2B" w:rsidRDefault="008B1794" w:rsidP="00C83EA7">
            <w:pPr>
              <w:suppressAutoHyphens/>
              <w:rPr>
                <w:rFonts w:ascii="Times New Roman" w:hAnsi="Times New Roman"/>
                <w:b/>
                <w:color w:val="000000"/>
                <w:lang w:val="fr-FR"/>
              </w:rPr>
            </w:pPr>
            <w:r w:rsidRPr="00623A2B">
              <w:rPr>
                <w:rFonts w:ascii="Times New Roman" w:eastAsia="Calibri" w:hAnsi="Times New Roman"/>
                <w:color w:val="000000"/>
                <w:lang w:val="fr-FR"/>
              </w:rPr>
              <w:t>FONDS SPÉCIFIQUES (non inclus dans le nombre de postes réglementés)</w:t>
            </w:r>
          </w:p>
        </w:tc>
        <w:tc>
          <w:tcPr>
            <w:tcW w:w="2157" w:type="dxa"/>
            <w:gridSpan w:val="2"/>
            <w:tcBorders>
              <w:top w:val="nil"/>
              <w:left w:val="nil"/>
              <w:bottom w:val="single" w:sz="4" w:space="0" w:color="auto"/>
              <w:right w:val="nil"/>
            </w:tcBorders>
          </w:tcPr>
          <w:p w14:paraId="39250080" w14:textId="77777777" w:rsidR="008B1794" w:rsidRPr="00623A2B" w:rsidRDefault="008B1794" w:rsidP="00C83EA7">
            <w:pPr>
              <w:suppressAutoHyphens/>
              <w:jc w:val="center"/>
              <w:rPr>
                <w:rFonts w:ascii="Times New Roman" w:hAnsi="Times New Roman"/>
                <w:color w:val="000000"/>
                <w:lang w:val="fr-FR" w:eastAsia="es-ES"/>
              </w:rPr>
            </w:pPr>
          </w:p>
        </w:tc>
      </w:tr>
      <w:tr w:rsidR="008B1794" w:rsidRPr="00623A2B" w14:paraId="11B408B7" w14:textId="77777777" w:rsidTr="00DD002B">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59AE78B"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1</w:t>
            </w:r>
          </w:p>
        </w:tc>
        <w:tc>
          <w:tcPr>
            <w:tcW w:w="5131" w:type="dxa"/>
            <w:tcBorders>
              <w:top w:val="nil"/>
              <w:left w:val="nil"/>
              <w:bottom w:val="single" w:sz="4" w:space="0" w:color="auto"/>
              <w:right w:val="single" w:sz="4" w:space="0" w:color="auto"/>
            </w:tcBorders>
            <w:noWrap/>
            <w:vAlign w:val="bottom"/>
            <w:hideMark/>
          </w:tcPr>
          <w:p w14:paraId="02B1ADCB" w14:textId="77777777" w:rsidR="008B1794" w:rsidRPr="00623A2B" w:rsidRDefault="008B1794" w:rsidP="00C83EA7">
            <w:pPr>
              <w:suppressAutoHyphens/>
              <w:rPr>
                <w:rFonts w:ascii="Times New Roman" w:hAnsi="Times New Roman"/>
                <w:color w:val="000000"/>
                <w:lang w:val="fr-FR"/>
              </w:rPr>
            </w:pPr>
            <w:r w:rsidRPr="00623A2B">
              <w:rPr>
                <w:rFonts w:ascii="Times New Roman" w:eastAsia="Calibri" w:hAnsi="Times New Roman"/>
                <w:color w:val="000000"/>
                <w:lang w:val="fr-FR"/>
              </w:rPr>
              <w:t>Secrétaire-trésorier de la Caisse des retraites et pensions</w:t>
            </w:r>
          </w:p>
        </w:tc>
        <w:tc>
          <w:tcPr>
            <w:tcW w:w="1144" w:type="dxa"/>
            <w:tcBorders>
              <w:top w:val="nil"/>
              <w:left w:val="nil"/>
              <w:bottom w:val="single" w:sz="4" w:space="0" w:color="auto"/>
              <w:right w:val="single" w:sz="4" w:space="0" w:color="auto"/>
            </w:tcBorders>
            <w:noWrap/>
            <w:vAlign w:val="bottom"/>
            <w:hideMark/>
          </w:tcPr>
          <w:p w14:paraId="7565069B"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D01</w:t>
            </w:r>
          </w:p>
        </w:tc>
        <w:tc>
          <w:tcPr>
            <w:tcW w:w="2157" w:type="dxa"/>
            <w:gridSpan w:val="2"/>
            <w:tcBorders>
              <w:top w:val="nil"/>
              <w:left w:val="nil"/>
              <w:bottom w:val="single" w:sz="4" w:space="0" w:color="auto"/>
              <w:right w:val="single" w:sz="4" w:space="0" w:color="auto"/>
            </w:tcBorders>
            <w:hideMark/>
          </w:tcPr>
          <w:p w14:paraId="3FBB5B8D" w14:textId="77777777" w:rsidR="008B1794" w:rsidRPr="00623A2B" w:rsidRDefault="008B1794" w:rsidP="00C83EA7">
            <w:pPr>
              <w:suppressAutoHyphens/>
              <w:jc w:val="center"/>
              <w:rPr>
                <w:rFonts w:ascii="Times New Roman" w:hAnsi="Times New Roman"/>
                <w:color w:val="000000"/>
                <w:lang w:val="fr-FR"/>
              </w:rPr>
            </w:pPr>
            <w:r w:rsidRPr="00623A2B">
              <w:rPr>
                <w:rFonts w:ascii="Times New Roman" w:eastAsia="Calibri" w:hAnsi="Times New Roman"/>
                <w:color w:val="000000"/>
                <w:lang w:val="fr-FR"/>
              </w:rPr>
              <w:t>Fonds spécifiques</w:t>
            </w:r>
          </w:p>
        </w:tc>
      </w:tr>
    </w:tbl>
    <w:p w14:paraId="42BF1BD0" w14:textId="77777777" w:rsidR="008B1794" w:rsidRPr="00623A2B" w:rsidRDefault="008B1794" w:rsidP="008B1794">
      <w:pPr>
        <w:suppressAutoHyphens/>
        <w:spacing w:line="276" w:lineRule="auto"/>
        <w:rPr>
          <w:rFonts w:ascii="Times New Roman" w:eastAsia="Calibri" w:hAnsi="Times New Roman"/>
          <w:lang w:val="fr-FR"/>
        </w:rPr>
      </w:pPr>
      <w:r w:rsidRPr="00623A2B">
        <w:rPr>
          <w:rFonts w:ascii="Times New Roman" w:eastAsia="Calibri" w:hAnsi="Times New Roman"/>
          <w:noProof/>
          <w:lang w:val="fr-FR"/>
        </w:rPr>
        <mc:AlternateContent>
          <mc:Choice Requires="wps">
            <w:drawing>
              <wp:anchor distT="0" distB="0" distL="114300" distR="114300" simplePos="0" relativeHeight="251668480" behindDoc="0" locked="1" layoutInCell="1" allowOverlap="1" wp14:anchorId="0194F87D" wp14:editId="4B0D750D">
                <wp:simplePos x="0" y="0"/>
                <wp:positionH relativeFrom="column">
                  <wp:posOffset>-189865</wp:posOffset>
                </wp:positionH>
                <wp:positionV relativeFrom="page">
                  <wp:posOffset>10116820</wp:posOffset>
                </wp:positionV>
                <wp:extent cx="33832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2B6B4344" w14:textId="77777777" w:rsidR="008B1794" w:rsidRDefault="008B1794" w:rsidP="008B179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94F87D" id="Text Box 11" o:spid="_x0000_s1029" type="#_x0000_t202" style="position:absolute;left:0;text-align:left;margin-left:-14.95pt;margin-top:796.6pt;width:266.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BfiAIAABk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" filled="f" stroked="f">
                <v:stroke joinstyle="round"/>
                <v:textbox>
                  <w:txbxContent>
                    <w:p w14:paraId="2B6B4344" w14:textId="77777777" w:rsidR="008B1794" w:rsidRDefault="008B1794" w:rsidP="008B1794">
                      <w:pPr>
                        <w:rPr>
                          <w:sz w:val="18"/>
                        </w:rPr>
                      </w:pPr>
                    </w:p>
                  </w:txbxContent>
                </v:textbox>
                <w10:wrap anchory="page"/>
                <w10:anchorlock/>
              </v:shape>
            </w:pict>
          </mc:Fallback>
        </mc:AlternateContent>
      </w:r>
    </w:p>
    <w:p w14:paraId="389AD168" w14:textId="77777777" w:rsidR="008B1794" w:rsidRPr="00623A2B" w:rsidRDefault="008B1794" w:rsidP="008B1794">
      <w:pPr>
        <w:rPr>
          <w:rFonts w:ascii="Times New Roman" w:hAnsi="Times New Roman"/>
        </w:rPr>
        <w:sectPr w:rsidR="008B1794" w:rsidRPr="00623A2B" w:rsidSect="00623A2B">
          <w:headerReference w:type="default" r:id="rId112"/>
          <w:footnotePr>
            <w:numRestart w:val="eachSect"/>
          </w:footnotePr>
          <w:pgSz w:w="12240" w:h="15840" w:code="1"/>
          <w:pgMar w:top="2160" w:right="1570" w:bottom="1296" w:left="1699" w:header="720" w:footer="720" w:gutter="0"/>
          <w:cols w:space="720"/>
          <w:docGrid w:linePitch="360"/>
        </w:sectPr>
      </w:pPr>
    </w:p>
    <w:p w14:paraId="26604A44" w14:textId="77777777" w:rsidR="008B1794" w:rsidRPr="00623A2B" w:rsidRDefault="008B1794" w:rsidP="008B1794">
      <w:pPr>
        <w:contextualSpacing/>
        <w:jc w:val="right"/>
        <w:rPr>
          <w:rFonts w:ascii="Times New Roman" w:hAnsi="Times New Roman"/>
          <w:spacing w:val="-10"/>
          <w:kern w:val="28"/>
          <w:lang w:val="fr-FR"/>
        </w:rPr>
      </w:pPr>
      <w:r w:rsidRPr="00623A2B">
        <w:rPr>
          <w:rFonts w:ascii="Times New Roman" w:hAnsi="Times New Roman"/>
          <w:spacing w:val="-10"/>
          <w:kern w:val="28"/>
          <w:lang w:val="fr-FR"/>
        </w:rPr>
        <w:lastRenderedPageBreak/>
        <w:t>ANNEXE V</w:t>
      </w:r>
    </w:p>
    <w:p w14:paraId="570DD11E" w14:textId="77777777" w:rsidR="008B1794" w:rsidRPr="00623A2B" w:rsidRDefault="008B1794" w:rsidP="008B1794">
      <w:pPr>
        <w:contextualSpacing/>
        <w:jc w:val="center"/>
        <w:rPr>
          <w:rFonts w:ascii="Times New Roman" w:hAnsi="Times New Roman"/>
          <w:spacing w:val="-10"/>
          <w:kern w:val="28"/>
          <w:lang w:val="fr-FR"/>
        </w:rPr>
      </w:pPr>
    </w:p>
    <w:p w14:paraId="481C5180" w14:textId="77777777" w:rsidR="008B1794" w:rsidRPr="00623A2B" w:rsidRDefault="008B1794" w:rsidP="008B1794">
      <w:pPr>
        <w:contextualSpacing/>
        <w:jc w:val="center"/>
        <w:rPr>
          <w:rFonts w:ascii="Times New Roman" w:hAnsi="Times New Roman"/>
          <w:spacing w:val="-10"/>
          <w:kern w:val="28"/>
          <w:lang w:val="fr-FR"/>
        </w:rPr>
      </w:pPr>
    </w:p>
    <w:p w14:paraId="016F8108" w14:textId="77777777" w:rsidR="008B1794" w:rsidRPr="00623A2B" w:rsidRDefault="008B1794" w:rsidP="008B1794">
      <w:pPr>
        <w:rPr>
          <w:rFonts w:ascii="Times New Roman" w:hAnsi="Times New Roman"/>
          <w:spacing w:val="-10"/>
          <w:lang w:val="fr-FR"/>
        </w:rPr>
      </w:pPr>
      <w:bookmarkStart w:id="39" w:name="_Hlk86931203"/>
    </w:p>
    <w:bookmarkEnd w:id="39"/>
    <w:p w14:paraId="2DB5C81B" w14:textId="77777777" w:rsidR="008B1794" w:rsidRPr="00623A2B" w:rsidRDefault="008B1794" w:rsidP="008B1794">
      <w:pPr>
        <w:rPr>
          <w:rFonts w:ascii="Times New Roman" w:hAnsi="Times New Roman"/>
          <w:lang w:val="fr-CA"/>
        </w:rPr>
      </w:pPr>
      <w:r w:rsidRPr="00623A2B">
        <w:rPr>
          <w:rFonts w:ascii="Times New Roman" w:hAnsi="Times New Roman"/>
          <w:lang w:val="fr-CA"/>
        </w:rPr>
        <w:fldChar w:fldCharType="begin"/>
      </w:r>
      <w:r w:rsidRPr="00623A2B">
        <w:rPr>
          <w:rFonts w:ascii="Times New Roman" w:hAnsi="Times New Roman"/>
          <w:lang w:val="fr-CA"/>
        </w:rPr>
        <w:instrText xml:space="preserve"> HYPERLINK "http://scm.oas.org/pdfs/2021/CP45227E_V.pdf" </w:instrText>
      </w:r>
      <w:r w:rsidRPr="00623A2B">
        <w:rPr>
          <w:rFonts w:ascii="Times New Roman" w:hAnsi="Times New Roman"/>
          <w:lang w:val="fr-CA"/>
        </w:rPr>
        <w:fldChar w:fldCharType="separate"/>
      </w:r>
      <w:r w:rsidRPr="00623A2B">
        <w:rPr>
          <w:rStyle w:val="Hyperlink"/>
          <w:rFonts w:ascii="Times New Roman" w:hAnsi="Times New Roman"/>
          <w:lang w:val="fr-CA"/>
        </w:rPr>
        <w:t>MODIFICATIONS DES NORMES GÉNÉRALES DE FONCTIONNEMENT DU SECRÉTARIAT GÉNÉRAL DE L’ORGANISATION DES ÉTATS AMÉRICAINS – CHAPITRE VIII, CONTRÔLE ET ÉVALUATION DE LA GESTION FINANCIÈRE ET BUDGÉTAIRE ET CHAPITRE IX, ASSESSORAT, AUDIT ET CONTRÔLE FINANCIER</w:t>
      </w:r>
      <w:r w:rsidRPr="00623A2B">
        <w:rPr>
          <w:rFonts w:ascii="Times New Roman" w:hAnsi="Times New Roman"/>
          <w:lang w:val="fr-CA"/>
        </w:rPr>
        <w:fldChar w:fldCharType="end"/>
      </w:r>
    </w:p>
    <w:p w14:paraId="31CA7021" w14:textId="77777777" w:rsidR="008B1794" w:rsidRPr="00623A2B" w:rsidRDefault="008B1794" w:rsidP="008B1794">
      <w:pPr>
        <w:rPr>
          <w:rFonts w:ascii="Times New Roman" w:hAnsi="Times New Roman"/>
          <w:lang w:val="fr-FR"/>
        </w:rPr>
      </w:pPr>
    </w:p>
    <w:p w14:paraId="3E3C696F" w14:textId="77777777" w:rsidR="008B1794" w:rsidRPr="00623A2B" w:rsidRDefault="008B1794" w:rsidP="008B1794">
      <w:pPr>
        <w:rPr>
          <w:rFonts w:ascii="Times New Roman" w:hAnsi="Times New Roman"/>
          <w:color w:val="000000"/>
          <w:lang w:val="fr-FR"/>
        </w:rPr>
      </w:pPr>
    </w:p>
    <w:p w14:paraId="2EA59570" w14:textId="77777777" w:rsidR="008B1794" w:rsidRPr="00623A2B" w:rsidRDefault="008B1794" w:rsidP="008B1794">
      <w:pPr>
        <w:rPr>
          <w:rFonts w:ascii="Times New Roman" w:hAnsi="Times New Roman"/>
          <w:lang w:val="fr-FR"/>
        </w:rPr>
      </w:pPr>
    </w:p>
    <w:p w14:paraId="2162BE35" w14:textId="77777777" w:rsidR="008B1794" w:rsidRPr="00623A2B" w:rsidRDefault="008B1794" w:rsidP="008B1794">
      <w:pPr>
        <w:tabs>
          <w:tab w:val="left" w:pos="9270"/>
        </w:tabs>
        <w:rPr>
          <w:rFonts w:ascii="Times New Roman" w:hAnsi="Times New Roman"/>
          <w:color w:val="000000"/>
          <w:lang w:val="fr-FR"/>
        </w:rPr>
      </w:pPr>
    </w:p>
    <w:p w14:paraId="6427CCE5" w14:textId="77777777" w:rsidR="008B1794" w:rsidRPr="00623A2B" w:rsidRDefault="008B1794" w:rsidP="008B1794">
      <w:pPr>
        <w:tabs>
          <w:tab w:val="left" w:pos="9270"/>
        </w:tabs>
        <w:jc w:val="right"/>
        <w:rPr>
          <w:rFonts w:ascii="Times New Roman" w:hAnsi="Times New Roman"/>
          <w:color w:val="000000"/>
          <w:lang w:val="fr-CA"/>
        </w:rPr>
      </w:pPr>
      <w:r w:rsidRPr="00623A2B">
        <w:rPr>
          <w:rFonts w:ascii="Times New Roman" w:hAnsi="Times New Roman"/>
          <w:color w:val="000000"/>
          <w:lang w:val="fr-CA"/>
        </w:rPr>
        <w:t>ANNEXE VI</w:t>
      </w:r>
    </w:p>
    <w:p w14:paraId="65EC5EA1" w14:textId="77777777" w:rsidR="008B1794" w:rsidRPr="00623A2B" w:rsidRDefault="008B1794" w:rsidP="008B1794">
      <w:pPr>
        <w:tabs>
          <w:tab w:val="left" w:pos="9270"/>
        </w:tabs>
        <w:jc w:val="center"/>
        <w:rPr>
          <w:rFonts w:ascii="Times New Roman" w:hAnsi="Times New Roman"/>
          <w:color w:val="000000"/>
          <w:lang w:val="fr-CA"/>
        </w:rPr>
      </w:pPr>
    </w:p>
    <w:p w14:paraId="37F746D7" w14:textId="77777777" w:rsidR="008B1794" w:rsidRPr="00623A2B" w:rsidRDefault="008B1794" w:rsidP="008B1794">
      <w:pPr>
        <w:tabs>
          <w:tab w:val="left" w:pos="9270"/>
        </w:tabs>
        <w:jc w:val="center"/>
        <w:rPr>
          <w:rFonts w:ascii="Times New Roman" w:hAnsi="Times New Roman"/>
          <w:color w:val="000000"/>
          <w:lang w:val="fr-CA"/>
        </w:rPr>
      </w:pPr>
    </w:p>
    <w:p w14:paraId="246585B7" w14:textId="77777777" w:rsidR="008B1794" w:rsidRPr="00623A2B" w:rsidRDefault="008B1794" w:rsidP="008B1794">
      <w:pPr>
        <w:tabs>
          <w:tab w:val="left" w:pos="9270"/>
        </w:tabs>
        <w:jc w:val="center"/>
        <w:rPr>
          <w:rFonts w:ascii="Times New Roman" w:hAnsi="Times New Roman"/>
          <w:color w:val="000000"/>
          <w:lang w:val="fr-CA"/>
        </w:rPr>
      </w:pPr>
    </w:p>
    <w:p w14:paraId="65C78EA0" w14:textId="77777777" w:rsidR="008B1794" w:rsidRPr="00623A2B" w:rsidRDefault="004A47F0" w:rsidP="008B1794">
      <w:pPr>
        <w:rPr>
          <w:rFonts w:ascii="Times New Roman" w:hAnsi="Times New Roman"/>
          <w:color w:val="000000"/>
          <w:lang w:val="fr-CA"/>
        </w:rPr>
      </w:pPr>
      <w:hyperlink r:id="rId113" w:history="1">
        <w:r w:rsidR="008B1794" w:rsidRPr="00623A2B">
          <w:rPr>
            <w:rStyle w:val="Hyperlink"/>
            <w:rFonts w:ascii="Times New Roman" w:hAnsi="Times New Roman"/>
            <w:lang w:val="fr-CA"/>
          </w:rPr>
          <w:t>PROPOSITION DE MODIFICATION DES NORMES GÉNÉRALES DE FONCTIONNEMENT DU SECRÉTARIAT GÉNÉRAL DE L’ORGANISATION DES ÉTATS AMÉRICAINS, CHAPITRE III, SOUS-CHAPITRE H :</w:t>
        </w:r>
        <w:bookmarkStart w:id="40" w:name="_Hlk86934519"/>
        <w:r w:rsidR="008B1794" w:rsidRPr="00623A2B">
          <w:rPr>
            <w:rStyle w:val="Hyperlink"/>
            <w:rFonts w:ascii="Times New Roman" w:hAnsi="Times New Roman"/>
            <w:lang w:val="fr-CA"/>
          </w:rPr>
          <w:t> L’OMBUDSMAN</w:t>
        </w:r>
        <w:bookmarkEnd w:id="40"/>
      </w:hyperlink>
    </w:p>
    <w:p w14:paraId="33B78577" w14:textId="77777777" w:rsidR="008B1794" w:rsidRPr="00623A2B" w:rsidRDefault="008B1794" w:rsidP="008B1794">
      <w:pPr>
        <w:tabs>
          <w:tab w:val="left" w:pos="9270"/>
        </w:tabs>
        <w:jc w:val="center"/>
        <w:rPr>
          <w:rFonts w:ascii="Times New Roman" w:hAnsi="Times New Roman"/>
          <w:color w:val="000000"/>
          <w:lang w:val="fr-CA"/>
        </w:rPr>
      </w:pPr>
    </w:p>
    <w:p w14:paraId="2287EAF1" w14:textId="77777777" w:rsidR="008B1794" w:rsidRPr="00623A2B" w:rsidRDefault="008B1794" w:rsidP="008B1794">
      <w:pPr>
        <w:tabs>
          <w:tab w:val="left" w:pos="9270"/>
        </w:tabs>
        <w:jc w:val="center"/>
        <w:rPr>
          <w:rFonts w:ascii="Times New Roman" w:hAnsi="Times New Roman"/>
          <w:color w:val="000000"/>
          <w:lang w:val="fr-CA"/>
        </w:rPr>
      </w:pPr>
    </w:p>
    <w:p w14:paraId="534CE8AE" w14:textId="77777777" w:rsidR="008B1794" w:rsidRPr="00623A2B" w:rsidRDefault="008B1794" w:rsidP="008B1794">
      <w:pPr>
        <w:tabs>
          <w:tab w:val="left" w:pos="9270"/>
        </w:tabs>
        <w:jc w:val="center"/>
        <w:rPr>
          <w:rFonts w:ascii="Times New Roman" w:hAnsi="Times New Roman"/>
          <w:color w:val="000000"/>
          <w:lang w:val="fr-CA"/>
        </w:rPr>
      </w:pPr>
    </w:p>
    <w:p w14:paraId="48873FD7" w14:textId="77777777" w:rsidR="008B1794" w:rsidRPr="00623A2B" w:rsidRDefault="008B1794" w:rsidP="008B1794">
      <w:pPr>
        <w:tabs>
          <w:tab w:val="left" w:pos="9270"/>
        </w:tabs>
        <w:jc w:val="center"/>
        <w:rPr>
          <w:rFonts w:ascii="Times New Roman" w:hAnsi="Times New Roman"/>
          <w:color w:val="000000"/>
          <w:lang w:val="fr-CA"/>
        </w:rPr>
      </w:pPr>
      <w:r w:rsidRPr="00623A2B">
        <w:rPr>
          <w:rFonts w:ascii="Times New Roman" w:hAnsi="Times New Roman"/>
          <w:noProof/>
        </w:rPr>
        <w:drawing>
          <wp:anchor distT="0" distB="0" distL="114300" distR="114300" simplePos="0" relativeHeight="251695104" behindDoc="0" locked="0" layoutInCell="1" allowOverlap="1" wp14:anchorId="5E5062EA" wp14:editId="4CEFA597">
            <wp:simplePos x="0" y="0"/>
            <wp:positionH relativeFrom="margin">
              <wp:align>right</wp:align>
            </wp:positionH>
            <wp:positionV relativeFrom="paragraph">
              <wp:posOffset>5909310</wp:posOffset>
            </wp:positionV>
            <wp:extent cx="713232" cy="713232"/>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3B743" w14:textId="3B2E45FB" w:rsidR="00D115CD" w:rsidRPr="00623A2B" w:rsidRDefault="00D115C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20"/>
          <w:lang w:val="fr-CA"/>
        </w:rPr>
      </w:pPr>
      <w:r w:rsidRPr="00623A2B">
        <w:rPr>
          <w:rFonts w:ascii="Times New Roman" w:hAnsi="Times New Roman"/>
          <w:sz w:val="20"/>
          <w:lang w:val="fr-CA"/>
        </w:rPr>
        <w:br w:type="page"/>
      </w:r>
    </w:p>
    <w:p w14:paraId="16BC4F8F" w14:textId="77777777" w:rsidR="00D115CD" w:rsidRPr="00623A2B" w:rsidRDefault="00D115CD" w:rsidP="00D115C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fr-FR"/>
        </w:rPr>
      </w:pPr>
      <w:r w:rsidRPr="00623A2B">
        <w:rPr>
          <w:rFonts w:ascii="Times New Roman" w:hAnsi="Times New Roman"/>
          <w:sz w:val="20"/>
          <w:lang w:val="fr-FR"/>
        </w:rPr>
        <w:lastRenderedPageBreak/>
        <w:t>NOTES DE BAS DE PAGE</w:t>
      </w:r>
    </w:p>
    <w:p w14:paraId="5144E5CF" w14:textId="77777777" w:rsidR="00D115CD" w:rsidRPr="00623A2B" w:rsidRDefault="00D115CD" w:rsidP="00D115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5B310D44" w14:textId="77777777" w:rsidR="00D115CD" w:rsidRPr="00623A2B" w:rsidRDefault="00D115CD" w:rsidP="00D115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03D6C618" w14:textId="77777777" w:rsidR="00D115CD" w:rsidRPr="00623A2B" w:rsidRDefault="00D115CD" w:rsidP="00D115CD">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1.</w:t>
      </w:r>
      <w:r w:rsidRPr="00623A2B">
        <w:rPr>
          <w:rFonts w:ascii="Times New Roman" w:hAnsi="Times New Roman"/>
          <w:sz w:val="20"/>
          <w:lang w:val="fr-FR"/>
        </w:rPr>
        <w:tab/>
        <w:t>… Cinquante-et-unième Session ordinaire de l’Assemblée générale de l’Organisation des États Américains (OEA), lesquelles constituent des actes contraires au droit international.</w:t>
      </w:r>
    </w:p>
    <w:p w14:paraId="617A38C5" w14:textId="77777777" w:rsidR="00D115CD" w:rsidRPr="00623A2B" w:rsidRDefault="00D115CD" w:rsidP="00D115CD">
      <w:pPr>
        <w:pStyle w:val="FootnoteText"/>
        <w:tabs>
          <w:tab w:val="clear" w:pos="360"/>
        </w:tabs>
        <w:ind w:left="0" w:firstLine="720"/>
        <w:rPr>
          <w:rFonts w:ascii="Times New Roman" w:hAnsi="Times New Roman"/>
          <w:sz w:val="20"/>
          <w:lang w:val="fr-FR"/>
        </w:rPr>
      </w:pPr>
    </w:p>
    <w:p w14:paraId="28E0C44B" w14:textId="77777777" w:rsidR="00D115CD" w:rsidRPr="00623A2B" w:rsidRDefault="00D115CD" w:rsidP="00D115CD">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51D74C35" w14:textId="77777777" w:rsidR="00D115CD" w:rsidRPr="00623A2B" w:rsidRDefault="00D115CD" w:rsidP="00D115CD">
      <w:pPr>
        <w:pStyle w:val="FootnoteText"/>
        <w:tabs>
          <w:tab w:val="clear" w:pos="360"/>
        </w:tabs>
        <w:ind w:left="0" w:firstLine="720"/>
        <w:rPr>
          <w:rFonts w:ascii="Times New Roman" w:hAnsi="Times New Roman"/>
          <w:sz w:val="20"/>
          <w:lang w:val="fr-FR"/>
        </w:rPr>
      </w:pPr>
    </w:p>
    <w:p w14:paraId="4B937AB9" w14:textId="77777777" w:rsidR="00D115CD" w:rsidRPr="00623A2B" w:rsidRDefault="00D115CD" w:rsidP="00D115CD">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73D7F381" w14:textId="77777777" w:rsidR="00D115CD" w:rsidRPr="00623A2B" w:rsidRDefault="00D115CD" w:rsidP="00D115CD">
      <w:pPr>
        <w:pStyle w:val="FootnoteText"/>
        <w:tabs>
          <w:tab w:val="clear" w:pos="360"/>
        </w:tabs>
        <w:ind w:left="0" w:firstLine="720"/>
        <w:rPr>
          <w:rFonts w:ascii="Times New Roman" w:hAnsi="Times New Roman"/>
          <w:sz w:val="20"/>
          <w:lang w:val="fr-FR"/>
        </w:rPr>
      </w:pPr>
    </w:p>
    <w:p w14:paraId="3EA59612" w14:textId="77777777" w:rsidR="00D115CD" w:rsidRPr="00623A2B" w:rsidRDefault="00D115CD" w:rsidP="00D115CD">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 xml:space="preserve">La reconnaissance d’un gouvernement est un acte souverain des États, et non des institutions internationales. L’OEA ne possède ni ne peut s’arroger des facultés de reconnaissance collective opposable à la qualité de </w:t>
      </w:r>
      <w:proofErr w:type="gramStart"/>
      <w:r w:rsidRPr="00623A2B">
        <w:rPr>
          <w:rFonts w:ascii="Times New Roman" w:hAnsi="Times New Roman"/>
          <w:sz w:val="20"/>
          <w:lang w:val="fr-FR"/>
        </w:rPr>
        <w:t>membre;</w:t>
      </w:r>
      <w:proofErr w:type="gramEnd"/>
      <w:r w:rsidRPr="00623A2B">
        <w:rPr>
          <w:rFonts w:ascii="Times New Roman" w:hAnsi="Times New Roman"/>
          <w:sz w:val="20"/>
          <w:lang w:val="fr-FR"/>
        </w:rPr>
        <w:t xml:space="preserve"> c’est pourquoi tout acte visant à atteindre cet objectif tombe en dehors de sa compétence et est matériellement nul.</w:t>
      </w:r>
    </w:p>
    <w:p w14:paraId="717B1444" w14:textId="77777777" w:rsidR="00D115CD" w:rsidRPr="00623A2B" w:rsidRDefault="00D115CD" w:rsidP="00D115CD">
      <w:pPr>
        <w:pStyle w:val="FootnoteText"/>
        <w:tabs>
          <w:tab w:val="clear" w:pos="360"/>
        </w:tabs>
        <w:ind w:left="0" w:firstLine="720"/>
        <w:rPr>
          <w:rFonts w:ascii="Times New Roman" w:hAnsi="Times New Roman"/>
          <w:sz w:val="20"/>
          <w:lang w:val="fr-FR"/>
        </w:rPr>
      </w:pPr>
    </w:p>
    <w:p w14:paraId="19C56BD7" w14:textId="77777777" w:rsidR="00D115CD" w:rsidRPr="00623A2B" w:rsidRDefault="00D115CD" w:rsidP="00D115CD">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45C6E9C0" w14:textId="77777777" w:rsidR="00D115CD" w:rsidRPr="00623A2B" w:rsidRDefault="00D115CD" w:rsidP="00D115CD">
      <w:pPr>
        <w:pStyle w:val="FootnoteText"/>
        <w:tabs>
          <w:tab w:val="clear" w:pos="360"/>
        </w:tabs>
        <w:ind w:left="0" w:firstLine="720"/>
        <w:rPr>
          <w:rFonts w:ascii="Times New Roman" w:hAnsi="Times New Roman"/>
          <w:sz w:val="20"/>
          <w:lang w:val="fr-FR"/>
        </w:rPr>
      </w:pPr>
    </w:p>
    <w:p w14:paraId="7B0251FF" w14:textId="77777777" w:rsidR="00D115CD" w:rsidRPr="00623A2B" w:rsidRDefault="00D115CD" w:rsidP="00D115CD">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2310AF61" w14:textId="77777777" w:rsidR="00D115CD" w:rsidRPr="00623A2B" w:rsidRDefault="00D115CD" w:rsidP="00D115CD">
      <w:pPr>
        <w:pStyle w:val="FootnoteText"/>
        <w:tabs>
          <w:tab w:val="clear" w:pos="360"/>
        </w:tabs>
        <w:ind w:left="0" w:firstLine="720"/>
        <w:rPr>
          <w:rFonts w:ascii="Times New Roman" w:hAnsi="Times New Roman"/>
          <w:sz w:val="20"/>
          <w:lang w:val="fr-FR"/>
        </w:rPr>
      </w:pPr>
    </w:p>
    <w:p w14:paraId="5224ECEF" w14:textId="77777777" w:rsidR="00D115CD" w:rsidRPr="00623A2B" w:rsidRDefault="00D115CD" w:rsidP="00D115CD">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6DA27EB6" w14:textId="77777777" w:rsidR="00D115CD" w:rsidRPr="00623A2B" w:rsidRDefault="00D115CD" w:rsidP="00D115CD">
      <w:pPr>
        <w:pStyle w:val="FootnoteText"/>
        <w:tabs>
          <w:tab w:val="clear" w:pos="360"/>
        </w:tabs>
        <w:ind w:left="0" w:firstLine="720"/>
        <w:rPr>
          <w:rFonts w:ascii="Times New Roman" w:hAnsi="Times New Roman"/>
          <w:sz w:val="20"/>
          <w:lang w:val="fr-FR"/>
        </w:rPr>
      </w:pPr>
    </w:p>
    <w:p w14:paraId="0DE40FEB" w14:textId="77777777" w:rsidR="00D115CD" w:rsidRPr="00623A2B" w:rsidRDefault="00D115CD" w:rsidP="00D115CD">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2.</w:t>
      </w:r>
      <w:r w:rsidRPr="00623A2B">
        <w:rPr>
          <w:rFonts w:ascii="Times New Roman" w:hAnsi="Times New Roman"/>
          <w:sz w:val="20"/>
          <w:lang w:val="fr-FR"/>
        </w:rPr>
        <w:tab/>
        <w:t xml:space="preserve">… de personnes qui prétendent usurper la représentation légale de la République bolivarienne du Venezuela et du Gouvernement légitime du Président </w:t>
      </w:r>
      <w:proofErr w:type="spellStart"/>
      <w:r w:rsidRPr="00623A2B">
        <w:rPr>
          <w:rFonts w:ascii="Times New Roman" w:hAnsi="Times New Roman"/>
          <w:sz w:val="20"/>
          <w:lang w:val="fr-FR"/>
        </w:rPr>
        <w:t>Nicolás</w:t>
      </w:r>
      <w:proofErr w:type="spellEnd"/>
      <w:r w:rsidRPr="00623A2B">
        <w:rPr>
          <w:rFonts w:ascii="Times New Roman" w:hAnsi="Times New Roman"/>
          <w:sz w:val="20"/>
          <w:lang w:val="fr-FR"/>
        </w:rPr>
        <w:t xml:space="preserve"> </w:t>
      </w:r>
      <w:proofErr w:type="spellStart"/>
      <w:r w:rsidRPr="00623A2B">
        <w:rPr>
          <w:rFonts w:ascii="Times New Roman" w:hAnsi="Times New Roman"/>
          <w:sz w:val="20"/>
          <w:lang w:val="fr-FR"/>
        </w:rPr>
        <w:t>Maduro</w:t>
      </w:r>
      <w:proofErr w:type="spellEnd"/>
      <w:r w:rsidRPr="00623A2B">
        <w:rPr>
          <w:rFonts w:ascii="Times New Roman" w:hAnsi="Times New Roman"/>
          <w:sz w:val="20"/>
          <w:lang w:val="fr-FR"/>
        </w:rPr>
        <w:t xml:space="preserve"> Moros. Nous demandons que notre refus soit consigné dans tous les documents qui seront traités lors de la présente Cinquante-et-unième Session de l’Assemblée générale de l’OEA.</w:t>
      </w:r>
    </w:p>
    <w:p w14:paraId="01437155" w14:textId="77777777" w:rsidR="00D115CD" w:rsidRPr="00623A2B" w:rsidRDefault="00D115CD" w:rsidP="00D115CD">
      <w:pPr>
        <w:pStyle w:val="FootnoteText"/>
        <w:tabs>
          <w:tab w:val="clear" w:pos="360"/>
        </w:tabs>
        <w:ind w:left="0" w:firstLine="720"/>
        <w:rPr>
          <w:rFonts w:ascii="Times New Roman" w:hAnsi="Times New Roman"/>
          <w:sz w:val="20"/>
          <w:lang w:val="fr-FR"/>
        </w:rPr>
      </w:pPr>
    </w:p>
    <w:p w14:paraId="135F7DE2" w14:textId="77777777" w:rsidR="00D115CD" w:rsidRPr="00623A2B" w:rsidRDefault="00D115CD" w:rsidP="00D115CD">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3.</w:t>
      </w:r>
      <w:r w:rsidRPr="00623A2B">
        <w:rPr>
          <w:rFonts w:ascii="Times New Roman" w:hAnsi="Times New Roman"/>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516CFCD3" w14:textId="77777777" w:rsidR="00D115CD" w:rsidRPr="00623A2B" w:rsidRDefault="00D115CD" w:rsidP="00D115CD">
      <w:pPr>
        <w:pStyle w:val="FootnoteText"/>
        <w:tabs>
          <w:tab w:val="clear" w:pos="360"/>
        </w:tabs>
        <w:ind w:left="0" w:firstLine="720"/>
        <w:rPr>
          <w:rFonts w:ascii="Times New Roman" w:hAnsi="Times New Roman"/>
          <w:sz w:val="20"/>
          <w:lang w:val="fr-FR"/>
        </w:rPr>
      </w:pPr>
    </w:p>
    <w:p w14:paraId="5D2C190F" w14:textId="77777777" w:rsidR="00D115CD" w:rsidRPr="00623A2B" w:rsidRDefault="00D115CD" w:rsidP="00D115CD">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 xml:space="preserve">Antigua-et-Barbuda n'a pas soutenu la résolution CP/RES. 1124 (2217/19) du 9 avril 2019 qui visait à nommer M. Gustavo </w:t>
      </w:r>
      <w:proofErr w:type="spellStart"/>
      <w:r w:rsidRPr="00623A2B">
        <w:rPr>
          <w:rFonts w:ascii="Times New Roman" w:hAnsi="Times New Roman"/>
          <w:sz w:val="20"/>
          <w:lang w:val="fr-FR"/>
        </w:rPr>
        <w:t>Tarre</w:t>
      </w:r>
      <w:proofErr w:type="spellEnd"/>
      <w:r w:rsidRPr="00623A2B">
        <w:rPr>
          <w:rFonts w:ascii="Times New Roman" w:hAnsi="Times New Roman"/>
          <w:sz w:val="20"/>
          <w:lang w:val="fr-FR"/>
        </w:rPr>
        <w:t xml:space="preserve"> comme représentant de l'Assemblée nationale auprès de l'OEA et n'a pas accepté les </w:t>
      </w:r>
      <w:r w:rsidRPr="00623A2B">
        <w:rPr>
          <w:rFonts w:ascii="Times New Roman" w:hAnsi="Times New Roman"/>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7FCA33E7" w14:textId="77777777" w:rsidR="00D115CD" w:rsidRPr="00623A2B" w:rsidRDefault="00D115CD" w:rsidP="00D115CD">
      <w:pPr>
        <w:pStyle w:val="FootnoteText"/>
        <w:tabs>
          <w:tab w:val="clear" w:pos="360"/>
        </w:tabs>
        <w:ind w:left="0" w:firstLine="720"/>
        <w:rPr>
          <w:rFonts w:ascii="Times New Roman" w:hAnsi="Times New Roman"/>
          <w:sz w:val="20"/>
          <w:lang w:val="fr-FR"/>
        </w:rPr>
      </w:pPr>
    </w:p>
    <w:p w14:paraId="0B3634DC" w14:textId="77777777" w:rsidR="00D115CD" w:rsidRPr="00623A2B" w:rsidRDefault="00D115CD" w:rsidP="00D115CD">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39968CDA" w14:textId="77777777" w:rsidR="00D115CD" w:rsidRPr="00623A2B" w:rsidRDefault="00D115CD" w:rsidP="00D115CD">
      <w:pPr>
        <w:ind w:firstLine="720"/>
        <w:rPr>
          <w:rFonts w:ascii="Times New Roman" w:hAnsi="Times New Roman"/>
          <w:position w:val="-1"/>
          <w:sz w:val="20"/>
          <w:lang w:val="fr-CA"/>
        </w:rPr>
      </w:pPr>
    </w:p>
    <w:p w14:paraId="5FA6521F" w14:textId="77777777" w:rsidR="00D115CD" w:rsidRPr="00623A2B" w:rsidRDefault="00D115CD" w:rsidP="00D115CD">
      <w:pPr>
        <w:pStyle w:val="FootnoteText"/>
        <w:ind w:left="0" w:firstLine="720"/>
        <w:rPr>
          <w:rFonts w:ascii="Times New Roman" w:hAnsi="Times New Roman"/>
          <w:sz w:val="20"/>
          <w:lang w:val="fr-CA"/>
        </w:rPr>
      </w:pPr>
      <w:r w:rsidRPr="00623A2B">
        <w:rPr>
          <w:rFonts w:ascii="Times New Roman" w:hAnsi="Times New Roman"/>
          <w:sz w:val="20"/>
          <w:lang w:val="fr-FR"/>
        </w:rPr>
        <w:t>4.</w:t>
      </w:r>
      <w:r w:rsidRPr="00623A2B">
        <w:rPr>
          <w:rFonts w:ascii="Times New Roman" w:hAnsi="Times New Roman"/>
          <w:sz w:val="20"/>
          <w:lang w:val="fr-FR"/>
        </w:rPr>
        <w:tab/>
      </w:r>
      <w:r w:rsidRPr="00623A2B">
        <w:rPr>
          <w:rFonts w:ascii="Times New Roman" w:hAnsi="Times New Roman"/>
          <w:sz w:val="20"/>
          <w:lang w:val="fr-CA"/>
        </w:rPr>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0AA961AE" w14:textId="77777777" w:rsidR="00D115CD" w:rsidRPr="00623A2B" w:rsidRDefault="00D115CD" w:rsidP="00D115CD">
      <w:pPr>
        <w:pStyle w:val="FootnoteText"/>
        <w:ind w:left="0" w:firstLine="720"/>
        <w:rPr>
          <w:rFonts w:ascii="Times New Roman" w:hAnsi="Times New Roman"/>
          <w:sz w:val="20"/>
          <w:lang w:val="fr-CA"/>
        </w:rPr>
      </w:pPr>
    </w:p>
    <w:p w14:paraId="1F1511B3" w14:textId="77777777" w:rsidR="00D115CD" w:rsidRPr="00623A2B" w:rsidRDefault="00D115CD" w:rsidP="00DD002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fr-FR"/>
        </w:rPr>
      </w:pPr>
      <w:r w:rsidRPr="00623A2B">
        <w:rPr>
          <w:rFonts w:ascii="Times New Roman" w:hAnsi="Times New Roman"/>
          <w:sz w:val="20"/>
          <w:lang w:val="fr-CA"/>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p>
    <w:p w14:paraId="793F9176" w14:textId="62D060EC" w:rsidR="00722BB2" w:rsidRPr="00623A2B" w:rsidRDefault="00722BB2" w:rsidP="009A129C">
      <w:pPr>
        <w:pStyle w:val="FootnoteText"/>
        <w:tabs>
          <w:tab w:val="clear" w:pos="360"/>
        </w:tabs>
        <w:rPr>
          <w:rFonts w:ascii="Times New Roman" w:hAnsi="Times New Roman"/>
          <w:sz w:val="20"/>
          <w:lang w:val="fr-FR"/>
        </w:rPr>
      </w:pPr>
    </w:p>
    <w:p w14:paraId="74517803" w14:textId="77777777" w:rsidR="00ED77CA" w:rsidRPr="00623A2B" w:rsidRDefault="00ED77CA" w:rsidP="009A129C">
      <w:pPr>
        <w:pStyle w:val="FootnoteText"/>
        <w:tabs>
          <w:tab w:val="clear" w:pos="360"/>
        </w:tabs>
        <w:rPr>
          <w:rFonts w:ascii="Times New Roman" w:hAnsi="Times New Roman"/>
          <w:sz w:val="20"/>
          <w:lang w:val="fr-FR"/>
        </w:rPr>
        <w:sectPr w:rsidR="00ED77CA" w:rsidRPr="00623A2B" w:rsidSect="00623A2B">
          <w:footnotePr>
            <w:numRestart w:val="eachSect"/>
          </w:footnotePr>
          <w:pgSz w:w="12240" w:h="15840" w:code="1"/>
          <w:pgMar w:top="2160" w:right="1570" w:bottom="1296" w:left="1699" w:header="720" w:footer="720" w:gutter="0"/>
          <w:cols w:space="720"/>
          <w:docGrid w:linePitch="360"/>
        </w:sectPr>
      </w:pPr>
    </w:p>
    <w:p w14:paraId="5836B01C" w14:textId="77F624C1" w:rsidR="00446FC8" w:rsidRPr="00623A2B" w:rsidRDefault="00446FC8" w:rsidP="00446FC8">
      <w:pPr>
        <w:pStyle w:val="Heading1"/>
        <w:spacing w:before="0"/>
        <w:jc w:val="center"/>
        <w:rPr>
          <w:rFonts w:ascii="Times New Roman" w:eastAsia="Calibri" w:hAnsi="Times New Roman" w:cs="Times New Roman"/>
          <w:color w:val="auto"/>
          <w:sz w:val="22"/>
          <w:szCs w:val="22"/>
          <w:lang w:val="fr-FR"/>
        </w:rPr>
      </w:pPr>
      <w:bookmarkStart w:id="41" w:name="_Toc89177462"/>
      <w:r w:rsidRPr="00623A2B">
        <w:rPr>
          <w:rFonts w:ascii="Times New Roman" w:hAnsi="Times New Roman" w:cs="Times New Roman"/>
          <w:color w:val="auto"/>
          <w:sz w:val="22"/>
          <w:szCs w:val="22"/>
          <w:lang w:val="fr-FR"/>
        </w:rPr>
        <w:lastRenderedPageBreak/>
        <w:t>AG/RES. 297</w:t>
      </w:r>
      <w:r w:rsidR="008B23D0" w:rsidRPr="00623A2B">
        <w:rPr>
          <w:rFonts w:ascii="Times New Roman" w:hAnsi="Times New Roman" w:cs="Times New Roman"/>
          <w:color w:val="auto"/>
          <w:sz w:val="22"/>
          <w:szCs w:val="22"/>
          <w:lang w:val="fr-FR"/>
        </w:rPr>
        <w:t>2</w:t>
      </w:r>
      <w:r w:rsidRPr="00623A2B">
        <w:rPr>
          <w:rFonts w:ascii="Times New Roman" w:hAnsi="Times New Roman" w:cs="Times New Roman"/>
          <w:color w:val="auto"/>
          <w:sz w:val="22"/>
          <w:szCs w:val="22"/>
          <w:lang w:val="fr-FR"/>
        </w:rPr>
        <w:t xml:space="preserve"> (LI-O/21)</w:t>
      </w:r>
      <w:r w:rsidRPr="00623A2B">
        <w:rPr>
          <w:rFonts w:ascii="Times New Roman" w:hAnsi="Times New Roman" w:cs="Times New Roman"/>
          <w:color w:val="auto"/>
          <w:sz w:val="22"/>
          <w:szCs w:val="22"/>
          <w:lang w:val="fr-FR"/>
        </w:rPr>
        <w:br/>
      </w:r>
      <w:r w:rsidRPr="00623A2B">
        <w:rPr>
          <w:rFonts w:ascii="Times New Roman" w:hAnsi="Times New Roman" w:cs="Times New Roman"/>
          <w:color w:val="auto"/>
          <w:sz w:val="22"/>
          <w:szCs w:val="22"/>
          <w:lang w:val="fr-FR"/>
        </w:rPr>
        <w:br/>
        <w:t>ACCROISSEMENT ET RENFORCEMENT DE LA PARTICIPATION DE LA SOCIÉTÉ CIVILE ET DES ACTEURS SOCIAUX AUX ACTIVITÉS DE L’ORGANISATION DES ÉTATS AMÉRICAINS ET AU PROCESSUS DES SOMMETS DES AMÉRIQUES</w:t>
      </w:r>
      <w:r w:rsidRPr="00623A2B">
        <w:rPr>
          <w:rStyle w:val="FootnoteReference"/>
          <w:rFonts w:ascii="Times New Roman" w:hAnsi="Times New Roman" w:cs="Times New Roman"/>
          <w:sz w:val="22"/>
          <w:szCs w:val="22"/>
          <w:u w:val="single"/>
          <w:vertAlign w:val="superscript"/>
          <w:lang w:val="pt-BR"/>
        </w:rPr>
        <w:footnoteReference w:id="62"/>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63"/>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64"/>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65"/>
      </w:r>
      <w:r w:rsidRPr="00623A2B">
        <w:rPr>
          <w:rFonts w:ascii="Times New Roman" w:hAnsi="Times New Roman" w:cs="Times New Roman"/>
          <w:color w:val="auto"/>
          <w:sz w:val="22"/>
          <w:szCs w:val="22"/>
          <w:vertAlign w:val="superscript"/>
          <w:lang w:val="fr-CA"/>
        </w:rPr>
        <w:t>/</w:t>
      </w:r>
      <w:bookmarkEnd w:id="41"/>
    </w:p>
    <w:p w14:paraId="450EF5DE" w14:textId="77777777" w:rsidR="00446FC8" w:rsidRPr="00623A2B" w:rsidRDefault="00446FC8" w:rsidP="00446FC8">
      <w:pPr>
        <w:outlineLvl w:val="0"/>
        <w:rPr>
          <w:rFonts w:ascii="Times New Roman" w:eastAsia="Calibri" w:hAnsi="Times New Roman"/>
          <w:bCs/>
          <w:lang w:val="fr-FR" w:eastAsia="es-ES"/>
        </w:rPr>
      </w:pPr>
    </w:p>
    <w:p w14:paraId="69FB1B5D" w14:textId="77777777" w:rsidR="00446FC8" w:rsidRPr="00623A2B" w:rsidRDefault="00446FC8" w:rsidP="00446FC8">
      <w:pPr>
        <w:jc w:val="center"/>
        <w:rPr>
          <w:rFonts w:ascii="Times New Roman" w:eastAsia="Calibri" w:hAnsi="Times New Roman"/>
          <w:bCs/>
          <w:lang w:val="fr-FR"/>
        </w:rPr>
      </w:pPr>
      <w:r w:rsidRPr="00623A2B">
        <w:rPr>
          <w:rFonts w:ascii="Times New Roman" w:hAnsi="Times New Roman"/>
          <w:lang w:val="fr-FR"/>
        </w:rPr>
        <w:t>(</w:t>
      </w:r>
      <w:r w:rsidRPr="00623A2B">
        <w:rPr>
          <w:rFonts w:ascii="Times New Roman" w:hAnsi="Times New Roman"/>
          <w:szCs w:val="22"/>
          <w:lang w:val="fr-FR"/>
        </w:rPr>
        <w:t xml:space="preserve">Résolution adoptée à la deuxième séance plénière, </w:t>
      </w:r>
      <w:r w:rsidRPr="00623A2B">
        <w:rPr>
          <w:rFonts w:ascii="Times New Roman" w:hAnsi="Times New Roman"/>
          <w:szCs w:val="22"/>
          <w:lang w:val="fr-CA"/>
        </w:rPr>
        <w:t>le 11 novembre 2021</w:t>
      </w:r>
      <w:r w:rsidRPr="00623A2B">
        <w:rPr>
          <w:rFonts w:ascii="Times New Roman" w:hAnsi="Times New Roman"/>
          <w:lang w:val="fr-FR"/>
        </w:rPr>
        <w:t>)</w:t>
      </w:r>
    </w:p>
    <w:p w14:paraId="6155B731" w14:textId="77777777" w:rsidR="00446FC8" w:rsidRPr="00623A2B" w:rsidRDefault="00446FC8" w:rsidP="00446FC8">
      <w:pPr>
        <w:outlineLvl w:val="0"/>
        <w:rPr>
          <w:rFonts w:ascii="Times New Roman" w:eastAsia="Calibri" w:hAnsi="Times New Roman"/>
          <w:bCs/>
          <w:lang w:val="fr-FR" w:eastAsia="es-ES"/>
        </w:rPr>
      </w:pPr>
    </w:p>
    <w:p w14:paraId="3061CF08" w14:textId="77777777" w:rsidR="00446FC8" w:rsidRPr="00623A2B" w:rsidRDefault="00446FC8" w:rsidP="00446FC8">
      <w:pPr>
        <w:rPr>
          <w:rFonts w:ascii="Times New Roman" w:eastAsia="Calibri" w:hAnsi="Times New Roman"/>
          <w:lang w:val="fr-FR" w:eastAsia="es-ES"/>
        </w:rPr>
      </w:pPr>
    </w:p>
    <w:p w14:paraId="335045E4" w14:textId="77777777" w:rsidR="00446FC8" w:rsidRPr="00623A2B" w:rsidRDefault="00446FC8" w:rsidP="00446FC8">
      <w:pPr>
        <w:ind w:firstLine="720"/>
        <w:rPr>
          <w:rFonts w:ascii="Times New Roman" w:eastAsia="Calibri" w:hAnsi="Times New Roman"/>
          <w:lang w:val="fr-FR"/>
        </w:rPr>
      </w:pPr>
      <w:r w:rsidRPr="00623A2B">
        <w:rPr>
          <w:rFonts w:ascii="Times New Roman" w:hAnsi="Times New Roman"/>
          <w:lang w:val="fr-FR"/>
        </w:rPr>
        <w:t>L’ASSEMBLÉE GÉNÉRALE,</w:t>
      </w:r>
    </w:p>
    <w:p w14:paraId="29960975" w14:textId="77777777" w:rsidR="00446FC8" w:rsidRPr="00623A2B" w:rsidRDefault="00446FC8" w:rsidP="00446FC8">
      <w:pPr>
        <w:rPr>
          <w:rFonts w:ascii="Times New Roman" w:hAnsi="Times New Roman"/>
          <w:lang w:val="fr-FR"/>
        </w:rPr>
      </w:pPr>
    </w:p>
    <w:p w14:paraId="7BF587DF" w14:textId="77777777" w:rsidR="00446FC8" w:rsidRPr="00623A2B" w:rsidRDefault="00446FC8" w:rsidP="00446FC8">
      <w:pPr>
        <w:ind w:firstLine="720"/>
        <w:rPr>
          <w:rFonts w:ascii="Times New Roman" w:hAnsi="Times New Roman"/>
          <w:lang w:val="fr-FR"/>
        </w:rPr>
      </w:pPr>
      <w:r w:rsidRPr="00623A2B">
        <w:rPr>
          <w:rFonts w:ascii="Times New Roman" w:hAnsi="Times New Roman"/>
          <w:lang w:val="fr-FR"/>
        </w:rPr>
        <w:t xml:space="preserve">RECONNAISSANT l’importance de la participation des organisations de la société civile et d’autres acteurs sociaux au renforcement de la démocratie, au développement intégré, à la promotion et à la protection des droits de la personne et à la sécurité multidimensionnelle dans tous les États membres et que leur participation aux activités de l’Organisation des États Américains (OEA) et au processus des Sommets des Amériques doit se dérouler dans un cadre d’étroite collaboration entre les organes politiques et institutionnels de l’Organisation et dans le respect des dispositions de la Charte de l’Organisation des États Américains et de la résolution CP/RES. 759 (1217/99), « Directives pour la participation des institutions de la société civile aux activités de l'OEA », </w:t>
      </w:r>
    </w:p>
    <w:p w14:paraId="156A62F6" w14:textId="77777777" w:rsidR="00446FC8" w:rsidRPr="00623A2B" w:rsidRDefault="00446FC8" w:rsidP="00446FC8">
      <w:pPr>
        <w:rPr>
          <w:rFonts w:ascii="Times New Roman" w:hAnsi="Times New Roman"/>
          <w:lang w:val="fr-FR"/>
        </w:rPr>
      </w:pPr>
    </w:p>
    <w:p w14:paraId="2D632F0A" w14:textId="77777777" w:rsidR="00446FC8" w:rsidRPr="00623A2B" w:rsidRDefault="00446FC8" w:rsidP="00446FC8">
      <w:pPr>
        <w:ind w:firstLine="720"/>
        <w:rPr>
          <w:rFonts w:ascii="Times New Roman" w:hAnsi="Times New Roman"/>
          <w:lang w:val="fr-FR"/>
        </w:rPr>
      </w:pPr>
      <w:r w:rsidRPr="00623A2B">
        <w:rPr>
          <w:rFonts w:ascii="Times New Roman" w:hAnsi="Times New Roman"/>
          <w:lang w:val="fr-FR"/>
        </w:rPr>
        <w:t xml:space="preserve">TENANT COMPTE des résolutions AG/RES. 1915 (XXXIII-O/03), AG/RES. 2901 (XLVII-O/17), AG/RES. 2902 (XLVII-O/17), AG/RES. 2920 (XLVIII-O/18), AG/RES. 2924 (XLVIII-O/18), AG/RES. 2933 (XLIX-O/19), AG/RES. 2949 (L-O/20), CP/RES. 759 (1217/99), CP/RES. 864 (1413/04) ainsi que toutes les résolutions adoptées antérieurement en la matière, </w:t>
      </w:r>
    </w:p>
    <w:p w14:paraId="51106AE6" w14:textId="77777777" w:rsidR="00446FC8" w:rsidRPr="00623A2B" w:rsidRDefault="00446FC8" w:rsidP="00446FC8">
      <w:pPr>
        <w:rPr>
          <w:rFonts w:ascii="Times New Roman" w:hAnsi="Times New Roman"/>
          <w:lang w:val="fr-FR"/>
        </w:rPr>
      </w:pPr>
    </w:p>
    <w:p w14:paraId="7DE1D257" w14:textId="77777777" w:rsidR="00446FC8" w:rsidRPr="00623A2B" w:rsidRDefault="00446FC8" w:rsidP="00446FC8">
      <w:pPr>
        <w:ind w:firstLine="720"/>
        <w:rPr>
          <w:rFonts w:ascii="Times New Roman" w:hAnsi="Times New Roman"/>
          <w:lang w:val="fr-FR"/>
        </w:rPr>
      </w:pPr>
      <w:r w:rsidRPr="00623A2B">
        <w:rPr>
          <w:rFonts w:ascii="Times New Roman" w:hAnsi="Times New Roman"/>
          <w:lang w:val="fr-FR"/>
        </w:rPr>
        <w:t xml:space="preserve">PRENANT EN COMPTE la Directive OSG-629/16 du Secrétariat général en date du 22 novembre 2016, qui établit que la participation et la coopération de la société civile aux activités de l’Organisation doivent être menées en stricte coordination avec la Section des relations avec la société civile du Secrétariat à l’accès aux droits et à l’équité, </w:t>
      </w:r>
    </w:p>
    <w:p w14:paraId="5B4F5D2C" w14:textId="77777777" w:rsidR="00446FC8" w:rsidRPr="00623A2B" w:rsidRDefault="00446FC8" w:rsidP="00446FC8">
      <w:pPr>
        <w:rPr>
          <w:rFonts w:ascii="Times New Roman" w:hAnsi="Times New Roman"/>
          <w:lang w:val="fr-FR"/>
        </w:rPr>
      </w:pPr>
    </w:p>
    <w:p w14:paraId="0EB64DB5" w14:textId="77777777" w:rsidR="00446FC8" w:rsidRPr="00623A2B" w:rsidRDefault="00446FC8" w:rsidP="00446FC8">
      <w:pPr>
        <w:ind w:firstLine="720"/>
        <w:rPr>
          <w:rFonts w:ascii="Times New Roman" w:hAnsi="Times New Roman"/>
          <w:lang w:val="fr-FR"/>
        </w:rPr>
      </w:pPr>
      <w:r w:rsidRPr="00623A2B">
        <w:rPr>
          <w:rFonts w:ascii="Times New Roman" w:hAnsi="Times New Roman"/>
          <w:lang w:val="fr-FR"/>
        </w:rPr>
        <w:t xml:space="preserve">NOTANT que depuis la date de clôture de la cinquantième session ordinaire de l'Assemblée générale de l'OEA, le 21 octobre 2020, </w:t>
      </w:r>
      <w:r w:rsidRPr="00623A2B">
        <w:rPr>
          <w:rFonts w:ascii="Times New Roman" w:hAnsi="Times New Roman"/>
          <w:bCs/>
          <w:lang w:val="fr-FR"/>
        </w:rPr>
        <w:t>trente</w:t>
      </w:r>
      <w:r w:rsidRPr="00623A2B">
        <w:rPr>
          <w:rFonts w:ascii="Times New Roman" w:hAnsi="Times New Roman"/>
          <w:lang w:val="fr-FR"/>
        </w:rPr>
        <w:t xml:space="preserve"> organisations de la société civile ont été approuvées par le Conseil permanent aux fins d’inscription au registre de l'OEA, ce qui porte le total à </w:t>
      </w:r>
      <w:r w:rsidRPr="00623A2B">
        <w:rPr>
          <w:rFonts w:ascii="Times New Roman" w:hAnsi="Times New Roman"/>
          <w:bCs/>
          <w:lang w:val="fr-FR"/>
        </w:rPr>
        <w:t>six cent trente-six</w:t>
      </w:r>
      <w:r w:rsidRPr="00623A2B">
        <w:rPr>
          <w:rFonts w:ascii="Times New Roman" w:hAnsi="Times New Roman"/>
          <w:lang w:val="fr-FR"/>
        </w:rPr>
        <w:t xml:space="preserve"> organisations de la société civile accréditées auprès de l'OEA, </w:t>
      </w:r>
    </w:p>
    <w:p w14:paraId="02CFE1BD" w14:textId="77777777" w:rsidR="00446FC8" w:rsidRPr="00623A2B" w:rsidRDefault="00446FC8" w:rsidP="00446FC8">
      <w:pPr>
        <w:rPr>
          <w:rFonts w:ascii="Times New Roman" w:hAnsi="Times New Roman"/>
          <w:lang w:val="fr-FR"/>
        </w:rPr>
      </w:pPr>
    </w:p>
    <w:p w14:paraId="7C13BFFC" w14:textId="77777777" w:rsidR="00446FC8" w:rsidRPr="00623A2B" w:rsidRDefault="00446FC8" w:rsidP="00446FC8">
      <w:pPr>
        <w:ind w:firstLine="720"/>
        <w:rPr>
          <w:rFonts w:ascii="Times New Roman" w:hAnsi="Times New Roman"/>
          <w:b/>
          <w:bCs/>
          <w:lang w:val="fr-FR"/>
        </w:rPr>
      </w:pPr>
      <w:r w:rsidRPr="00623A2B">
        <w:rPr>
          <w:rFonts w:ascii="Times New Roman" w:hAnsi="Times New Roman"/>
          <w:lang w:val="fr-FR"/>
        </w:rPr>
        <w:t xml:space="preserve">NOTANT ÉGALEMENT la tenue de la « Réunion spéciale sur la participation des organisations de la société civile en prévision de la cinquante-et-unième session ordinaire de l’Assemblée générale de l’OEA », le 28 septembre 2021, </w:t>
      </w:r>
    </w:p>
    <w:p w14:paraId="1CB92CD3" w14:textId="77777777" w:rsidR="00446FC8" w:rsidRPr="00623A2B" w:rsidRDefault="00446FC8" w:rsidP="00446FC8">
      <w:pPr>
        <w:rPr>
          <w:rFonts w:ascii="Times New Roman" w:hAnsi="Times New Roman"/>
          <w:lang w:val="fr-FR"/>
        </w:rPr>
      </w:pPr>
    </w:p>
    <w:p w14:paraId="06F95207" w14:textId="77777777" w:rsidR="00446FC8" w:rsidRPr="00623A2B" w:rsidRDefault="00446FC8" w:rsidP="00446FC8">
      <w:pPr>
        <w:keepNext/>
        <w:rPr>
          <w:rFonts w:ascii="Times New Roman" w:hAnsi="Times New Roman"/>
        </w:rPr>
      </w:pPr>
      <w:proofErr w:type="gramStart"/>
      <w:r w:rsidRPr="00623A2B">
        <w:rPr>
          <w:rFonts w:ascii="Times New Roman" w:hAnsi="Times New Roman"/>
        </w:rPr>
        <w:lastRenderedPageBreak/>
        <w:t>DÉCIDE :</w:t>
      </w:r>
      <w:proofErr w:type="gramEnd"/>
    </w:p>
    <w:p w14:paraId="25CC92F0" w14:textId="77777777" w:rsidR="00446FC8" w:rsidRPr="00623A2B" w:rsidRDefault="00446FC8" w:rsidP="00446FC8">
      <w:pPr>
        <w:keepNext/>
        <w:rPr>
          <w:rFonts w:ascii="Times New Roman" w:hAnsi="Times New Roman"/>
        </w:rPr>
      </w:pPr>
    </w:p>
    <w:p w14:paraId="342DC419" w14:textId="77777777" w:rsidR="00446FC8" w:rsidRPr="00623A2B" w:rsidRDefault="00446FC8" w:rsidP="00446FC8">
      <w:pPr>
        <w:pStyle w:val="ListParagraph"/>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lang w:val="fr-FR"/>
        </w:rPr>
      </w:pPr>
      <w:r w:rsidRPr="00623A2B">
        <w:rPr>
          <w:rFonts w:ascii="Times New Roman" w:hAnsi="Times New Roman"/>
          <w:lang w:val="fr-FR"/>
        </w:rPr>
        <w:t xml:space="preserve">De réaffirmer l’engagement et la volonté des États membres de l’Organisation des États Américains (OEA) de continuer à : a) soutenir et promouvoir l’inscription des organisations de la société civile et d’autres acteurs sociaux conformément aux normes et règlements de l’Organisation ; b) renforcer et mettre en œuvre des espaces et mécanismes efficaces afin de produire des mesures et des efforts aux niveaux national et multilatéral pour que les organisations de la société civile et d’autres acteurs sociaux, y compris les organisations féminines, participent aux activités de l’OEA et au processus des Sommets des Amériques ; et c) participer au « Dialogue des représentants des organisations de la société civile et d'autres acteurs avec les chefs de délégation, le Secrétaire général et le Secrétaire général adjoint » dans le cadre des sessions ordinaires de l’Assemblée générale et du processus des Sommets des Amériques, y compris celui du Neuvième Sommet, qui sera accueilli par les États-Unis en 2022. </w:t>
      </w:r>
    </w:p>
    <w:p w14:paraId="5AC8D4CA" w14:textId="77777777" w:rsidR="00446FC8" w:rsidRPr="00623A2B" w:rsidRDefault="00446FC8" w:rsidP="00446FC8">
      <w:pPr>
        <w:rPr>
          <w:rFonts w:ascii="Times New Roman" w:hAnsi="Times New Roman"/>
          <w:lang w:val="fr-FR"/>
        </w:rPr>
      </w:pPr>
    </w:p>
    <w:p w14:paraId="65981DD3" w14:textId="77777777" w:rsidR="00446FC8" w:rsidRPr="00623A2B" w:rsidRDefault="00446FC8" w:rsidP="00446FC8">
      <w:pPr>
        <w:pStyle w:val="ListParagraph"/>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lang w:val="fr-FR"/>
        </w:rPr>
      </w:pPr>
      <w:r w:rsidRPr="00623A2B">
        <w:rPr>
          <w:rFonts w:ascii="Times New Roman" w:hAnsi="Times New Roman"/>
          <w:lang w:val="fr-FR"/>
        </w:rPr>
        <w:t xml:space="preserve">De charger le Conseil permanent, le Conseil interaméricain pour le développement intégré et le Secrétariat général de continuer à faciliter la mise en œuvre des stratégies, des espaces et des mécanismes visant à promouvoir, à accroître et à renforcer la participation des organisations de la société civile et d’autres acteurs sociaux, telles que les organisations féminines, aux Sommets des Amériques et aux activités de l’OEA. </w:t>
      </w:r>
    </w:p>
    <w:p w14:paraId="17BD1CB1" w14:textId="77777777" w:rsidR="00446FC8" w:rsidRPr="00623A2B" w:rsidRDefault="00446FC8" w:rsidP="00446FC8">
      <w:pPr>
        <w:rPr>
          <w:rFonts w:ascii="Times New Roman" w:hAnsi="Times New Roman"/>
          <w:lang w:val="fr-FR"/>
        </w:rPr>
      </w:pPr>
    </w:p>
    <w:p w14:paraId="4D028180" w14:textId="77777777" w:rsidR="00446FC8" w:rsidRPr="00623A2B" w:rsidRDefault="00446FC8" w:rsidP="00446FC8">
      <w:pPr>
        <w:pStyle w:val="ListParagraph"/>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b/>
          <w:bCs/>
          <w:lang w:val="fr-FR"/>
        </w:rPr>
      </w:pPr>
      <w:r w:rsidRPr="00623A2B">
        <w:rPr>
          <w:rFonts w:ascii="Times New Roman" w:hAnsi="Times New Roman"/>
          <w:lang w:val="fr-FR"/>
        </w:rPr>
        <w:t xml:space="preserve">De charger le Secrétariat général de continuer d’inviter les peuples autochtones et les communautés d’ascendance africaine des États membres ou leurs représentants à participer au « Dialogue des représentants des organisations de la société civile et d'autres acteurs avec les chefs de délégation, le Secrétaire général et le Secrétaire général adjoint » dans le cadre des sessions ordinaires de l’Assemblée générale de l’OEA afin que ces représentants formulent des recommandations et des propositions d’initiatives liées au thème de l’Assemblée générale. </w:t>
      </w:r>
    </w:p>
    <w:p w14:paraId="742EE51D" w14:textId="77777777" w:rsidR="00446FC8" w:rsidRPr="00623A2B" w:rsidRDefault="00446FC8" w:rsidP="00446FC8">
      <w:pPr>
        <w:rPr>
          <w:rFonts w:ascii="Times New Roman" w:hAnsi="Times New Roman"/>
          <w:lang w:val="fr-FR"/>
        </w:rPr>
      </w:pPr>
    </w:p>
    <w:p w14:paraId="46186CAA" w14:textId="77777777" w:rsidR="00446FC8" w:rsidRPr="00623A2B" w:rsidRDefault="00446FC8" w:rsidP="00446FC8">
      <w:pPr>
        <w:pStyle w:val="ListParagraph"/>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lang w:val="fr-FR"/>
        </w:rPr>
      </w:pPr>
      <w:r w:rsidRPr="00623A2B">
        <w:rPr>
          <w:rFonts w:ascii="Times New Roman" w:hAnsi="Times New Roman"/>
          <w:lang w:val="fr-FR"/>
        </w:rPr>
        <w:t xml:space="preserve">De charger le Secrétariat général de continuer à appuyer les États membres qui en font la demande dans les efforts qu’ils déploient pour accroître et renforcer la capacité institutionnelle de leurs gouvernements à accueillir, intégrer et incorporer les contributions et les suggestions de la société civile et des autres acteurs sociaux. </w:t>
      </w:r>
    </w:p>
    <w:p w14:paraId="320D9B96" w14:textId="77777777" w:rsidR="00446FC8" w:rsidRPr="00623A2B" w:rsidRDefault="00446FC8" w:rsidP="00446FC8">
      <w:pPr>
        <w:rPr>
          <w:rFonts w:ascii="Times New Roman" w:hAnsi="Times New Roman"/>
          <w:lang w:val="fr-FR"/>
        </w:rPr>
      </w:pPr>
    </w:p>
    <w:p w14:paraId="4F169D90" w14:textId="77777777" w:rsidR="00446FC8" w:rsidRPr="00623A2B" w:rsidRDefault="00446FC8" w:rsidP="00446FC8">
      <w:pPr>
        <w:pStyle w:val="ListParagraph"/>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lang w:val="fr-FR"/>
        </w:rPr>
      </w:pPr>
      <w:r w:rsidRPr="00623A2B">
        <w:rPr>
          <w:rFonts w:ascii="Times New Roman" w:hAnsi="Times New Roman"/>
          <w:lang w:val="fr-FR"/>
        </w:rPr>
        <w:t xml:space="preserve">D’encourager tous les États membres, les observateurs permanents et les autres donateurs, selon la définition figurant à l’article 74 des Normes générales de fonctionnement du Secrétariat général et les autres normes et règlements de l’Organisation, à envisager de verser des contributions au Fonds spécifique pour le financement de la participation des organisations de la société civile aux activités de l’OEA et au processus des Sommets des Amériques, créé au moyen de la résolution CP/RES. 864 (1413/04), afin de maintenir et d’encourager la participation efficace des organisations de la société civile et d’autres acteurs sociaux aux activités de l’Organisation, en accord avec les buts établis par l’Assemblée générale et par les chefs d’État et de gouvernement dans le cadre du processus des Sommets des Amériques, y compris le Dialogue entre les chefs de délégation des États membres, le Secrétaire général et les représentants des organisations de la société civile. </w:t>
      </w:r>
    </w:p>
    <w:p w14:paraId="31A76F83" w14:textId="77777777" w:rsidR="00446FC8" w:rsidRPr="00623A2B" w:rsidRDefault="00446FC8" w:rsidP="00446FC8">
      <w:pPr>
        <w:rPr>
          <w:rFonts w:ascii="Times New Roman" w:hAnsi="Times New Roman"/>
          <w:lang w:val="fr-FR"/>
        </w:rPr>
      </w:pPr>
    </w:p>
    <w:p w14:paraId="2E53B4A6" w14:textId="02FA16B2" w:rsidR="00446FC8" w:rsidRPr="00623A2B" w:rsidRDefault="00446FC8" w:rsidP="00647757">
      <w:pPr>
        <w:pStyle w:val="ListParagraph"/>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lang w:val="fr-FR"/>
        </w:rPr>
      </w:pPr>
      <w:r w:rsidRPr="00623A2B">
        <w:rPr>
          <w:rFonts w:ascii="Times New Roman" w:hAnsi="Times New Roman"/>
          <w:lang w:val="fr-FR"/>
        </w:rPr>
        <w:t xml:space="preserve">De charger le Secrétariat général d’identifier les ressources humaines nécessaires à la réalisation des mandats confiés par les États membres concernant la Section des relations avec la société civile du Secrétariat à l’accès aux droits et à l’équité et, en particulier, pour qu’il soit en mesure de coordonner efficacement les efforts visant à promouvoir, accroître et renforcer la participation de la société civile aux activités de l'OEA menées par tous les services de l’Organisation. </w:t>
      </w:r>
      <w:r w:rsidRPr="00623A2B">
        <w:rPr>
          <w:rFonts w:ascii="Times New Roman" w:hAnsi="Times New Roman"/>
          <w:lang w:val="fr-FR"/>
        </w:rPr>
        <w:br w:type="page"/>
      </w:r>
    </w:p>
    <w:p w14:paraId="5C4612C1" w14:textId="77777777" w:rsidR="00446FC8" w:rsidRPr="00623A2B" w:rsidRDefault="00446FC8" w:rsidP="00446FC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fr-FR"/>
        </w:rPr>
      </w:pPr>
      <w:r w:rsidRPr="00623A2B">
        <w:rPr>
          <w:rFonts w:ascii="Times New Roman" w:hAnsi="Times New Roman"/>
          <w:sz w:val="20"/>
          <w:lang w:val="fr-FR"/>
        </w:rPr>
        <w:lastRenderedPageBreak/>
        <w:t>NOTES DE BAS DE PAGE</w:t>
      </w:r>
    </w:p>
    <w:p w14:paraId="074A56C6" w14:textId="77777777" w:rsidR="00446FC8" w:rsidRPr="00623A2B" w:rsidRDefault="00446FC8" w:rsidP="00446FC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49EFA98B" w14:textId="77777777" w:rsidR="00446FC8" w:rsidRPr="00623A2B" w:rsidRDefault="00446FC8" w:rsidP="00446FC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0A481B82" w14:textId="77777777" w:rsidR="00446FC8" w:rsidRPr="00623A2B" w:rsidRDefault="00446FC8" w:rsidP="00446FC8">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1.</w:t>
      </w:r>
      <w:r w:rsidRPr="00623A2B">
        <w:rPr>
          <w:rFonts w:ascii="Times New Roman" w:hAnsi="Times New Roman"/>
          <w:sz w:val="20"/>
          <w:lang w:val="fr-FR"/>
        </w:rPr>
        <w:tab/>
        <w:t>… Cinquante-et-unième Session ordinaire de l’Assemblée générale de l’Organisation des États Américains (OEA), lesquelles constituent des actes contraires au droit international.</w:t>
      </w:r>
    </w:p>
    <w:p w14:paraId="0B53EDD2" w14:textId="77777777" w:rsidR="00446FC8" w:rsidRPr="00623A2B" w:rsidRDefault="00446FC8" w:rsidP="00446FC8">
      <w:pPr>
        <w:pStyle w:val="FootnoteText"/>
        <w:tabs>
          <w:tab w:val="clear" w:pos="360"/>
        </w:tabs>
        <w:ind w:left="0" w:firstLine="720"/>
        <w:rPr>
          <w:rFonts w:ascii="Times New Roman" w:hAnsi="Times New Roman"/>
          <w:sz w:val="20"/>
          <w:lang w:val="fr-FR"/>
        </w:rPr>
      </w:pPr>
    </w:p>
    <w:p w14:paraId="2DD74F7B" w14:textId="77777777" w:rsidR="00446FC8" w:rsidRPr="00623A2B" w:rsidRDefault="00446FC8" w:rsidP="00446FC8">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3810F262" w14:textId="77777777" w:rsidR="00446FC8" w:rsidRPr="00623A2B" w:rsidRDefault="00446FC8" w:rsidP="00446FC8">
      <w:pPr>
        <w:pStyle w:val="FootnoteText"/>
        <w:tabs>
          <w:tab w:val="clear" w:pos="360"/>
        </w:tabs>
        <w:ind w:left="0" w:firstLine="720"/>
        <w:rPr>
          <w:rFonts w:ascii="Times New Roman" w:hAnsi="Times New Roman"/>
          <w:sz w:val="20"/>
          <w:lang w:val="fr-FR"/>
        </w:rPr>
      </w:pPr>
    </w:p>
    <w:p w14:paraId="7D2F6520" w14:textId="77777777" w:rsidR="00446FC8" w:rsidRPr="00623A2B" w:rsidRDefault="00446FC8" w:rsidP="00446FC8">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1E47806D" w14:textId="77777777" w:rsidR="00446FC8" w:rsidRPr="00623A2B" w:rsidRDefault="00446FC8" w:rsidP="00446FC8">
      <w:pPr>
        <w:pStyle w:val="FootnoteText"/>
        <w:tabs>
          <w:tab w:val="clear" w:pos="360"/>
        </w:tabs>
        <w:ind w:left="0" w:firstLine="720"/>
        <w:rPr>
          <w:rFonts w:ascii="Times New Roman" w:hAnsi="Times New Roman"/>
          <w:sz w:val="20"/>
          <w:lang w:val="fr-FR"/>
        </w:rPr>
      </w:pPr>
    </w:p>
    <w:p w14:paraId="38169C8E" w14:textId="77777777" w:rsidR="00446FC8" w:rsidRPr="00623A2B" w:rsidRDefault="00446FC8" w:rsidP="00446FC8">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 xml:space="preserve">La reconnaissance d’un gouvernement est un acte souverain des États, et non des institutions internationales. L’OEA ne possède ni ne peut s’arroger des facultés de reconnaissance collective opposable à la qualité de </w:t>
      </w:r>
      <w:proofErr w:type="gramStart"/>
      <w:r w:rsidRPr="00623A2B">
        <w:rPr>
          <w:rFonts w:ascii="Times New Roman" w:hAnsi="Times New Roman"/>
          <w:sz w:val="20"/>
          <w:lang w:val="fr-FR"/>
        </w:rPr>
        <w:t>membre;</w:t>
      </w:r>
      <w:proofErr w:type="gramEnd"/>
      <w:r w:rsidRPr="00623A2B">
        <w:rPr>
          <w:rFonts w:ascii="Times New Roman" w:hAnsi="Times New Roman"/>
          <w:sz w:val="20"/>
          <w:lang w:val="fr-FR"/>
        </w:rPr>
        <w:t xml:space="preserve"> c’est pourquoi tout acte visant à atteindre cet objectif tombe en dehors de sa compétence et est matériellement nul.</w:t>
      </w:r>
    </w:p>
    <w:p w14:paraId="5680CDF3" w14:textId="77777777" w:rsidR="00446FC8" w:rsidRPr="00623A2B" w:rsidRDefault="00446FC8" w:rsidP="00446FC8">
      <w:pPr>
        <w:pStyle w:val="FootnoteText"/>
        <w:tabs>
          <w:tab w:val="clear" w:pos="360"/>
        </w:tabs>
        <w:ind w:left="0" w:firstLine="720"/>
        <w:rPr>
          <w:rFonts w:ascii="Times New Roman" w:hAnsi="Times New Roman"/>
          <w:sz w:val="20"/>
          <w:lang w:val="fr-FR"/>
        </w:rPr>
      </w:pPr>
    </w:p>
    <w:p w14:paraId="2669BF5E" w14:textId="77777777" w:rsidR="00446FC8" w:rsidRPr="00623A2B" w:rsidRDefault="00446FC8" w:rsidP="00446FC8">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41DF35B1" w14:textId="77777777" w:rsidR="00446FC8" w:rsidRPr="00623A2B" w:rsidRDefault="00446FC8" w:rsidP="00446FC8">
      <w:pPr>
        <w:pStyle w:val="FootnoteText"/>
        <w:tabs>
          <w:tab w:val="clear" w:pos="360"/>
        </w:tabs>
        <w:ind w:left="0" w:firstLine="720"/>
        <w:rPr>
          <w:rFonts w:ascii="Times New Roman" w:hAnsi="Times New Roman"/>
          <w:sz w:val="20"/>
          <w:lang w:val="fr-FR"/>
        </w:rPr>
      </w:pPr>
    </w:p>
    <w:p w14:paraId="2B1B9826" w14:textId="77777777" w:rsidR="00446FC8" w:rsidRPr="00623A2B" w:rsidRDefault="00446FC8" w:rsidP="00446FC8">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5CA8C345" w14:textId="77777777" w:rsidR="00446FC8" w:rsidRPr="00623A2B" w:rsidRDefault="00446FC8" w:rsidP="00446FC8">
      <w:pPr>
        <w:pStyle w:val="FootnoteText"/>
        <w:tabs>
          <w:tab w:val="clear" w:pos="360"/>
        </w:tabs>
        <w:ind w:left="0" w:firstLine="720"/>
        <w:rPr>
          <w:rFonts w:ascii="Times New Roman" w:hAnsi="Times New Roman"/>
          <w:sz w:val="20"/>
          <w:lang w:val="fr-FR"/>
        </w:rPr>
      </w:pPr>
    </w:p>
    <w:p w14:paraId="51580342" w14:textId="77777777" w:rsidR="00446FC8" w:rsidRPr="00623A2B" w:rsidRDefault="00446FC8" w:rsidP="00446FC8">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3881E8F9" w14:textId="77777777" w:rsidR="00446FC8" w:rsidRPr="00623A2B" w:rsidRDefault="00446FC8" w:rsidP="00446FC8">
      <w:pPr>
        <w:pStyle w:val="FootnoteText"/>
        <w:tabs>
          <w:tab w:val="clear" w:pos="360"/>
        </w:tabs>
        <w:ind w:left="0" w:firstLine="720"/>
        <w:rPr>
          <w:rFonts w:ascii="Times New Roman" w:hAnsi="Times New Roman"/>
          <w:sz w:val="20"/>
          <w:lang w:val="fr-FR"/>
        </w:rPr>
      </w:pPr>
    </w:p>
    <w:p w14:paraId="6AD364CF" w14:textId="77777777" w:rsidR="00446FC8" w:rsidRPr="00623A2B" w:rsidRDefault="00446FC8" w:rsidP="00446FC8">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2.</w:t>
      </w:r>
      <w:r w:rsidRPr="00623A2B">
        <w:rPr>
          <w:rFonts w:ascii="Times New Roman" w:hAnsi="Times New Roman"/>
          <w:sz w:val="20"/>
          <w:lang w:val="fr-FR"/>
        </w:rPr>
        <w:tab/>
        <w:t xml:space="preserve">… de personnes qui prétendent usurper la représentation légale de la République bolivarienne du Venezuela et du Gouvernement légitime du Président </w:t>
      </w:r>
      <w:proofErr w:type="spellStart"/>
      <w:r w:rsidRPr="00623A2B">
        <w:rPr>
          <w:rFonts w:ascii="Times New Roman" w:hAnsi="Times New Roman"/>
          <w:sz w:val="20"/>
          <w:lang w:val="fr-FR"/>
        </w:rPr>
        <w:t>Nicolás</w:t>
      </w:r>
      <w:proofErr w:type="spellEnd"/>
      <w:r w:rsidRPr="00623A2B">
        <w:rPr>
          <w:rFonts w:ascii="Times New Roman" w:hAnsi="Times New Roman"/>
          <w:sz w:val="20"/>
          <w:lang w:val="fr-FR"/>
        </w:rPr>
        <w:t xml:space="preserve"> </w:t>
      </w:r>
      <w:proofErr w:type="spellStart"/>
      <w:r w:rsidRPr="00623A2B">
        <w:rPr>
          <w:rFonts w:ascii="Times New Roman" w:hAnsi="Times New Roman"/>
          <w:sz w:val="20"/>
          <w:lang w:val="fr-FR"/>
        </w:rPr>
        <w:t>Maduro</w:t>
      </w:r>
      <w:proofErr w:type="spellEnd"/>
      <w:r w:rsidRPr="00623A2B">
        <w:rPr>
          <w:rFonts w:ascii="Times New Roman" w:hAnsi="Times New Roman"/>
          <w:sz w:val="20"/>
          <w:lang w:val="fr-FR"/>
        </w:rPr>
        <w:t xml:space="preserve"> Moros. Nous demandons que notre refus soit consigné dans tous les documents qui seront traités lors de la présente Cinquante-et-unième Session de l’Assemblée générale de l’OEA.</w:t>
      </w:r>
    </w:p>
    <w:p w14:paraId="4ACF368F" w14:textId="77777777" w:rsidR="00446FC8" w:rsidRPr="00623A2B" w:rsidRDefault="00446FC8" w:rsidP="00446FC8">
      <w:pPr>
        <w:pStyle w:val="FootnoteText"/>
        <w:tabs>
          <w:tab w:val="clear" w:pos="360"/>
        </w:tabs>
        <w:ind w:left="0" w:firstLine="720"/>
        <w:rPr>
          <w:rFonts w:ascii="Times New Roman" w:hAnsi="Times New Roman"/>
          <w:sz w:val="20"/>
          <w:lang w:val="fr-FR"/>
        </w:rPr>
      </w:pPr>
    </w:p>
    <w:p w14:paraId="0A6CF261" w14:textId="77777777" w:rsidR="00446FC8" w:rsidRPr="00623A2B" w:rsidRDefault="00446FC8" w:rsidP="00446FC8">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3.</w:t>
      </w:r>
      <w:r w:rsidRPr="00623A2B">
        <w:rPr>
          <w:rFonts w:ascii="Times New Roman" w:hAnsi="Times New Roman"/>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109B3255" w14:textId="77777777" w:rsidR="00446FC8" w:rsidRPr="00623A2B" w:rsidRDefault="00446FC8" w:rsidP="00446FC8">
      <w:pPr>
        <w:pStyle w:val="FootnoteText"/>
        <w:tabs>
          <w:tab w:val="clear" w:pos="360"/>
        </w:tabs>
        <w:ind w:left="0" w:firstLine="720"/>
        <w:rPr>
          <w:rFonts w:ascii="Times New Roman" w:hAnsi="Times New Roman"/>
          <w:sz w:val="20"/>
          <w:lang w:val="fr-FR"/>
        </w:rPr>
      </w:pPr>
    </w:p>
    <w:p w14:paraId="2CE6981C" w14:textId="77777777" w:rsidR="00446FC8" w:rsidRPr="00623A2B" w:rsidRDefault="00446FC8" w:rsidP="00446FC8">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 xml:space="preserve">Antigua-et-Barbuda n'a pas soutenu la résolution CP/RES. 1124 (2217/19) du 9 avril 2019 qui visait à nommer M. Gustavo </w:t>
      </w:r>
      <w:proofErr w:type="spellStart"/>
      <w:r w:rsidRPr="00623A2B">
        <w:rPr>
          <w:rFonts w:ascii="Times New Roman" w:hAnsi="Times New Roman"/>
          <w:sz w:val="20"/>
          <w:lang w:val="fr-FR"/>
        </w:rPr>
        <w:t>Tarre</w:t>
      </w:r>
      <w:proofErr w:type="spellEnd"/>
      <w:r w:rsidRPr="00623A2B">
        <w:rPr>
          <w:rFonts w:ascii="Times New Roman" w:hAnsi="Times New Roman"/>
          <w:sz w:val="20"/>
          <w:lang w:val="fr-FR"/>
        </w:rPr>
        <w:t xml:space="preserve"> comme représentant de l'Assemblée nationale auprès de l'OEA et n'a pas accepté les </w:t>
      </w:r>
      <w:r w:rsidRPr="00623A2B">
        <w:rPr>
          <w:rFonts w:ascii="Times New Roman" w:hAnsi="Times New Roman"/>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25662A9D" w14:textId="77777777" w:rsidR="00446FC8" w:rsidRPr="00623A2B" w:rsidRDefault="00446FC8" w:rsidP="00446FC8">
      <w:pPr>
        <w:pStyle w:val="FootnoteText"/>
        <w:tabs>
          <w:tab w:val="clear" w:pos="360"/>
        </w:tabs>
        <w:ind w:left="0" w:firstLine="720"/>
        <w:rPr>
          <w:rFonts w:ascii="Times New Roman" w:hAnsi="Times New Roman"/>
          <w:sz w:val="20"/>
          <w:lang w:val="fr-FR"/>
        </w:rPr>
      </w:pPr>
    </w:p>
    <w:p w14:paraId="5B7D849A" w14:textId="77777777" w:rsidR="00446FC8" w:rsidRPr="00623A2B" w:rsidRDefault="00446FC8" w:rsidP="00446FC8">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7954F14B" w14:textId="77777777" w:rsidR="00446FC8" w:rsidRPr="00623A2B" w:rsidRDefault="00446FC8" w:rsidP="00446FC8">
      <w:pPr>
        <w:ind w:firstLine="720"/>
        <w:rPr>
          <w:rFonts w:ascii="Times New Roman" w:hAnsi="Times New Roman"/>
          <w:position w:val="-1"/>
          <w:sz w:val="20"/>
          <w:lang w:val="fr-CA"/>
        </w:rPr>
      </w:pPr>
    </w:p>
    <w:p w14:paraId="4AB9B2EC" w14:textId="77777777" w:rsidR="00446FC8" w:rsidRPr="00623A2B" w:rsidRDefault="00446FC8" w:rsidP="00446FC8">
      <w:pPr>
        <w:pStyle w:val="FootnoteText"/>
        <w:ind w:left="0" w:firstLine="720"/>
        <w:rPr>
          <w:rFonts w:ascii="Times New Roman" w:hAnsi="Times New Roman"/>
          <w:sz w:val="20"/>
          <w:lang w:val="fr-CA"/>
        </w:rPr>
      </w:pPr>
      <w:r w:rsidRPr="00623A2B">
        <w:rPr>
          <w:rFonts w:ascii="Times New Roman" w:hAnsi="Times New Roman"/>
          <w:sz w:val="20"/>
          <w:lang w:val="fr-FR"/>
        </w:rPr>
        <w:t>4.</w:t>
      </w:r>
      <w:r w:rsidRPr="00623A2B">
        <w:rPr>
          <w:rFonts w:ascii="Times New Roman" w:hAnsi="Times New Roman"/>
          <w:sz w:val="20"/>
          <w:lang w:val="fr-FR"/>
        </w:rPr>
        <w:tab/>
      </w:r>
      <w:r w:rsidRPr="00623A2B">
        <w:rPr>
          <w:rFonts w:ascii="Times New Roman" w:hAnsi="Times New Roman"/>
          <w:sz w:val="20"/>
          <w:lang w:val="fr-CA"/>
        </w:rPr>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5111D822" w14:textId="77777777" w:rsidR="00446FC8" w:rsidRPr="00623A2B" w:rsidRDefault="00446FC8" w:rsidP="00446FC8">
      <w:pPr>
        <w:pStyle w:val="FootnoteText"/>
        <w:ind w:left="0" w:firstLine="720"/>
        <w:rPr>
          <w:rFonts w:ascii="Times New Roman" w:hAnsi="Times New Roman"/>
          <w:sz w:val="20"/>
          <w:lang w:val="fr-CA"/>
        </w:rPr>
      </w:pPr>
    </w:p>
    <w:p w14:paraId="349D665F" w14:textId="77777777" w:rsidR="00446FC8" w:rsidRPr="00623A2B" w:rsidRDefault="00446FC8" w:rsidP="00DD002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fr-FR"/>
        </w:rPr>
      </w:pPr>
      <w:r w:rsidRPr="00623A2B">
        <w:rPr>
          <w:rFonts w:ascii="Times New Roman" w:hAnsi="Times New Roman"/>
          <w:sz w:val="20"/>
          <w:lang w:val="fr-CA"/>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p>
    <w:p w14:paraId="156D1212" w14:textId="77777777" w:rsidR="00446FC8" w:rsidRPr="00623A2B" w:rsidRDefault="00446FC8" w:rsidP="00446FC8">
      <w:pPr>
        <w:pStyle w:val="FootnoteText"/>
        <w:tabs>
          <w:tab w:val="clear" w:pos="360"/>
        </w:tabs>
        <w:rPr>
          <w:rFonts w:ascii="Times New Roman" w:hAnsi="Times New Roman"/>
          <w:sz w:val="20"/>
          <w:lang w:val="fr-FR"/>
        </w:rPr>
      </w:pPr>
    </w:p>
    <w:p w14:paraId="145B01ED" w14:textId="77777777" w:rsidR="00446FC8" w:rsidRPr="00623A2B" w:rsidRDefault="00446FC8" w:rsidP="00446FC8">
      <w:pPr>
        <w:rPr>
          <w:rFonts w:ascii="Times New Roman" w:eastAsia="Calibri" w:hAnsi="Times New Roman"/>
          <w:bCs/>
          <w:lang w:val="fr-FR"/>
        </w:rPr>
      </w:pPr>
    </w:p>
    <w:p w14:paraId="3458CFD2" w14:textId="77777777" w:rsidR="00446FC8" w:rsidRPr="00623A2B" w:rsidRDefault="00446FC8" w:rsidP="009A129C">
      <w:pPr>
        <w:pStyle w:val="FootnoteText"/>
        <w:tabs>
          <w:tab w:val="clear" w:pos="360"/>
        </w:tabs>
        <w:rPr>
          <w:rFonts w:ascii="Times New Roman" w:hAnsi="Times New Roman"/>
          <w:sz w:val="20"/>
          <w:lang w:val="fr-FR"/>
        </w:rPr>
        <w:sectPr w:rsidR="00446FC8" w:rsidRPr="00623A2B" w:rsidSect="00623A2B">
          <w:headerReference w:type="even" r:id="rId115"/>
          <w:headerReference w:type="default" r:id="rId116"/>
          <w:footnotePr>
            <w:numRestart w:val="eachSect"/>
          </w:footnotePr>
          <w:type w:val="oddPage"/>
          <w:pgSz w:w="12240" w:h="15840" w:code="1"/>
          <w:pgMar w:top="2160" w:right="1570" w:bottom="1296" w:left="1699" w:header="720" w:footer="720" w:gutter="0"/>
          <w:cols w:space="720"/>
          <w:titlePg/>
          <w:docGrid w:linePitch="360"/>
        </w:sectPr>
      </w:pPr>
    </w:p>
    <w:p w14:paraId="03FEB6CE" w14:textId="3393BEC9" w:rsidR="000414CF" w:rsidRPr="00623A2B" w:rsidRDefault="000414CF" w:rsidP="00EF4DB6">
      <w:pPr>
        <w:pStyle w:val="Heading1"/>
        <w:spacing w:before="0"/>
        <w:jc w:val="center"/>
        <w:rPr>
          <w:rFonts w:ascii="Times New Roman" w:eastAsia="Calibri" w:hAnsi="Times New Roman" w:cs="Times New Roman"/>
          <w:color w:val="auto"/>
          <w:sz w:val="22"/>
          <w:szCs w:val="22"/>
          <w:lang w:val="fr-FR"/>
        </w:rPr>
      </w:pPr>
      <w:bookmarkStart w:id="42" w:name="_Toc89177463"/>
      <w:r w:rsidRPr="00623A2B">
        <w:rPr>
          <w:rFonts w:ascii="Times New Roman" w:hAnsi="Times New Roman" w:cs="Times New Roman"/>
          <w:color w:val="auto"/>
          <w:sz w:val="22"/>
          <w:szCs w:val="22"/>
          <w:lang w:val="fr-FR"/>
        </w:rPr>
        <w:lastRenderedPageBreak/>
        <w:t>AG/RES. 297</w:t>
      </w:r>
      <w:r w:rsidR="004A2687" w:rsidRPr="00623A2B">
        <w:rPr>
          <w:rFonts w:ascii="Times New Roman" w:hAnsi="Times New Roman" w:cs="Times New Roman"/>
          <w:color w:val="auto"/>
          <w:sz w:val="22"/>
          <w:szCs w:val="22"/>
          <w:lang w:val="fr-FR"/>
        </w:rPr>
        <w:t>3</w:t>
      </w:r>
      <w:r w:rsidRPr="00623A2B">
        <w:rPr>
          <w:rFonts w:ascii="Times New Roman" w:hAnsi="Times New Roman" w:cs="Times New Roman"/>
          <w:color w:val="auto"/>
          <w:sz w:val="22"/>
          <w:szCs w:val="22"/>
          <w:lang w:val="fr-FR"/>
        </w:rPr>
        <w:t xml:space="preserve"> (LI-O/21)</w:t>
      </w:r>
      <w:r w:rsidRPr="00623A2B">
        <w:rPr>
          <w:rFonts w:ascii="Times New Roman" w:hAnsi="Times New Roman" w:cs="Times New Roman"/>
          <w:color w:val="auto"/>
          <w:sz w:val="22"/>
          <w:szCs w:val="22"/>
          <w:lang w:val="fr-FR"/>
        </w:rPr>
        <w:br/>
      </w:r>
      <w:r w:rsidRPr="00623A2B">
        <w:rPr>
          <w:rFonts w:ascii="Times New Roman" w:hAnsi="Times New Roman" w:cs="Times New Roman"/>
          <w:color w:val="auto"/>
          <w:sz w:val="22"/>
          <w:szCs w:val="22"/>
          <w:lang w:val="fr-FR"/>
        </w:rPr>
        <w:br/>
        <w:t>SOUTIEN ET SUIVI DU PROCESSUS DES SOMMETS DES AMÉRIQUES</w:t>
      </w:r>
      <w:r w:rsidRPr="00623A2B">
        <w:rPr>
          <w:rStyle w:val="FootnoteReference"/>
          <w:rFonts w:ascii="Times New Roman" w:hAnsi="Times New Roman" w:cs="Times New Roman"/>
          <w:sz w:val="22"/>
          <w:szCs w:val="22"/>
          <w:u w:val="single"/>
          <w:vertAlign w:val="superscript"/>
          <w:lang w:val="pt-BR"/>
        </w:rPr>
        <w:footnoteReference w:id="66"/>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67"/>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68"/>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69"/>
      </w:r>
      <w:r w:rsidRPr="00623A2B">
        <w:rPr>
          <w:rFonts w:ascii="Times New Roman" w:hAnsi="Times New Roman" w:cs="Times New Roman"/>
          <w:color w:val="auto"/>
          <w:sz w:val="22"/>
          <w:szCs w:val="22"/>
          <w:vertAlign w:val="superscript"/>
          <w:lang w:val="fr-CA"/>
        </w:rPr>
        <w:t>/</w:t>
      </w:r>
      <w:bookmarkEnd w:id="42"/>
    </w:p>
    <w:p w14:paraId="5DB7BE3F" w14:textId="77777777" w:rsidR="000414CF" w:rsidRPr="00623A2B" w:rsidRDefault="000414CF" w:rsidP="000414CF">
      <w:pPr>
        <w:outlineLvl w:val="0"/>
        <w:rPr>
          <w:rFonts w:ascii="Times New Roman" w:eastAsia="Calibri" w:hAnsi="Times New Roman"/>
          <w:bCs/>
          <w:szCs w:val="22"/>
          <w:lang w:val="fr-FR" w:eastAsia="es-ES"/>
        </w:rPr>
      </w:pPr>
    </w:p>
    <w:p w14:paraId="6D0A66AD" w14:textId="77777777" w:rsidR="000414CF" w:rsidRPr="00623A2B" w:rsidRDefault="000414CF" w:rsidP="000414CF">
      <w:pPr>
        <w:jc w:val="center"/>
        <w:rPr>
          <w:rFonts w:ascii="Times New Roman" w:eastAsia="Calibri" w:hAnsi="Times New Roman"/>
          <w:bCs/>
          <w:szCs w:val="22"/>
          <w:lang w:val="fr-FR"/>
        </w:rPr>
      </w:pPr>
      <w:r w:rsidRPr="00623A2B">
        <w:rPr>
          <w:rFonts w:ascii="Times New Roman" w:hAnsi="Times New Roman"/>
          <w:szCs w:val="22"/>
          <w:lang w:val="fr-FR"/>
        </w:rPr>
        <w:t xml:space="preserve">(Résolution adoptée à la deuxième séance plénière, </w:t>
      </w:r>
      <w:r w:rsidRPr="00623A2B">
        <w:rPr>
          <w:rFonts w:ascii="Times New Roman" w:hAnsi="Times New Roman"/>
          <w:szCs w:val="22"/>
          <w:lang w:val="fr-CA"/>
        </w:rPr>
        <w:t>le 11 novembre 2021</w:t>
      </w:r>
      <w:r w:rsidRPr="00623A2B">
        <w:rPr>
          <w:rFonts w:ascii="Times New Roman" w:hAnsi="Times New Roman"/>
          <w:szCs w:val="22"/>
          <w:lang w:val="fr-FR"/>
        </w:rPr>
        <w:t>)</w:t>
      </w:r>
    </w:p>
    <w:p w14:paraId="4311FB5A" w14:textId="77777777" w:rsidR="000414CF" w:rsidRPr="00623A2B" w:rsidRDefault="000414CF" w:rsidP="000414CF">
      <w:pPr>
        <w:rPr>
          <w:rFonts w:ascii="Times New Roman" w:hAnsi="Times New Roman"/>
          <w:szCs w:val="22"/>
          <w:lang w:val="fr-FR"/>
        </w:rPr>
      </w:pPr>
    </w:p>
    <w:p w14:paraId="23E472F4" w14:textId="77777777" w:rsidR="000414CF" w:rsidRPr="00623A2B" w:rsidRDefault="000414CF" w:rsidP="000414CF">
      <w:pPr>
        <w:rPr>
          <w:rFonts w:ascii="Times New Roman" w:hAnsi="Times New Roman"/>
          <w:szCs w:val="22"/>
          <w:lang w:val="fr-FR"/>
        </w:rPr>
      </w:pPr>
    </w:p>
    <w:p w14:paraId="0E1ACA84" w14:textId="77777777" w:rsidR="000414CF" w:rsidRPr="00623A2B" w:rsidRDefault="000414CF" w:rsidP="000414CF">
      <w:pPr>
        <w:ind w:firstLine="720"/>
        <w:rPr>
          <w:rFonts w:ascii="Times New Roman" w:hAnsi="Times New Roman"/>
          <w:szCs w:val="22"/>
          <w:lang w:val="fr-FR"/>
        </w:rPr>
      </w:pPr>
      <w:r w:rsidRPr="00623A2B">
        <w:rPr>
          <w:rFonts w:ascii="Times New Roman" w:hAnsi="Times New Roman"/>
          <w:szCs w:val="22"/>
          <w:lang w:val="fr-FR"/>
        </w:rPr>
        <w:t>L’ASSEMBLÉE GÉNÉRALE,</w:t>
      </w:r>
    </w:p>
    <w:p w14:paraId="34D7F58F" w14:textId="77777777" w:rsidR="000414CF" w:rsidRPr="00623A2B" w:rsidRDefault="000414CF" w:rsidP="000414CF">
      <w:pPr>
        <w:rPr>
          <w:rFonts w:ascii="Times New Roman" w:hAnsi="Times New Roman"/>
          <w:szCs w:val="22"/>
          <w:lang w:val="fr-FR"/>
        </w:rPr>
      </w:pPr>
    </w:p>
    <w:p w14:paraId="5BF42CFD" w14:textId="77777777" w:rsidR="000414CF" w:rsidRPr="00623A2B" w:rsidRDefault="000414CF" w:rsidP="000414CF">
      <w:pPr>
        <w:ind w:firstLine="720"/>
        <w:rPr>
          <w:rFonts w:ascii="Times New Roman" w:hAnsi="Times New Roman"/>
          <w:szCs w:val="22"/>
          <w:lang w:val="fr-FR"/>
        </w:rPr>
      </w:pPr>
      <w:r w:rsidRPr="00623A2B">
        <w:rPr>
          <w:rFonts w:ascii="Times New Roman" w:hAnsi="Times New Roman"/>
          <w:szCs w:val="22"/>
          <w:lang w:val="fr-FR"/>
        </w:rPr>
        <w:t xml:space="preserve">PRENANT EN COMPTE les mandats et les initiatives issus du Premier Sommet des Amériques (Miami, 1994), du Sommet des Amériques sur le développement durable (Santa Cruz de la Sierra, 1996), du Deuxième Sommet des Amériques (Santiago, 1998), du Troisième Sommet des Amériques (Québec, 2001), du Sommet extraordinaire des Amériques (Monterrey, 2004), du Quatrième Sommet des Amériques (Mar del </w:t>
      </w:r>
      <w:proofErr w:type="spellStart"/>
      <w:r w:rsidRPr="00623A2B">
        <w:rPr>
          <w:rFonts w:ascii="Times New Roman" w:hAnsi="Times New Roman"/>
          <w:szCs w:val="22"/>
          <w:lang w:val="fr-FR"/>
        </w:rPr>
        <w:t>Plata</w:t>
      </w:r>
      <w:proofErr w:type="spellEnd"/>
      <w:r w:rsidRPr="00623A2B">
        <w:rPr>
          <w:rFonts w:ascii="Times New Roman" w:hAnsi="Times New Roman"/>
          <w:szCs w:val="22"/>
          <w:lang w:val="fr-FR"/>
        </w:rPr>
        <w:t xml:space="preserve">, 2005), du Cinquième Sommet des Amériques (Port of Spain, 2009), du Sixième Sommet des Amériques (Cartagena de </w:t>
      </w:r>
      <w:proofErr w:type="spellStart"/>
      <w:r w:rsidRPr="00623A2B">
        <w:rPr>
          <w:rFonts w:ascii="Times New Roman" w:hAnsi="Times New Roman"/>
          <w:szCs w:val="22"/>
          <w:lang w:val="fr-FR"/>
        </w:rPr>
        <w:t>Indias</w:t>
      </w:r>
      <w:proofErr w:type="spellEnd"/>
      <w:r w:rsidRPr="00623A2B">
        <w:rPr>
          <w:rFonts w:ascii="Times New Roman" w:hAnsi="Times New Roman"/>
          <w:szCs w:val="22"/>
          <w:lang w:val="fr-FR"/>
        </w:rPr>
        <w:t>, 2012), du Septième Sommet des Amériques (Panama, 2015) et du Huitième Sommet des Amériques (Lima, 2018),</w:t>
      </w:r>
      <w:r w:rsidRPr="00623A2B">
        <w:rPr>
          <w:rStyle w:val="FootnoteReference"/>
          <w:rFonts w:ascii="Times New Roman" w:hAnsi="Times New Roman"/>
          <w:szCs w:val="22"/>
          <w:u w:val="single"/>
        </w:rPr>
        <w:footnoteReference w:id="70"/>
      </w:r>
      <w:r w:rsidRPr="00623A2B">
        <w:rPr>
          <w:rFonts w:ascii="Times New Roman" w:hAnsi="Times New Roman"/>
          <w:szCs w:val="22"/>
          <w:vertAlign w:val="superscript"/>
          <w:lang w:val="fr-FR"/>
        </w:rPr>
        <w:t>/</w:t>
      </w:r>
    </w:p>
    <w:p w14:paraId="416ECF09" w14:textId="77777777" w:rsidR="000414CF" w:rsidRPr="00623A2B" w:rsidRDefault="000414CF" w:rsidP="000414CF">
      <w:pPr>
        <w:rPr>
          <w:rFonts w:ascii="Times New Roman" w:hAnsi="Times New Roman"/>
          <w:szCs w:val="22"/>
          <w:lang w:val="fr-FR"/>
        </w:rPr>
      </w:pPr>
    </w:p>
    <w:p w14:paraId="5309600A" w14:textId="77777777" w:rsidR="000414CF" w:rsidRPr="00623A2B" w:rsidRDefault="000414CF" w:rsidP="000414CF">
      <w:pPr>
        <w:ind w:firstLine="720"/>
        <w:rPr>
          <w:rFonts w:ascii="Times New Roman" w:hAnsi="Times New Roman"/>
          <w:szCs w:val="22"/>
          <w:lang w:val="fr-FR"/>
        </w:rPr>
      </w:pPr>
      <w:r w:rsidRPr="00623A2B">
        <w:rPr>
          <w:rFonts w:ascii="Times New Roman" w:hAnsi="Times New Roman"/>
          <w:szCs w:val="22"/>
          <w:lang w:val="fr-FR"/>
        </w:rPr>
        <w:t>GARDANT PRÉSENT À L’ESPRIT que la Charte démocratique interaméricaine est une réalisation fondamentale du processus des Sommets des Amériques, sur la base des engagements des dirigeants souscrits lors du Sommet des Amériques tenu à Québec en 2001, et adoptée par l’Assemblée générale lors d’une session extraordinaire tenue à Lima (Pérou) le 11 septembre 2001, qui marque son 20</w:t>
      </w:r>
      <w:r w:rsidRPr="00623A2B">
        <w:rPr>
          <w:rFonts w:ascii="Times New Roman" w:hAnsi="Times New Roman"/>
          <w:szCs w:val="22"/>
          <w:vertAlign w:val="superscript"/>
          <w:lang w:val="fr-FR"/>
        </w:rPr>
        <w:t>e</w:t>
      </w:r>
      <w:r w:rsidRPr="00623A2B">
        <w:rPr>
          <w:rFonts w:ascii="Times New Roman" w:hAnsi="Times New Roman"/>
          <w:szCs w:val="22"/>
          <w:lang w:val="fr-FR"/>
        </w:rPr>
        <w:t xml:space="preserve"> anniversaire cette année, </w:t>
      </w:r>
    </w:p>
    <w:p w14:paraId="29B63C52" w14:textId="77777777" w:rsidR="000414CF" w:rsidRPr="00623A2B" w:rsidRDefault="000414CF" w:rsidP="000414CF">
      <w:pPr>
        <w:rPr>
          <w:rFonts w:ascii="Times New Roman" w:hAnsi="Times New Roman"/>
          <w:szCs w:val="22"/>
          <w:lang w:val="fr-FR"/>
        </w:rPr>
      </w:pPr>
    </w:p>
    <w:p w14:paraId="4F34E3B7" w14:textId="77777777" w:rsidR="000414CF" w:rsidRPr="00623A2B" w:rsidRDefault="000414CF" w:rsidP="000414CF">
      <w:pPr>
        <w:ind w:firstLine="720"/>
        <w:rPr>
          <w:rFonts w:ascii="Times New Roman" w:hAnsi="Times New Roman"/>
          <w:szCs w:val="22"/>
          <w:lang w:val="fr-FR"/>
        </w:rPr>
      </w:pPr>
      <w:r w:rsidRPr="00623A2B">
        <w:rPr>
          <w:rFonts w:ascii="Times New Roman" w:hAnsi="Times New Roman"/>
          <w:szCs w:val="22"/>
          <w:lang w:val="fr-FR"/>
        </w:rPr>
        <w:t xml:space="preserve">PRENANT EN COMPTE la reconnaissance, lors du Troisième Sommet des Amériques, du rôle que joue la Commission sur la gestion des Sommets interaméricains et la participation de la société civile aux activités de l’OEA en tant que coordinatrice des efforts de l’Organisation des États Américains (OEA) à l’appui du processus des Sommets des Amériques et en tant que tribune qui permet à la société civile de contribuer audit processus, ainsi que la mise sur pied du Secrétariat aux Sommets, </w:t>
      </w:r>
    </w:p>
    <w:p w14:paraId="3B10B9B9" w14:textId="77777777" w:rsidR="000414CF" w:rsidRPr="00623A2B" w:rsidRDefault="000414CF" w:rsidP="000414CF">
      <w:pPr>
        <w:rPr>
          <w:rFonts w:ascii="Times New Roman" w:hAnsi="Times New Roman"/>
          <w:szCs w:val="22"/>
          <w:lang w:val="fr-FR"/>
        </w:rPr>
      </w:pPr>
    </w:p>
    <w:p w14:paraId="0BB1CAAC" w14:textId="77777777" w:rsidR="000414CF" w:rsidRPr="00623A2B" w:rsidRDefault="000414CF" w:rsidP="000414CF">
      <w:pPr>
        <w:ind w:firstLine="720"/>
        <w:rPr>
          <w:rFonts w:ascii="Times New Roman" w:hAnsi="Times New Roman"/>
          <w:szCs w:val="22"/>
          <w:lang w:val="fr-FR"/>
        </w:rPr>
      </w:pPr>
      <w:r w:rsidRPr="00623A2B">
        <w:rPr>
          <w:rFonts w:ascii="Times New Roman" w:hAnsi="Times New Roman"/>
          <w:szCs w:val="22"/>
          <w:lang w:val="fr-FR"/>
        </w:rPr>
        <w:t>SOULIGNANT l’importance d’assurer un suivi coordonné, opportun et efficace des mandats et initiatives issus des Sommets des Amériques ainsi que l’important soutien technique fourni par l’OEA et le Groupe de travail mixte sur les Sommets,</w:t>
      </w:r>
    </w:p>
    <w:p w14:paraId="3EB8E181" w14:textId="77777777" w:rsidR="000414CF" w:rsidRPr="00623A2B" w:rsidRDefault="000414CF" w:rsidP="000414CF">
      <w:pPr>
        <w:rPr>
          <w:rFonts w:ascii="Times New Roman" w:hAnsi="Times New Roman"/>
          <w:szCs w:val="22"/>
          <w:lang w:val="fr-FR"/>
        </w:rPr>
      </w:pPr>
    </w:p>
    <w:p w14:paraId="5FC9DE72" w14:textId="77777777" w:rsidR="00286485" w:rsidRPr="00213B6A" w:rsidRDefault="002864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213B6A">
        <w:rPr>
          <w:rFonts w:ascii="Times New Roman" w:hAnsi="Times New Roman"/>
          <w:szCs w:val="22"/>
          <w:lang w:val="fr-FR"/>
        </w:rPr>
        <w:br w:type="page"/>
      </w:r>
    </w:p>
    <w:p w14:paraId="55AFF478" w14:textId="1C96C9D6" w:rsidR="000414CF" w:rsidRPr="00623A2B" w:rsidRDefault="000414CF" w:rsidP="000414CF">
      <w:pPr>
        <w:keepNext/>
        <w:rPr>
          <w:rFonts w:ascii="Times New Roman" w:hAnsi="Times New Roman"/>
          <w:szCs w:val="22"/>
        </w:rPr>
      </w:pPr>
      <w:proofErr w:type="gramStart"/>
      <w:r w:rsidRPr="00623A2B">
        <w:rPr>
          <w:rFonts w:ascii="Times New Roman" w:hAnsi="Times New Roman"/>
          <w:szCs w:val="22"/>
        </w:rPr>
        <w:lastRenderedPageBreak/>
        <w:t>DÉCIDE :</w:t>
      </w:r>
      <w:proofErr w:type="gramEnd"/>
    </w:p>
    <w:p w14:paraId="5A427AEE" w14:textId="77777777" w:rsidR="000414CF" w:rsidRPr="00623A2B" w:rsidRDefault="000414CF" w:rsidP="000414CF">
      <w:pPr>
        <w:keepNext/>
        <w:rPr>
          <w:rFonts w:ascii="Times New Roman" w:hAnsi="Times New Roman"/>
          <w:szCs w:val="22"/>
        </w:rPr>
      </w:pPr>
    </w:p>
    <w:p w14:paraId="4372E669" w14:textId="77777777" w:rsidR="000414CF" w:rsidRPr="00623A2B" w:rsidRDefault="000414CF" w:rsidP="000414CF">
      <w:pPr>
        <w:pStyle w:val="ListParagraph"/>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szCs w:val="22"/>
          <w:lang w:val="fr-FR"/>
        </w:rPr>
      </w:pPr>
      <w:r w:rsidRPr="00623A2B">
        <w:rPr>
          <w:rFonts w:ascii="Times New Roman" w:hAnsi="Times New Roman"/>
          <w:szCs w:val="22"/>
          <w:lang w:val="fr-FR"/>
        </w:rPr>
        <w:t>De continuer de mettre en application les engagements souscrits dans la résolution AG/RES. 2948 (L-O/20) afin de soutenir le processus des Sommets des Amériques et de demander au Secrétariat général de continuer d’exercer, par le truchement du Secrétariat aux Sommets, les attributions de mémoire institutionnelle et de secrétariat technique dudit processus en fournissant des conseils au pays hôte du Neuvième Sommet des Amériques ainsi qu’aux États membres, sur demande, au sujet de tous les aspects liés à ce processus ; enfin, d’appuyer les préparatifs et la coordination technique pour le prochain Sommet, qui se tiendra aux États-Unis à la mi-2022, ainsi que les activités du Sommet associées au vingtième anniversaire de l’adoption de la Charte démocratique interaméricaine.</w:t>
      </w:r>
      <w:r w:rsidRPr="00623A2B">
        <w:rPr>
          <w:rFonts w:ascii="Times New Roman" w:hAnsi="Times New Roman"/>
          <w:strike/>
          <w:szCs w:val="22"/>
          <w:lang w:val="fr-FR"/>
        </w:rPr>
        <w:t xml:space="preserve"> </w:t>
      </w:r>
    </w:p>
    <w:p w14:paraId="29FE1DD7" w14:textId="77777777" w:rsidR="000414CF" w:rsidRPr="00623A2B" w:rsidRDefault="000414CF" w:rsidP="000414CF">
      <w:pPr>
        <w:rPr>
          <w:rFonts w:ascii="Times New Roman" w:hAnsi="Times New Roman"/>
          <w:szCs w:val="22"/>
          <w:lang w:val="fr-FR"/>
        </w:rPr>
      </w:pPr>
    </w:p>
    <w:p w14:paraId="14CB96D4" w14:textId="77777777" w:rsidR="000414CF" w:rsidRPr="00623A2B" w:rsidRDefault="000414CF" w:rsidP="000414CF">
      <w:pPr>
        <w:pStyle w:val="ListParagraph"/>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szCs w:val="22"/>
          <w:lang w:val="fr-FR"/>
        </w:rPr>
      </w:pPr>
      <w:r w:rsidRPr="00623A2B">
        <w:rPr>
          <w:rFonts w:ascii="Times New Roman" w:hAnsi="Times New Roman"/>
          <w:szCs w:val="22"/>
          <w:lang w:val="fr-FR"/>
        </w:rPr>
        <w:t>De demander au Secrétariat général de continuer, par le truchement du Secrétariat aux Sommets :</w:t>
      </w:r>
    </w:p>
    <w:p w14:paraId="6165EEB2" w14:textId="77777777" w:rsidR="000414CF" w:rsidRPr="00623A2B" w:rsidRDefault="000414CF" w:rsidP="000414CF">
      <w:pPr>
        <w:rPr>
          <w:rFonts w:ascii="Times New Roman" w:hAnsi="Times New Roman"/>
          <w:szCs w:val="22"/>
          <w:lang w:val="fr-FR"/>
        </w:rPr>
      </w:pPr>
    </w:p>
    <w:p w14:paraId="1E831EE6" w14:textId="77777777" w:rsidR="000414CF" w:rsidRPr="00623A2B" w:rsidRDefault="000414CF" w:rsidP="000414CF">
      <w:pPr>
        <w:ind w:left="720" w:firstLine="720"/>
        <w:rPr>
          <w:rFonts w:ascii="Times New Roman" w:hAnsi="Times New Roman"/>
          <w:szCs w:val="22"/>
          <w:lang w:val="fr-FR"/>
        </w:rPr>
      </w:pPr>
      <w:r w:rsidRPr="00623A2B">
        <w:rPr>
          <w:rFonts w:ascii="Times New Roman" w:hAnsi="Times New Roman"/>
          <w:szCs w:val="22"/>
          <w:lang w:val="fr-FR"/>
        </w:rPr>
        <w:t>a.</w:t>
      </w:r>
      <w:r w:rsidRPr="00623A2B">
        <w:rPr>
          <w:rFonts w:ascii="Times New Roman" w:hAnsi="Times New Roman"/>
          <w:szCs w:val="22"/>
          <w:lang w:val="fr-FR"/>
        </w:rPr>
        <w:tab/>
        <w:t xml:space="preserve">à appuyer le suivi et la diffusion des mandats et initiatives des Sommets, le cas échéant, y compris en faisant participer les processus ministériels ; </w:t>
      </w:r>
    </w:p>
    <w:p w14:paraId="2745172D" w14:textId="77777777" w:rsidR="000414CF" w:rsidRPr="00623A2B" w:rsidRDefault="000414CF" w:rsidP="000414CF">
      <w:pPr>
        <w:ind w:left="720" w:firstLine="720"/>
        <w:rPr>
          <w:rFonts w:ascii="Times New Roman" w:hAnsi="Times New Roman"/>
          <w:szCs w:val="22"/>
          <w:lang w:val="fr-FR"/>
        </w:rPr>
      </w:pPr>
    </w:p>
    <w:p w14:paraId="2096E6FA" w14:textId="77777777" w:rsidR="000414CF" w:rsidRPr="00623A2B" w:rsidRDefault="000414CF" w:rsidP="000414CF">
      <w:pPr>
        <w:ind w:left="720" w:firstLine="720"/>
        <w:rPr>
          <w:rFonts w:ascii="Times New Roman" w:hAnsi="Times New Roman"/>
          <w:szCs w:val="22"/>
          <w:lang w:val="fr-FR"/>
        </w:rPr>
      </w:pPr>
      <w:r w:rsidRPr="00623A2B">
        <w:rPr>
          <w:rFonts w:ascii="Times New Roman" w:hAnsi="Times New Roman"/>
          <w:szCs w:val="22"/>
          <w:lang w:val="fr-FR"/>
        </w:rPr>
        <w:t>b.</w:t>
      </w:r>
      <w:r w:rsidRPr="00623A2B">
        <w:rPr>
          <w:rFonts w:ascii="Times New Roman" w:hAnsi="Times New Roman"/>
          <w:szCs w:val="22"/>
          <w:lang w:val="fr-FR"/>
        </w:rPr>
        <w:tab/>
        <w:t>à offrir un soutien aux États membres en matière de mise en œuvre des mandats et initiatives des Sommets et d’utilisation des outils et sources d’établissement de rapports, et à conseiller les États membres, sur demande, concernant tous les aspects liés au processus de soutien des activités de suivi du Huitième Sommet, en particulier la mise en œuvre de l’Engagement de Lima de même que les préparatifs et le suivi du Neuvième Sommet qui aura lieu aux États-Unis durant l’été de 2022 ;</w:t>
      </w:r>
      <w:r w:rsidRPr="00623A2B">
        <w:rPr>
          <w:rStyle w:val="FootnoteReference"/>
          <w:rFonts w:ascii="Times New Roman" w:hAnsi="Times New Roman"/>
          <w:szCs w:val="22"/>
          <w:u w:val="single"/>
        </w:rPr>
        <w:footnoteReference w:id="71"/>
      </w:r>
      <w:r w:rsidRPr="00623A2B">
        <w:rPr>
          <w:rFonts w:ascii="Times New Roman" w:hAnsi="Times New Roman"/>
          <w:szCs w:val="22"/>
          <w:vertAlign w:val="superscript"/>
          <w:lang w:val="fr-FR"/>
        </w:rPr>
        <w:t>/</w:t>
      </w:r>
    </w:p>
    <w:p w14:paraId="5827BF30" w14:textId="77777777" w:rsidR="000414CF" w:rsidRPr="00623A2B" w:rsidRDefault="000414CF" w:rsidP="000414CF">
      <w:pPr>
        <w:ind w:left="720" w:firstLine="720"/>
        <w:rPr>
          <w:rFonts w:ascii="Times New Roman" w:hAnsi="Times New Roman"/>
          <w:szCs w:val="22"/>
          <w:lang w:val="fr-FR"/>
        </w:rPr>
      </w:pPr>
    </w:p>
    <w:p w14:paraId="07DE8163" w14:textId="77777777" w:rsidR="000414CF" w:rsidRPr="00623A2B" w:rsidRDefault="000414CF" w:rsidP="000414CF">
      <w:pPr>
        <w:ind w:left="720" w:firstLine="720"/>
        <w:rPr>
          <w:rFonts w:ascii="Times New Roman" w:hAnsi="Times New Roman"/>
          <w:szCs w:val="22"/>
          <w:lang w:val="fr-FR"/>
        </w:rPr>
      </w:pPr>
      <w:r w:rsidRPr="00623A2B">
        <w:rPr>
          <w:rFonts w:ascii="Times New Roman" w:hAnsi="Times New Roman"/>
          <w:szCs w:val="22"/>
          <w:lang w:val="fr-FR"/>
        </w:rPr>
        <w:t>c.</w:t>
      </w:r>
      <w:r w:rsidRPr="00623A2B">
        <w:rPr>
          <w:rFonts w:ascii="Times New Roman" w:hAnsi="Times New Roman"/>
          <w:szCs w:val="22"/>
          <w:lang w:val="fr-FR"/>
        </w:rPr>
        <w:tab/>
        <w:t>à déployer des efforts afin de promouvoir et de diffuser les mandats et initiatives auprès des parties prenantes pour faciliter leur contribution et leur participation au suivi et à la mise en œuvre, par le biais des plateformes d’information et de communication disponibles, y compris les réseaux sociaux et la Communauté virtuelle des Sommets.</w:t>
      </w:r>
    </w:p>
    <w:p w14:paraId="7E166A7C" w14:textId="77777777" w:rsidR="000414CF" w:rsidRPr="00623A2B" w:rsidRDefault="000414CF" w:rsidP="000414CF">
      <w:pPr>
        <w:rPr>
          <w:rFonts w:ascii="Times New Roman" w:hAnsi="Times New Roman"/>
          <w:szCs w:val="22"/>
          <w:lang w:val="fr-FR"/>
        </w:rPr>
      </w:pPr>
    </w:p>
    <w:p w14:paraId="3D0007BD" w14:textId="77777777" w:rsidR="000414CF" w:rsidRPr="00623A2B" w:rsidRDefault="000414CF" w:rsidP="000414CF">
      <w:pPr>
        <w:pStyle w:val="ListParagraph"/>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szCs w:val="22"/>
          <w:lang w:val="fr-FR"/>
        </w:rPr>
      </w:pPr>
      <w:r w:rsidRPr="00623A2B">
        <w:rPr>
          <w:rFonts w:ascii="Times New Roman" w:hAnsi="Times New Roman"/>
          <w:szCs w:val="22"/>
          <w:lang w:val="fr-FR"/>
        </w:rPr>
        <w:t xml:space="preserve">De charger le Secrétariat général de continuer à coordonner et à promouvoir, en sa qualité de président du Groupe de travail mixte sur les Sommets (GTCC), la mise en œuvre et le suivi des mandats issus des Sommets des Amériques auprès des institutions membres du GTCC, et de tenir au moins une réunion annuelle des dirigeants de ces institutions afin de passer en revue les progrès accomplis et de planifier des activités conjointes, en faisant rapport à la Commission sur la gestion des Sommets interaméricains et la participation de la société civile aux activités de l’OEA (CISC) et au Groupe d’évaluation de la mise en œuvre des initiatives des Sommets des Amériques (GRIC). </w:t>
      </w:r>
    </w:p>
    <w:p w14:paraId="4535BEB1" w14:textId="77777777" w:rsidR="000414CF" w:rsidRPr="00623A2B" w:rsidRDefault="000414CF" w:rsidP="000414CF">
      <w:pPr>
        <w:rPr>
          <w:rFonts w:ascii="Times New Roman" w:hAnsi="Times New Roman"/>
          <w:szCs w:val="22"/>
          <w:lang w:val="fr-FR"/>
        </w:rPr>
      </w:pPr>
    </w:p>
    <w:p w14:paraId="39E16EC2" w14:textId="77777777" w:rsidR="000414CF" w:rsidRPr="00623A2B" w:rsidRDefault="000414CF" w:rsidP="000414CF">
      <w:pPr>
        <w:pStyle w:val="ListParagraph"/>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szCs w:val="22"/>
          <w:lang w:val="fr-FR"/>
        </w:rPr>
      </w:pPr>
      <w:r w:rsidRPr="00623A2B">
        <w:rPr>
          <w:rFonts w:ascii="Times New Roman" w:hAnsi="Times New Roman"/>
          <w:szCs w:val="22"/>
          <w:lang w:val="fr-FR"/>
        </w:rPr>
        <w:t>De prier instamment les États membres de faire rapport régulièrement, par le truchement du GRIC, sur la mise en œuvre et le suivi des mandats et initiatives issus du processus des Sommets des Amériques, et de demander aux États et institutions membres du GTCC qui ne l’ont pas encore fait de soumettre les informations les concernant au Mécanisme de suivi et de mise en œuvre de l’Engagement de Lima.</w:t>
      </w:r>
      <w:r w:rsidRPr="00623A2B">
        <w:rPr>
          <w:rStyle w:val="FootnoteReference"/>
          <w:rFonts w:ascii="Times New Roman" w:hAnsi="Times New Roman"/>
          <w:szCs w:val="22"/>
          <w:u w:val="single"/>
        </w:rPr>
        <w:footnoteReference w:id="72"/>
      </w:r>
      <w:r w:rsidRPr="00623A2B">
        <w:rPr>
          <w:rFonts w:ascii="Times New Roman" w:hAnsi="Times New Roman"/>
          <w:szCs w:val="22"/>
          <w:vertAlign w:val="superscript"/>
          <w:lang w:val="fr-FR"/>
        </w:rPr>
        <w:t>/</w:t>
      </w:r>
    </w:p>
    <w:p w14:paraId="1862D5E1" w14:textId="77777777" w:rsidR="000414CF" w:rsidRPr="00623A2B" w:rsidRDefault="000414CF" w:rsidP="000414CF">
      <w:pPr>
        <w:rPr>
          <w:rFonts w:ascii="Times New Roman" w:hAnsi="Times New Roman"/>
          <w:szCs w:val="22"/>
          <w:lang w:val="fr-FR"/>
        </w:rPr>
      </w:pPr>
    </w:p>
    <w:p w14:paraId="22B3E491" w14:textId="77777777" w:rsidR="000414CF" w:rsidRPr="00623A2B" w:rsidRDefault="000414CF" w:rsidP="000414CF">
      <w:pPr>
        <w:pStyle w:val="ListParagraph"/>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eastAsia="Calibri" w:hAnsi="Times New Roman"/>
          <w:bCs/>
          <w:szCs w:val="22"/>
          <w:lang w:val="fr-FR"/>
        </w:rPr>
      </w:pPr>
      <w:r w:rsidRPr="00623A2B">
        <w:rPr>
          <w:rFonts w:ascii="Times New Roman" w:hAnsi="Times New Roman"/>
          <w:szCs w:val="22"/>
          <w:lang w:val="fr-FR"/>
        </w:rPr>
        <w:lastRenderedPageBreak/>
        <w:t>D’établir que l’exécution des activités prévues dans la présente résolution dépendra de la disponibilité de ressources financières dans le programme-budget de l’Organisation ainsi que d’autres ressources, de charger le Secrétariat général d’utiliser ses ressources selon le besoin, de négocier et lever des fonds volontaires et de mobiliser d’autres ressources auprès des organismes non gouvernementaux et de coopération d’envergure internationale pour réaliser les activités mentionnées dans la présente résolution, et de prier instamment les États membres de contribuer au financement des activités précitées.</w:t>
      </w:r>
    </w:p>
    <w:p w14:paraId="6A54619F" w14:textId="77777777" w:rsidR="000414CF" w:rsidRPr="00623A2B" w:rsidRDefault="000414CF" w:rsidP="000414CF">
      <w:pPr>
        <w:rPr>
          <w:rFonts w:ascii="Times New Roman" w:eastAsia="Calibri" w:hAnsi="Times New Roman"/>
          <w:bCs/>
          <w:szCs w:val="22"/>
          <w:lang w:val="fr-FR"/>
        </w:rPr>
      </w:pPr>
      <w:r w:rsidRPr="00623A2B">
        <w:rPr>
          <w:rFonts w:ascii="Times New Roman" w:eastAsia="Calibri" w:hAnsi="Times New Roman"/>
          <w:bCs/>
          <w:szCs w:val="22"/>
          <w:lang w:val="fr-FR"/>
        </w:rPr>
        <w:br w:type="page"/>
      </w:r>
    </w:p>
    <w:p w14:paraId="4231ED86" w14:textId="77777777" w:rsidR="000414CF" w:rsidRPr="00623A2B" w:rsidRDefault="000414CF" w:rsidP="000414CF">
      <w:pPr>
        <w:jc w:val="center"/>
        <w:rPr>
          <w:rFonts w:ascii="Times New Roman" w:hAnsi="Times New Roman"/>
          <w:sz w:val="20"/>
          <w:lang w:val="fr-FR"/>
        </w:rPr>
      </w:pPr>
      <w:r w:rsidRPr="00623A2B">
        <w:rPr>
          <w:rFonts w:ascii="Times New Roman" w:hAnsi="Times New Roman"/>
          <w:sz w:val="20"/>
          <w:lang w:val="fr-FR"/>
        </w:rPr>
        <w:lastRenderedPageBreak/>
        <w:t>NOTES DE BAS DE PAGE</w:t>
      </w:r>
    </w:p>
    <w:p w14:paraId="10720294" w14:textId="77777777" w:rsidR="000414CF" w:rsidRPr="00623A2B" w:rsidRDefault="000414CF" w:rsidP="000414CF">
      <w:pPr>
        <w:rPr>
          <w:rFonts w:ascii="Times New Roman" w:hAnsi="Times New Roman"/>
          <w:sz w:val="20"/>
          <w:lang w:val="fr-FR"/>
        </w:rPr>
      </w:pPr>
    </w:p>
    <w:p w14:paraId="00D99387" w14:textId="77777777" w:rsidR="000414CF" w:rsidRPr="00623A2B" w:rsidRDefault="000414CF" w:rsidP="000414CF">
      <w:pPr>
        <w:rPr>
          <w:rFonts w:ascii="Times New Roman" w:hAnsi="Times New Roman"/>
          <w:sz w:val="20"/>
          <w:lang w:val="fr-FR"/>
        </w:rPr>
      </w:pPr>
    </w:p>
    <w:p w14:paraId="35FD5884" w14:textId="77777777" w:rsidR="000414CF" w:rsidRPr="00623A2B" w:rsidRDefault="000414CF" w:rsidP="000414CF">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1.</w:t>
      </w:r>
      <w:r w:rsidRPr="00623A2B">
        <w:rPr>
          <w:rFonts w:ascii="Times New Roman" w:hAnsi="Times New Roman"/>
          <w:sz w:val="20"/>
          <w:lang w:val="fr-FR"/>
        </w:rPr>
        <w:tab/>
        <w:t>… Cinquante-et-unième Session ordinaire de l’Assemblée générale de l’Organisation des États Américains (OEA), lesquelles constituent des actes contraires au droit international.</w:t>
      </w:r>
    </w:p>
    <w:p w14:paraId="53399BD1" w14:textId="77777777" w:rsidR="000414CF" w:rsidRPr="00623A2B" w:rsidRDefault="000414CF" w:rsidP="000414CF">
      <w:pPr>
        <w:pStyle w:val="FootnoteText"/>
        <w:tabs>
          <w:tab w:val="clear" w:pos="360"/>
        </w:tabs>
        <w:ind w:left="0" w:firstLine="720"/>
        <w:rPr>
          <w:rFonts w:ascii="Times New Roman" w:hAnsi="Times New Roman"/>
          <w:sz w:val="20"/>
          <w:lang w:val="fr-FR"/>
        </w:rPr>
      </w:pPr>
    </w:p>
    <w:p w14:paraId="641B7A63" w14:textId="77777777" w:rsidR="000414CF" w:rsidRPr="00623A2B" w:rsidRDefault="000414CF" w:rsidP="000414CF">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0D332386" w14:textId="77777777" w:rsidR="000414CF" w:rsidRPr="00623A2B" w:rsidRDefault="000414CF" w:rsidP="000414CF">
      <w:pPr>
        <w:pStyle w:val="FootnoteText"/>
        <w:tabs>
          <w:tab w:val="clear" w:pos="360"/>
        </w:tabs>
        <w:ind w:left="0" w:firstLine="720"/>
        <w:rPr>
          <w:rFonts w:ascii="Times New Roman" w:hAnsi="Times New Roman"/>
          <w:sz w:val="20"/>
          <w:lang w:val="fr-FR"/>
        </w:rPr>
      </w:pPr>
    </w:p>
    <w:p w14:paraId="7DE6934F" w14:textId="77777777" w:rsidR="000414CF" w:rsidRPr="00623A2B" w:rsidRDefault="000414CF" w:rsidP="000414CF">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11AE306B" w14:textId="77777777" w:rsidR="000414CF" w:rsidRPr="00623A2B" w:rsidRDefault="000414CF" w:rsidP="000414CF">
      <w:pPr>
        <w:pStyle w:val="FootnoteText"/>
        <w:tabs>
          <w:tab w:val="clear" w:pos="360"/>
        </w:tabs>
        <w:ind w:left="0" w:firstLine="720"/>
        <w:rPr>
          <w:rFonts w:ascii="Times New Roman" w:hAnsi="Times New Roman"/>
          <w:sz w:val="20"/>
          <w:lang w:val="fr-FR"/>
        </w:rPr>
      </w:pPr>
    </w:p>
    <w:p w14:paraId="62842FF1" w14:textId="77777777" w:rsidR="000414CF" w:rsidRPr="00623A2B" w:rsidRDefault="000414CF" w:rsidP="000414CF">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 xml:space="preserve">La reconnaissance d’un gouvernement est un acte souverain des États, et non des institutions internationales. L’OEA ne possède ni ne peut s’arroger des facultés de reconnaissance collective opposable à la qualité de </w:t>
      </w:r>
      <w:proofErr w:type="gramStart"/>
      <w:r w:rsidRPr="00623A2B">
        <w:rPr>
          <w:rFonts w:ascii="Times New Roman" w:hAnsi="Times New Roman"/>
          <w:sz w:val="20"/>
          <w:lang w:val="fr-FR"/>
        </w:rPr>
        <w:t>membre;</w:t>
      </w:r>
      <w:proofErr w:type="gramEnd"/>
      <w:r w:rsidRPr="00623A2B">
        <w:rPr>
          <w:rFonts w:ascii="Times New Roman" w:hAnsi="Times New Roman"/>
          <w:sz w:val="20"/>
          <w:lang w:val="fr-FR"/>
        </w:rPr>
        <w:t xml:space="preserve"> c’est pourquoi tout acte visant à atteindre cet objectif tombe en dehors de sa compétence et est matériellement nul.</w:t>
      </w:r>
    </w:p>
    <w:p w14:paraId="04301DCD" w14:textId="77777777" w:rsidR="000414CF" w:rsidRPr="00623A2B" w:rsidRDefault="000414CF" w:rsidP="000414CF">
      <w:pPr>
        <w:pStyle w:val="FootnoteText"/>
        <w:tabs>
          <w:tab w:val="clear" w:pos="360"/>
        </w:tabs>
        <w:ind w:left="0" w:firstLine="720"/>
        <w:rPr>
          <w:rFonts w:ascii="Times New Roman" w:hAnsi="Times New Roman"/>
          <w:sz w:val="20"/>
          <w:lang w:val="fr-FR"/>
        </w:rPr>
      </w:pPr>
    </w:p>
    <w:p w14:paraId="44F3EE81" w14:textId="77777777" w:rsidR="000414CF" w:rsidRPr="00623A2B" w:rsidRDefault="000414CF" w:rsidP="000414CF">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5D11AB12" w14:textId="77777777" w:rsidR="000414CF" w:rsidRPr="00623A2B" w:rsidRDefault="000414CF" w:rsidP="000414CF">
      <w:pPr>
        <w:pStyle w:val="FootnoteText"/>
        <w:tabs>
          <w:tab w:val="clear" w:pos="360"/>
        </w:tabs>
        <w:ind w:left="0" w:firstLine="720"/>
        <w:rPr>
          <w:rFonts w:ascii="Times New Roman" w:hAnsi="Times New Roman"/>
          <w:sz w:val="20"/>
          <w:lang w:val="fr-FR"/>
        </w:rPr>
      </w:pPr>
    </w:p>
    <w:p w14:paraId="09DCB413" w14:textId="77777777" w:rsidR="000414CF" w:rsidRPr="00623A2B" w:rsidRDefault="000414CF" w:rsidP="000414CF">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72F4EAE8" w14:textId="77777777" w:rsidR="000414CF" w:rsidRPr="00623A2B" w:rsidRDefault="000414CF" w:rsidP="000414CF">
      <w:pPr>
        <w:pStyle w:val="FootnoteText"/>
        <w:tabs>
          <w:tab w:val="clear" w:pos="360"/>
        </w:tabs>
        <w:ind w:left="0" w:firstLine="720"/>
        <w:rPr>
          <w:rFonts w:ascii="Times New Roman" w:hAnsi="Times New Roman"/>
          <w:sz w:val="20"/>
          <w:lang w:val="fr-FR"/>
        </w:rPr>
      </w:pPr>
    </w:p>
    <w:p w14:paraId="38E4B45A" w14:textId="77777777" w:rsidR="000414CF" w:rsidRPr="00623A2B" w:rsidRDefault="000414CF" w:rsidP="000414CF">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38E7B417" w14:textId="77777777" w:rsidR="000414CF" w:rsidRPr="00623A2B" w:rsidRDefault="000414CF" w:rsidP="000414CF">
      <w:pPr>
        <w:pStyle w:val="FootnoteText"/>
        <w:tabs>
          <w:tab w:val="clear" w:pos="360"/>
        </w:tabs>
        <w:ind w:left="0" w:firstLine="720"/>
        <w:rPr>
          <w:rFonts w:ascii="Times New Roman" w:hAnsi="Times New Roman"/>
          <w:sz w:val="20"/>
          <w:lang w:val="fr-FR"/>
        </w:rPr>
      </w:pPr>
    </w:p>
    <w:p w14:paraId="2BF4B691" w14:textId="77777777" w:rsidR="000414CF" w:rsidRPr="00623A2B" w:rsidRDefault="000414CF" w:rsidP="000414CF">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2.</w:t>
      </w:r>
      <w:r w:rsidRPr="00623A2B">
        <w:rPr>
          <w:rFonts w:ascii="Times New Roman" w:hAnsi="Times New Roman"/>
          <w:sz w:val="20"/>
          <w:lang w:val="fr-FR"/>
        </w:rPr>
        <w:tab/>
        <w:t xml:space="preserve">… de personnes qui prétendent usurper la représentation légale de la République bolivarienne du Venezuela et du Gouvernement légitime du Président </w:t>
      </w:r>
      <w:proofErr w:type="spellStart"/>
      <w:r w:rsidRPr="00623A2B">
        <w:rPr>
          <w:rFonts w:ascii="Times New Roman" w:hAnsi="Times New Roman"/>
          <w:sz w:val="20"/>
          <w:lang w:val="fr-FR"/>
        </w:rPr>
        <w:t>Nicolás</w:t>
      </w:r>
      <w:proofErr w:type="spellEnd"/>
      <w:r w:rsidRPr="00623A2B">
        <w:rPr>
          <w:rFonts w:ascii="Times New Roman" w:hAnsi="Times New Roman"/>
          <w:sz w:val="20"/>
          <w:lang w:val="fr-FR"/>
        </w:rPr>
        <w:t xml:space="preserve"> </w:t>
      </w:r>
      <w:proofErr w:type="spellStart"/>
      <w:r w:rsidRPr="00623A2B">
        <w:rPr>
          <w:rFonts w:ascii="Times New Roman" w:hAnsi="Times New Roman"/>
          <w:sz w:val="20"/>
          <w:lang w:val="fr-FR"/>
        </w:rPr>
        <w:t>Maduro</w:t>
      </w:r>
      <w:proofErr w:type="spellEnd"/>
      <w:r w:rsidRPr="00623A2B">
        <w:rPr>
          <w:rFonts w:ascii="Times New Roman" w:hAnsi="Times New Roman"/>
          <w:sz w:val="20"/>
          <w:lang w:val="fr-FR"/>
        </w:rPr>
        <w:t xml:space="preserve"> Moros. Nous demandons que notre refus soit consigné dans tous les documents qui seront traités lors de la présente Cinquante-et-unième Session de l’Assemblée générale de l’OEA.</w:t>
      </w:r>
    </w:p>
    <w:p w14:paraId="660C94D7" w14:textId="77777777" w:rsidR="000414CF" w:rsidRPr="00623A2B" w:rsidRDefault="000414CF" w:rsidP="000414CF">
      <w:pPr>
        <w:pStyle w:val="FootnoteText"/>
        <w:tabs>
          <w:tab w:val="clear" w:pos="360"/>
        </w:tabs>
        <w:ind w:left="0" w:firstLine="720"/>
        <w:rPr>
          <w:rFonts w:ascii="Times New Roman" w:hAnsi="Times New Roman"/>
          <w:sz w:val="20"/>
          <w:lang w:val="fr-FR"/>
        </w:rPr>
      </w:pPr>
    </w:p>
    <w:p w14:paraId="0BB6F6D7" w14:textId="77777777" w:rsidR="000414CF" w:rsidRPr="00623A2B" w:rsidRDefault="000414CF" w:rsidP="000414CF">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3.</w:t>
      </w:r>
      <w:r w:rsidRPr="00623A2B">
        <w:rPr>
          <w:rFonts w:ascii="Times New Roman" w:hAnsi="Times New Roman"/>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05285DD1" w14:textId="77777777" w:rsidR="000414CF" w:rsidRPr="00623A2B" w:rsidRDefault="000414CF" w:rsidP="000414CF">
      <w:pPr>
        <w:pStyle w:val="FootnoteText"/>
        <w:tabs>
          <w:tab w:val="clear" w:pos="360"/>
        </w:tabs>
        <w:ind w:left="0" w:firstLine="720"/>
        <w:rPr>
          <w:rFonts w:ascii="Times New Roman" w:hAnsi="Times New Roman"/>
          <w:sz w:val="20"/>
          <w:lang w:val="fr-FR"/>
        </w:rPr>
      </w:pPr>
    </w:p>
    <w:p w14:paraId="78A3C7E1" w14:textId="77777777" w:rsidR="000414CF" w:rsidRPr="00623A2B" w:rsidRDefault="000414CF" w:rsidP="000414CF">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 xml:space="preserve">Antigua-et-Barbuda n'a pas soutenu la résolution CP/RES. 1124 (2217/19) du 9 avril 2019 qui visait à nommer M. Gustavo </w:t>
      </w:r>
      <w:proofErr w:type="spellStart"/>
      <w:r w:rsidRPr="00623A2B">
        <w:rPr>
          <w:rFonts w:ascii="Times New Roman" w:hAnsi="Times New Roman"/>
          <w:sz w:val="20"/>
          <w:lang w:val="fr-FR"/>
        </w:rPr>
        <w:t>Tarre</w:t>
      </w:r>
      <w:proofErr w:type="spellEnd"/>
      <w:r w:rsidRPr="00623A2B">
        <w:rPr>
          <w:rFonts w:ascii="Times New Roman" w:hAnsi="Times New Roman"/>
          <w:sz w:val="20"/>
          <w:lang w:val="fr-FR"/>
        </w:rPr>
        <w:t xml:space="preserve"> comme représentant de l'Assemblée nationale auprès de l'OEA et n'a pas accepté les </w:t>
      </w:r>
      <w:r w:rsidRPr="00623A2B">
        <w:rPr>
          <w:rFonts w:ascii="Times New Roman" w:hAnsi="Times New Roman"/>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3E380257" w14:textId="77777777" w:rsidR="000414CF" w:rsidRPr="00623A2B" w:rsidRDefault="000414CF" w:rsidP="000414CF">
      <w:pPr>
        <w:pStyle w:val="FootnoteText"/>
        <w:tabs>
          <w:tab w:val="clear" w:pos="360"/>
        </w:tabs>
        <w:ind w:left="0" w:firstLine="720"/>
        <w:rPr>
          <w:rFonts w:ascii="Times New Roman" w:hAnsi="Times New Roman"/>
          <w:sz w:val="20"/>
          <w:lang w:val="fr-FR"/>
        </w:rPr>
      </w:pPr>
    </w:p>
    <w:p w14:paraId="05BEAA56" w14:textId="77777777" w:rsidR="000414CF" w:rsidRPr="00623A2B" w:rsidRDefault="000414CF" w:rsidP="000414CF">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7E9959D7" w14:textId="77777777" w:rsidR="000414CF" w:rsidRPr="00623A2B" w:rsidRDefault="000414CF" w:rsidP="000414CF">
      <w:pPr>
        <w:ind w:firstLine="720"/>
        <w:rPr>
          <w:rFonts w:ascii="Times New Roman" w:hAnsi="Times New Roman"/>
          <w:position w:val="-1"/>
          <w:sz w:val="20"/>
          <w:lang w:val="fr-CA"/>
        </w:rPr>
      </w:pPr>
    </w:p>
    <w:p w14:paraId="5C187A93" w14:textId="77777777" w:rsidR="000414CF" w:rsidRPr="00623A2B" w:rsidRDefault="000414CF" w:rsidP="000414CF">
      <w:pPr>
        <w:pStyle w:val="FootnoteText"/>
        <w:ind w:left="0" w:firstLine="720"/>
        <w:rPr>
          <w:rFonts w:ascii="Times New Roman" w:hAnsi="Times New Roman"/>
          <w:sz w:val="20"/>
          <w:lang w:val="fr-CA"/>
        </w:rPr>
      </w:pPr>
      <w:r w:rsidRPr="00623A2B">
        <w:rPr>
          <w:rFonts w:ascii="Times New Roman" w:hAnsi="Times New Roman"/>
          <w:sz w:val="20"/>
          <w:lang w:val="fr-FR"/>
        </w:rPr>
        <w:t>4.</w:t>
      </w:r>
      <w:r w:rsidRPr="00623A2B">
        <w:rPr>
          <w:rFonts w:ascii="Times New Roman" w:hAnsi="Times New Roman"/>
          <w:sz w:val="20"/>
          <w:lang w:val="fr-FR"/>
        </w:rPr>
        <w:tab/>
      </w:r>
      <w:r w:rsidRPr="00623A2B">
        <w:rPr>
          <w:rFonts w:ascii="Times New Roman" w:hAnsi="Times New Roman"/>
          <w:sz w:val="20"/>
          <w:lang w:val="fr-CA"/>
        </w:rPr>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322341C7" w14:textId="77777777" w:rsidR="000414CF" w:rsidRPr="00623A2B" w:rsidRDefault="000414CF" w:rsidP="000414CF">
      <w:pPr>
        <w:pStyle w:val="FootnoteText"/>
        <w:ind w:left="0" w:firstLine="720"/>
        <w:rPr>
          <w:rFonts w:ascii="Times New Roman" w:hAnsi="Times New Roman"/>
          <w:sz w:val="20"/>
          <w:lang w:val="fr-CA"/>
        </w:rPr>
      </w:pPr>
    </w:p>
    <w:p w14:paraId="0D9F4A1C" w14:textId="77777777" w:rsidR="000414CF" w:rsidRPr="00623A2B" w:rsidRDefault="000414CF" w:rsidP="00DD002B">
      <w:pPr>
        <w:ind w:firstLine="720"/>
        <w:rPr>
          <w:rFonts w:ascii="Times New Roman" w:hAnsi="Times New Roman"/>
          <w:sz w:val="20"/>
          <w:lang w:val="fr-FR"/>
        </w:rPr>
      </w:pPr>
      <w:r w:rsidRPr="00623A2B">
        <w:rPr>
          <w:rFonts w:ascii="Times New Roman" w:hAnsi="Times New Roman"/>
          <w:sz w:val="20"/>
          <w:lang w:val="fr-CA"/>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p>
    <w:p w14:paraId="32EACD58" w14:textId="77777777" w:rsidR="000414CF" w:rsidRPr="00623A2B" w:rsidRDefault="000414CF" w:rsidP="000414CF">
      <w:pPr>
        <w:rPr>
          <w:rFonts w:ascii="Times New Roman" w:hAnsi="Times New Roman"/>
          <w:sz w:val="20"/>
          <w:lang w:val="fr-FR"/>
        </w:rPr>
      </w:pPr>
    </w:p>
    <w:p w14:paraId="74D47325" w14:textId="77777777" w:rsidR="000414CF" w:rsidRPr="00623A2B" w:rsidRDefault="000414CF" w:rsidP="000414CF">
      <w:pPr>
        <w:pStyle w:val="FootnoteText"/>
        <w:numPr>
          <w:ilvl w:val="0"/>
          <w:numId w:val="52"/>
        </w:numPr>
        <w:tabs>
          <w:tab w:val="clear" w:pos="360"/>
        </w:tabs>
        <w:ind w:left="0" w:firstLine="720"/>
        <w:rPr>
          <w:rFonts w:ascii="Times New Roman" w:hAnsi="Times New Roman"/>
          <w:sz w:val="20"/>
          <w:lang w:val="fr-FR"/>
        </w:rPr>
      </w:pPr>
      <w:r w:rsidRPr="00623A2B">
        <w:rPr>
          <w:rFonts w:ascii="Times New Roman" w:eastAsia="Calibri" w:hAnsi="Times New Roman"/>
          <w:bCs/>
          <w:sz w:val="20"/>
          <w:lang w:val="fr-FR"/>
        </w:rPr>
        <w:t>…</w:t>
      </w:r>
      <w:r w:rsidRPr="00623A2B">
        <w:rPr>
          <w:rFonts w:ascii="Times New Roman" w:hAnsi="Times New Roman"/>
          <w:sz w:val="20"/>
          <w:lang w:val="fr-FR"/>
        </w:rPr>
        <w:t>(Colombie) en 2012, étant donné que, pendant le déroulement de ces rencontres, les Chefs d’État et de gouvernement n’ont pu aborder et n’ont pas approuvé les déclarations politiques qui contenaient la volonté solidaire des pays d’Amérique latine et des Caraïbes que la République sœur de Cuba participe de manière inconditionnelle et sur un pied d’égalité souveraine à ces instances. Nous réaffirmons que les Sommets des Amériques ne peuvent se tenir sans la présence de Cuba. Les mandats et les parties du dispositif relatives aux axes thématiques faisaient partie des décisions politiques et, comme celles-ci n’ont pas été approuvées, ils n’ont pas été approuvés. Telle est la raison pour laquelle le Nicaragua n’est pas d’accord que ces documents et ces mandats, qui n’ont pas été approuvés, soient mentionnés.</w:t>
      </w:r>
    </w:p>
    <w:p w14:paraId="15524BE7" w14:textId="77777777" w:rsidR="000414CF" w:rsidRPr="00623A2B" w:rsidRDefault="000414CF" w:rsidP="000414CF">
      <w:pPr>
        <w:pStyle w:val="ListParagraph"/>
        <w:ind w:left="0" w:firstLine="720"/>
        <w:rPr>
          <w:rFonts w:ascii="Times New Roman" w:hAnsi="Times New Roman"/>
          <w:sz w:val="20"/>
          <w:lang w:val="fr-FR"/>
        </w:rPr>
      </w:pPr>
    </w:p>
    <w:p w14:paraId="1136A155" w14:textId="77777777" w:rsidR="000414CF" w:rsidRPr="00623A2B" w:rsidRDefault="000414CF" w:rsidP="000414CF">
      <w:pPr>
        <w:pStyle w:val="ListParagraph"/>
        <w:ind w:left="0" w:firstLine="720"/>
        <w:rPr>
          <w:rFonts w:ascii="Times New Roman" w:hAnsi="Times New Roman"/>
          <w:sz w:val="20"/>
          <w:lang w:val="fr-FR"/>
        </w:rPr>
      </w:pPr>
      <w:r w:rsidRPr="00623A2B">
        <w:rPr>
          <w:rFonts w:ascii="Times New Roman" w:hAnsi="Times New Roman"/>
          <w:sz w:val="20"/>
          <w:lang w:val="fr-FR"/>
        </w:rPr>
        <w:t xml:space="preserve">Le gouvernement de la République du Nicaragua fait savoir aux Chefs d’État et de </w:t>
      </w:r>
      <w:proofErr w:type="gramStart"/>
      <w:r w:rsidRPr="00623A2B">
        <w:rPr>
          <w:rFonts w:ascii="Times New Roman" w:hAnsi="Times New Roman"/>
          <w:sz w:val="20"/>
          <w:lang w:val="fr-FR"/>
        </w:rPr>
        <w:t>gouvernement présents</w:t>
      </w:r>
      <w:proofErr w:type="gramEnd"/>
      <w:r w:rsidRPr="00623A2B">
        <w:rPr>
          <w:rFonts w:ascii="Times New Roman" w:hAnsi="Times New Roman"/>
          <w:sz w:val="20"/>
          <w:lang w:val="fr-FR"/>
        </w:rPr>
        <w:t xml:space="preserve"> au Huitième Sommet des Amériques que le Nicaragua ne donne pas son approbation à l’Engagement de Lima « La gouvernance démocratique face à la corruption » ni à tout autre document, déclaration, communiqué ou résolution émanant de ce Sommet, étant donné qu’il n’a pas participé à leur négociation.</w:t>
      </w:r>
    </w:p>
    <w:p w14:paraId="77D7E722" w14:textId="77777777" w:rsidR="000414CF" w:rsidRPr="00623A2B" w:rsidRDefault="000414CF" w:rsidP="000414CF">
      <w:pPr>
        <w:pStyle w:val="ListParagraph"/>
        <w:ind w:left="0" w:firstLine="720"/>
        <w:rPr>
          <w:rFonts w:ascii="Times New Roman" w:hAnsi="Times New Roman"/>
          <w:sz w:val="20"/>
          <w:lang w:val="fr-FR"/>
        </w:rPr>
      </w:pPr>
    </w:p>
    <w:p w14:paraId="30CAF877" w14:textId="77777777" w:rsidR="000414CF" w:rsidRPr="00623A2B" w:rsidRDefault="000414CF" w:rsidP="000414CF">
      <w:pPr>
        <w:pStyle w:val="FootnoteText"/>
        <w:numPr>
          <w:ilvl w:val="0"/>
          <w:numId w:val="51"/>
        </w:numPr>
        <w:tabs>
          <w:tab w:val="clear" w:pos="360"/>
        </w:tabs>
        <w:ind w:left="0" w:firstLine="720"/>
        <w:rPr>
          <w:rFonts w:ascii="Times New Roman" w:eastAsia="Calibri" w:hAnsi="Times New Roman"/>
          <w:bCs/>
          <w:sz w:val="20"/>
          <w:lang w:val="fr-FR"/>
        </w:rPr>
      </w:pPr>
      <w:r w:rsidRPr="00623A2B">
        <w:rPr>
          <w:rFonts w:ascii="Times New Roman" w:hAnsi="Times New Roman"/>
          <w:sz w:val="20"/>
          <w:lang w:val="fr-FR"/>
        </w:rPr>
        <w:t xml:space="preserve">… l’Engagement de Lima : « La gouvernance démocratique face à la corruption » ni à tout autre document, déclaration, communiqué ou résolution émanant de ce Sommet, étant donné qu’il n’a pas participé à leur négociation. </w:t>
      </w:r>
    </w:p>
    <w:p w14:paraId="75AAC378" w14:textId="77777777" w:rsidR="000414CF" w:rsidRPr="00623A2B" w:rsidRDefault="000414CF" w:rsidP="000414CF">
      <w:pPr>
        <w:pStyle w:val="FootnoteText"/>
        <w:rPr>
          <w:rFonts w:ascii="Times New Roman" w:hAnsi="Times New Roman"/>
          <w:sz w:val="20"/>
          <w:lang w:val="fr-FR"/>
        </w:rPr>
      </w:pPr>
    </w:p>
    <w:p w14:paraId="3319D56B" w14:textId="77777777" w:rsidR="000414CF" w:rsidRPr="00623A2B" w:rsidRDefault="000414CF" w:rsidP="000414CF">
      <w:pPr>
        <w:pStyle w:val="FootnoteText"/>
        <w:rPr>
          <w:rFonts w:ascii="Times New Roman" w:eastAsia="Calibri" w:hAnsi="Times New Roman"/>
          <w:bCs/>
          <w:sz w:val="20"/>
          <w:lang w:val="fr-FR"/>
        </w:rPr>
      </w:pPr>
      <w:r w:rsidRPr="00623A2B">
        <w:rPr>
          <w:rFonts w:ascii="Times New Roman" w:hAnsi="Times New Roman"/>
          <w:noProof/>
          <w:sz w:val="20"/>
        </w:rPr>
        <w:drawing>
          <wp:anchor distT="0" distB="0" distL="114300" distR="114300" simplePos="0" relativeHeight="251717632" behindDoc="0" locked="0" layoutInCell="1" allowOverlap="1" wp14:anchorId="011D4969" wp14:editId="5B95E4F5">
            <wp:simplePos x="0" y="0"/>
            <wp:positionH relativeFrom="margin">
              <wp:align>right</wp:align>
            </wp:positionH>
            <wp:positionV relativeFrom="paragraph">
              <wp:posOffset>4068221</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31E9D" w14:textId="5E67B519" w:rsidR="00ED77CA" w:rsidRPr="00623A2B" w:rsidRDefault="00ED77CA" w:rsidP="009A129C">
      <w:pPr>
        <w:pStyle w:val="FootnoteText"/>
        <w:tabs>
          <w:tab w:val="clear" w:pos="360"/>
        </w:tabs>
        <w:rPr>
          <w:rFonts w:ascii="Times New Roman" w:hAnsi="Times New Roman"/>
          <w:sz w:val="20"/>
          <w:lang w:val="fr-FR"/>
        </w:rPr>
      </w:pPr>
    </w:p>
    <w:p w14:paraId="2512140C" w14:textId="77777777" w:rsidR="00286485" w:rsidRPr="00623A2B" w:rsidRDefault="00286485" w:rsidP="009A129C">
      <w:pPr>
        <w:pStyle w:val="FootnoteText"/>
        <w:tabs>
          <w:tab w:val="clear" w:pos="360"/>
        </w:tabs>
        <w:rPr>
          <w:rFonts w:ascii="Times New Roman" w:hAnsi="Times New Roman"/>
          <w:sz w:val="20"/>
          <w:lang w:val="fr-FR"/>
        </w:rPr>
        <w:sectPr w:rsidR="00286485" w:rsidRPr="00623A2B" w:rsidSect="00623A2B">
          <w:headerReference w:type="even" r:id="rId118"/>
          <w:headerReference w:type="default" r:id="rId119"/>
          <w:footnotePr>
            <w:numRestart w:val="eachSect"/>
          </w:footnotePr>
          <w:type w:val="oddPage"/>
          <w:pgSz w:w="12240" w:h="15840" w:code="1"/>
          <w:pgMar w:top="2160" w:right="1570" w:bottom="1296" w:left="1699" w:header="720" w:footer="720" w:gutter="0"/>
          <w:cols w:space="720"/>
          <w:titlePg/>
          <w:docGrid w:linePitch="360"/>
        </w:sectPr>
      </w:pPr>
    </w:p>
    <w:p w14:paraId="4A879E82" w14:textId="77777777" w:rsidR="004803EA" w:rsidRPr="00623A2B" w:rsidRDefault="004803EA" w:rsidP="009651F1">
      <w:pPr>
        <w:pStyle w:val="Heading1"/>
        <w:spacing w:before="0"/>
        <w:jc w:val="center"/>
        <w:rPr>
          <w:rFonts w:ascii="Times New Roman" w:hAnsi="Times New Roman" w:cs="Times New Roman"/>
          <w:color w:val="auto"/>
          <w:sz w:val="22"/>
          <w:szCs w:val="22"/>
          <w:lang w:val="fr-FR"/>
        </w:rPr>
      </w:pPr>
      <w:bookmarkStart w:id="43" w:name="_Toc89177464"/>
      <w:r w:rsidRPr="00623A2B">
        <w:rPr>
          <w:rFonts w:ascii="Times New Roman" w:hAnsi="Times New Roman" w:cs="Times New Roman"/>
          <w:color w:val="auto"/>
          <w:sz w:val="22"/>
          <w:szCs w:val="22"/>
          <w:lang w:val="fr-FR"/>
        </w:rPr>
        <w:lastRenderedPageBreak/>
        <w:t>AG/RES. 2974 (LI-O/21)</w:t>
      </w:r>
      <w:r w:rsidRPr="00623A2B">
        <w:rPr>
          <w:rFonts w:ascii="Times New Roman" w:hAnsi="Times New Roman" w:cs="Times New Roman"/>
          <w:color w:val="auto"/>
          <w:sz w:val="22"/>
          <w:szCs w:val="22"/>
          <w:lang w:val="fr-FR"/>
        </w:rPr>
        <w:br/>
      </w:r>
      <w:r w:rsidRPr="00623A2B">
        <w:rPr>
          <w:rFonts w:ascii="Times New Roman" w:hAnsi="Times New Roman" w:cs="Times New Roman"/>
          <w:color w:val="auto"/>
          <w:sz w:val="22"/>
          <w:szCs w:val="22"/>
          <w:lang w:val="fr-FR"/>
        </w:rPr>
        <w:br/>
        <w:t>DROIT INTERNATIONAL</w:t>
      </w:r>
      <w:r w:rsidRPr="00623A2B">
        <w:rPr>
          <w:rStyle w:val="FootnoteReference"/>
          <w:rFonts w:ascii="Times New Roman" w:hAnsi="Times New Roman" w:cs="Times New Roman"/>
          <w:sz w:val="22"/>
          <w:szCs w:val="22"/>
          <w:u w:val="single"/>
          <w:vertAlign w:val="superscript"/>
          <w:lang w:val="pt-BR"/>
        </w:rPr>
        <w:footnoteReference w:id="73"/>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74"/>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75"/>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76"/>
      </w:r>
      <w:r w:rsidRPr="00623A2B">
        <w:rPr>
          <w:rFonts w:ascii="Times New Roman" w:hAnsi="Times New Roman" w:cs="Times New Roman"/>
          <w:color w:val="auto"/>
          <w:sz w:val="22"/>
          <w:szCs w:val="22"/>
          <w:vertAlign w:val="superscript"/>
          <w:lang w:val="fr-CA"/>
        </w:rPr>
        <w:t>/</w:t>
      </w:r>
      <w:bookmarkEnd w:id="43"/>
    </w:p>
    <w:p w14:paraId="4FD8CB2D" w14:textId="77777777" w:rsidR="004803EA" w:rsidRPr="00623A2B" w:rsidRDefault="004803EA" w:rsidP="004803EA">
      <w:pPr>
        <w:outlineLvl w:val="0"/>
        <w:rPr>
          <w:rFonts w:ascii="Times New Roman" w:hAnsi="Times New Roman"/>
          <w:bCs/>
          <w:color w:val="000000"/>
          <w:szCs w:val="22"/>
          <w:lang w:val="fr-FR"/>
        </w:rPr>
      </w:pPr>
    </w:p>
    <w:p w14:paraId="4AF7510B" w14:textId="77777777" w:rsidR="004803EA" w:rsidRPr="00623A2B" w:rsidRDefault="004803EA" w:rsidP="004803EA">
      <w:pPr>
        <w:jc w:val="center"/>
        <w:rPr>
          <w:rFonts w:ascii="Times New Roman" w:hAnsi="Times New Roman"/>
          <w:bCs/>
          <w:color w:val="000000"/>
          <w:szCs w:val="22"/>
          <w:lang w:val="fr-FR"/>
        </w:rPr>
      </w:pPr>
      <w:r w:rsidRPr="00623A2B">
        <w:rPr>
          <w:rFonts w:ascii="Times New Roman" w:hAnsi="Times New Roman"/>
          <w:bCs/>
          <w:color w:val="000000"/>
          <w:szCs w:val="22"/>
          <w:lang w:val="fr-FR"/>
        </w:rPr>
        <w:t>(</w:t>
      </w:r>
      <w:r w:rsidRPr="00623A2B">
        <w:rPr>
          <w:rFonts w:ascii="Times New Roman" w:hAnsi="Times New Roman"/>
          <w:szCs w:val="22"/>
          <w:lang w:val="fr-FR"/>
        </w:rPr>
        <w:t xml:space="preserve">Résolution adoptée à la deuxième séance plénière, </w:t>
      </w:r>
      <w:r w:rsidRPr="00623A2B">
        <w:rPr>
          <w:rFonts w:ascii="Times New Roman" w:hAnsi="Times New Roman"/>
          <w:szCs w:val="22"/>
          <w:lang w:val="fr-CA"/>
        </w:rPr>
        <w:t>le 11 novembre 2021</w:t>
      </w:r>
      <w:r w:rsidRPr="00623A2B">
        <w:rPr>
          <w:rFonts w:ascii="Times New Roman" w:hAnsi="Times New Roman"/>
          <w:bCs/>
          <w:color w:val="000000"/>
          <w:szCs w:val="22"/>
          <w:lang w:val="fr-FR"/>
        </w:rPr>
        <w:t>)</w:t>
      </w:r>
    </w:p>
    <w:p w14:paraId="0CECE8B8" w14:textId="77777777" w:rsidR="004803EA" w:rsidRPr="00623A2B" w:rsidRDefault="004803EA" w:rsidP="004803EA">
      <w:pPr>
        <w:rPr>
          <w:rFonts w:ascii="Times New Roman" w:hAnsi="Times New Roman"/>
          <w:color w:val="000000"/>
          <w:szCs w:val="22"/>
          <w:lang w:val="fr-FR"/>
        </w:rPr>
      </w:pPr>
    </w:p>
    <w:p w14:paraId="77A88686" w14:textId="77777777" w:rsidR="004803EA" w:rsidRPr="00623A2B" w:rsidRDefault="004803EA" w:rsidP="004803EA">
      <w:pPr>
        <w:rPr>
          <w:rFonts w:ascii="Times New Roman" w:hAnsi="Times New Roman"/>
          <w:color w:val="000000"/>
          <w:szCs w:val="22"/>
          <w:lang w:val="fr-FR"/>
        </w:rPr>
      </w:pPr>
    </w:p>
    <w:p w14:paraId="173DBEEA" w14:textId="77777777" w:rsidR="004803EA" w:rsidRPr="00623A2B" w:rsidRDefault="004803EA" w:rsidP="004803EA">
      <w:pPr>
        <w:rPr>
          <w:rFonts w:ascii="Times New Roman" w:hAnsi="Times New Roman"/>
          <w:bCs/>
          <w:szCs w:val="22"/>
          <w:lang w:val="fr-FR"/>
        </w:rPr>
      </w:pPr>
      <w:r w:rsidRPr="00623A2B">
        <w:rPr>
          <w:rFonts w:ascii="Times New Roman" w:hAnsi="Times New Roman"/>
          <w:szCs w:val="22"/>
          <w:lang w:val="fr-FR"/>
        </w:rPr>
        <w:tab/>
        <w:t>L’ASSEMBLÉE GÉNÉRALE,</w:t>
      </w:r>
    </w:p>
    <w:p w14:paraId="36D1D0C7" w14:textId="77777777" w:rsidR="004803EA" w:rsidRPr="00623A2B" w:rsidRDefault="004803EA" w:rsidP="004803EA">
      <w:pPr>
        <w:rPr>
          <w:rFonts w:ascii="Times New Roman" w:hAnsi="Times New Roman"/>
          <w:bCs/>
          <w:szCs w:val="22"/>
          <w:lang w:val="fr-FR"/>
        </w:rPr>
      </w:pPr>
    </w:p>
    <w:p w14:paraId="2A433DDB" w14:textId="77777777" w:rsidR="004803EA" w:rsidRPr="00623A2B" w:rsidRDefault="004803EA" w:rsidP="004803EA">
      <w:pPr>
        <w:rPr>
          <w:rFonts w:ascii="Times New Roman" w:hAnsi="Times New Roman"/>
          <w:bCs/>
          <w:szCs w:val="22"/>
          <w:lang w:val="fr-FR"/>
        </w:rPr>
      </w:pPr>
      <w:r w:rsidRPr="00623A2B">
        <w:rPr>
          <w:rFonts w:ascii="Times New Roman" w:hAnsi="Times New Roman"/>
          <w:szCs w:val="22"/>
          <w:lang w:val="fr-FR"/>
        </w:rPr>
        <w:tab/>
        <w:t>RAPPELANT sa résolution AG/RES. 2959 (L-O/20)</w:t>
      </w:r>
      <w:r w:rsidRPr="00623A2B">
        <w:rPr>
          <w:rFonts w:ascii="Times New Roman" w:hAnsi="Times New Roman"/>
          <w:b/>
          <w:szCs w:val="22"/>
          <w:lang w:val="fr-FR"/>
        </w:rPr>
        <w:t xml:space="preserve"> </w:t>
      </w:r>
      <w:r w:rsidRPr="00623A2B">
        <w:rPr>
          <w:rFonts w:ascii="Times New Roman" w:hAnsi="Times New Roman"/>
          <w:szCs w:val="22"/>
          <w:lang w:val="fr-FR"/>
        </w:rPr>
        <w:t>et toutes les résolutions adoptées antérieurement sur la question,</w:t>
      </w:r>
    </w:p>
    <w:p w14:paraId="70A8D30C" w14:textId="77777777" w:rsidR="004803EA" w:rsidRPr="00623A2B" w:rsidRDefault="004803EA" w:rsidP="004803EA">
      <w:pPr>
        <w:rPr>
          <w:rFonts w:ascii="Times New Roman" w:hAnsi="Times New Roman"/>
          <w:bCs/>
          <w:szCs w:val="22"/>
          <w:lang w:val="fr-FR"/>
        </w:rPr>
      </w:pPr>
    </w:p>
    <w:p w14:paraId="17B5610F" w14:textId="77777777" w:rsidR="004803EA" w:rsidRPr="00623A2B" w:rsidRDefault="004803EA" w:rsidP="004803EA">
      <w:pPr>
        <w:rPr>
          <w:rFonts w:ascii="Times New Roman" w:hAnsi="Times New Roman"/>
          <w:bCs/>
          <w:szCs w:val="22"/>
          <w:lang w:val="fr-FR"/>
        </w:rPr>
      </w:pPr>
      <w:r w:rsidRPr="00623A2B">
        <w:rPr>
          <w:rFonts w:ascii="Times New Roman" w:hAnsi="Times New Roman"/>
          <w:szCs w:val="22"/>
          <w:lang w:val="fr-FR"/>
        </w:rPr>
        <w:tab/>
        <w:t>AYANT VU le « Rapport annuel du Conseil permanent adressé à l’Assemblée générale – Octobre 2020 – Novembre 2021 » (AG/</w:t>
      </w:r>
      <w:proofErr w:type="spellStart"/>
      <w:r w:rsidRPr="00623A2B">
        <w:rPr>
          <w:rFonts w:ascii="Times New Roman" w:hAnsi="Times New Roman"/>
          <w:szCs w:val="22"/>
          <w:lang w:val="fr-FR"/>
        </w:rPr>
        <w:t>doc.xxxx</w:t>
      </w:r>
      <w:proofErr w:type="spellEnd"/>
      <w:r w:rsidRPr="00623A2B">
        <w:rPr>
          <w:rFonts w:ascii="Times New Roman" w:hAnsi="Times New Roman"/>
          <w:szCs w:val="22"/>
          <w:lang w:val="fr-FR"/>
        </w:rPr>
        <w:t xml:space="preserve">/21 </w:t>
      </w:r>
      <w:proofErr w:type="spellStart"/>
      <w:r w:rsidRPr="00623A2B">
        <w:rPr>
          <w:rFonts w:ascii="Times New Roman" w:hAnsi="Times New Roman"/>
          <w:szCs w:val="22"/>
          <w:lang w:val="fr-FR"/>
        </w:rPr>
        <w:t>add</w:t>
      </w:r>
      <w:proofErr w:type="spellEnd"/>
      <w:r w:rsidRPr="00623A2B">
        <w:rPr>
          <w:rFonts w:ascii="Times New Roman" w:hAnsi="Times New Roman"/>
          <w:szCs w:val="22"/>
          <w:lang w:val="fr-FR"/>
        </w:rPr>
        <w:t>. 1), notamment la section se référant aux activités de la Commission des questions juridiques et politiques (CAJP),</w:t>
      </w:r>
    </w:p>
    <w:p w14:paraId="24592CEE" w14:textId="77777777" w:rsidR="004803EA" w:rsidRPr="00623A2B" w:rsidRDefault="004803EA" w:rsidP="00DC5E26">
      <w:pPr>
        <w:rPr>
          <w:rFonts w:ascii="Times New Roman" w:hAnsi="Times New Roman"/>
          <w:szCs w:val="22"/>
          <w:lang w:val="fr-FR"/>
        </w:rPr>
      </w:pPr>
    </w:p>
    <w:p w14:paraId="0C1D6DF2" w14:textId="77777777" w:rsidR="004803EA" w:rsidRPr="00623A2B" w:rsidRDefault="004803EA" w:rsidP="00DC5E26">
      <w:pPr>
        <w:pStyle w:val="ListParagraph"/>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contextualSpacing w:val="0"/>
        <w:rPr>
          <w:rFonts w:ascii="Times New Roman" w:hAnsi="Times New Roman"/>
          <w:bCs/>
          <w:lang w:val="fr-FR"/>
        </w:rPr>
      </w:pPr>
      <w:r w:rsidRPr="00623A2B">
        <w:rPr>
          <w:rFonts w:ascii="Times New Roman" w:hAnsi="Times New Roman"/>
          <w:lang w:val="fr-FR"/>
        </w:rPr>
        <w:t>ACTIVITÉS DE LA COMMISSION DES QUESTIONS JURIDIQUES ET POLITIQUES</w:t>
      </w:r>
    </w:p>
    <w:p w14:paraId="600F9B54" w14:textId="77777777" w:rsidR="004803EA" w:rsidRPr="00623A2B" w:rsidRDefault="004803EA" w:rsidP="00DC5E26">
      <w:pPr>
        <w:rPr>
          <w:rFonts w:ascii="Times New Roman" w:hAnsi="Times New Roman"/>
          <w:szCs w:val="22"/>
          <w:lang w:val="fr-FR"/>
        </w:rPr>
      </w:pPr>
    </w:p>
    <w:p w14:paraId="51C6CB1E" w14:textId="77777777" w:rsidR="004803EA" w:rsidRPr="00623A2B" w:rsidRDefault="004803EA" w:rsidP="004803EA">
      <w:pPr>
        <w:rPr>
          <w:rFonts w:ascii="Times New Roman" w:eastAsia="Calibri" w:hAnsi="Times New Roman"/>
          <w:bCs/>
          <w:szCs w:val="22"/>
          <w:lang w:val="fr-FR"/>
        </w:rPr>
      </w:pPr>
      <w:r w:rsidRPr="00623A2B">
        <w:rPr>
          <w:rFonts w:ascii="Times New Roman" w:hAnsi="Times New Roman"/>
          <w:szCs w:val="22"/>
          <w:lang w:val="fr-FR"/>
        </w:rPr>
        <w:t>DÉCIDE :</w:t>
      </w:r>
    </w:p>
    <w:p w14:paraId="526B236D" w14:textId="77777777" w:rsidR="004803EA" w:rsidRPr="00623A2B" w:rsidRDefault="004803EA" w:rsidP="004803EA">
      <w:pPr>
        <w:rPr>
          <w:rFonts w:ascii="Times New Roman" w:hAnsi="Times New Roman"/>
          <w:bCs/>
          <w:szCs w:val="22"/>
          <w:lang w:val="fr-FR"/>
        </w:rPr>
      </w:pPr>
    </w:p>
    <w:p w14:paraId="733AEB28" w14:textId="77777777" w:rsidR="004803EA" w:rsidRPr="00623A2B" w:rsidRDefault="004803EA" w:rsidP="004803EA">
      <w:pPr>
        <w:pStyle w:val="ListParagraph"/>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lang w:val="fr-FR"/>
        </w:rPr>
      </w:pPr>
      <w:r w:rsidRPr="00623A2B">
        <w:rPr>
          <w:rFonts w:ascii="Times New Roman" w:hAnsi="Times New Roman"/>
          <w:lang w:val="fr-FR"/>
        </w:rPr>
        <w:t xml:space="preserve">De demander au Conseil permanent, au Secrétariat général et aux autres organes visés à l’article 53 de la Charte de l’Organisation des États Américains de continuer d’œuvrer à l’exécution des mandats pertinents et en vigueur contenus dans des résolutions précédentes de l’Assemblée générale attribuées à la Commission des questions juridiques et politiques, sauf indication contraire dans une résolution déterminée. </w:t>
      </w:r>
    </w:p>
    <w:p w14:paraId="365C4036" w14:textId="77777777" w:rsidR="004803EA" w:rsidRPr="00623A2B" w:rsidRDefault="004803EA" w:rsidP="004803EA">
      <w:pPr>
        <w:rPr>
          <w:rFonts w:ascii="Times New Roman" w:hAnsi="Times New Roman"/>
          <w:bCs/>
          <w:szCs w:val="22"/>
          <w:lang w:val="fr-FR"/>
        </w:rPr>
      </w:pPr>
    </w:p>
    <w:p w14:paraId="0C183A00" w14:textId="77777777" w:rsidR="004803EA" w:rsidRPr="00623A2B" w:rsidRDefault="004803EA" w:rsidP="004803EA">
      <w:pPr>
        <w:pStyle w:val="ListParagraph"/>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lang w:val="fr-FR"/>
        </w:rPr>
      </w:pPr>
      <w:r w:rsidRPr="00623A2B">
        <w:rPr>
          <w:rFonts w:ascii="Times New Roman" w:hAnsi="Times New Roman"/>
          <w:lang w:val="fr-FR"/>
        </w:rPr>
        <w:t xml:space="preserve">D'exhorter les États membres à continuer de contribuer à l’atteinte des objectifs établis dans ces résolutions et de charger le Secrétariat général d’offrir le concours requis à ces fins. </w:t>
      </w:r>
    </w:p>
    <w:p w14:paraId="1875D86F" w14:textId="77777777" w:rsidR="004803EA" w:rsidRPr="00623A2B" w:rsidRDefault="004803EA" w:rsidP="004803EA">
      <w:pPr>
        <w:rPr>
          <w:rFonts w:ascii="Times New Roman" w:hAnsi="Times New Roman"/>
          <w:b/>
          <w:bCs/>
          <w:szCs w:val="22"/>
          <w:lang w:val="fr-FR"/>
        </w:rPr>
      </w:pPr>
    </w:p>
    <w:p w14:paraId="7BFCEA45" w14:textId="77777777" w:rsidR="004803EA" w:rsidRPr="00623A2B" w:rsidRDefault="004803EA" w:rsidP="00C05265">
      <w:pPr>
        <w:pStyle w:val="ListParagraph"/>
        <w:numPr>
          <w:ilvl w:val="0"/>
          <w:numId w:val="60"/>
        </w:numPr>
        <w:ind w:hanging="540"/>
        <w:rPr>
          <w:rFonts w:ascii="Times New Roman" w:hAnsi="Times New Roman"/>
          <w:szCs w:val="22"/>
          <w:u w:val="single"/>
          <w:lang w:val="fr-FR"/>
        </w:rPr>
      </w:pPr>
      <w:bookmarkStart w:id="44" w:name="_Toc86651560"/>
      <w:r w:rsidRPr="00623A2B">
        <w:rPr>
          <w:rFonts w:ascii="Times New Roman" w:hAnsi="Times New Roman"/>
          <w:szCs w:val="22"/>
          <w:u w:val="single"/>
          <w:lang w:val="fr-FR"/>
        </w:rPr>
        <w:t>Programme interaméricain de développement du droit international</w:t>
      </w:r>
      <w:bookmarkEnd w:id="44"/>
      <w:r w:rsidRPr="00623A2B">
        <w:rPr>
          <w:rFonts w:ascii="Times New Roman" w:hAnsi="Times New Roman"/>
          <w:szCs w:val="22"/>
          <w:u w:val="single"/>
          <w:lang w:val="fr-FR"/>
        </w:rPr>
        <w:t xml:space="preserve"> </w:t>
      </w:r>
    </w:p>
    <w:p w14:paraId="30B45200" w14:textId="77777777" w:rsidR="004803EA" w:rsidRPr="00623A2B" w:rsidRDefault="004803EA" w:rsidP="004803EA">
      <w:pPr>
        <w:rPr>
          <w:rFonts w:ascii="Times New Roman" w:hAnsi="Times New Roman"/>
          <w:b/>
          <w:szCs w:val="22"/>
          <w:lang w:val="fr-FR"/>
        </w:rPr>
      </w:pPr>
    </w:p>
    <w:p w14:paraId="10BAAA70" w14:textId="77777777" w:rsidR="004803EA" w:rsidRPr="00623A2B" w:rsidRDefault="004803EA" w:rsidP="004803EA">
      <w:pPr>
        <w:rPr>
          <w:rFonts w:ascii="Times New Roman" w:hAnsi="Times New Roman"/>
          <w:szCs w:val="22"/>
          <w:lang w:val="fr-FR"/>
        </w:rPr>
      </w:pPr>
      <w:r w:rsidRPr="00623A2B">
        <w:rPr>
          <w:rFonts w:ascii="Times New Roman" w:hAnsi="Times New Roman"/>
          <w:szCs w:val="22"/>
          <w:lang w:val="fr-FR"/>
        </w:rPr>
        <w:tab/>
        <w:t xml:space="preserve">PRENANT EN COMPTE le rapport que le Département du droit international du Secrétariat aux questions juridiques, dans le cadre du Programme interaméricain de développement du droit international adopté au moyen de la résolution AG/RES. 1471 (XXVII-O/97) et mis à jour au moyen de la résolution AG/RES. 2660 (XLI-O/11), a présenté à la Commission des questions juridiques et politiques lors de sa réunion du 20 mai 2021, sous la cote DDI/doc.5/21, intitulé « Rapport biennal sur le Programme interaméricain de développement du droit international », qui rend compte des activités réalisées en matière de promotion et de diffusion du droit international parmi les États membres en collaboration avec les organismes et associations œuvrant dans ce domaine, </w:t>
      </w:r>
    </w:p>
    <w:p w14:paraId="64293565" w14:textId="77777777" w:rsidR="004803EA" w:rsidRPr="00623A2B" w:rsidRDefault="004803EA" w:rsidP="004803EA">
      <w:pPr>
        <w:rPr>
          <w:rFonts w:ascii="Times New Roman" w:hAnsi="Times New Roman"/>
          <w:szCs w:val="22"/>
          <w:lang w:val="fr-FR"/>
        </w:rPr>
      </w:pPr>
      <w:r w:rsidRPr="00623A2B">
        <w:rPr>
          <w:rFonts w:ascii="Times New Roman" w:hAnsi="Times New Roman"/>
          <w:szCs w:val="22"/>
          <w:lang w:val="fr-FR"/>
        </w:rPr>
        <w:lastRenderedPageBreak/>
        <w:t>DÉCIDE :</w:t>
      </w:r>
    </w:p>
    <w:p w14:paraId="1BF25210" w14:textId="77777777" w:rsidR="004803EA" w:rsidRPr="00623A2B" w:rsidRDefault="004803EA" w:rsidP="004803EA">
      <w:pPr>
        <w:rPr>
          <w:rFonts w:ascii="Times New Roman" w:hAnsi="Times New Roman"/>
          <w:bCs/>
          <w:szCs w:val="22"/>
          <w:lang w:val="fr-FR"/>
        </w:rPr>
      </w:pPr>
    </w:p>
    <w:p w14:paraId="3A42F8A5" w14:textId="77777777" w:rsidR="004803EA" w:rsidRPr="00623A2B" w:rsidRDefault="004803EA" w:rsidP="004803EA">
      <w:pPr>
        <w:pStyle w:val="ListParagraph"/>
        <w:widowControl/>
        <w:numPr>
          <w:ilvl w:val="0"/>
          <w:numId w:val="5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lang w:val="fr-FR"/>
        </w:rPr>
      </w:pPr>
      <w:r w:rsidRPr="00623A2B">
        <w:rPr>
          <w:rFonts w:ascii="Times New Roman" w:hAnsi="Times New Roman"/>
          <w:lang w:val="fr-FR"/>
        </w:rPr>
        <w:t>D'exprimer sa reconnaissance au Département du droit international pour les efforts qu'il déploie en matière de promotion et de diffusion du droit international et interaméricain, de lui demander de poursuivre la mise en œuvre des actions contenues dans le Programme interaméricain de développement du droit international et de faire rapport à ce sujet tous les deux ans à la Commission des questions juridiques et politiques (CAJP) ; de demander par ailleurs au Conseil permanent d'organiser une séance extraordinaire en 2022 pour célébrer le 25</w:t>
      </w:r>
      <w:r w:rsidRPr="00623A2B">
        <w:rPr>
          <w:rFonts w:ascii="Times New Roman" w:hAnsi="Times New Roman"/>
          <w:vertAlign w:val="superscript"/>
          <w:lang w:val="fr-FR"/>
        </w:rPr>
        <w:t>e</w:t>
      </w:r>
      <w:r w:rsidRPr="00623A2B">
        <w:rPr>
          <w:rFonts w:ascii="Times New Roman" w:hAnsi="Times New Roman"/>
          <w:lang w:val="fr-FR"/>
        </w:rPr>
        <w:t xml:space="preserve"> anniversaire de ce programme afin que les États membres identifient les activités de ce programme qu'ils considèrent comme prioritaires pour répondre à leurs besoins et intérêts particuliers. </w:t>
      </w:r>
    </w:p>
    <w:p w14:paraId="36499AB3" w14:textId="77777777" w:rsidR="004803EA" w:rsidRPr="00623A2B" w:rsidRDefault="004803EA" w:rsidP="004803EA">
      <w:pPr>
        <w:rPr>
          <w:rFonts w:ascii="Times New Roman" w:hAnsi="Times New Roman"/>
          <w:bCs/>
          <w:szCs w:val="22"/>
          <w:lang w:val="fr-FR"/>
        </w:rPr>
      </w:pPr>
    </w:p>
    <w:p w14:paraId="40C086D1" w14:textId="77777777" w:rsidR="004803EA" w:rsidRPr="00623A2B" w:rsidRDefault="004803EA" w:rsidP="004803EA">
      <w:pPr>
        <w:pStyle w:val="ListParagraph"/>
        <w:widowControl/>
        <w:numPr>
          <w:ilvl w:val="0"/>
          <w:numId w:val="5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lang w:val="fr-FR"/>
        </w:rPr>
      </w:pPr>
      <w:r w:rsidRPr="00623A2B">
        <w:rPr>
          <w:rFonts w:ascii="Times New Roman" w:hAnsi="Times New Roman"/>
          <w:lang w:val="fr-FR"/>
        </w:rPr>
        <w:t>De célébrer avec satisfaction le 25</w:t>
      </w:r>
      <w:r w:rsidRPr="00623A2B">
        <w:rPr>
          <w:rFonts w:ascii="Times New Roman" w:hAnsi="Times New Roman"/>
          <w:vertAlign w:val="superscript"/>
          <w:lang w:val="fr-FR"/>
        </w:rPr>
        <w:t>e</w:t>
      </w:r>
      <w:r w:rsidRPr="00623A2B">
        <w:rPr>
          <w:rFonts w:ascii="Times New Roman" w:hAnsi="Times New Roman"/>
          <w:lang w:val="fr-FR"/>
        </w:rPr>
        <w:t xml:space="preserve"> anniversaire de l'adoption, par l'Assemblée générale en 1996, de la Déclaration de Panama sur la contribution interaméricaine au développement et à la codification du droit international [AG/DEC. 12 (XXVI-O/96)] et de réaffirmer, comme cette déclaration l'a fait à l'époque, que l'Organisation des États Américains constitue le forum principal et irremplaçable dans lequel les États membres, sur un pied d'égalité, adoptent des normes juridiques, tant de droit international public que de droit international privé, pour réglementer leurs relations à l’échelle du continent. </w:t>
      </w:r>
    </w:p>
    <w:p w14:paraId="3500C5D6" w14:textId="77777777" w:rsidR="004803EA" w:rsidRPr="00623A2B" w:rsidRDefault="004803EA" w:rsidP="004803EA">
      <w:pPr>
        <w:rPr>
          <w:rFonts w:ascii="Times New Roman" w:hAnsi="Times New Roman"/>
          <w:szCs w:val="22"/>
          <w:lang w:val="fr-FR"/>
        </w:rPr>
      </w:pPr>
    </w:p>
    <w:p w14:paraId="79B26846" w14:textId="77777777" w:rsidR="004803EA" w:rsidRPr="00623A2B" w:rsidRDefault="004803EA" w:rsidP="004803EA">
      <w:pPr>
        <w:pStyle w:val="ListParagraph"/>
        <w:widowControl/>
        <w:numPr>
          <w:ilvl w:val="0"/>
          <w:numId w:val="5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lang w:val="fr-FR"/>
        </w:rPr>
      </w:pPr>
      <w:r w:rsidRPr="00623A2B">
        <w:rPr>
          <w:rFonts w:ascii="Times New Roman" w:hAnsi="Times New Roman"/>
          <w:lang w:val="fr-FR"/>
        </w:rPr>
        <w:t xml:space="preserve">De demander au Département du droit international de continuer à promouvoir la formation technique, la coopération et l'échange de connaissances avec les ministères des relations extérieures et du développement international des États membres, et avec leurs instituts d’études diplomatiques, si les États concernés en font la demande, et de continuer de renforcer les activités de coopération et d’échange en cours avec les différents établissements universitaires de la région pour diffuser le système interaméricain. </w:t>
      </w:r>
    </w:p>
    <w:p w14:paraId="4C5734D9" w14:textId="77777777" w:rsidR="004803EA" w:rsidRPr="00623A2B" w:rsidRDefault="004803EA" w:rsidP="004803EA">
      <w:pPr>
        <w:rPr>
          <w:rFonts w:ascii="Times New Roman" w:hAnsi="Times New Roman"/>
          <w:bCs/>
          <w:szCs w:val="22"/>
          <w:lang w:val="fr-FR"/>
        </w:rPr>
      </w:pPr>
    </w:p>
    <w:p w14:paraId="48934691" w14:textId="77777777" w:rsidR="004803EA" w:rsidRPr="00623A2B" w:rsidRDefault="004803EA" w:rsidP="004803EA">
      <w:pPr>
        <w:pStyle w:val="ListParagraph"/>
        <w:widowControl/>
        <w:numPr>
          <w:ilvl w:val="0"/>
          <w:numId w:val="5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lang w:val="fr-FR"/>
        </w:rPr>
      </w:pPr>
      <w:r w:rsidRPr="00623A2B">
        <w:rPr>
          <w:rFonts w:ascii="Times New Roman" w:hAnsi="Times New Roman"/>
          <w:lang w:val="fr-FR"/>
        </w:rPr>
        <w:t xml:space="preserve">De saluer la commémoration du soixante-quinzième anniversaire de la Cour internationale de justice, en soulignant son travail en tant que forum de règlement de différends entre États, en position d'égalité souveraine, qui a été utilisé à plusieurs reprises par les États de la région. </w:t>
      </w:r>
    </w:p>
    <w:p w14:paraId="55070B6E" w14:textId="77777777" w:rsidR="004803EA" w:rsidRPr="00623A2B" w:rsidRDefault="004803EA" w:rsidP="004803EA">
      <w:pPr>
        <w:rPr>
          <w:rFonts w:ascii="Times New Roman" w:hAnsi="Times New Roman"/>
          <w:szCs w:val="22"/>
          <w:lang w:val="fr-FR"/>
        </w:rPr>
      </w:pPr>
    </w:p>
    <w:p w14:paraId="0A4E643D" w14:textId="77777777" w:rsidR="004803EA" w:rsidRPr="00623A2B" w:rsidRDefault="004803EA" w:rsidP="00C05265">
      <w:pPr>
        <w:pStyle w:val="ListParagraph"/>
        <w:numPr>
          <w:ilvl w:val="0"/>
          <w:numId w:val="60"/>
        </w:numPr>
        <w:ind w:hanging="540"/>
        <w:rPr>
          <w:rFonts w:ascii="Times New Roman" w:hAnsi="Times New Roman"/>
          <w:szCs w:val="22"/>
          <w:u w:val="single"/>
          <w:lang w:val="fr-FR"/>
        </w:rPr>
      </w:pPr>
      <w:bookmarkStart w:id="45" w:name="_Toc86651561"/>
      <w:r w:rsidRPr="00623A2B">
        <w:rPr>
          <w:rFonts w:ascii="Times New Roman" w:hAnsi="Times New Roman"/>
          <w:szCs w:val="22"/>
          <w:u w:val="single"/>
          <w:lang w:val="fr-FR"/>
        </w:rPr>
        <w:t>Droit international privé</w:t>
      </w:r>
      <w:bookmarkEnd w:id="45"/>
    </w:p>
    <w:p w14:paraId="7C683380" w14:textId="77777777" w:rsidR="004803EA" w:rsidRPr="00623A2B" w:rsidRDefault="004803EA" w:rsidP="004803EA">
      <w:pPr>
        <w:rPr>
          <w:rFonts w:ascii="Times New Roman" w:hAnsi="Times New Roman"/>
          <w:bCs/>
          <w:szCs w:val="22"/>
          <w:lang w:val="fr-FR"/>
        </w:rPr>
      </w:pPr>
    </w:p>
    <w:p w14:paraId="448CB04F" w14:textId="77777777" w:rsidR="004803EA" w:rsidRPr="00623A2B" w:rsidRDefault="004803EA" w:rsidP="004803EA">
      <w:pPr>
        <w:rPr>
          <w:rFonts w:ascii="Times New Roman" w:hAnsi="Times New Roman"/>
          <w:bCs/>
          <w:szCs w:val="22"/>
          <w:lang w:val="fr-FR"/>
        </w:rPr>
      </w:pPr>
      <w:r w:rsidRPr="00623A2B">
        <w:rPr>
          <w:rFonts w:ascii="Times New Roman" w:hAnsi="Times New Roman"/>
          <w:szCs w:val="22"/>
          <w:lang w:val="fr-FR"/>
        </w:rPr>
        <w:tab/>
        <w:t>TENANT COMPTE du riche échange d'idées et des résultats obtenus lors de la réunion extraordinaire tenue par la Commission des questions juridiques et politiques le 3 juin 2021 sur la promotion de l'étude du droit international privé dans les Amériques, ainsi que de la nécessité de promouvoir de nouveaux développements dans ce domaine qui reflètent les particularités et les besoins spécifiques de la région,</w:t>
      </w:r>
    </w:p>
    <w:p w14:paraId="64549572" w14:textId="77777777" w:rsidR="004803EA" w:rsidRPr="00623A2B" w:rsidRDefault="004803EA" w:rsidP="004803EA">
      <w:pPr>
        <w:rPr>
          <w:rFonts w:ascii="Times New Roman" w:hAnsi="Times New Roman"/>
          <w:bCs/>
          <w:szCs w:val="22"/>
          <w:lang w:val="fr-FR"/>
        </w:rPr>
      </w:pPr>
    </w:p>
    <w:p w14:paraId="1BF632F3" w14:textId="77777777" w:rsidR="004803EA" w:rsidRPr="00623A2B" w:rsidRDefault="004803EA" w:rsidP="004803EA">
      <w:pPr>
        <w:rPr>
          <w:rFonts w:ascii="Times New Roman" w:hAnsi="Times New Roman"/>
          <w:szCs w:val="22"/>
          <w:lang w:val="fr-FR"/>
        </w:rPr>
      </w:pPr>
      <w:r w:rsidRPr="00623A2B">
        <w:rPr>
          <w:rFonts w:ascii="Times New Roman" w:hAnsi="Times New Roman"/>
          <w:szCs w:val="22"/>
          <w:lang w:val="fr-FR"/>
        </w:rPr>
        <w:t>DÉCIDE :</w:t>
      </w:r>
    </w:p>
    <w:p w14:paraId="4F0D4368" w14:textId="77777777" w:rsidR="004803EA" w:rsidRPr="00623A2B" w:rsidRDefault="004803EA" w:rsidP="004803EA">
      <w:pPr>
        <w:rPr>
          <w:rFonts w:ascii="Times New Roman" w:hAnsi="Times New Roman"/>
          <w:szCs w:val="22"/>
          <w:lang w:val="fr-FR"/>
        </w:rPr>
      </w:pPr>
    </w:p>
    <w:p w14:paraId="4ADFD049" w14:textId="77777777" w:rsidR="004803EA" w:rsidRPr="00623A2B" w:rsidRDefault="004803EA" w:rsidP="004803EA">
      <w:pPr>
        <w:pStyle w:val="ListParagraph"/>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lang w:val="fr-FR"/>
        </w:rPr>
      </w:pPr>
      <w:bookmarkStart w:id="46" w:name="_Hlk71214218"/>
      <w:r w:rsidRPr="00623A2B">
        <w:rPr>
          <w:rFonts w:ascii="Times New Roman" w:hAnsi="Times New Roman"/>
          <w:lang w:val="fr-FR"/>
        </w:rPr>
        <w:t xml:space="preserve">De demander à la Commission des questions juridiques et politiques de tenir une nouvelle réunion extraordinaire pour discuter des stratégies permettant à l'Organisation de reprendre ses activités dans le domaine de la codification et du développement progressif du droit international privé. À cette fin, de demander au Département du droit international de préparer à l'avance un document contenant l'état actuel de l'acquis juridique interaméricain dans ce domaine et des </w:t>
      </w:r>
      <w:r w:rsidRPr="00623A2B">
        <w:rPr>
          <w:rFonts w:ascii="Times New Roman" w:hAnsi="Times New Roman"/>
          <w:lang w:val="fr-FR"/>
        </w:rPr>
        <w:lastRenderedPageBreak/>
        <w:t>propositions d'actions possibles pour faire avancer les stratégies susmentionnées, en consultation avec les États membres.</w:t>
      </w:r>
      <w:r w:rsidRPr="00623A2B">
        <w:rPr>
          <w:rStyle w:val="FootnoteReference"/>
          <w:rFonts w:ascii="Times New Roman" w:hAnsi="Times New Roman"/>
          <w:u w:val="single"/>
          <w:vertAlign w:val="superscript"/>
          <w:lang w:val="fr-FR"/>
        </w:rPr>
        <w:footnoteReference w:id="77"/>
      </w:r>
      <w:r w:rsidRPr="00623A2B">
        <w:rPr>
          <w:rFonts w:ascii="Times New Roman" w:hAnsi="Times New Roman"/>
          <w:vertAlign w:val="superscript"/>
          <w:lang w:val="fr-FR"/>
        </w:rPr>
        <w:t>/</w:t>
      </w:r>
    </w:p>
    <w:p w14:paraId="074662C1" w14:textId="77777777" w:rsidR="004803EA" w:rsidRPr="00623A2B" w:rsidRDefault="004803EA" w:rsidP="004803EA">
      <w:pPr>
        <w:rPr>
          <w:rFonts w:ascii="Times New Roman" w:hAnsi="Times New Roman"/>
          <w:bCs/>
          <w:szCs w:val="22"/>
          <w:lang w:val="fr-FR"/>
        </w:rPr>
      </w:pPr>
    </w:p>
    <w:p w14:paraId="32473E9C" w14:textId="77777777" w:rsidR="004803EA" w:rsidRPr="00623A2B" w:rsidRDefault="004803EA" w:rsidP="004803EA">
      <w:pPr>
        <w:pStyle w:val="ListParagraph"/>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lang w:val="fr-FR"/>
        </w:rPr>
      </w:pPr>
      <w:r w:rsidRPr="00623A2B">
        <w:rPr>
          <w:rFonts w:ascii="Times New Roman" w:hAnsi="Times New Roman"/>
          <w:lang w:val="fr-FR"/>
        </w:rPr>
        <w:t xml:space="preserve">De demander au Département du droit international, afin de renforcer l'étude du droit international privé, de continuer à promouvoir une plus large diffusion de cette matière auprès des fonctionnaires des États membres et d'autres acteurs, en collaboration avec les associations de droit international privé, les universités et les institutions spécialisées travaillant dans ce domaine, par le biais d'événements et d'activités qui favorisent une meilleure connaissance des conventions interaméricaines en la matière et d'autres instruments de droit non contraignant qui traitent des récentes évolutions au sein de l'Organisation telles que les contrats internationaux, l'arbitrage international, les sociétés par actions simplifiées, les sûretés mobilières et l'accès au crédit. Dans le cadre de ces efforts, de saluer le projet de création d'une base de données de jurisprudence sur l'application des conventions interaméricaines dans le domaine du droit international privé qui a été lancé par le Département du droit international et l'ASADIP et présenté lors de la réunion extraordinaire de la CAJP du 3 juin 2021. </w:t>
      </w:r>
    </w:p>
    <w:p w14:paraId="7239BEDC" w14:textId="77777777" w:rsidR="004803EA" w:rsidRPr="00623A2B" w:rsidRDefault="004803EA" w:rsidP="004803EA">
      <w:pPr>
        <w:rPr>
          <w:rFonts w:ascii="Times New Roman" w:hAnsi="Times New Roman"/>
          <w:bCs/>
          <w:szCs w:val="22"/>
          <w:lang w:val="fr-FR"/>
        </w:rPr>
      </w:pPr>
    </w:p>
    <w:p w14:paraId="2C5BF61C" w14:textId="77777777" w:rsidR="004803EA" w:rsidRPr="00623A2B" w:rsidRDefault="004803EA" w:rsidP="004803EA">
      <w:pPr>
        <w:pStyle w:val="ListParagraph"/>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lang w:val="fr-FR"/>
        </w:rPr>
      </w:pPr>
      <w:r w:rsidRPr="00623A2B">
        <w:rPr>
          <w:rFonts w:ascii="Times New Roman" w:hAnsi="Times New Roman"/>
          <w:lang w:val="fr-FR"/>
        </w:rPr>
        <w:t xml:space="preserve">De demander au Département du droit international d’envisager la possibilité d’organiser régulièrement des réunions conjointes avec les services spécialisés en droit international privé des bureaux juridiques des ministères des relations extérieures et d’autres ministères des États membres afin d'explorer la nécessité et la possibilité de promouvoir de nouveaux développements dans ce domaine et, à cet effet, de demander aux États membres de continuer de désigner leurs points de contact avec lesquels le Département du droit international pourra entreprendre les activités de coordination correspondantes. </w:t>
      </w:r>
    </w:p>
    <w:p w14:paraId="5EFD5122" w14:textId="77777777" w:rsidR="004803EA" w:rsidRPr="00623A2B" w:rsidRDefault="004803EA" w:rsidP="004803EA">
      <w:pPr>
        <w:rPr>
          <w:rFonts w:ascii="Times New Roman" w:hAnsi="Times New Roman"/>
          <w:bCs/>
          <w:szCs w:val="22"/>
          <w:lang w:val="fr-FR"/>
        </w:rPr>
      </w:pPr>
    </w:p>
    <w:p w14:paraId="371E71B3" w14:textId="77777777" w:rsidR="004803EA" w:rsidRPr="00623A2B" w:rsidRDefault="004803EA" w:rsidP="004803EA">
      <w:pPr>
        <w:pStyle w:val="ListParagraph"/>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lang w:val="fr-FR"/>
        </w:rPr>
      </w:pPr>
      <w:r w:rsidRPr="00623A2B">
        <w:rPr>
          <w:rFonts w:ascii="Times New Roman" w:hAnsi="Times New Roman"/>
          <w:lang w:val="fr-FR"/>
        </w:rPr>
        <w:t xml:space="preserve">De demander aux États parties aux diverses conventions interaméricaines relatives à la coopération juridique et judiciaire, s'ils ne l'ont pas encore fait, de désigner les autorités centrales respectives dans le but de faciliter et de promouvoir cette coopération, ou de mettre à jour les coordonnées des autorités centrales déjà désignées. </w:t>
      </w:r>
    </w:p>
    <w:p w14:paraId="25FCAC88" w14:textId="77777777" w:rsidR="004803EA" w:rsidRPr="00623A2B" w:rsidRDefault="004803EA" w:rsidP="004803EA">
      <w:pPr>
        <w:rPr>
          <w:rFonts w:ascii="Times New Roman" w:hAnsi="Times New Roman"/>
          <w:bCs/>
          <w:szCs w:val="22"/>
          <w:lang w:val="fr-FR"/>
        </w:rPr>
      </w:pPr>
    </w:p>
    <w:p w14:paraId="6973A257" w14:textId="77777777" w:rsidR="004803EA" w:rsidRPr="00623A2B" w:rsidRDefault="004803EA" w:rsidP="004803EA">
      <w:pPr>
        <w:pStyle w:val="ListParagraph"/>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lang w:val="fr-FR"/>
        </w:rPr>
      </w:pPr>
      <w:r w:rsidRPr="00623A2B">
        <w:rPr>
          <w:rFonts w:ascii="Times New Roman" w:hAnsi="Times New Roman"/>
          <w:lang w:val="fr-FR"/>
        </w:rPr>
        <w:t xml:space="preserve">De charger le Département du droit international de continuer à travailler, dans le cadre du développement de toutes ces activités, en coopération avec d'autres organisations internationales telles que la Commission des Nations Unies pour le droit commercial international, la Conférence de La Haye sur le droit international privé et l'Institut international pour l’unification du droit privé (UNIDROIT), afin de générer des propositions communes pour réactiver les actions liées à l'étude et au développement du droit international privé, en promouvant également, au sein de ces organisations, le travail qui a été réalisé dans le système interaméricain. De continuer à travailler sur le plan régional en étroite collaboration avec les bureaux régionaux de ces forums, notamment le Bureau régional pour l'Amérique latine et les Caraïbes de la Conférence de La Haye sur le droit international privé, en vue de traiter conjointement les questions actuellement débattues au sein des groupes d'experts de ces forums. </w:t>
      </w:r>
    </w:p>
    <w:bookmarkEnd w:id="46"/>
    <w:p w14:paraId="1427C1A5" w14:textId="77777777" w:rsidR="004803EA" w:rsidRPr="00623A2B" w:rsidRDefault="004803EA" w:rsidP="004803EA">
      <w:pPr>
        <w:rPr>
          <w:rFonts w:ascii="Times New Roman" w:hAnsi="Times New Roman"/>
          <w:bCs/>
          <w:szCs w:val="22"/>
          <w:lang w:val="fr-FR"/>
        </w:rPr>
      </w:pPr>
    </w:p>
    <w:p w14:paraId="543C88D8" w14:textId="77777777" w:rsidR="004803EA" w:rsidRPr="00623A2B" w:rsidRDefault="004803EA" w:rsidP="00C05265">
      <w:pPr>
        <w:pStyle w:val="ListParagraph"/>
        <w:numPr>
          <w:ilvl w:val="0"/>
          <w:numId w:val="60"/>
        </w:numPr>
        <w:ind w:hanging="540"/>
        <w:rPr>
          <w:rFonts w:ascii="Times New Roman" w:hAnsi="Times New Roman"/>
          <w:szCs w:val="22"/>
          <w:u w:val="single"/>
          <w:lang w:val="fr-FR"/>
        </w:rPr>
      </w:pPr>
      <w:bookmarkStart w:id="47" w:name="_Toc86651562"/>
      <w:r w:rsidRPr="00623A2B">
        <w:rPr>
          <w:rFonts w:ascii="Times New Roman" w:hAnsi="Times New Roman"/>
          <w:szCs w:val="22"/>
          <w:u w:val="single"/>
          <w:lang w:val="fr-FR"/>
        </w:rPr>
        <w:t>Comité juridique interaméricain</w:t>
      </w:r>
      <w:bookmarkEnd w:id="47"/>
    </w:p>
    <w:p w14:paraId="315A9F43" w14:textId="77777777" w:rsidR="004803EA" w:rsidRPr="00623A2B" w:rsidRDefault="004803EA" w:rsidP="004803EA">
      <w:pPr>
        <w:rPr>
          <w:rFonts w:ascii="Times New Roman" w:hAnsi="Times New Roman"/>
          <w:b/>
          <w:szCs w:val="22"/>
          <w:lang w:val="fr-FR"/>
        </w:rPr>
      </w:pPr>
    </w:p>
    <w:p w14:paraId="7C9C8A2E" w14:textId="77777777" w:rsidR="004803EA" w:rsidRPr="00623A2B" w:rsidRDefault="004803EA" w:rsidP="004803EA">
      <w:pPr>
        <w:rPr>
          <w:rFonts w:ascii="Times New Roman" w:hAnsi="Times New Roman"/>
          <w:szCs w:val="22"/>
          <w:lang w:val="fr-FR"/>
        </w:rPr>
      </w:pPr>
      <w:r w:rsidRPr="00623A2B">
        <w:rPr>
          <w:rFonts w:ascii="Times New Roman" w:hAnsi="Times New Roman"/>
          <w:szCs w:val="22"/>
          <w:lang w:val="fr-FR"/>
        </w:rPr>
        <w:tab/>
        <w:t>CONSIDÉRANT les observations et les recommandations formulées par les États membres au sujet du rapport annuel du Comité juridique interaméricain (CP/doc.5675/21), en date du 23 février 2021, lesquelles sont énoncées dans le document précité,</w:t>
      </w:r>
    </w:p>
    <w:p w14:paraId="1C6DF36F" w14:textId="77777777" w:rsidR="004803EA" w:rsidRPr="00623A2B" w:rsidRDefault="004803EA" w:rsidP="004803EA">
      <w:pPr>
        <w:rPr>
          <w:rFonts w:ascii="Times New Roman" w:hAnsi="Times New Roman"/>
          <w:szCs w:val="22"/>
          <w:lang w:val="fr-FR"/>
        </w:rPr>
      </w:pPr>
    </w:p>
    <w:p w14:paraId="4120B261" w14:textId="77777777" w:rsidR="004803EA" w:rsidRPr="00623A2B" w:rsidRDefault="004803EA" w:rsidP="004803EA">
      <w:pPr>
        <w:rPr>
          <w:rFonts w:ascii="Times New Roman" w:eastAsia="Calibri" w:hAnsi="Times New Roman"/>
          <w:szCs w:val="22"/>
          <w:lang w:val="fr-FR"/>
        </w:rPr>
      </w:pPr>
      <w:r w:rsidRPr="00623A2B">
        <w:rPr>
          <w:rFonts w:ascii="Times New Roman" w:hAnsi="Times New Roman"/>
          <w:szCs w:val="22"/>
          <w:lang w:val="fr-FR"/>
        </w:rPr>
        <w:lastRenderedPageBreak/>
        <w:tab/>
        <w:t>TENANT COMPTE du fait que lors de sa 98</w:t>
      </w:r>
      <w:r w:rsidRPr="00623A2B">
        <w:rPr>
          <w:rFonts w:ascii="Times New Roman" w:hAnsi="Times New Roman"/>
          <w:szCs w:val="22"/>
          <w:vertAlign w:val="superscript"/>
          <w:lang w:val="fr-FR"/>
        </w:rPr>
        <w:t>e</w:t>
      </w:r>
      <w:r w:rsidRPr="00623A2B">
        <w:rPr>
          <w:rFonts w:ascii="Times New Roman" w:hAnsi="Times New Roman"/>
          <w:szCs w:val="22"/>
          <w:lang w:val="fr-FR"/>
        </w:rPr>
        <w:t xml:space="preserve"> session ordinaire tenue en avril 2021, le Comité juridique interaméricain a approuvé les « Principes actualisés du Comité juridique interaméricain relatifs à la vie privée et à la protection des données personnelles, annotés » (CJI/doc.638/21) et a recommandé à l'Assemblée générale d'approuver lesdits Principes, </w:t>
      </w:r>
    </w:p>
    <w:p w14:paraId="1E6810E7" w14:textId="77777777" w:rsidR="004803EA" w:rsidRPr="00623A2B" w:rsidRDefault="004803EA" w:rsidP="004803EA">
      <w:pPr>
        <w:rPr>
          <w:rFonts w:ascii="Times New Roman" w:eastAsia="Calibri" w:hAnsi="Times New Roman"/>
          <w:szCs w:val="22"/>
          <w:lang w:val="fr-FR"/>
        </w:rPr>
      </w:pPr>
    </w:p>
    <w:p w14:paraId="195D2358" w14:textId="77777777" w:rsidR="004803EA" w:rsidRPr="00623A2B" w:rsidRDefault="004803EA" w:rsidP="004803EA">
      <w:pPr>
        <w:rPr>
          <w:rFonts w:ascii="Times New Roman" w:hAnsi="Times New Roman"/>
          <w:szCs w:val="22"/>
          <w:lang w:val="fr-FR"/>
        </w:rPr>
      </w:pPr>
      <w:r w:rsidRPr="00623A2B">
        <w:rPr>
          <w:rFonts w:ascii="Times New Roman" w:hAnsi="Times New Roman"/>
          <w:szCs w:val="22"/>
          <w:lang w:val="fr-FR"/>
        </w:rPr>
        <w:tab/>
        <w:t xml:space="preserve">RAPPELANT que la résolution CP/RES.1149 (2278/20) du Conseil permanent sur la représentation et la participation des femmes à l'OEA condamne les formes multiples de discrimination et de violence contre les femmes dans le continent américain, en particulier le manque d’accès des femmes à la pleine participation dans la sphère publique, en termes de représentation aussi bien que d’espaces de prise de décisions et insiste sur le fait qu'il incombe aux États membres de créer les conditions et de promouvoir les possibilités de nomination et/ou de désignation de femmes dans les organes et entités de l'OEA, </w:t>
      </w:r>
    </w:p>
    <w:p w14:paraId="2521AE01" w14:textId="77777777" w:rsidR="004803EA" w:rsidRPr="00623A2B" w:rsidRDefault="004803EA" w:rsidP="004803EA">
      <w:pPr>
        <w:rPr>
          <w:rFonts w:ascii="Times New Roman" w:hAnsi="Times New Roman"/>
          <w:szCs w:val="22"/>
          <w:lang w:val="fr-FR"/>
        </w:rPr>
      </w:pPr>
    </w:p>
    <w:p w14:paraId="181D1756" w14:textId="77777777" w:rsidR="004803EA" w:rsidRPr="00623A2B" w:rsidRDefault="004803EA" w:rsidP="004803EA">
      <w:pPr>
        <w:rPr>
          <w:rFonts w:ascii="Times New Roman" w:hAnsi="Times New Roman"/>
          <w:szCs w:val="22"/>
          <w:lang w:val="fr-FR"/>
        </w:rPr>
      </w:pPr>
      <w:r w:rsidRPr="00623A2B">
        <w:rPr>
          <w:rFonts w:ascii="Times New Roman" w:hAnsi="Times New Roman"/>
          <w:szCs w:val="22"/>
          <w:lang w:val="fr-FR"/>
        </w:rPr>
        <w:t>DÉCIDE :</w:t>
      </w:r>
    </w:p>
    <w:p w14:paraId="2F14EFD9" w14:textId="77777777" w:rsidR="004803EA" w:rsidRPr="00623A2B" w:rsidRDefault="004803EA" w:rsidP="004803EA">
      <w:pPr>
        <w:rPr>
          <w:rFonts w:ascii="Times New Roman" w:hAnsi="Times New Roman"/>
          <w:szCs w:val="22"/>
          <w:lang w:val="fr-FR"/>
        </w:rPr>
      </w:pPr>
    </w:p>
    <w:p w14:paraId="514214BF" w14:textId="77777777" w:rsidR="004803EA" w:rsidRPr="00623A2B" w:rsidRDefault="004803EA" w:rsidP="004803EA">
      <w:pPr>
        <w:pStyle w:val="ListParagraph"/>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lang w:val="fr-FR"/>
        </w:rPr>
      </w:pPr>
      <w:r w:rsidRPr="00623A2B">
        <w:rPr>
          <w:rFonts w:ascii="Times New Roman" w:hAnsi="Times New Roman"/>
          <w:lang w:val="fr-FR"/>
        </w:rPr>
        <w:t xml:space="preserve">De souligner l'importance des contributions les plus récentes du CJI au droit international, parmi lesquelles les « Principes actualisés relatifs à la vie privée et à la protection des données personnelles », la « Loi-type interaméricaine 2.0 sur l'accès à l'information », le « Rapport sur le droit international et les cyber-opérations des États », les « Recommandations pour l’adoption de législations nationales concernant la réglementation des feux d’artifice et des articles pyrotechniques dans les Amériques », la « Déclaration sur la neuroscience, les </w:t>
      </w:r>
      <w:proofErr w:type="spellStart"/>
      <w:r w:rsidRPr="00623A2B">
        <w:rPr>
          <w:rFonts w:ascii="Times New Roman" w:hAnsi="Times New Roman"/>
          <w:lang w:val="fr-FR"/>
        </w:rPr>
        <w:t>neurotechnologies</w:t>
      </w:r>
      <w:proofErr w:type="spellEnd"/>
      <w:r w:rsidRPr="00623A2B">
        <w:rPr>
          <w:rFonts w:ascii="Times New Roman" w:hAnsi="Times New Roman"/>
          <w:lang w:val="fr-FR"/>
        </w:rPr>
        <w:t xml:space="preserve"> et les droits de la personne : nouveaux enjeux juridiques pour les Amériques » et le « Guide sur le droit applicable aux contrats commerciaux internationaux dans les Amériques », et de demander à son Secrétariat technique, le Département du droit international, de continuer à assurer la plus large diffusion de ceux-ci, y compris par le biais des médias virtuels, tant sur ces documents que sur ceux traitant d’autres questions inscrites dans son programme de travail. </w:t>
      </w:r>
    </w:p>
    <w:p w14:paraId="6F22D713" w14:textId="77777777" w:rsidR="004803EA" w:rsidRPr="00623A2B" w:rsidRDefault="004803EA" w:rsidP="004803EA">
      <w:pPr>
        <w:rPr>
          <w:rFonts w:ascii="Times New Roman" w:hAnsi="Times New Roman"/>
          <w:szCs w:val="22"/>
          <w:lang w:val="fr-FR"/>
        </w:rPr>
      </w:pPr>
    </w:p>
    <w:p w14:paraId="26A1DF20" w14:textId="77777777" w:rsidR="004803EA" w:rsidRPr="00623A2B" w:rsidRDefault="004803EA" w:rsidP="004803EA">
      <w:pPr>
        <w:rPr>
          <w:rFonts w:ascii="Times New Roman" w:hAnsi="Times New Roman"/>
          <w:szCs w:val="22"/>
          <w:lang w:val="fr-FR"/>
        </w:rPr>
      </w:pPr>
      <w:r w:rsidRPr="00623A2B">
        <w:rPr>
          <w:rFonts w:ascii="Times New Roman" w:hAnsi="Times New Roman"/>
          <w:szCs w:val="22"/>
          <w:lang w:val="fr-FR"/>
        </w:rPr>
        <w:tab/>
        <w:t>2.</w:t>
      </w:r>
      <w:r w:rsidRPr="00623A2B">
        <w:rPr>
          <w:rFonts w:ascii="Times New Roman" w:hAnsi="Times New Roman"/>
          <w:szCs w:val="22"/>
          <w:lang w:val="fr-FR"/>
        </w:rPr>
        <w:tab/>
        <w:t>D’approuver les « Principes actualisés relatifs à la vie privée et à la protection des données personnelles » et de demander au Département du droit international d'assurer la plus large diffusion de ceux-ci.</w:t>
      </w:r>
      <w:r w:rsidRPr="00623A2B">
        <w:rPr>
          <w:rStyle w:val="FootnoteReference"/>
          <w:rFonts w:ascii="Times New Roman" w:hAnsi="Times New Roman"/>
          <w:szCs w:val="22"/>
          <w:u w:val="single"/>
          <w:vertAlign w:val="superscript"/>
          <w:lang w:val="fr-FR"/>
        </w:rPr>
        <w:footnoteReference w:id="78"/>
      </w:r>
      <w:r w:rsidRPr="00623A2B">
        <w:rPr>
          <w:rFonts w:ascii="Times New Roman" w:hAnsi="Times New Roman"/>
          <w:szCs w:val="22"/>
          <w:vertAlign w:val="superscript"/>
          <w:lang w:val="fr-FR"/>
        </w:rPr>
        <w:t>/</w:t>
      </w:r>
    </w:p>
    <w:p w14:paraId="2AF9A5C5" w14:textId="77777777" w:rsidR="004803EA" w:rsidRPr="00623A2B" w:rsidRDefault="004803EA" w:rsidP="004803EA">
      <w:pPr>
        <w:rPr>
          <w:rFonts w:ascii="Times New Roman" w:hAnsi="Times New Roman"/>
          <w:szCs w:val="22"/>
          <w:lang w:val="fr-FR"/>
        </w:rPr>
      </w:pPr>
    </w:p>
    <w:p w14:paraId="4659338F" w14:textId="77777777" w:rsidR="004803EA" w:rsidRPr="00623A2B" w:rsidRDefault="004803EA" w:rsidP="004803EA">
      <w:pPr>
        <w:rPr>
          <w:rFonts w:ascii="Times New Roman" w:hAnsi="Times New Roman"/>
          <w:szCs w:val="22"/>
          <w:lang w:val="fr-FR"/>
        </w:rPr>
      </w:pPr>
      <w:r w:rsidRPr="00623A2B">
        <w:rPr>
          <w:rFonts w:ascii="Times New Roman" w:hAnsi="Times New Roman"/>
          <w:szCs w:val="22"/>
          <w:lang w:val="fr-FR"/>
        </w:rPr>
        <w:tab/>
        <w:t>3.</w:t>
      </w:r>
      <w:r w:rsidRPr="00623A2B">
        <w:rPr>
          <w:rFonts w:ascii="Times New Roman" w:hAnsi="Times New Roman"/>
          <w:szCs w:val="22"/>
          <w:lang w:val="fr-FR"/>
        </w:rPr>
        <w:tab/>
        <w:t xml:space="preserve">De demander au CJI de continuer de développer son ordre du jour tout en renouvelant l’invitation adressée aux États membres pour qu’ils répondent en temps utile, en fonction de leurs possibilités, aux demandes d'information du CJI afin de faciliter l'élaboration de rapports prévus dans cet ordre du jour. </w:t>
      </w:r>
    </w:p>
    <w:p w14:paraId="671BC93E" w14:textId="77777777" w:rsidR="004803EA" w:rsidRPr="00623A2B" w:rsidRDefault="004803EA" w:rsidP="004803EA">
      <w:pPr>
        <w:rPr>
          <w:rFonts w:ascii="Times New Roman" w:hAnsi="Times New Roman"/>
          <w:szCs w:val="22"/>
          <w:lang w:val="fr-FR"/>
        </w:rPr>
      </w:pPr>
    </w:p>
    <w:p w14:paraId="300436A0" w14:textId="77777777" w:rsidR="004803EA" w:rsidRPr="00623A2B" w:rsidRDefault="004803EA" w:rsidP="004803EA">
      <w:pPr>
        <w:contextualSpacing/>
        <w:rPr>
          <w:rFonts w:ascii="Times New Roman" w:hAnsi="Times New Roman"/>
          <w:szCs w:val="22"/>
          <w:lang w:val="fr-FR"/>
        </w:rPr>
      </w:pPr>
      <w:r w:rsidRPr="00623A2B">
        <w:rPr>
          <w:rFonts w:ascii="Times New Roman" w:hAnsi="Times New Roman"/>
          <w:szCs w:val="22"/>
          <w:lang w:val="fr-FR"/>
        </w:rPr>
        <w:tab/>
        <w:t>4.</w:t>
      </w:r>
      <w:r w:rsidRPr="00623A2B">
        <w:rPr>
          <w:rFonts w:ascii="Times New Roman" w:hAnsi="Times New Roman"/>
          <w:szCs w:val="22"/>
          <w:lang w:val="fr-FR"/>
        </w:rPr>
        <w:tab/>
        <w:t>De demander au CJI d'envisager dans son programme de travail un plus grand nombre de thèmes visant à analyser le droit international privé afin de réactiver les actions liées au développement de cette discipline au niveau régional et, si nécessaire, de proposer à l'Assemblée générale de mettre à jour certains des instruments juridiques dans ce domaine et/ou de proposer de nouveaux textes de convention ou de protocole</w:t>
      </w:r>
      <w:r w:rsidRPr="00623A2B">
        <w:rPr>
          <w:rFonts w:ascii="Times New Roman" w:hAnsi="Times New Roman"/>
          <w:b/>
          <w:bCs/>
          <w:szCs w:val="22"/>
          <w:lang w:val="fr-FR"/>
        </w:rPr>
        <w:t xml:space="preserve"> </w:t>
      </w:r>
      <w:r w:rsidRPr="00623A2B">
        <w:rPr>
          <w:rFonts w:ascii="Times New Roman" w:hAnsi="Times New Roman"/>
          <w:szCs w:val="22"/>
          <w:lang w:val="fr-FR"/>
        </w:rPr>
        <w:t xml:space="preserve">susceptibles d’être soumis à l'Assemblée générale pour examen et qui reflètent la pratique des États ainsi que les particularités et les besoins spécifiques de la région dans le domaine du droit international privé et des nouvelles technologies de communication et de transmission de données et d’information. </w:t>
      </w:r>
    </w:p>
    <w:p w14:paraId="2CB06F91" w14:textId="77777777" w:rsidR="004803EA" w:rsidRPr="00623A2B" w:rsidRDefault="004803EA" w:rsidP="004803EA">
      <w:pPr>
        <w:rPr>
          <w:rFonts w:ascii="Times New Roman" w:hAnsi="Times New Roman"/>
          <w:szCs w:val="22"/>
          <w:lang w:val="fr-FR"/>
        </w:rPr>
      </w:pPr>
    </w:p>
    <w:p w14:paraId="07B4E68B" w14:textId="77777777" w:rsidR="004803EA" w:rsidRPr="00623A2B" w:rsidRDefault="004803EA" w:rsidP="00B216D2">
      <w:pPr>
        <w:widowControl/>
        <w:ind w:firstLine="706"/>
        <w:contextualSpacing/>
        <w:rPr>
          <w:rFonts w:ascii="Times New Roman" w:hAnsi="Times New Roman"/>
          <w:szCs w:val="22"/>
          <w:lang w:val="fr-FR"/>
        </w:rPr>
      </w:pPr>
      <w:r w:rsidRPr="00623A2B">
        <w:rPr>
          <w:rFonts w:ascii="Times New Roman" w:hAnsi="Times New Roman"/>
          <w:szCs w:val="22"/>
          <w:lang w:val="fr-FR"/>
        </w:rPr>
        <w:lastRenderedPageBreak/>
        <w:t>5.</w:t>
      </w:r>
      <w:r w:rsidRPr="00623A2B">
        <w:rPr>
          <w:rFonts w:ascii="Times New Roman" w:hAnsi="Times New Roman"/>
          <w:szCs w:val="22"/>
          <w:lang w:val="fr-FR"/>
        </w:rPr>
        <w:tab/>
        <w:t xml:space="preserve">De reconnaître la nécessité de progresser dans le renforcement administratif et budgétaire du CJI afin d'assurer la réalisation des nombreux mandats qui lui sont confiés, tout en renouvelant la demande faite au Secrétariat général pour que le poste de secrétaire exécutif soit rétabli ou que des modalités de substitution soient mises en place pour le renforcement administratif et budgétaire susmentionné. </w:t>
      </w:r>
    </w:p>
    <w:p w14:paraId="41FD264E" w14:textId="77777777" w:rsidR="004803EA" w:rsidRPr="00623A2B" w:rsidRDefault="004803EA" w:rsidP="004803EA">
      <w:pPr>
        <w:rPr>
          <w:rFonts w:ascii="Times New Roman" w:hAnsi="Times New Roman"/>
          <w:szCs w:val="22"/>
          <w:lang w:val="fr-FR"/>
        </w:rPr>
      </w:pPr>
    </w:p>
    <w:p w14:paraId="27B366F0" w14:textId="77777777" w:rsidR="004803EA" w:rsidRPr="00623A2B" w:rsidRDefault="004803EA" w:rsidP="004803EA">
      <w:pPr>
        <w:ind w:firstLine="706"/>
        <w:contextualSpacing/>
        <w:rPr>
          <w:rFonts w:ascii="Times New Roman" w:hAnsi="Times New Roman"/>
          <w:szCs w:val="22"/>
          <w:lang w:val="fr-FR"/>
        </w:rPr>
      </w:pPr>
      <w:r w:rsidRPr="00623A2B">
        <w:rPr>
          <w:rFonts w:ascii="Times New Roman" w:hAnsi="Times New Roman"/>
          <w:szCs w:val="22"/>
          <w:lang w:val="fr-FR"/>
        </w:rPr>
        <w:t>6.</w:t>
      </w:r>
      <w:r w:rsidRPr="00623A2B">
        <w:rPr>
          <w:rFonts w:ascii="Times New Roman" w:hAnsi="Times New Roman"/>
          <w:szCs w:val="22"/>
          <w:lang w:val="fr-FR"/>
        </w:rPr>
        <w:tab/>
        <w:t xml:space="preserve">De demander au CJI de continuer à consolider la collaboration qu'il entretient avec diverses organisations internationales, le milieu universitaire et la société civile, en soulignant l'importance de continuer à renforcer l'échange avec les conseillers et consultants juridiques des ministères des relations extérieures des États membres afin de recueillir, à travers ce mécanisme, les avis des États membres sur l'évolution des travaux du CJI et, dans le même temps, de remercier les États membres dont les consultants juridiques ont participé à la réunion mixte avec le CJI tenue en août 2021. </w:t>
      </w:r>
    </w:p>
    <w:p w14:paraId="2880CE8B" w14:textId="77777777" w:rsidR="004803EA" w:rsidRPr="00623A2B" w:rsidRDefault="004803EA" w:rsidP="004803EA">
      <w:pPr>
        <w:rPr>
          <w:rFonts w:ascii="Times New Roman" w:hAnsi="Times New Roman"/>
          <w:szCs w:val="22"/>
          <w:lang w:val="fr-FR"/>
        </w:rPr>
      </w:pPr>
    </w:p>
    <w:p w14:paraId="70807DAA" w14:textId="77777777" w:rsidR="004803EA" w:rsidRPr="00623A2B" w:rsidRDefault="004803EA" w:rsidP="004803EA">
      <w:pPr>
        <w:ind w:firstLine="706"/>
        <w:contextualSpacing/>
        <w:rPr>
          <w:rFonts w:ascii="Times New Roman" w:hAnsi="Times New Roman"/>
          <w:szCs w:val="22"/>
          <w:lang w:val="fr-FR"/>
        </w:rPr>
      </w:pPr>
      <w:r w:rsidRPr="00623A2B">
        <w:rPr>
          <w:rFonts w:ascii="Times New Roman" w:hAnsi="Times New Roman"/>
          <w:szCs w:val="22"/>
          <w:lang w:val="fr-FR"/>
        </w:rPr>
        <w:t>7.</w:t>
      </w:r>
      <w:r w:rsidRPr="00623A2B">
        <w:rPr>
          <w:rFonts w:ascii="Times New Roman" w:hAnsi="Times New Roman"/>
          <w:szCs w:val="22"/>
          <w:lang w:val="fr-FR"/>
        </w:rPr>
        <w:tab/>
        <w:t xml:space="preserve">De modifier l'article 5 du Statut du CJI afin d'y intégrer la parité hommes-femmes, comme suit : </w:t>
      </w:r>
    </w:p>
    <w:p w14:paraId="0C61D46D" w14:textId="77777777" w:rsidR="004803EA" w:rsidRPr="00623A2B" w:rsidRDefault="004803EA" w:rsidP="004803EA">
      <w:pPr>
        <w:rPr>
          <w:rFonts w:ascii="Times New Roman" w:hAnsi="Times New Roman"/>
          <w:szCs w:val="22"/>
          <w:lang w:val="fr-FR"/>
        </w:rPr>
      </w:pPr>
    </w:p>
    <w:p w14:paraId="201F2235" w14:textId="77777777" w:rsidR="004803EA" w:rsidRPr="00623A2B" w:rsidRDefault="004803EA" w:rsidP="004803EA">
      <w:pPr>
        <w:ind w:left="1412"/>
        <w:rPr>
          <w:rFonts w:ascii="Times New Roman" w:hAnsi="Times New Roman"/>
          <w:szCs w:val="22"/>
          <w:lang w:val="fr-FR"/>
        </w:rPr>
      </w:pPr>
      <w:r w:rsidRPr="00623A2B">
        <w:rPr>
          <w:rFonts w:ascii="Times New Roman" w:hAnsi="Times New Roman"/>
          <w:szCs w:val="22"/>
          <w:lang w:val="fr-FR"/>
        </w:rPr>
        <w:t>L’élection des membres du Comité cherchera, dans la mesure du possible, à respecter</w:t>
      </w:r>
      <w:r w:rsidRPr="00623A2B">
        <w:rPr>
          <w:rFonts w:ascii="Times New Roman" w:hAnsi="Times New Roman"/>
          <w:b/>
          <w:bCs/>
          <w:szCs w:val="22"/>
          <w:lang w:val="fr-FR"/>
        </w:rPr>
        <w:t xml:space="preserve"> la parité hommes-femmes et </w:t>
      </w:r>
      <w:r w:rsidRPr="00623A2B">
        <w:rPr>
          <w:rFonts w:ascii="Times New Roman" w:hAnsi="Times New Roman"/>
          <w:szCs w:val="22"/>
          <w:lang w:val="fr-FR"/>
        </w:rPr>
        <w:t>une représentation géographique équitable. Il y aura un seul membre de chaque nationalité.</w:t>
      </w:r>
    </w:p>
    <w:p w14:paraId="656FFF1A" w14:textId="77777777" w:rsidR="004803EA" w:rsidRPr="00623A2B" w:rsidRDefault="004803EA" w:rsidP="004803EA">
      <w:pPr>
        <w:rPr>
          <w:rFonts w:ascii="Times New Roman" w:hAnsi="Times New Roman"/>
          <w:b/>
          <w:bCs/>
          <w:szCs w:val="22"/>
          <w:lang w:val="fr-FR"/>
        </w:rPr>
      </w:pPr>
    </w:p>
    <w:p w14:paraId="149A7CF6" w14:textId="77777777" w:rsidR="004803EA" w:rsidRPr="00623A2B" w:rsidRDefault="004803EA" w:rsidP="00C05265">
      <w:pPr>
        <w:pStyle w:val="ListParagraph"/>
        <w:numPr>
          <w:ilvl w:val="0"/>
          <w:numId w:val="60"/>
        </w:numPr>
        <w:ind w:hanging="540"/>
        <w:rPr>
          <w:rFonts w:ascii="Times New Roman" w:hAnsi="Times New Roman"/>
          <w:szCs w:val="22"/>
          <w:u w:val="single"/>
          <w:lang w:val="fr-FR"/>
        </w:rPr>
      </w:pPr>
      <w:bookmarkStart w:id="48" w:name="_Toc86651563"/>
      <w:r w:rsidRPr="00623A2B">
        <w:rPr>
          <w:rFonts w:ascii="Times New Roman" w:hAnsi="Times New Roman"/>
          <w:szCs w:val="22"/>
          <w:u w:val="single"/>
          <w:lang w:val="fr-FR"/>
        </w:rPr>
        <w:t>Centre d’études de la justice des Amériques</w:t>
      </w:r>
      <w:bookmarkEnd w:id="48"/>
    </w:p>
    <w:p w14:paraId="05B8AE28" w14:textId="77777777" w:rsidR="004803EA" w:rsidRPr="00623A2B" w:rsidRDefault="004803EA" w:rsidP="004803EA">
      <w:pPr>
        <w:rPr>
          <w:rFonts w:ascii="Times New Roman" w:hAnsi="Times New Roman"/>
          <w:szCs w:val="22"/>
          <w:lang w:val="fr-FR"/>
        </w:rPr>
      </w:pPr>
    </w:p>
    <w:p w14:paraId="18FDDE45" w14:textId="77777777" w:rsidR="004803EA" w:rsidRPr="00623A2B" w:rsidRDefault="004803EA" w:rsidP="004803EA">
      <w:pPr>
        <w:rPr>
          <w:rFonts w:ascii="Times New Roman" w:hAnsi="Times New Roman"/>
          <w:szCs w:val="22"/>
          <w:lang w:val="fr-FR"/>
        </w:rPr>
      </w:pPr>
      <w:r w:rsidRPr="00623A2B">
        <w:rPr>
          <w:rFonts w:ascii="Times New Roman" w:hAnsi="Times New Roman"/>
          <w:szCs w:val="22"/>
          <w:lang w:val="fr-FR"/>
        </w:rPr>
        <w:tab/>
        <w:t>RAPPELANT que la résolution CP/RES.1149 (2278/20) du Conseil permanent sur la représentation et la participation des femmes à l'OEA insiste sur le fait qu'il incombe aux États membres de créer les conditions et de promouvoir les possibilités de nomination et/ou de désignation de femmes dans les organes et entités de l'OEA,</w:t>
      </w:r>
    </w:p>
    <w:p w14:paraId="5E44B736" w14:textId="77777777" w:rsidR="004803EA" w:rsidRPr="00623A2B" w:rsidRDefault="004803EA" w:rsidP="004803EA">
      <w:pPr>
        <w:rPr>
          <w:rFonts w:ascii="Times New Roman" w:hAnsi="Times New Roman"/>
          <w:szCs w:val="22"/>
          <w:lang w:val="fr-FR"/>
        </w:rPr>
      </w:pPr>
    </w:p>
    <w:p w14:paraId="0D356AA9" w14:textId="77777777" w:rsidR="004803EA" w:rsidRPr="00623A2B" w:rsidRDefault="004803EA" w:rsidP="004803EA">
      <w:pPr>
        <w:rPr>
          <w:rFonts w:ascii="Times New Roman" w:hAnsi="Times New Roman"/>
          <w:szCs w:val="22"/>
          <w:lang w:val="fr-FR"/>
        </w:rPr>
      </w:pPr>
      <w:r w:rsidRPr="00623A2B">
        <w:rPr>
          <w:rFonts w:ascii="Times New Roman" w:hAnsi="Times New Roman"/>
          <w:szCs w:val="22"/>
          <w:lang w:val="fr-FR"/>
        </w:rPr>
        <w:t>DÉCIDE :</w:t>
      </w:r>
    </w:p>
    <w:p w14:paraId="55499947" w14:textId="77777777" w:rsidR="004803EA" w:rsidRPr="00623A2B" w:rsidRDefault="004803EA" w:rsidP="004803EA">
      <w:pPr>
        <w:rPr>
          <w:rFonts w:ascii="Times New Roman" w:hAnsi="Times New Roman"/>
          <w:szCs w:val="22"/>
          <w:lang w:val="fr-FR"/>
        </w:rPr>
      </w:pPr>
    </w:p>
    <w:p w14:paraId="038A285D" w14:textId="77777777" w:rsidR="004803EA" w:rsidRPr="00623A2B" w:rsidRDefault="004803EA" w:rsidP="004803EA">
      <w:pPr>
        <w:pStyle w:val="ListParagraph"/>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lang w:val="fr-FR"/>
        </w:rPr>
      </w:pPr>
      <w:r w:rsidRPr="00623A2B">
        <w:rPr>
          <w:rFonts w:ascii="Times New Roman" w:hAnsi="Times New Roman"/>
          <w:lang w:val="fr-FR"/>
        </w:rPr>
        <w:t xml:space="preserve">De modifier l'article 11 du Statut du Centre d'études de la justice des Amériques afin d'y intégrer la parité hommes-femmes, comme suit : </w:t>
      </w:r>
    </w:p>
    <w:p w14:paraId="663B3D04" w14:textId="77777777" w:rsidR="004803EA" w:rsidRPr="00623A2B" w:rsidRDefault="004803EA" w:rsidP="004803EA">
      <w:pPr>
        <w:rPr>
          <w:rFonts w:ascii="Times New Roman" w:hAnsi="Times New Roman"/>
          <w:szCs w:val="22"/>
          <w:lang w:val="fr-FR"/>
        </w:rPr>
      </w:pPr>
    </w:p>
    <w:p w14:paraId="09A0BC5D" w14:textId="77777777" w:rsidR="004803EA" w:rsidRPr="00623A2B" w:rsidRDefault="004803EA" w:rsidP="004803EA">
      <w:pPr>
        <w:ind w:left="1440"/>
        <w:rPr>
          <w:rFonts w:ascii="Times New Roman" w:hAnsi="Times New Roman"/>
          <w:szCs w:val="22"/>
          <w:lang w:val="fr-FR"/>
        </w:rPr>
      </w:pPr>
      <w:r w:rsidRPr="00623A2B">
        <w:rPr>
          <w:rFonts w:ascii="Times New Roman" w:hAnsi="Times New Roman"/>
          <w:szCs w:val="22"/>
          <w:lang w:val="fr-FR"/>
        </w:rPr>
        <w:t>Article 11</w:t>
      </w:r>
    </w:p>
    <w:p w14:paraId="76670390" w14:textId="77777777" w:rsidR="004803EA" w:rsidRPr="00623A2B" w:rsidRDefault="004803EA" w:rsidP="004803EA">
      <w:pPr>
        <w:rPr>
          <w:rFonts w:ascii="Times New Roman" w:hAnsi="Times New Roman"/>
          <w:szCs w:val="22"/>
          <w:lang w:val="fr-FR"/>
        </w:rPr>
      </w:pPr>
    </w:p>
    <w:p w14:paraId="6900ABF6" w14:textId="77777777" w:rsidR="004803EA" w:rsidRPr="00623A2B" w:rsidRDefault="004803EA" w:rsidP="004803EA">
      <w:pPr>
        <w:ind w:left="1440"/>
        <w:rPr>
          <w:rFonts w:ascii="Times New Roman" w:hAnsi="Times New Roman"/>
          <w:szCs w:val="22"/>
          <w:lang w:val="fr-FR"/>
        </w:rPr>
      </w:pPr>
      <w:r w:rsidRPr="00623A2B">
        <w:rPr>
          <w:rFonts w:ascii="Times New Roman" w:hAnsi="Times New Roman"/>
          <w:szCs w:val="22"/>
          <w:lang w:val="fr-FR"/>
        </w:rPr>
        <w:t>[...]</w:t>
      </w:r>
    </w:p>
    <w:p w14:paraId="59D1F7EC" w14:textId="77777777" w:rsidR="004803EA" w:rsidRPr="00623A2B" w:rsidRDefault="004803EA" w:rsidP="004803EA">
      <w:pPr>
        <w:rPr>
          <w:rFonts w:ascii="Times New Roman" w:hAnsi="Times New Roman"/>
          <w:szCs w:val="22"/>
          <w:lang w:val="fr-FR"/>
        </w:rPr>
      </w:pPr>
    </w:p>
    <w:p w14:paraId="672106BA" w14:textId="77777777" w:rsidR="004803EA" w:rsidRPr="00623A2B" w:rsidRDefault="004803EA" w:rsidP="004803EA">
      <w:pPr>
        <w:ind w:left="1440" w:right="331"/>
        <w:rPr>
          <w:rFonts w:ascii="Times New Roman" w:hAnsi="Times New Roman"/>
          <w:szCs w:val="22"/>
          <w:lang w:val="fr-FR"/>
        </w:rPr>
      </w:pPr>
      <w:r w:rsidRPr="00623A2B">
        <w:rPr>
          <w:rFonts w:ascii="Times New Roman" w:hAnsi="Times New Roman"/>
          <w:szCs w:val="22"/>
          <w:lang w:val="fr-FR"/>
        </w:rPr>
        <w:t xml:space="preserve">Le Conseil de direction doit représenter les différents régimes juridiques des Amériques, et dans la mesure du possible, les différents secteurs de la communauté juridique </w:t>
      </w:r>
      <w:r w:rsidRPr="00623A2B">
        <w:rPr>
          <w:rFonts w:ascii="Times New Roman" w:hAnsi="Times New Roman"/>
          <w:b/>
          <w:szCs w:val="22"/>
          <w:lang w:val="fr-FR"/>
        </w:rPr>
        <w:t>L’élection des membres du Centre cherchera, dans la mesure du possible, à respecter</w:t>
      </w:r>
      <w:r w:rsidRPr="00623A2B">
        <w:rPr>
          <w:rFonts w:ascii="Times New Roman" w:hAnsi="Times New Roman"/>
          <w:b/>
          <w:bCs/>
          <w:szCs w:val="22"/>
          <w:lang w:val="fr-FR"/>
        </w:rPr>
        <w:t xml:space="preserve"> la parité hommes-femmes.</w:t>
      </w:r>
    </w:p>
    <w:p w14:paraId="790C0048" w14:textId="77777777" w:rsidR="004803EA" w:rsidRPr="00623A2B" w:rsidRDefault="004803EA" w:rsidP="004803EA">
      <w:pPr>
        <w:rPr>
          <w:rFonts w:ascii="Times New Roman" w:hAnsi="Times New Roman"/>
          <w:szCs w:val="22"/>
          <w:lang w:val="fr-FR"/>
        </w:rPr>
      </w:pPr>
    </w:p>
    <w:p w14:paraId="5C73CDE1" w14:textId="77777777" w:rsidR="004803EA" w:rsidRPr="00623A2B" w:rsidRDefault="004803EA" w:rsidP="00C05265">
      <w:pPr>
        <w:pStyle w:val="ListParagraph"/>
        <w:numPr>
          <w:ilvl w:val="0"/>
          <w:numId w:val="60"/>
        </w:numPr>
        <w:ind w:hanging="540"/>
        <w:rPr>
          <w:rFonts w:ascii="Times New Roman" w:hAnsi="Times New Roman"/>
          <w:szCs w:val="22"/>
          <w:u w:val="single"/>
          <w:lang w:val="fr-FR"/>
        </w:rPr>
      </w:pPr>
      <w:bookmarkStart w:id="49" w:name="_Toc86651564"/>
      <w:r w:rsidRPr="00623A2B">
        <w:rPr>
          <w:rFonts w:ascii="Times New Roman" w:hAnsi="Times New Roman"/>
          <w:szCs w:val="22"/>
          <w:u w:val="single"/>
          <w:lang w:val="fr-FR"/>
        </w:rPr>
        <w:t>Droit international dans le cyberespace</w:t>
      </w:r>
      <w:bookmarkEnd w:id="49"/>
      <w:r w:rsidRPr="00623A2B">
        <w:rPr>
          <w:rFonts w:ascii="Times New Roman" w:hAnsi="Times New Roman"/>
          <w:szCs w:val="22"/>
          <w:u w:val="single"/>
          <w:lang w:val="fr-FR"/>
        </w:rPr>
        <w:t xml:space="preserve"> </w:t>
      </w:r>
    </w:p>
    <w:p w14:paraId="61AE172A" w14:textId="77777777" w:rsidR="004803EA" w:rsidRPr="00623A2B" w:rsidRDefault="004803EA" w:rsidP="00B216D2">
      <w:pPr>
        <w:pStyle w:val="ListParagraph"/>
        <w:rPr>
          <w:rFonts w:ascii="Times New Roman" w:hAnsi="Times New Roman"/>
          <w:szCs w:val="22"/>
          <w:u w:val="single"/>
          <w:lang w:val="fr-FR"/>
        </w:rPr>
      </w:pPr>
    </w:p>
    <w:p w14:paraId="6EBB8BB5" w14:textId="77777777" w:rsidR="004803EA" w:rsidRPr="00623A2B" w:rsidRDefault="004803EA" w:rsidP="00B216D2">
      <w:pPr>
        <w:widowControl/>
        <w:rPr>
          <w:rFonts w:ascii="Times New Roman" w:hAnsi="Times New Roman"/>
          <w:szCs w:val="22"/>
          <w:lang w:val="fr-FR"/>
        </w:rPr>
      </w:pPr>
      <w:r w:rsidRPr="00623A2B">
        <w:rPr>
          <w:rFonts w:ascii="Times New Roman" w:hAnsi="Times New Roman"/>
          <w:szCs w:val="22"/>
          <w:lang w:val="fr-FR"/>
        </w:rPr>
        <w:tab/>
        <w:t xml:space="preserve">RÉAFFIRMANT l'applicabilité du droit international dans le cyberespace et l'importance de la mise en œuvre des normes volontaires non contraignantes pour un comportement responsable des États dans le cyberespace, adoptées par les Nations Unies dans les rapports consensuels du Groupe </w:t>
      </w:r>
      <w:r w:rsidRPr="00623A2B">
        <w:rPr>
          <w:rFonts w:ascii="Times New Roman" w:hAnsi="Times New Roman"/>
          <w:szCs w:val="22"/>
          <w:lang w:val="fr-FR"/>
        </w:rPr>
        <w:lastRenderedPageBreak/>
        <w:t xml:space="preserve">d'experts gouvernementaux et du Groupe de travail à composition non limitée sur les progrès de l’informatique et des télécommunications dans le contexte de la sécurité internationale, </w:t>
      </w:r>
    </w:p>
    <w:p w14:paraId="2BEB9CB6" w14:textId="77777777" w:rsidR="004803EA" w:rsidRPr="00623A2B" w:rsidRDefault="004803EA" w:rsidP="004803EA">
      <w:pPr>
        <w:rPr>
          <w:rFonts w:ascii="Times New Roman" w:hAnsi="Times New Roman"/>
          <w:szCs w:val="22"/>
          <w:lang w:val="fr-FR"/>
        </w:rPr>
      </w:pPr>
    </w:p>
    <w:p w14:paraId="08E7B2A2" w14:textId="77777777" w:rsidR="004803EA" w:rsidRPr="00623A2B" w:rsidRDefault="004803EA" w:rsidP="004803EA">
      <w:pPr>
        <w:rPr>
          <w:rFonts w:ascii="Times New Roman" w:hAnsi="Times New Roman"/>
          <w:szCs w:val="22"/>
          <w:lang w:val="fr-FR"/>
        </w:rPr>
      </w:pPr>
      <w:r w:rsidRPr="00623A2B">
        <w:rPr>
          <w:rFonts w:ascii="Times New Roman" w:hAnsi="Times New Roman"/>
          <w:szCs w:val="22"/>
          <w:lang w:val="fr-FR"/>
        </w:rPr>
        <w:tab/>
        <w:t xml:space="preserve">RAPPELANT le rapport du CJI intitulé « Droit international et cyber-opérations des États : Améliorer la transparence » (CJI/doc.615/20), </w:t>
      </w:r>
    </w:p>
    <w:p w14:paraId="3BBCB363" w14:textId="77777777" w:rsidR="004803EA" w:rsidRPr="00623A2B" w:rsidRDefault="004803EA" w:rsidP="004803EA">
      <w:pPr>
        <w:rPr>
          <w:rFonts w:ascii="Times New Roman" w:hAnsi="Times New Roman"/>
          <w:szCs w:val="22"/>
          <w:lang w:val="fr-FR"/>
        </w:rPr>
      </w:pPr>
    </w:p>
    <w:p w14:paraId="513AC231" w14:textId="77777777" w:rsidR="004803EA" w:rsidRPr="00623A2B" w:rsidRDefault="004803EA" w:rsidP="004803EA">
      <w:pPr>
        <w:rPr>
          <w:rFonts w:ascii="Times New Roman" w:eastAsia="Calibri" w:hAnsi="Times New Roman"/>
          <w:szCs w:val="22"/>
          <w:lang w:val="fr-FR"/>
        </w:rPr>
      </w:pPr>
      <w:r w:rsidRPr="00623A2B">
        <w:rPr>
          <w:rFonts w:ascii="Times New Roman" w:hAnsi="Times New Roman"/>
          <w:szCs w:val="22"/>
          <w:lang w:val="fr-FR"/>
        </w:rPr>
        <w:t>DÉCIDE :</w:t>
      </w:r>
    </w:p>
    <w:p w14:paraId="5638BAD9" w14:textId="77777777" w:rsidR="004803EA" w:rsidRPr="00623A2B" w:rsidRDefault="004803EA" w:rsidP="004803EA">
      <w:pPr>
        <w:rPr>
          <w:rFonts w:ascii="Times New Roman" w:hAnsi="Times New Roman"/>
          <w:szCs w:val="22"/>
          <w:lang w:val="fr-FR"/>
        </w:rPr>
      </w:pPr>
    </w:p>
    <w:p w14:paraId="596509FF" w14:textId="77777777" w:rsidR="004803EA" w:rsidRPr="00623A2B" w:rsidRDefault="004803EA" w:rsidP="004803EA">
      <w:pPr>
        <w:pStyle w:val="ListParagraph"/>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lang w:val="fr-FR"/>
        </w:rPr>
      </w:pPr>
      <w:r w:rsidRPr="00623A2B">
        <w:rPr>
          <w:rFonts w:ascii="Times New Roman" w:hAnsi="Times New Roman"/>
          <w:lang w:val="fr-FR"/>
        </w:rPr>
        <w:t>De prendre note avec satisfaction de la proposition de cours élaborée par le Département du droit international à la demande du Comité juridique interaméricain sur le thème « Droit international et cyber-opérations », et de lui demander d’entreprendre les activités de formation que lui demanderont les États membres à ce titre.</w:t>
      </w:r>
    </w:p>
    <w:p w14:paraId="143D5C72" w14:textId="77777777" w:rsidR="004803EA" w:rsidRPr="00623A2B" w:rsidRDefault="004803EA" w:rsidP="004803EA">
      <w:pPr>
        <w:contextualSpacing/>
        <w:rPr>
          <w:rFonts w:ascii="Times New Roman" w:hAnsi="Times New Roman"/>
          <w:szCs w:val="22"/>
          <w:lang w:val="fr-FR"/>
        </w:rPr>
      </w:pPr>
    </w:p>
    <w:p w14:paraId="11104EF8" w14:textId="77777777" w:rsidR="004803EA" w:rsidRPr="00623A2B" w:rsidRDefault="004803EA" w:rsidP="004803EA">
      <w:pPr>
        <w:pStyle w:val="ListParagraph"/>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lang w:val="fr-FR"/>
        </w:rPr>
      </w:pPr>
      <w:r w:rsidRPr="00623A2B">
        <w:rPr>
          <w:rFonts w:ascii="Times New Roman" w:hAnsi="Times New Roman"/>
          <w:lang w:val="fr-FR"/>
        </w:rPr>
        <w:t>De demander au Secrétariat général, à la Commission interaméricaine des télécommunications, au Comité interaméricain contre le terrorisme et à l’Organisation interaméricaine de défense de coordonner les actions visant à soutenir les efforts des États membres et à leur offrir une assistance pour la mise en œuvre du cadre adopté par consensus au moyen des résolutions pertinentes de l’Organisation des Nations Unies visant le comportement responsable des États dans le cyberespace.</w:t>
      </w:r>
      <w:r w:rsidRPr="00623A2B">
        <w:rPr>
          <w:rFonts w:ascii="Times New Roman" w:hAnsi="Times New Roman"/>
          <w:b/>
          <w:bCs/>
          <w:lang w:val="fr-FR"/>
        </w:rPr>
        <w:t xml:space="preserve"> </w:t>
      </w:r>
    </w:p>
    <w:p w14:paraId="39B2337F" w14:textId="77777777" w:rsidR="004803EA" w:rsidRPr="00623A2B" w:rsidRDefault="004803EA" w:rsidP="004803EA">
      <w:pPr>
        <w:contextualSpacing/>
        <w:rPr>
          <w:rFonts w:ascii="Times New Roman" w:hAnsi="Times New Roman"/>
          <w:szCs w:val="22"/>
          <w:lang w:val="fr-FR"/>
        </w:rPr>
      </w:pPr>
    </w:p>
    <w:p w14:paraId="046E59D8" w14:textId="77777777" w:rsidR="004803EA" w:rsidRPr="00623A2B" w:rsidRDefault="004803EA" w:rsidP="004803EA">
      <w:pPr>
        <w:pStyle w:val="ListParagraph"/>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lang w:val="fr-FR"/>
        </w:rPr>
      </w:pPr>
      <w:r w:rsidRPr="00623A2B">
        <w:rPr>
          <w:rFonts w:ascii="Times New Roman" w:hAnsi="Times New Roman"/>
          <w:lang w:val="fr-FR"/>
        </w:rPr>
        <w:t xml:space="preserve">De demander au Département du droit international d'assurer la plus large diffusion du rapport du CJI intitulé « Droit international et cyber-opérations des États : Améliorer la transparence » et d’encourager les réflexions s’y rapportant, notamment au moyen de l'organisation d'un cours s’adressant aux fonctionnaires des États membres qui en font la demande. </w:t>
      </w:r>
    </w:p>
    <w:p w14:paraId="18796A9E" w14:textId="77777777" w:rsidR="004803EA" w:rsidRPr="00623A2B" w:rsidRDefault="004803EA" w:rsidP="004803EA">
      <w:pPr>
        <w:ind w:right="-360"/>
        <w:rPr>
          <w:rFonts w:ascii="Times New Roman" w:hAnsi="Times New Roman"/>
          <w:szCs w:val="22"/>
          <w:lang w:val="fr-FR"/>
        </w:rPr>
      </w:pPr>
    </w:p>
    <w:p w14:paraId="04FBFD41" w14:textId="77777777" w:rsidR="004803EA" w:rsidRPr="00623A2B" w:rsidRDefault="004803EA" w:rsidP="00C05265">
      <w:pPr>
        <w:pStyle w:val="ListParagraph"/>
        <w:numPr>
          <w:ilvl w:val="0"/>
          <w:numId w:val="60"/>
        </w:numPr>
        <w:ind w:hanging="540"/>
        <w:rPr>
          <w:rFonts w:ascii="Times New Roman" w:hAnsi="Times New Roman"/>
          <w:szCs w:val="22"/>
          <w:u w:val="single"/>
          <w:lang w:val="fr-FR"/>
        </w:rPr>
      </w:pPr>
      <w:bookmarkStart w:id="50" w:name="_Toc86651565"/>
      <w:r w:rsidRPr="00623A2B">
        <w:rPr>
          <w:rFonts w:ascii="Times New Roman" w:hAnsi="Times New Roman"/>
          <w:szCs w:val="22"/>
          <w:u w:val="single"/>
          <w:lang w:val="fr-FR"/>
        </w:rPr>
        <w:t>Promotion de la Cour pénale internationale</w:t>
      </w:r>
      <w:r w:rsidRPr="00623A2B">
        <w:rPr>
          <w:rFonts w:ascii="Times New Roman" w:hAnsi="Times New Roman"/>
          <w:szCs w:val="22"/>
          <w:lang w:val="fr-FR"/>
        </w:rPr>
        <w:t xml:space="preserve"> </w:t>
      </w:r>
      <w:r w:rsidRPr="00623A2B">
        <w:rPr>
          <w:rFonts w:ascii="Times New Roman" w:hAnsi="Times New Roman"/>
          <w:szCs w:val="22"/>
          <w:u w:val="single"/>
          <w:vertAlign w:val="superscript"/>
          <w:lang w:val="fr-FR"/>
        </w:rPr>
        <w:footnoteReference w:id="79"/>
      </w:r>
      <w:r w:rsidRPr="00623A2B">
        <w:rPr>
          <w:rFonts w:ascii="Times New Roman" w:hAnsi="Times New Roman"/>
          <w:szCs w:val="22"/>
          <w:u w:val="single"/>
          <w:vertAlign w:val="superscript"/>
          <w:lang w:val="fr-FR"/>
        </w:rPr>
        <w:t>/</w:t>
      </w:r>
      <w:bookmarkEnd w:id="50"/>
    </w:p>
    <w:p w14:paraId="522F4F86" w14:textId="77777777" w:rsidR="004803EA" w:rsidRPr="00623A2B" w:rsidRDefault="004803EA" w:rsidP="004803EA">
      <w:pPr>
        <w:jc w:val="center"/>
        <w:rPr>
          <w:rFonts w:ascii="Times New Roman" w:hAnsi="Times New Roman"/>
          <w:b/>
          <w:bCs/>
          <w:szCs w:val="22"/>
          <w:lang w:val="fr-FR"/>
        </w:rPr>
      </w:pPr>
    </w:p>
    <w:p w14:paraId="7C0AA842" w14:textId="77777777" w:rsidR="004803EA" w:rsidRPr="00623A2B" w:rsidRDefault="004803EA" w:rsidP="004803EA">
      <w:pPr>
        <w:ind w:firstLine="720"/>
        <w:rPr>
          <w:rFonts w:ascii="Times New Roman" w:hAnsi="Times New Roman"/>
          <w:szCs w:val="22"/>
          <w:lang w:val="fr-FR"/>
        </w:rPr>
      </w:pPr>
      <w:r w:rsidRPr="00623A2B">
        <w:rPr>
          <w:rFonts w:ascii="Times New Roman" w:eastAsia="Calibri" w:hAnsi="Times New Roman"/>
          <w:szCs w:val="22"/>
          <w:lang w:val="fr-FR"/>
        </w:rPr>
        <w:t xml:space="preserve">SOULIGNANT l'universalité du Statut de Rome en tant qu'instrument visant à mettre fin à l'impunité et de la Cour pénale internationale en tant que première et unique cour pénale internationale permanente, indépendante et impartiale, qui enquête, juge et punit les responsables des crimes les plus graves contre la communauté internationale tels que le génocide, les crimes contre l'humanité, les crimes de guerre et le crime d'agression,  </w:t>
      </w:r>
    </w:p>
    <w:p w14:paraId="3FE5F159" w14:textId="77777777" w:rsidR="004803EA" w:rsidRPr="00623A2B" w:rsidRDefault="004803EA" w:rsidP="004803EA">
      <w:pPr>
        <w:rPr>
          <w:rFonts w:ascii="Times New Roman" w:hAnsi="Times New Roman"/>
          <w:szCs w:val="22"/>
          <w:lang w:val="fr-FR"/>
        </w:rPr>
      </w:pPr>
    </w:p>
    <w:p w14:paraId="7368C975" w14:textId="77777777" w:rsidR="004803EA" w:rsidRPr="00623A2B" w:rsidRDefault="004803EA" w:rsidP="004803EA">
      <w:pPr>
        <w:ind w:firstLine="720"/>
        <w:rPr>
          <w:rFonts w:ascii="Times New Roman" w:hAnsi="Times New Roman"/>
          <w:szCs w:val="22"/>
          <w:lang w:val="fr-FR"/>
        </w:rPr>
      </w:pPr>
      <w:r w:rsidRPr="00623A2B">
        <w:rPr>
          <w:rFonts w:ascii="Times New Roman" w:eastAsia="Calibri" w:hAnsi="Times New Roman"/>
          <w:szCs w:val="22"/>
          <w:lang w:val="fr-FR"/>
        </w:rPr>
        <w:t xml:space="preserve">PRENANT NOTE des développements les plus récents au sein de la Cour, notamment l'élection d'un nouveau procureur et de six nouveaux juges, ainsi que du rapport final du Groupe d'experts indépendants chargé de l’examen de la Cour pénale internationale et du système du Statut de Rome, </w:t>
      </w:r>
    </w:p>
    <w:p w14:paraId="16057D73" w14:textId="77777777" w:rsidR="004803EA" w:rsidRPr="00623A2B" w:rsidRDefault="004803EA" w:rsidP="004803EA">
      <w:pPr>
        <w:rPr>
          <w:rFonts w:ascii="Times New Roman" w:hAnsi="Times New Roman"/>
          <w:szCs w:val="22"/>
          <w:lang w:val="fr-FR"/>
        </w:rPr>
      </w:pPr>
    </w:p>
    <w:p w14:paraId="6BAA66A3" w14:textId="77777777" w:rsidR="004803EA" w:rsidRPr="00623A2B" w:rsidRDefault="004803EA" w:rsidP="004803EA">
      <w:pPr>
        <w:ind w:firstLine="720"/>
        <w:rPr>
          <w:rFonts w:ascii="Times New Roman" w:hAnsi="Times New Roman"/>
          <w:b/>
          <w:bCs/>
          <w:szCs w:val="22"/>
          <w:lang w:val="fr-FR"/>
        </w:rPr>
      </w:pPr>
      <w:r w:rsidRPr="00623A2B">
        <w:rPr>
          <w:rFonts w:ascii="Times New Roman" w:eastAsia="Calibri" w:hAnsi="Times New Roman"/>
          <w:szCs w:val="22"/>
          <w:lang w:val="fr-FR"/>
        </w:rPr>
        <w:t>RÉAFFIRMANT la responsabilité première des États d'enquêter sur les responsables de ces crimes et de les poursuivre, ainsi que leur engagement à soutenir la Cour pénale internationale en défendant et en préservant ses principes, son intégrité, son indépendance et son impartialité afin qu'elle puisse remplir son mandat, notamment face aux actions des États qui cherchent à limiter son travail, celui de ses fonctionnaires et de ceux qui coopèrent avec elle,</w:t>
      </w:r>
      <w:r w:rsidRPr="00623A2B">
        <w:rPr>
          <w:rFonts w:ascii="Times New Roman" w:eastAsia="Calibri" w:hAnsi="Times New Roman"/>
          <w:b/>
          <w:bCs/>
          <w:szCs w:val="22"/>
          <w:lang w:val="fr-FR"/>
        </w:rPr>
        <w:t xml:space="preserve"> </w:t>
      </w:r>
    </w:p>
    <w:p w14:paraId="03306E75" w14:textId="77777777" w:rsidR="004803EA" w:rsidRPr="00623A2B" w:rsidRDefault="004803EA" w:rsidP="004803EA">
      <w:pPr>
        <w:rPr>
          <w:rFonts w:ascii="Times New Roman" w:hAnsi="Times New Roman"/>
          <w:szCs w:val="22"/>
          <w:lang w:val="fr-FR"/>
        </w:rPr>
      </w:pPr>
    </w:p>
    <w:p w14:paraId="740A4010" w14:textId="77777777" w:rsidR="004803EA" w:rsidRPr="00623A2B" w:rsidRDefault="004803EA" w:rsidP="004803EA">
      <w:pPr>
        <w:ind w:firstLine="720"/>
        <w:rPr>
          <w:rFonts w:ascii="Times New Roman" w:hAnsi="Times New Roman"/>
          <w:szCs w:val="22"/>
          <w:lang w:val="fr-FR"/>
        </w:rPr>
      </w:pPr>
      <w:r w:rsidRPr="00623A2B">
        <w:rPr>
          <w:rFonts w:ascii="Times New Roman" w:eastAsia="Calibri" w:hAnsi="Times New Roman"/>
          <w:szCs w:val="22"/>
          <w:lang w:val="fr-FR"/>
        </w:rPr>
        <w:t xml:space="preserve">RECONNAISSANT l’importance de l’« Échange de lettres pour l’établissement d’un accord de coopération avec la Cour pénale internationale », signé par le Secrétariat général de l’OEA et la Cour pénale internationale en 2011, de l'accord de coopération souscrit entre la Commission </w:t>
      </w:r>
      <w:r w:rsidRPr="00623A2B">
        <w:rPr>
          <w:rFonts w:ascii="Times New Roman" w:eastAsia="Calibri" w:hAnsi="Times New Roman"/>
          <w:szCs w:val="22"/>
          <w:lang w:val="fr-FR"/>
        </w:rPr>
        <w:lastRenderedPageBreak/>
        <w:t xml:space="preserve">interaméricaine des droits de l'homme et la Cour pénale internationale en 2012 et du « Mémorandum d’accord entre la Cour pénale internationale et la Cour interaméricaine des droits de l’homme » souscrit en 2016, de même que la nécessité d’une coopération intégrale et effective entre les États, les organisations internationales et régionales et la société civile pour le renforcement de la Cour, </w:t>
      </w:r>
    </w:p>
    <w:p w14:paraId="4848A38B" w14:textId="77777777" w:rsidR="004803EA" w:rsidRPr="00623A2B" w:rsidRDefault="004803EA" w:rsidP="004803EA">
      <w:pPr>
        <w:rPr>
          <w:rFonts w:ascii="Times New Roman" w:eastAsia="Calibri" w:hAnsi="Times New Roman"/>
          <w:szCs w:val="22"/>
          <w:lang w:val="fr-FR"/>
        </w:rPr>
      </w:pPr>
    </w:p>
    <w:p w14:paraId="25B6F479" w14:textId="77777777" w:rsidR="004803EA" w:rsidRPr="00623A2B" w:rsidRDefault="004803EA" w:rsidP="004803EA">
      <w:pPr>
        <w:rPr>
          <w:rFonts w:ascii="Times New Roman" w:hAnsi="Times New Roman"/>
          <w:szCs w:val="22"/>
          <w:lang w:val="fr-FR"/>
        </w:rPr>
      </w:pPr>
      <w:r w:rsidRPr="00623A2B">
        <w:rPr>
          <w:rFonts w:ascii="Times New Roman" w:eastAsia="Calibri" w:hAnsi="Times New Roman"/>
          <w:szCs w:val="22"/>
          <w:lang w:val="fr-FR"/>
        </w:rPr>
        <w:t>DÉCIDE :</w:t>
      </w:r>
    </w:p>
    <w:p w14:paraId="76CD8BCA" w14:textId="77777777" w:rsidR="004803EA" w:rsidRPr="00623A2B" w:rsidRDefault="004803EA" w:rsidP="004803EA">
      <w:pPr>
        <w:rPr>
          <w:rFonts w:ascii="Times New Roman" w:hAnsi="Times New Roman"/>
          <w:szCs w:val="22"/>
          <w:lang w:val="fr-FR"/>
        </w:rPr>
      </w:pPr>
    </w:p>
    <w:p w14:paraId="4678A950" w14:textId="77777777" w:rsidR="004803EA" w:rsidRPr="00623A2B" w:rsidRDefault="004803EA" w:rsidP="004803EA">
      <w:pPr>
        <w:ind w:firstLine="720"/>
        <w:rPr>
          <w:rFonts w:ascii="Times New Roman" w:eastAsia="Calibri" w:hAnsi="Times New Roman"/>
          <w:szCs w:val="22"/>
          <w:lang w:val="fr-FR"/>
        </w:rPr>
      </w:pPr>
      <w:r w:rsidRPr="00623A2B">
        <w:rPr>
          <w:rFonts w:ascii="Times New Roman" w:eastAsia="Calibri" w:hAnsi="Times New Roman"/>
          <w:szCs w:val="22"/>
          <w:lang w:val="fr-FR"/>
        </w:rPr>
        <w:t>1.</w:t>
      </w:r>
      <w:r w:rsidRPr="00623A2B">
        <w:rPr>
          <w:rFonts w:ascii="Times New Roman" w:eastAsia="Calibri" w:hAnsi="Times New Roman"/>
          <w:szCs w:val="22"/>
          <w:lang w:val="fr-FR"/>
        </w:rPr>
        <w:tab/>
        <w:t>De réaffirmer son soutien à la Cour pénale internationale, qui œuvre en faveur de l'engagement commun de lutter contre l'impunité des crimes les plus graves qui préoccupent la communauté internationale, conformément au Statut de Rome, en complément des juridictions pénales nationales.</w:t>
      </w:r>
      <w:r w:rsidRPr="00623A2B">
        <w:rPr>
          <w:rFonts w:ascii="Times New Roman" w:eastAsia="Calibri" w:hAnsi="Times New Roman"/>
          <w:b/>
          <w:bCs/>
          <w:szCs w:val="22"/>
          <w:lang w:val="fr-FR"/>
        </w:rPr>
        <w:t xml:space="preserve"> </w:t>
      </w:r>
    </w:p>
    <w:p w14:paraId="1E042F51" w14:textId="77777777" w:rsidR="004803EA" w:rsidRPr="00623A2B" w:rsidRDefault="004803EA" w:rsidP="004803EA">
      <w:pPr>
        <w:rPr>
          <w:rFonts w:ascii="Times New Roman" w:hAnsi="Times New Roman"/>
          <w:szCs w:val="22"/>
          <w:lang w:val="fr-FR"/>
        </w:rPr>
      </w:pPr>
    </w:p>
    <w:p w14:paraId="2197F452" w14:textId="77777777" w:rsidR="004803EA" w:rsidRPr="00623A2B" w:rsidRDefault="004803EA" w:rsidP="004803EA">
      <w:pPr>
        <w:ind w:firstLine="720"/>
        <w:rPr>
          <w:rFonts w:ascii="Times New Roman" w:hAnsi="Times New Roman"/>
          <w:szCs w:val="22"/>
          <w:lang w:val="fr-FR"/>
        </w:rPr>
      </w:pPr>
      <w:r w:rsidRPr="00623A2B">
        <w:rPr>
          <w:rFonts w:ascii="Times New Roman" w:eastAsia="Calibri" w:hAnsi="Times New Roman"/>
          <w:szCs w:val="22"/>
          <w:lang w:val="fr-FR"/>
        </w:rPr>
        <w:t>2.</w:t>
      </w:r>
      <w:r w:rsidRPr="00623A2B">
        <w:rPr>
          <w:rFonts w:ascii="Times New Roman" w:eastAsia="Calibri" w:hAnsi="Times New Roman"/>
          <w:szCs w:val="22"/>
          <w:lang w:val="fr-FR"/>
        </w:rPr>
        <w:tab/>
        <w:t xml:space="preserve">De souhaiter la bienvenue au nouveau procureur et aux six juges de la Cour qui ont été élus pour la période 2021-2030. </w:t>
      </w:r>
    </w:p>
    <w:p w14:paraId="5D84A29D" w14:textId="77777777" w:rsidR="004803EA" w:rsidRPr="00623A2B" w:rsidRDefault="004803EA" w:rsidP="004803EA">
      <w:pPr>
        <w:rPr>
          <w:rFonts w:ascii="Times New Roman" w:hAnsi="Times New Roman"/>
          <w:szCs w:val="22"/>
          <w:lang w:val="fr-FR"/>
        </w:rPr>
      </w:pPr>
    </w:p>
    <w:p w14:paraId="445F3D0C" w14:textId="77777777" w:rsidR="004803EA" w:rsidRPr="00623A2B" w:rsidRDefault="004803EA" w:rsidP="004803EA">
      <w:pPr>
        <w:ind w:firstLine="720"/>
        <w:rPr>
          <w:rFonts w:ascii="Times New Roman" w:hAnsi="Times New Roman"/>
          <w:szCs w:val="22"/>
          <w:lang w:val="fr-FR"/>
        </w:rPr>
      </w:pPr>
      <w:r w:rsidRPr="00623A2B">
        <w:rPr>
          <w:rFonts w:ascii="Times New Roman" w:eastAsia="Calibri" w:hAnsi="Times New Roman"/>
          <w:szCs w:val="22"/>
          <w:lang w:val="fr-FR"/>
        </w:rPr>
        <w:t>3.</w:t>
      </w:r>
      <w:r w:rsidRPr="00623A2B">
        <w:rPr>
          <w:rFonts w:ascii="Times New Roman" w:eastAsia="Calibri" w:hAnsi="Times New Roman"/>
          <w:szCs w:val="22"/>
          <w:lang w:val="fr-FR"/>
        </w:rPr>
        <w:tab/>
        <w:t>D’encourager les États membres qui ne l’ont pas encore fait à envisager de ratifier le Statut de Rome de la Cour pénale internationale et son Accord sur les privilèges et immunités ou d’y adhérer, selon le cas.</w:t>
      </w:r>
    </w:p>
    <w:p w14:paraId="14B5D14D" w14:textId="77777777" w:rsidR="004803EA" w:rsidRPr="00623A2B" w:rsidRDefault="004803EA" w:rsidP="004803EA">
      <w:pPr>
        <w:rPr>
          <w:rFonts w:ascii="Times New Roman" w:hAnsi="Times New Roman"/>
          <w:szCs w:val="22"/>
          <w:lang w:val="fr-FR"/>
        </w:rPr>
      </w:pPr>
    </w:p>
    <w:p w14:paraId="1E2B2595" w14:textId="77777777" w:rsidR="004803EA" w:rsidRPr="00623A2B" w:rsidRDefault="004803EA" w:rsidP="004803EA">
      <w:pPr>
        <w:ind w:firstLine="720"/>
        <w:rPr>
          <w:rFonts w:ascii="Times New Roman" w:hAnsi="Times New Roman"/>
          <w:szCs w:val="22"/>
          <w:lang w:val="fr-FR"/>
        </w:rPr>
      </w:pPr>
      <w:r w:rsidRPr="00623A2B">
        <w:rPr>
          <w:rFonts w:ascii="Times New Roman" w:eastAsia="Calibri" w:hAnsi="Times New Roman"/>
          <w:szCs w:val="22"/>
          <w:lang w:val="fr-FR"/>
        </w:rPr>
        <w:t>4.</w:t>
      </w:r>
      <w:r w:rsidRPr="00623A2B">
        <w:rPr>
          <w:rFonts w:ascii="Times New Roman" w:eastAsia="Calibri" w:hAnsi="Times New Roman"/>
          <w:szCs w:val="22"/>
          <w:lang w:val="fr-FR"/>
        </w:rPr>
        <w:tab/>
        <w:t>D’inviter instamment les États membres qui sont parties à ces instruments à adopter, en fonction de leur législation nationale, les mesures nécessaires à la mise en œuvre intégrale et effective de ceux-ci.</w:t>
      </w:r>
    </w:p>
    <w:p w14:paraId="784D77DA" w14:textId="77777777" w:rsidR="004803EA" w:rsidRPr="00623A2B" w:rsidRDefault="004803EA" w:rsidP="004803EA">
      <w:pPr>
        <w:rPr>
          <w:rFonts w:ascii="Times New Roman" w:hAnsi="Times New Roman"/>
          <w:szCs w:val="22"/>
          <w:lang w:val="fr-FR"/>
        </w:rPr>
      </w:pPr>
    </w:p>
    <w:p w14:paraId="4EFBE546" w14:textId="77777777" w:rsidR="004803EA" w:rsidRPr="00623A2B" w:rsidRDefault="004803EA" w:rsidP="004803EA">
      <w:pPr>
        <w:ind w:firstLine="720"/>
        <w:rPr>
          <w:rFonts w:ascii="Times New Roman" w:hAnsi="Times New Roman"/>
          <w:szCs w:val="22"/>
          <w:lang w:val="fr-FR"/>
        </w:rPr>
      </w:pPr>
      <w:r w:rsidRPr="00623A2B">
        <w:rPr>
          <w:rFonts w:ascii="Times New Roman" w:eastAsia="Calibri" w:hAnsi="Times New Roman"/>
          <w:szCs w:val="22"/>
          <w:lang w:val="fr-FR"/>
        </w:rPr>
        <w:t>5.</w:t>
      </w:r>
      <w:r w:rsidRPr="00623A2B">
        <w:rPr>
          <w:rFonts w:ascii="Times New Roman" w:eastAsia="Calibri" w:hAnsi="Times New Roman"/>
          <w:szCs w:val="22"/>
          <w:lang w:val="fr-FR"/>
        </w:rPr>
        <w:tab/>
        <w:t>D’appeler les États membres qui sont parties au Statut de Rome</w:t>
      </w:r>
      <w:r w:rsidRPr="00623A2B">
        <w:rPr>
          <w:rFonts w:ascii="Times New Roman" w:eastAsia="Calibri" w:hAnsi="Times New Roman"/>
          <w:b/>
          <w:bCs/>
          <w:szCs w:val="22"/>
          <w:lang w:val="fr-FR"/>
        </w:rPr>
        <w:t xml:space="preserve"> </w:t>
      </w:r>
      <w:r w:rsidRPr="00623A2B">
        <w:rPr>
          <w:rFonts w:ascii="Times New Roman" w:eastAsia="Calibri" w:hAnsi="Times New Roman"/>
          <w:szCs w:val="22"/>
          <w:lang w:val="fr-FR"/>
        </w:rPr>
        <w:t>et d’exhorter les États membres qui n’y sont pas parties et les organisations internationales et régionales à renforcer la coopération et l’assistance à l’égard de la Cour pénale internationale, conformément aux obligations internationales applicables, particulièrement en ce qui concerne la détention et la remise, la présentation de preuves, la protection et le transfèrement des victimes et des témoins ainsi que l’exécution des peines en vue d’empêcher l’impunité des personnes qui sont responsables d’avoir commis des crimes relevant de sa compétence.</w:t>
      </w:r>
    </w:p>
    <w:p w14:paraId="30978AAB" w14:textId="77777777" w:rsidR="004803EA" w:rsidRPr="00623A2B" w:rsidRDefault="004803EA" w:rsidP="004803EA">
      <w:pPr>
        <w:rPr>
          <w:rFonts w:ascii="Times New Roman" w:hAnsi="Times New Roman"/>
          <w:szCs w:val="22"/>
          <w:lang w:val="fr-FR"/>
        </w:rPr>
      </w:pPr>
    </w:p>
    <w:p w14:paraId="40AF8C9A" w14:textId="77777777" w:rsidR="004803EA" w:rsidRPr="00623A2B" w:rsidRDefault="004803EA" w:rsidP="004803EA">
      <w:pPr>
        <w:ind w:firstLine="720"/>
        <w:rPr>
          <w:rFonts w:ascii="Times New Roman" w:eastAsia="Calibri" w:hAnsi="Times New Roman"/>
          <w:szCs w:val="22"/>
          <w:lang w:val="fr-FR"/>
        </w:rPr>
      </w:pPr>
      <w:r w:rsidRPr="00623A2B">
        <w:rPr>
          <w:rFonts w:ascii="Times New Roman" w:eastAsia="Calibri" w:hAnsi="Times New Roman"/>
          <w:szCs w:val="22"/>
          <w:lang w:val="fr-FR"/>
        </w:rPr>
        <w:t>6.</w:t>
      </w:r>
      <w:r w:rsidRPr="00623A2B">
        <w:rPr>
          <w:rFonts w:ascii="Times New Roman" w:eastAsia="Calibri" w:hAnsi="Times New Roman"/>
          <w:szCs w:val="22"/>
          <w:lang w:val="fr-FR"/>
        </w:rPr>
        <w:tab/>
        <w:t>D’exprimer sa satisfaction quant à la coopération entre l’Organisation des États Américains et la Cour pénale internationale en matière de droit pénal international, d’inviter instamment le Secrétariat général à continuer de renforcer cette coopération dans le domaine de ses compétences et de demander au Conseil permanent de tenir au second semestre 2022, dans le cadre de la Commission des questions juridiques et politiques, une réunion technique de travail au cours de laquelle les États membres tiendront des discussions portant sur les mesures appelées à renforcer la coopération avec la Cour pénale internationale, en particulier dans le cadre du mécanisme d’examen pour l’évaluation des recommandations énoncées dans le Rapport final du Groupe d'experts indépendants chargé de l’examen de la Cour pénale internationale et du Système du Statut de Rome. D’arrêter que la Cour pénale internationale, des organisations et des institutions internationales, des entités universitaires, des autorités nationales</w:t>
      </w:r>
      <w:r w:rsidRPr="00623A2B">
        <w:rPr>
          <w:rFonts w:ascii="Times New Roman" w:eastAsia="Calibri" w:hAnsi="Times New Roman"/>
          <w:b/>
          <w:bCs/>
          <w:szCs w:val="22"/>
          <w:lang w:val="fr-FR"/>
        </w:rPr>
        <w:t xml:space="preserve"> </w:t>
      </w:r>
      <w:r w:rsidRPr="00623A2B">
        <w:rPr>
          <w:rFonts w:ascii="Times New Roman" w:eastAsia="Calibri" w:hAnsi="Times New Roman"/>
          <w:szCs w:val="22"/>
          <w:lang w:val="fr-FR"/>
        </w:rPr>
        <w:t>et la société civile seront invitées à coopérer et à participer à cette réunion de travail.</w:t>
      </w:r>
    </w:p>
    <w:p w14:paraId="29B1B88D" w14:textId="77777777" w:rsidR="004803EA" w:rsidRPr="00623A2B" w:rsidRDefault="004803EA" w:rsidP="004803EA">
      <w:pPr>
        <w:ind w:firstLine="720"/>
        <w:rPr>
          <w:rFonts w:ascii="Times New Roman" w:hAnsi="Times New Roman"/>
          <w:szCs w:val="22"/>
          <w:lang w:val="fr-FR"/>
        </w:rPr>
      </w:pPr>
    </w:p>
    <w:p w14:paraId="2201D370" w14:textId="77777777" w:rsidR="004803EA" w:rsidRPr="00623A2B" w:rsidRDefault="004803EA" w:rsidP="004803EA">
      <w:pPr>
        <w:spacing w:after="160" w:line="259" w:lineRule="auto"/>
        <w:jc w:val="left"/>
        <w:rPr>
          <w:rFonts w:ascii="Times New Roman" w:hAnsi="Times New Roman"/>
          <w:szCs w:val="22"/>
          <w:lang w:val="fr-FR"/>
        </w:rPr>
      </w:pPr>
      <w:r w:rsidRPr="00623A2B">
        <w:rPr>
          <w:rFonts w:ascii="Times New Roman" w:hAnsi="Times New Roman"/>
          <w:szCs w:val="22"/>
          <w:lang w:val="fr-FR"/>
        </w:rPr>
        <w:br w:type="page"/>
      </w:r>
    </w:p>
    <w:p w14:paraId="3B193DD7" w14:textId="77777777" w:rsidR="004803EA" w:rsidRPr="00623A2B" w:rsidRDefault="004803EA" w:rsidP="004803EA">
      <w:pPr>
        <w:jc w:val="center"/>
        <w:rPr>
          <w:rFonts w:ascii="Times New Roman" w:hAnsi="Times New Roman"/>
          <w:color w:val="000000"/>
          <w:sz w:val="20"/>
          <w:shd w:val="clear" w:color="auto" w:fill="FFFFFF"/>
          <w:lang w:val="fr-FR"/>
        </w:rPr>
      </w:pPr>
      <w:r w:rsidRPr="00623A2B">
        <w:rPr>
          <w:rFonts w:ascii="Times New Roman" w:hAnsi="Times New Roman"/>
          <w:sz w:val="20"/>
          <w:lang w:val="fr-FR"/>
        </w:rPr>
        <w:lastRenderedPageBreak/>
        <w:t>NOTES DE BAS DE PAGE</w:t>
      </w:r>
    </w:p>
    <w:p w14:paraId="526625E4" w14:textId="77777777" w:rsidR="004803EA" w:rsidRPr="00623A2B" w:rsidRDefault="004803EA" w:rsidP="004803EA">
      <w:pPr>
        <w:ind w:firstLine="720"/>
        <w:rPr>
          <w:rFonts w:ascii="Times New Roman" w:hAnsi="Times New Roman"/>
          <w:color w:val="000000"/>
          <w:sz w:val="20"/>
          <w:shd w:val="clear" w:color="auto" w:fill="FFFFFF"/>
          <w:lang w:val="fr-FR"/>
        </w:rPr>
      </w:pPr>
    </w:p>
    <w:p w14:paraId="33C86BED" w14:textId="77777777" w:rsidR="004803EA" w:rsidRPr="00623A2B" w:rsidRDefault="004803EA" w:rsidP="004803EA">
      <w:pPr>
        <w:ind w:firstLine="720"/>
        <w:rPr>
          <w:rFonts w:ascii="Times New Roman" w:hAnsi="Times New Roman"/>
          <w:color w:val="000000"/>
          <w:sz w:val="20"/>
          <w:shd w:val="clear" w:color="auto" w:fill="FFFFFF"/>
          <w:lang w:val="fr-FR"/>
        </w:rPr>
      </w:pPr>
    </w:p>
    <w:p w14:paraId="2AE1439B" w14:textId="77777777" w:rsidR="004803EA" w:rsidRPr="00623A2B" w:rsidRDefault="004803EA" w:rsidP="004803EA">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1.</w:t>
      </w:r>
      <w:r w:rsidRPr="00623A2B">
        <w:rPr>
          <w:rFonts w:ascii="Times New Roman" w:hAnsi="Times New Roman"/>
          <w:sz w:val="20"/>
          <w:lang w:val="fr-FR"/>
        </w:rPr>
        <w:tab/>
        <w:t>… Cinquante-et-unième Session ordinaire de l’Assemblée générale de l’Organisation des États Américains (OEA), lesquelles constituent des actes contraires au droit international.</w:t>
      </w:r>
    </w:p>
    <w:p w14:paraId="1EEB695A" w14:textId="77777777" w:rsidR="004803EA" w:rsidRPr="00623A2B" w:rsidRDefault="004803EA" w:rsidP="004803EA">
      <w:pPr>
        <w:pStyle w:val="FootnoteText"/>
        <w:tabs>
          <w:tab w:val="clear" w:pos="360"/>
        </w:tabs>
        <w:ind w:left="0" w:firstLine="720"/>
        <w:rPr>
          <w:rFonts w:ascii="Times New Roman" w:hAnsi="Times New Roman"/>
          <w:sz w:val="20"/>
          <w:lang w:val="fr-FR"/>
        </w:rPr>
      </w:pPr>
    </w:p>
    <w:p w14:paraId="48356595" w14:textId="77777777" w:rsidR="004803EA" w:rsidRPr="00623A2B" w:rsidRDefault="004803EA" w:rsidP="004803EA">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4386CE55" w14:textId="77777777" w:rsidR="004803EA" w:rsidRPr="00623A2B" w:rsidRDefault="004803EA" w:rsidP="004803EA">
      <w:pPr>
        <w:pStyle w:val="FootnoteText"/>
        <w:tabs>
          <w:tab w:val="clear" w:pos="360"/>
        </w:tabs>
        <w:ind w:left="0" w:firstLine="720"/>
        <w:rPr>
          <w:rFonts w:ascii="Times New Roman" w:hAnsi="Times New Roman"/>
          <w:sz w:val="20"/>
          <w:lang w:val="fr-FR"/>
        </w:rPr>
      </w:pPr>
    </w:p>
    <w:p w14:paraId="25A67E7A" w14:textId="77777777" w:rsidR="004803EA" w:rsidRPr="00623A2B" w:rsidRDefault="004803EA" w:rsidP="004803EA">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7F4EE1DD" w14:textId="77777777" w:rsidR="004803EA" w:rsidRPr="00623A2B" w:rsidRDefault="004803EA" w:rsidP="004803EA">
      <w:pPr>
        <w:pStyle w:val="FootnoteText"/>
        <w:tabs>
          <w:tab w:val="clear" w:pos="360"/>
        </w:tabs>
        <w:ind w:left="0" w:firstLine="720"/>
        <w:rPr>
          <w:rFonts w:ascii="Times New Roman" w:hAnsi="Times New Roman"/>
          <w:sz w:val="20"/>
          <w:lang w:val="fr-FR"/>
        </w:rPr>
      </w:pPr>
    </w:p>
    <w:p w14:paraId="103BC96F" w14:textId="77777777" w:rsidR="004803EA" w:rsidRPr="00623A2B" w:rsidRDefault="004803EA" w:rsidP="004803EA">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 xml:space="preserve">La reconnaissance d’un gouvernement est un acte souverain des États, et non des institutions internationales. L’OEA ne possède ni ne peut s’arroger des facultés de reconnaissance collective opposable à la qualité de </w:t>
      </w:r>
      <w:proofErr w:type="gramStart"/>
      <w:r w:rsidRPr="00623A2B">
        <w:rPr>
          <w:rFonts w:ascii="Times New Roman" w:hAnsi="Times New Roman"/>
          <w:sz w:val="20"/>
          <w:lang w:val="fr-FR"/>
        </w:rPr>
        <w:t>membre;</w:t>
      </w:r>
      <w:proofErr w:type="gramEnd"/>
      <w:r w:rsidRPr="00623A2B">
        <w:rPr>
          <w:rFonts w:ascii="Times New Roman" w:hAnsi="Times New Roman"/>
          <w:sz w:val="20"/>
          <w:lang w:val="fr-FR"/>
        </w:rPr>
        <w:t xml:space="preserve"> c’est pourquoi tout acte visant à atteindre cet objectif tombe en dehors de sa compétence et est matériellement nul.</w:t>
      </w:r>
    </w:p>
    <w:p w14:paraId="60AB5B66" w14:textId="77777777" w:rsidR="004803EA" w:rsidRPr="00623A2B" w:rsidRDefault="004803EA" w:rsidP="004803EA">
      <w:pPr>
        <w:pStyle w:val="FootnoteText"/>
        <w:tabs>
          <w:tab w:val="clear" w:pos="360"/>
        </w:tabs>
        <w:ind w:left="0" w:firstLine="720"/>
        <w:rPr>
          <w:rFonts w:ascii="Times New Roman" w:hAnsi="Times New Roman"/>
          <w:sz w:val="20"/>
          <w:lang w:val="fr-FR"/>
        </w:rPr>
      </w:pPr>
    </w:p>
    <w:p w14:paraId="28DE3B1D" w14:textId="77777777" w:rsidR="004803EA" w:rsidRPr="00623A2B" w:rsidRDefault="004803EA" w:rsidP="004803EA">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708E7FF4" w14:textId="77777777" w:rsidR="004803EA" w:rsidRPr="00623A2B" w:rsidRDefault="004803EA" w:rsidP="004803EA">
      <w:pPr>
        <w:pStyle w:val="FootnoteText"/>
        <w:tabs>
          <w:tab w:val="clear" w:pos="360"/>
        </w:tabs>
        <w:ind w:left="0" w:firstLine="720"/>
        <w:rPr>
          <w:rFonts w:ascii="Times New Roman" w:hAnsi="Times New Roman"/>
          <w:sz w:val="20"/>
          <w:lang w:val="fr-FR"/>
        </w:rPr>
      </w:pPr>
    </w:p>
    <w:p w14:paraId="25CFAB3A" w14:textId="77777777" w:rsidR="004803EA" w:rsidRPr="00623A2B" w:rsidRDefault="004803EA" w:rsidP="004803EA">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2AE8A604" w14:textId="77777777" w:rsidR="004803EA" w:rsidRPr="00623A2B" w:rsidRDefault="004803EA" w:rsidP="004803EA">
      <w:pPr>
        <w:pStyle w:val="FootnoteText"/>
        <w:tabs>
          <w:tab w:val="clear" w:pos="360"/>
        </w:tabs>
        <w:ind w:left="0" w:firstLine="720"/>
        <w:rPr>
          <w:rFonts w:ascii="Times New Roman" w:hAnsi="Times New Roman"/>
          <w:sz w:val="20"/>
          <w:lang w:val="fr-FR"/>
        </w:rPr>
      </w:pPr>
    </w:p>
    <w:p w14:paraId="3A35A80B" w14:textId="77777777" w:rsidR="004803EA" w:rsidRPr="00623A2B" w:rsidRDefault="004803EA" w:rsidP="004803EA">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377C7780" w14:textId="77777777" w:rsidR="004803EA" w:rsidRPr="00623A2B" w:rsidRDefault="004803EA" w:rsidP="004803EA">
      <w:pPr>
        <w:pStyle w:val="FootnoteText"/>
        <w:tabs>
          <w:tab w:val="clear" w:pos="360"/>
        </w:tabs>
        <w:ind w:left="0" w:firstLine="720"/>
        <w:rPr>
          <w:rFonts w:ascii="Times New Roman" w:hAnsi="Times New Roman"/>
          <w:sz w:val="20"/>
          <w:lang w:val="fr-FR"/>
        </w:rPr>
      </w:pPr>
    </w:p>
    <w:p w14:paraId="3D014A9C" w14:textId="77777777" w:rsidR="004803EA" w:rsidRPr="00623A2B" w:rsidRDefault="004803EA" w:rsidP="004803EA">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2.</w:t>
      </w:r>
      <w:r w:rsidRPr="00623A2B">
        <w:rPr>
          <w:rFonts w:ascii="Times New Roman" w:hAnsi="Times New Roman"/>
          <w:sz w:val="20"/>
          <w:lang w:val="fr-FR"/>
        </w:rPr>
        <w:tab/>
        <w:t xml:space="preserve">… de personnes qui prétendent usurper la représentation légale de la République bolivarienne du Venezuela et du Gouvernement légitime du Président </w:t>
      </w:r>
      <w:proofErr w:type="spellStart"/>
      <w:r w:rsidRPr="00623A2B">
        <w:rPr>
          <w:rFonts w:ascii="Times New Roman" w:hAnsi="Times New Roman"/>
          <w:sz w:val="20"/>
          <w:lang w:val="fr-FR"/>
        </w:rPr>
        <w:t>Nicolás</w:t>
      </w:r>
      <w:proofErr w:type="spellEnd"/>
      <w:r w:rsidRPr="00623A2B">
        <w:rPr>
          <w:rFonts w:ascii="Times New Roman" w:hAnsi="Times New Roman"/>
          <w:sz w:val="20"/>
          <w:lang w:val="fr-FR"/>
        </w:rPr>
        <w:t xml:space="preserve"> </w:t>
      </w:r>
      <w:proofErr w:type="spellStart"/>
      <w:r w:rsidRPr="00623A2B">
        <w:rPr>
          <w:rFonts w:ascii="Times New Roman" w:hAnsi="Times New Roman"/>
          <w:sz w:val="20"/>
          <w:lang w:val="fr-FR"/>
        </w:rPr>
        <w:t>Maduro</w:t>
      </w:r>
      <w:proofErr w:type="spellEnd"/>
      <w:r w:rsidRPr="00623A2B">
        <w:rPr>
          <w:rFonts w:ascii="Times New Roman" w:hAnsi="Times New Roman"/>
          <w:sz w:val="20"/>
          <w:lang w:val="fr-FR"/>
        </w:rPr>
        <w:t xml:space="preserve"> Moros. Nous demandons que notre refus soit consigné dans tous les documents qui seront traités lors de la présente Cinquante-et-unième Session de l’Assemblée générale de l’OEA.</w:t>
      </w:r>
    </w:p>
    <w:p w14:paraId="759805BB" w14:textId="77777777" w:rsidR="004803EA" w:rsidRPr="00623A2B" w:rsidRDefault="004803EA" w:rsidP="004803EA">
      <w:pPr>
        <w:pStyle w:val="FootnoteText"/>
        <w:tabs>
          <w:tab w:val="clear" w:pos="360"/>
        </w:tabs>
        <w:ind w:left="0" w:firstLine="720"/>
        <w:rPr>
          <w:rFonts w:ascii="Times New Roman" w:hAnsi="Times New Roman"/>
          <w:sz w:val="20"/>
          <w:lang w:val="fr-FR"/>
        </w:rPr>
      </w:pPr>
    </w:p>
    <w:p w14:paraId="6420C693" w14:textId="77777777" w:rsidR="004803EA" w:rsidRPr="00623A2B" w:rsidRDefault="004803EA" w:rsidP="004803EA">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3.</w:t>
      </w:r>
      <w:r w:rsidRPr="00623A2B">
        <w:rPr>
          <w:rFonts w:ascii="Times New Roman" w:hAnsi="Times New Roman"/>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586EE81E" w14:textId="77777777" w:rsidR="004803EA" w:rsidRPr="00623A2B" w:rsidRDefault="004803EA" w:rsidP="004803EA">
      <w:pPr>
        <w:pStyle w:val="FootnoteText"/>
        <w:tabs>
          <w:tab w:val="clear" w:pos="360"/>
        </w:tabs>
        <w:ind w:left="0" w:firstLine="720"/>
        <w:rPr>
          <w:rFonts w:ascii="Times New Roman" w:hAnsi="Times New Roman"/>
          <w:sz w:val="20"/>
          <w:lang w:val="fr-FR"/>
        </w:rPr>
      </w:pPr>
    </w:p>
    <w:p w14:paraId="31CBA443" w14:textId="77777777" w:rsidR="004803EA" w:rsidRPr="00623A2B" w:rsidRDefault="004803EA" w:rsidP="004803EA">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 xml:space="preserve">Antigua-et-Barbuda n'a pas soutenu la résolution CP/RES. 1124 (2217/19) du 9 avril 2019 qui visait à nommer M. Gustavo </w:t>
      </w:r>
      <w:proofErr w:type="spellStart"/>
      <w:r w:rsidRPr="00623A2B">
        <w:rPr>
          <w:rFonts w:ascii="Times New Roman" w:hAnsi="Times New Roman"/>
          <w:sz w:val="20"/>
          <w:lang w:val="fr-FR"/>
        </w:rPr>
        <w:t>Tarre</w:t>
      </w:r>
      <w:proofErr w:type="spellEnd"/>
      <w:r w:rsidRPr="00623A2B">
        <w:rPr>
          <w:rFonts w:ascii="Times New Roman" w:hAnsi="Times New Roman"/>
          <w:sz w:val="20"/>
          <w:lang w:val="fr-FR"/>
        </w:rPr>
        <w:t xml:space="preserve"> comme représentant de l'Assemblée nationale auprès de l'OEA et n'a pas accepté les </w:t>
      </w:r>
      <w:r w:rsidRPr="00623A2B">
        <w:rPr>
          <w:rFonts w:ascii="Times New Roman" w:hAnsi="Times New Roman"/>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6C695E40" w14:textId="77777777" w:rsidR="004803EA" w:rsidRPr="00623A2B" w:rsidRDefault="004803EA" w:rsidP="004803EA">
      <w:pPr>
        <w:pStyle w:val="FootnoteText"/>
        <w:tabs>
          <w:tab w:val="clear" w:pos="360"/>
        </w:tabs>
        <w:ind w:left="0" w:firstLine="720"/>
        <w:rPr>
          <w:rFonts w:ascii="Times New Roman" w:hAnsi="Times New Roman"/>
          <w:sz w:val="20"/>
          <w:lang w:val="fr-FR"/>
        </w:rPr>
      </w:pPr>
    </w:p>
    <w:p w14:paraId="2151BB22" w14:textId="77777777" w:rsidR="004803EA" w:rsidRPr="00623A2B" w:rsidRDefault="004803EA" w:rsidP="004803EA">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5784C0D2" w14:textId="77777777" w:rsidR="004803EA" w:rsidRPr="00623A2B" w:rsidRDefault="004803EA" w:rsidP="004803EA">
      <w:pPr>
        <w:ind w:firstLine="720"/>
        <w:rPr>
          <w:rFonts w:ascii="Times New Roman" w:hAnsi="Times New Roman"/>
          <w:position w:val="-1"/>
          <w:sz w:val="20"/>
          <w:lang w:val="fr-CA"/>
        </w:rPr>
      </w:pPr>
    </w:p>
    <w:p w14:paraId="1AE61E58" w14:textId="77777777" w:rsidR="004803EA" w:rsidRPr="00623A2B" w:rsidRDefault="004803EA" w:rsidP="004803EA">
      <w:pPr>
        <w:pStyle w:val="FootnoteText"/>
        <w:ind w:left="0" w:firstLine="720"/>
        <w:rPr>
          <w:rFonts w:ascii="Times New Roman" w:hAnsi="Times New Roman"/>
          <w:sz w:val="20"/>
          <w:lang w:val="fr-CA"/>
        </w:rPr>
      </w:pPr>
      <w:r w:rsidRPr="00623A2B">
        <w:rPr>
          <w:rFonts w:ascii="Times New Roman" w:hAnsi="Times New Roman"/>
          <w:sz w:val="20"/>
          <w:lang w:val="fr-FR"/>
        </w:rPr>
        <w:t>4.</w:t>
      </w:r>
      <w:r w:rsidRPr="00623A2B">
        <w:rPr>
          <w:rFonts w:ascii="Times New Roman" w:hAnsi="Times New Roman"/>
          <w:sz w:val="20"/>
          <w:lang w:val="fr-FR"/>
        </w:rPr>
        <w:tab/>
      </w:r>
      <w:r w:rsidRPr="00623A2B">
        <w:rPr>
          <w:rFonts w:ascii="Times New Roman" w:hAnsi="Times New Roman"/>
          <w:sz w:val="20"/>
          <w:lang w:val="fr-CA"/>
        </w:rPr>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0926D895" w14:textId="77777777" w:rsidR="004803EA" w:rsidRPr="00623A2B" w:rsidRDefault="004803EA" w:rsidP="004803EA">
      <w:pPr>
        <w:pStyle w:val="FootnoteText"/>
        <w:ind w:left="0" w:firstLine="720"/>
        <w:rPr>
          <w:rFonts w:ascii="Times New Roman" w:hAnsi="Times New Roman"/>
          <w:sz w:val="20"/>
          <w:lang w:val="fr-CA"/>
        </w:rPr>
      </w:pPr>
    </w:p>
    <w:p w14:paraId="324F91F7" w14:textId="77777777" w:rsidR="004803EA" w:rsidRPr="00623A2B" w:rsidRDefault="004803EA" w:rsidP="00DC5E26">
      <w:pPr>
        <w:ind w:firstLine="720"/>
        <w:rPr>
          <w:rFonts w:ascii="Times New Roman" w:hAnsi="Times New Roman"/>
          <w:sz w:val="20"/>
          <w:lang w:val="fr-FR"/>
        </w:rPr>
      </w:pPr>
      <w:r w:rsidRPr="00623A2B">
        <w:rPr>
          <w:rFonts w:ascii="Times New Roman" w:hAnsi="Times New Roman"/>
          <w:sz w:val="20"/>
          <w:lang w:val="fr-CA"/>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p>
    <w:p w14:paraId="319F6F4C" w14:textId="77777777" w:rsidR="004803EA" w:rsidRPr="00623A2B" w:rsidRDefault="004803EA" w:rsidP="004803EA">
      <w:pPr>
        <w:ind w:firstLine="720"/>
        <w:rPr>
          <w:rFonts w:ascii="Times New Roman" w:hAnsi="Times New Roman"/>
          <w:color w:val="000000"/>
          <w:sz w:val="20"/>
          <w:shd w:val="clear" w:color="auto" w:fill="FFFFFF"/>
          <w:lang w:val="fr-FR"/>
        </w:rPr>
      </w:pPr>
    </w:p>
    <w:p w14:paraId="4C7D83C9" w14:textId="77777777" w:rsidR="004803EA" w:rsidRPr="00623A2B" w:rsidRDefault="004803EA" w:rsidP="004803EA">
      <w:pPr>
        <w:ind w:firstLine="720"/>
        <w:rPr>
          <w:rFonts w:ascii="Times New Roman" w:hAnsi="Times New Roman"/>
          <w:color w:val="000000"/>
          <w:sz w:val="20"/>
          <w:shd w:val="clear" w:color="auto" w:fill="FFFFFF"/>
          <w:lang w:val="fr-FR"/>
        </w:rPr>
      </w:pPr>
      <w:r w:rsidRPr="00623A2B">
        <w:rPr>
          <w:rFonts w:ascii="Times New Roman" w:hAnsi="Times New Roman"/>
          <w:color w:val="000000"/>
          <w:sz w:val="20"/>
          <w:shd w:val="clear" w:color="auto" w:fill="FFFFFF"/>
          <w:lang w:val="fr-FR"/>
        </w:rPr>
        <w:t>5.</w:t>
      </w:r>
      <w:r w:rsidRPr="00623A2B">
        <w:rPr>
          <w:rFonts w:ascii="Times New Roman" w:hAnsi="Times New Roman"/>
          <w:color w:val="000000"/>
          <w:sz w:val="20"/>
          <w:shd w:val="clear" w:color="auto" w:fill="FFFFFF"/>
          <w:lang w:val="fr-FR"/>
        </w:rPr>
        <w:tab/>
        <w:t>…comme le suggère ce paragraphe.  Bien que le Comité juridique interaméricain ait reçu pour mandat de « promouvoir la codification et le développement progressif du droit international » (article 99 de la Charte de l'OEA), cet organe est un organe technique, contrairement à la CAJP, et s'est vu accorder la « plus large autonomie technique possible » (article 102 de la Charte de l'OEA).  Par conséquent, toute activité dans ce domaine devrait être entreprise, le cas échéant, par le CJI et non par la CAJP.</w:t>
      </w:r>
    </w:p>
    <w:p w14:paraId="0635934F" w14:textId="77777777" w:rsidR="004803EA" w:rsidRPr="00623A2B" w:rsidRDefault="004803EA" w:rsidP="004803EA">
      <w:pPr>
        <w:ind w:firstLine="720"/>
        <w:rPr>
          <w:rFonts w:ascii="Times New Roman" w:hAnsi="Times New Roman"/>
          <w:sz w:val="20"/>
          <w:lang w:val="fr-FR"/>
        </w:rPr>
      </w:pPr>
    </w:p>
    <w:p w14:paraId="5060F6A5" w14:textId="77777777" w:rsidR="004803EA" w:rsidRPr="00623A2B" w:rsidRDefault="004803EA" w:rsidP="004803EA">
      <w:pPr>
        <w:ind w:firstLine="720"/>
        <w:rPr>
          <w:rFonts w:ascii="Times New Roman" w:hAnsi="Times New Roman"/>
          <w:sz w:val="20"/>
          <w:lang w:val="fr-FR"/>
        </w:rPr>
      </w:pPr>
      <w:r w:rsidRPr="00623A2B">
        <w:rPr>
          <w:rFonts w:ascii="Times New Roman" w:hAnsi="Times New Roman"/>
          <w:color w:val="000000"/>
          <w:sz w:val="20"/>
          <w:lang w:val="fr-FR"/>
        </w:rPr>
        <w:t>6.</w:t>
      </w:r>
      <w:r w:rsidRPr="00623A2B">
        <w:rPr>
          <w:rFonts w:ascii="Times New Roman" w:hAnsi="Times New Roman"/>
          <w:color w:val="000000"/>
          <w:sz w:val="20"/>
          <w:lang w:val="fr-FR"/>
        </w:rPr>
        <w:tab/>
        <w:t>protection de la vie privée établis en dehors des Amériques, dont beaucoup sont incompatibles avec les règles et principes de protection de la vie privée prévus dans le droit des États-Unis. En outre, les États-Unis restent préoccupés par le fait que les « Principes actualisés relatifs à la vie privée et à la protection des données personnelles », s'ils sont adoptés à grande échelle, pourraient restreindre de manière indue le commerce numérique transfrontalier et étouffer l'innovation.</w:t>
      </w:r>
      <w:r w:rsidRPr="00623A2B">
        <w:rPr>
          <w:rFonts w:ascii="Times New Roman" w:hAnsi="Times New Roman"/>
          <w:sz w:val="20"/>
          <w:lang w:val="fr-FR"/>
        </w:rPr>
        <w:t xml:space="preserve"> </w:t>
      </w:r>
    </w:p>
    <w:p w14:paraId="32E2F394" w14:textId="77777777" w:rsidR="004803EA" w:rsidRPr="00623A2B" w:rsidRDefault="004803EA" w:rsidP="004803EA">
      <w:pPr>
        <w:pStyle w:val="ListParagraph"/>
        <w:rPr>
          <w:rFonts w:ascii="Times New Roman" w:hAnsi="Times New Roman"/>
          <w:sz w:val="20"/>
          <w:lang w:val="fr-FR"/>
        </w:rPr>
      </w:pPr>
    </w:p>
    <w:p w14:paraId="47A75439" w14:textId="5DE1637A" w:rsidR="004803EA" w:rsidRPr="00623A2B" w:rsidRDefault="004803EA" w:rsidP="004803EA">
      <w:pPr>
        <w:ind w:firstLine="720"/>
        <w:rPr>
          <w:rFonts w:ascii="Times New Roman" w:hAnsi="Times New Roman"/>
          <w:sz w:val="20"/>
          <w:lang w:val="fr-FR"/>
        </w:rPr>
      </w:pPr>
      <w:r w:rsidRPr="00623A2B">
        <w:rPr>
          <w:rFonts w:ascii="Times New Roman" w:hAnsi="Times New Roman"/>
          <w:sz w:val="20"/>
          <w:shd w:val="clear" w:color="auto" w:fill="FFFFFF"/>
          <w:lang w:val="fr-FR"/>
        </w:rPr>
        <w:t>7.</w:t>
      </w:r>
      <w:r w:rsidRPr="00623A2B">
        <w:rPr>
          <w:rFonts w:ascii="Times New Roman" w:hAnsi="Times New Roman"/>
          <w:sz w:val="20"/>
          <w:shd w:val="clear" w:color="auto" w:fill="FFFFFF"/>
          <w:lang w:val="fr-FR"/>
        </w:rPr>
        <w:tab/>
        <w:t>…</w:t>
      </w:r>
      <w:r w:rsidR="00F0009E" w:rsidRPr="00623A2B">
        <w:rPr>
          <w:rFonts w:ascii="Times New Roman" w:hAnsi="Times New Roman"/>
          <w:sz w:val="20"/>
          <w:shd w:val="clear" w:color="auto" w:fill="FFFFFF"/>
          <w:lang w:val="fr-FR"/>
        </w:rPr>
        <w:t xml:space="preserve"> de l'humanité</w:t>
      </w:r>
      <w:r w:rsidR="001653C2" w:rsidRPr="00623A2B">
        <w:rPr>
          <w:rFonts w:ascii="Times New Roman" w:hAnsi="Times New Roman"/>
          <w:sz w:val="20"/>
          <w:shd w:val="clear" w:color="auto" w:fill="FFFFFF"/>
          <w:lang w:val="fr-FR"/>
        </w:rPr>
        <w:t xml:space="preserve">. </w:t>
      </w:r>
      <w:r w:rsidR="00F0009E" w:rsidRPr="00623A2B">
        <w:rPr>
          <w:rFonts w:ascii="Times New Roman" w:hAnsi="Times New Roman"/>
          <w:sz w:val="20"/>
          <w:shd w:val="clear" w:color="auto" w:fill="FFFFFF"/>
          <w:lang w:val="fr-FR"/>
        </w:rPr>
        <w:t xml:space="preserve"> </w:t>
      </w:r>
      <w:r w:rsidRPr="00623A2B">
        <w:rPr>
          <w:rFonts w:ascii="Times New Roman" w:hAnsi="Times New Roman"/>
          <w:sz w:val="20"/>
          <w:shd w:val="clear" w:color="auto" w:fill="FFFFFF"/>
          <w:lang w:val="fr-FR"/>
        </w:rPr>
        <w:t>Les États-Unis reconnaissent que la Cour pénale internationale peut remplir un rôle important pour traduire en justice ceux qui sont responsables des pires atrocités.</w:t>
      </w:r>
      <w:r w:rsidRPr="00623A2B">
        <w:rPr>
          <w:rFonts w:ascii="Times New Roman" w:hAnsi="Times New Roman"/>
          <w:color w:val="201F1E"/>
          <w:sz w:val="20"/>
          <w:shd w:val="clear" w:color="auto" w:fill="FFFFFF"/>
          <w:lang w:val="fr-FR"/>
        </w:rPr>
        <w:t>  À cette fin, nous avons apporté et continuons d'apporter un appui ciblé à la CPI en rapport avec certaines enquêtes et poursuites judiciaires et ce, en conformité avec le droit et les politiques des États-Unis. Les États-Unis croient comprendre que tout appui de l'OEA fourni à la CPI proviendrait de contributions imputées aux fonds spécifiques et non au budget ordinaire de l'OEA.</w:t>
      </w:r>
    </w:p>
    <w:p w14:paraId="7956F847" w14:textId="77777777" w:rsidR="004803EA" w:rsidRPr="00623A2B" w:rsidRDefault="004803EA" w:rsidP="004803EA">
      <w:pPr>
        <w:pStyle w:val="ListParagraph"/>
        <w:rPr>
          <w:rFonts w:ascii="Times New Roman" w:hAnsi="Times New Roman"/>
          <w:sz w:val="20"/>
          <w:lang w:val="fr-FR"/>
        </w:rPr>
      </w:pPr>
    </w:p>
    <w:p w14:paraId="187FB960" w14:textId="77777777" w:rsidR="004803EA" w:rsidRPr="00623A2B" w:rsidRDefault="004803EA" w:rsidP="004803EA">
      <w:pPr>
        <w:rPr>
          <w:rFonts w:ascii="Times New Roman" w:hAnsi="Times New Roman"/>
          <w:sz w:val="20"/>
          <w:lang w:val="fr-FR"/>
        </w:rPr>
      </w:pPr>
      <w:r w:rsidRPr="00623A2B">
        <w:rPr>
          <w:rFonts w:ascii="Times New Roman" w:hAnsi="Times New Roman"/>
          <w:noProof/>
        </w:rPr>
        <w:drawing>
          <wp:anchor distT="0" distB="0" distL="114300" distR="114300" simplePos="0" relativeHeight="251737088" behindDoc="0" locked="0" layoutInCell="1" allowOverlap="1" wp14:anchorId="76F75BD5" wp14:editId="0A8AF0EB">
            <wp:simplePos x="0" y="0"/>
            <wp:positionH relativeFrom="column">
              <wp:posOffset>5052695</wp:posOffset>
            </wp:positionH>
            <wp:positionV relativeFrom="paragraph">
              <wp:posOffset>3790840</wp:posOffset>
            </wp:positionV>
            <wp:extent cx="713232" cy="713232"/>
            <wp:effectExtent l="0" t="0" r="0" b="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B4AC0" w14:textId="77777777" w:rsidR="00356D41" w:rsidRPr="00623A2B" w:rsidRDefault="00356D41" w:rsidP="009A129C">
      <w:pPr>
        <w:pStyle w:val="FootnoteText"/>
        <w:tabs>
          <w:tab w:val="clear" w:pos="360"/>
        </w:tabs>
        <w:rPr>
          <w:rFonts w:ascii="Times New Roman" w:hAnsi="Times New Roman"/>
          <w:sz w:val="20"/>
          <w:lang w:val="fr-FR"/>
        </w:rPr>
        <w:sectPr w:rsidR="00356D41" w:rsidRPr="00623A2B" w:rsidSect="00623A2B">
          <w:headerReference w:type="default" r:id="rId121"/>
          <w:footnotePr>
            <w:numRestart w:val="eachSect"/>
          </w:footnotePr>
          <w:type w:val="oddPage"/>
          <w:pgSz w:w="12240" w:h="15840" w:code="1"/>
          <w:pgMar w:top="2160" w:right="1570" w:bottom="1296" w:left="1699" w:header="720" w:footer="720" w:gutter="0"/>
          <w:cols w:space="708"/>
          <w:titlePg/>
          <w:docGrid w:linePitch="360"/>
        </w:sectPr>
      </w:pPr>
    </w:p>
    <w:p w14:paraId="3F73284B" w14:textId="77777777" w:rsidR="00875323" w:rsidRPr="00623A2B" w:rsidRDefault="00875323" w:rsidP="004E1939">
      <w:pPr>
        <w:pStyle w:val="Heading1"/>
        <w:spacing w:before="0"/>
        <w:jc w:val="center"/>
        <w:rPr>
          <w:rFonts w:ascii="Times New Roman" w:hAnsi="Times New Roman" w:cs="Times New Roman"/>
          <w:color w:val="auto"/>
          <w:sz w:val="22"/>
          <w:szCs w:val="22"/>
          <w:lang w:val="fr-FR"/>
        </w:rPr>
      </w:pPr>
      <w:bookmarkStart w:id="51" w:name="_Toc89177465"/>
      <w:bookmarkStart w:id="52" w:name="_Toc453852650"/>
      <w:bookmarkStart w:id="53" w:name="_Toc473029545"/>
      <w:bookmarkStart w:id="54" w:name="_Toc74732024"/>
      <w:r w:rsidRPr="00623A2B">
        <w:rPr>
          <w:rFonts w:ascii="Times New Roman" w:hAnsi="Times New Roman" w:cs="Times New Roman"/>
          <w:color w:val="auto"/>
          <w:sz w:val="22"/>
          <w:szCs w:val="22"/>
          <w:lang w:val="fr-FR"/>
        </w:rPr>
        <w:lastRenderedPageBreak/>
        <w:t>AG/RES. 2975 (LI-O/21)</w:t>
      </w:r>
      <w:r w:rsidRPr="00623A2B">
        <w:rPr>
          <w:rFonts w:ascii="Times New Roman" w:hAnsi="Times New Roman" w:cs="Times New Roman"/>
          <w:color w:val="auto"/>
          <w:sz w:val="22"/>
          <w:szCs w:val="22"/>
          <w:lang w:val="fr-FR"/>
        </w:rPr>
        <w:br/>
      </w:r>
      <w:r w:rsidRPr="00623A2B">
        <w:rPr>
          <w:rFonts w:ascii="Times New Roman" w:hAnsi="Times New Roman" w:cs="Times New Roman"/>
          <w:color w:val="auto"/>
          <w:sz w:val="22"/>
          <w:szCs w:val="22"/>
          <w:lang w:val="fr-FR"/>
        </w:rPr>
        <w:br/>
        <w:t>RENFORCEMENT DE LA DÉMOCRATIE</w:t>
      </w:r>
      <w:r w:rsidRPr="00623A2B">
        <w:rPr>
          <w:rStyle w:val="FootnoteReference"/>
          <w:rFonts w:ascii="Times New Roman" w:hAnsi="Times New Roman" w:cs="Times New Roman"/>
          <w:sz w:val="22"/>
          <w:szCs w:val="22"/>
          <w:u w:val="single"/>
          <w:vertAlign w:val="superscript"/>
          <w:lang w:val="pt-BR"/>
        </w:rPr>
        <w:footnoteReference w:id="80"/>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81"/>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82"/>
      </w:r>
      <w:r w:rsidRPr="00623A2B">
        <w:rPr>
          <w:rFonts w:ascii="Times New Roman" w:hAnsi="Times New Roman" w:cs="Times New Roman"/>
          <w:color w:val="auto"/>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83"/>
      </w:r>
      <w:r w:rsidRPr="00623A2B">
        <w:rPr>
          <w:rFonts w:ascii="Times New Roman" w:hAnsi="Times New Roman" w:cs="Times New Roman"/>
          <w:color w:val="auto"/>
          <w:sz w:val="22"/>
          <w:szCs w:val="22"/>
          <w:vertAlign w:val="superscript"/>
          <w:lang w:val="fr-CA"/>
        </w:rPr>
        <w:t>/</w:t>
      </w:r>
      <w:bookmarkEnd w:id="51"/>
    </w:p>
    <w:p w14:paraId="3FDD895B" w14:textId="77777777" w:rsidR="00875323" w:rsidRPr="00623A2B" w:rsidRDefault="00875323" w:rsidP="004E1939">
      <w:pPr>
        <w:jc w:val="center"/>
        <w:outlineLvl w:val="0"/>
        <w:rPr>
          <w:rFonts w:ascii="Times New Roman" w:hAnsi="Times New Roman"/>
          <w:bCs/>
          <w:szCs w:val="22"/>
          <w:lang w:val="fr-FR"/>
        </w:rPr>
      </w:pPr>
    </w:p>
    <w:p w14:paraId="30EB462B" w14:textId="77777777" w:rsidR="00875323" w:rsidRPr="00623A2B" w:rsidRDefault="00875323" w:rsidP="00875323">
      <w:pPr>
        <w:jc w:val="center"/>
        <w:rPr>
          <w:rFonts w:ascii="Times New Roman" w:hAnsi="Times New Roman"/>
          <w:color w:val="000000"/>
          <w:szCs w:val="22"/>
          <w:lang w:val="fr-FR"/>
        </w:rPr>
      </w:pPr>
      <w:r w:rsidRPr="00623A2B">
        <w:rPr>
          <w:rFonts w:ascii="Times New Roman" w:hAnsi="Times New Roman"/>
          <w:color w:val="000000"/>
          <w:szCs w:val="22"/>
          <w:lang w:val="fr-FR"/>
        </w:rPr>
        <w:t>(</w:t>
      </w:r>
      <w:r w:rsidRPr="00623A2B">
        <w:rPr>
          <w:rFonts w:ascii="Times New Roman" w:hAnsi="Times New Roman"/>
          <w:szCs w:val="22"/>
          <w:lang w:val="fr-FR"/>
        </w:rPr>
        <w:t xml:space="preserve">Résolution adoptée à la deuxième séance plénière, </w:t>
      </w:r>
      <w:r w:rsidRPr="00623A2B">
        <w:rPr>
          <w:rFonts w:ascii="Times New Roman" w:hAnsi="Times New Roman"/>
          <w:szCs w:val="22"/>
          <w:lang w:val="fr-CA"/>
        </w:rPr>
        <w:t>le 11 novembre 2021</w:t>
      </w:r>
      <w:r w:rsidRPr="00623A2B">
        <w:rPr>
          <w:rFonts w:ascii="Times New Roman" w:hAnsi="Times New Roman"/>
          <w:color w:val="000000"/>
          <w:szCs w:val="22"/>
          <w:lang w:val="fr-FR"/>
        </w:rPr>
        <w:t>)</w:t>
      </w:r>
    </w:p>
    <w:bookmarkEnd w:id="52"/>
    <w:bookmarkEnd w:id="53"/>
    <w:bookmarkEnd w:id="54"/>
    <w:p w14:paraId="4CEFBEDB" w14:textId="77777777" w:rsidR="00875323" w:rsidRPr="00623A2B" w:rsidRDefault="00875323" w:rsidP="00875323">
      <w:pPr>
        <w:suppressAutoHyphens/>
        <w:rPr>
          <w:rFonts w:ascii="Times New Roman" w:hAnsi="Times New Roman"/>
          <w:szCs w:val="22"/>
          <w:lang w:val="fr-FR"/>
        </w:rPr>
      </w:pPr>
    </w:p>
    <w:p w14:paraId="2479AC3B" w14:textId="77777777" w:rsidR="00875323" w:rsidRPr="00623A2B" w:rsidRDefault="00875323" w:rsidP="00875323">
      <w:pPr>
        <w:suppressAutoHyphens/>
        <w:rPr>
          <w:rFonts w:ascii="Times New Roman" w:hAnsi="Times New Roman"/>
          <w:szCs w:val="22"/>
          <w:lang w:val="fr-FR"/>
        </w:rPr>
      </w:pPr>
    </w:p>
    <w:p w14:paraId="6AD110A6" w14:textId="77777777" w:rsidR="00875323" w:rsidRPr="00623A2B" w:rsidRDefault="00875323" w:rsidP="007145F7">
      <w:pPr>
        <w:suppressAutoHyphens/>
        <w:rPr>
          <w:rFonts w:ascii="Times New Roman" w:hAnsi="Times New Roman"/>
          <w:bCs/>
          <w:szCs w:val="22"/>
          <w:lang w:val="fr-FR"/>
        </w:rPr>
      </w:pPr>
      <w:r w:rsidRPr="00623A2B">
        <w:rPr>
          <w:rFonts w:ascii="Times New Roman" w:hAnsi="Times New Roman"/>
          <w:szCs w:val="22"/>
          <w:lang w:val="fr-FR"/>
        </w:rPr>
        <w:t>L’ASSEMBLÉE GÉNÉRALE,</w:t>
      </w:r>
    </w:p>
    <w:p w14:paraId="71789980" w14:textId="77777777" w:rsidR="00875323" w:rsidRPr="00623A2B" w:rsidRDefault="00875323" w:rsidP="007145F7">
      <w:pPr>
        <w:suppressAutoHyphens/>
        <w:rPr>
          <w:rFonts w:ascii="Times New Roman" w:hAnsi="Times New Roman"/>
          <w:szCs w:val="22"/>
          <w:lang w:val="fr-FR"/>
        </w:rPr>
      </w:pPr>
    </w:p>
    <w:p w14:paraId="3AA5C49A" w14:textId="77777777" w:rsidR="00875323" w:rsidRPr="00623A2B" w:rsidRDefault="00875323" w:rsidP="007145F7">
      <w:pPr>
        <w:suppressAutoHyphens/>
        <w:ind w:firstLine="720"/>
        <w:rPr>
          <w:rFonts w:ascii="Times New Roman" w:hAnsi="Times New Roman"/>
          <w:i/>
          <w:iCs/>
          <w:color w:val="000000"/>
          <w:szCs w:val="22"/>
          <w:lang w:val="fr-FR"/>
        </w:rPr>
      </w:pPr>
      <w:r w:rsidRPr="00623A2B">
        <w:rPr>
          <w:rFonts w:ascii="Times New Roman" w:hAnsi="Times New Roman"/>
          <w:color w:val="000000"/>
          <w:szCs w:val="22"/>
          <w:lang w:val="fr-FR"/>
        </w:rPr>
        <w:t>RÉAFFIRMANT les normes et principes généraux du droit international et ceux consacrés par la Charte de l’Organisation des États Américains (OEA),</w:t>
      </w:r>
    </w:p>
    <w:p w14:paraId="04742097" w14:textId="77777777" w:rsidR="00875323" w:rsidRPr="00623A2B" w:rsidRDefault="00875323" w:rsidP="007145F7">
      <w:pPr>
        <w:suppressAutoHyphens/>
        <w:rPr>
          <w:rFonts w:ascii="Times New Roman" w:hAnsi="Times New Roman"/>
          <w:color w:val="000000"/>
          <w:szCs w:val="22"/>
          <w:lang w:val="fr-FR"/>
        </w:rPr>
      </w:pPr>
    </w:p>
    <w:p w14:paraId="7612EFC2" w14:textId="77777777" w:rsidR="00875323" w:rsidRPr="00623A2B" w:rsidRDefault="00875323" w:rsidP="007145F7">
      <w:pPr>
        <w:suppressAutoHyphens/>
        <w:ind w:firstLine="720"/>
        <w:rPr>
          <w:rFonts w:ascii="Times New Roman" w:hAnsi="Times New Roman"/>
          <w:color w:val="000000"/>
          <w:szCs w:val="22"/>
          <w:lang w:val="fr-FR"/>
        </w:rPr>
      </w:pPr>
      <w:r w:rsidRPr="00623A2B">
        <w:rPr>
          <w:rFonts w:ascii="Times New Roman" w:hAnsi="Times New Roman"/>
          <w:szCs w:val="22"/>
          <w:lang w:val="fr-FR"/>
        </w:rPr>
        <w:t>CONSCIENTE que la Charte de l’OEA reconnaît dans son préambule « que la démocratie représentative constitue une condition indispensable à la stabilité, à la paix et au développement de la région », et que l’un des objectifs essentiels de l’OEA consiste à « encourager et consolider la démocratie représentative dans le respect du principe de non-intervention »,</w:t>
      </w:r>
    </w:p>
    <w:p w14:paraId="4F84DA70" w14:textId="77777777" w:rsidR="00875323" w:rsidRPr="00623A2B" w:rsidRDefault="00875323" w:rsidP="007145F7">
      <w:pPr>
        <w:suppressAutoHyphens/>
        <w:rPr>
          <w:rFonts w:ascii="Times New Roman" w:hAnsi="Times New Roman"/>
          <w:color w:val="000000"/>
          <w:szCs w:val="22"/>
          <w:lang w:val="fr-FR"/>
        </w:rPr>
      </w:pPr>
    </w:p>
    <w:p w14:paraId="36BCE95C" w14:textId="77777777" w:rsidR="00875323" w:rsidRPr="00623A2B" w:rsidRDefault="00875323" w:rsidP="007145F7">
      <w:pPr>
        <w:suppressAutoHyphens/>
        <w:ind w:firstLine="720"/>
        <w:rPr>
          <w:rFonts w:ascii="Times New Roman" w:hAnsi="Times New Roman"/>
          <w:color w:val="000000"/>
          <w:szCs w:val="22"/>
          <w:lang w:val="fr-FR"/>
        </w:rPr>
      </w:pPr>
      <w:r w:rsidRPr="00623A2B">
        <w:rPr>
          <w:rFonts w:ascii="Times New Roman" w:hAnsi="Times New Roman"/>
          <w:color w:val="000000"/>
          <w:szCs w:val="22"/>
          <w:lang w:val="fr-FR"/>
        </w:rPr>
        <w:t>RAPPELANT la résolution</w:t>
      </w:r>
      <w:r w:rsidRPr="00623A2B">
        <w:rPr>
          <w:rFonts w:ascii="Times New Roman" w:hAnsi="Times New Roman"/>
          <w:szCs w:val="22"/>
          <w:lang w:val="fr-FR"/>
        </w:rPr>
        <w:t xml:space="preserve"> </w:t>
      </w:r>
      <w:r w:rsidRPr="00213B6A">
        <w:rPr>
          <w:rFonts w:ascii="Times New Roman" w:hAnsi="Times New Roman"/>
          <w:color w:val="000000"/>
          <w:szCs w:val="22"/>
          <w:lang w:val="fr-FR"/>
        </w:rPr>
        <w:t>AG/RES. 2958 (L-O/20</w:t>
      </w:r>
      <w:r w:rsidRPr="00623A2B">
        <w:rPr>
          <w:rFonts w:ascii="Times New Roman" w:hAnsi="Times New Roman"/>
          <w:color w:val="000000"/>
          <w:szCs w:val="22"/>
          <w:lang w:val="fr-FR"/>
        </w:rPr>
        <w:t>) et toutes les résolutions adoptées antérieurement sur la question,</w:t>
      </w:r>
    </w:p>
    <w:p w14:paraId="08512CC4" w14:textId="77777777" w:rsidR="00875323" w:rsidRPr="00623A2B" w:rsidRDefault="00875323" w:rsidP="007145F7">
      <w:pPr>
        <w:suppressAutoHyphens/>
        <w:rPr>
          <w:rFonts w:ascii="Times New Roman" w:hAnsi="Times New Roman"/>
          <w:color w:val="000000"/>
          <w:szCs w:val="22"/>
          <w:lang w:val="fr-FR"/>
        </w:rPr>
      </w:pPr>
    </w:p>
    <w:p w14:paraId="2D2F137A" w14:textId="77777777" w:rsidR="00875323" w:rsidRPr="00623A2B" w:rsidRDefault="00875323" w:rsidP="007145F7">
      <w:pPr>
        <w:suppressAutoHyphens/>
        <w:ind w:firstLine="720"/>
        <w:rPr>
          <w:rFonts w:ascii="Times New Roman" w:hAnsi="Times New Roman"/>
          <w:color w:val="000000"/>
          <w:szCs w:val="22"/>
          <w:lang w:val="fr-FR"/>
        </w:rPr>
      </w:pPr>
      <w:r w:rsidRPr="00623A2B">
        <w:rPr>
          <w:rFonts w:ascii="Times New Roman" w:hAnsi="Times New Roman"/>
          <w:szCs w:val="22"/>
          <w:lang w:val="fr-FR"/>
        </w:rPr>
        <w:t>AYANT VU le « Rapport annuel du Conseil permanent adressé à l’Assemblée générale – Octobre 2020 – Novembre 2021 » (AG/</w:t>
      </w:r>
      <w:proofErr w:type="spellStart"/>
      <w:r w:rsidRPr="00623A2B">
        <w:rPr>
          <w:rFonts w:ascii="Times New Roman" w:hAnsi="Times New Roman"/>
          <w:szCs w:val="22"/>
          <w:lang w:val="fr-FR"/>
        </w:rPr>
        <w:t>doc.xxxx</w:t>
      </w:r>
      <w:proofErr w:type="spellEnd"/>
      <w:r w:rsidRPr="00623A2B">
        <w:rPr>
          <w:rFonts w:ascii="Times New Roman" w:hAnsi="Times New Roman"/>
          <w:szCs w:val="22"/>
          <w:lang w:val="fr-FR"/>
        </w:rPr>
        <w:t xml:space="preserve">/21 </w:t>
      </w:r>
      <w:proofErr w:type="spellStart"/>
      <w:r w:rsidRPr="00623A2B">
        <w:rPr>
          <w:rFonts w:ascii="Times New Roman" w:hAnsi="Times New Roman"/>
          <w:szCs w:val="22"/>
          <w:lang w:val="fr-FR"/>
        </w:rPr>
        <w:t>add</w:t>
      </w:r>
      <w:proofErr w:type="spellEnd"/>
      <w:r w:rsidRPr="00623A2B">
        <w:rPr>
          <w:rFonts w:ascii="Times New Roman" w:hAnsi="Times New Roman"/>
          <w:szCs w:val="22"/>
          <w:lang w:val="fr-FR"/>
        </w:rPr>
        <w:t>.</w:t>
      </w:r>
      <w:r w:rsidRPr="00623A2B">
        <w:rPr>
          <w:rFonts w:ascii="Times New Roman" w:hAnsi="Times New Roman"/>
          <w:color w:val="000000"/>
          <w:szCs w:val="22"/>
          <w:lang w:val="fr-FR"/>
        </w:rPr>
        <w:t xml:space="preserve"> 1), notamment la section se référant aux activités de la Commission des questions juridiques et politiques (CAJP),</w:t>
      </w:r>
    </w:p>
    <w:p w14:paraId="020AF29C" w14:textId="77777777" w:rsidR="00875323" w:rsidRPr="00623A2B" w:rsidRDefault="00875323" w:rsidP="007145F7">
      <w:pPr>
        <w:suppressAutoHyphens/>
        <w:rPr>
          <w:rFonts w:ascii="Times New Roman" w:hAnsi="Times New Roman"/>
          <w:color w:val="000000"/>
          <w:szCs w:val="22"/>
          <w:lang w:val="fr-FR"/>
        </w:rPr>
      </w:pPr>
    </w:p>
    <w:p w14:paraId="790A027E" w14:textId="77777777" w:rsidR="00875323" w:rsidRPr="00623A2B" w:rsidRDefault="00875323" w:rsidP="007145F7">
      <w:pPr>
        <w:suppressAutoHyphens/>
        <w:ind w:firstLine="720"/>
        <w:rPr>
          <w:rFonts w:ascii="Times New Roman" w:hAnsi="Times New Roman"/>
          <w:color w:val="000000"/>
          <w:szCs w:val="22"/>
          <w:lang w:val="fr-FR"/>
        </w:rPr>
      </w:pPr>
      <w:r w:rsidRPr="00623A2B">
        <w:rPr>
          <w:rFonts w:ascii="Times New Roman" w:hAnsi="Times New Roman"/>
          <w:color w:val="000000"/>
          <w:szCs w:val="22"/>
          <w:lang w:val="fr-FR"/>
        </w:rPr>
        <w:t>CONSIDÉRANT que les programmes, activités et tâches établis aux termes des résolutions qui sont du ressort de la CAJP contribuent à la réalisation des buts essentiels de l’Organisation, lesquels sont consacrés dans la Charte de l’OEA,</w:t>
      </w:r>
    </w:p>
    <w:p w14:paraId="100E81FB" w14:textId="77777777" w:rsidR="00875323" w:rsidRPr="00623A2B" w:rsidRDefault="00875323" w:rsidP="007145F7">
      <w:pPr>
        <w:rPr>
          <w:rFonts w:ascii="Times New Roman" w:hAnsi="Times New Roman"/>
          <w:szCs w:val="22"/>
          <w:lang w:val="fr-FR"/>
        </w:rPr>
      </w:pPr>
    </w:p>
    <w:p w14:paraId="179D3B73" w14:textId="77777777" w:rsidR="00875323" w:rsidRPr="00623A2B" w:rsidRDefault="00875323" w:rsidP="00C05265">
      <w:pPr>
        <w:pStyle w:val="ListParagraph"/>
        <w:numPr>
          <w:ilvl w:val="0"/>
          <w:numId w:val="63"/>
        </w:numPr>
        <w:ind w:hanging="630"/>
        <w:rPr>
          <w:rFonts w:ascii="Times New Roman" w:eastAsia="Arial Unicode MS" w:hAnsi="Times New Roman"/>
          <w:szCs w:val="22"/>
          <w:u w:val="single"/>
          <w:lang w:val="fr-FR"/>
        </w:rPr>
      </w:pPr>
      <w:bookmarkStart w:id="55" w:name="_Toc86427153"/>
      <w:bookmarkStart w:id="56" w:name="_Toc87019931"/>
      <w:r w:rsidRPr="00623A2B">
        <w:rPr>
          <w:rFonts w:ascii="Times New Roman" w:hAnsi="Times New Roman"/>
          <w:szCs w:val="22"/>
          <w:u w:val="single"/>
          <w:lang w:val="fr-FR"/>
        </w:rPr>
        <w:t>Protection du consommateur dans les Amériques</w:t>
      </w:r>
      <w:bookmarkEnd w:id="55"/>
      <w:bookmarkEnd w:id="56"/>
    </w:p>
    <w:p w14:paraId="05FE6646" w14:textId="77777777" w:rsidR="00875323" w:rsidRPr="00623A2B" w:rsidRDefault="00875323" w:rsidP="007145F7">
      <w:pPr>
        <w:pStyle w:val="Default"/>
        <w:jc w:val="both"/>
        <w:rPr>
          <w:rFonts w:eastAsia="Arial Unicode MS"/>
          <w:color w:val="auto"/>
          <w:sz w:val="22"/>
          <w:szCs w:val="22"/>
          <w:lang w:val="fr-FR"/>
        </w:rPr>
      </w:pPr>
    </w:p>
    <w:p w14:paraId="0BA64773" w14:textId="77777777" w:rsidR="00875323" w:rsidRPr="00623A2B" w:rsidRDefault="00875323" w:rsidP="007145F7">
      <w:pPr>
        <w:autoSpaceDE w:val="0"/>
        <w:autoSpaceDN w:val="0"/>
        <w:adjustRightInd w:val="0"/>
        <w:ind w:firstLine="706"/>
        <w:rPr>
          <w:rFonts w:ascii="Times New Roman" w:eastAsia="Arial Unicode MS" w:hAnsi="Times New Roman"/>
          <w:szCs w:val="22"/>
          <w:lang w:val="fr-FR" w:eastAsia="es-MX"/>
        </w:rPr>
      </w:pPr>
      <w:r w:rsidRPr="00623A2B">
        <w:rPr>
          <w:rFonts w:ascii="Times New Roman" w:eastAsia="Calibri" w:hAnsi="Times New Roman"/>
          <w:szCs w:val="22"/>
          <w:lang w:val="fr-FR" w:eastAsia="es-MX"/>
        </w:rPr>
        <w:t xml:space="preserve">PRENANT EN CONSIDÉRATION l'impact de la COVID-19 sur la santé et la sécurité des consommateurs dans les Amériques, et le fait que la protection des consommateurs est une question extrêmement pertinente dans le contexte de la pandémie et de ce que sera le monde </w:t>
      </w:r>
      <w:proofErr w:type="spellStart"/>
      <w:r w:rsidRPr="00623A2B">
        <w:rPr>
          <w:rFonts w:ascii="Times New Roman" w:eastAsia="Calibri" w:hAnsi="Times New Roman"/>
          <w:szCs w:val="22"/>
          <w:lang w:val="fr-FR" w:eastAsia="es-MX"/>
        </w:rPr>
        <w:t>post-pandémie</w:t>
      </w:r>
      <w:proofErr w:type="spellEnd"/>
      <w:r w:rsidRPr="00623A2B">
        <w:rPr>
          <w:rFonts w:ascii="Times New Roman" w:eastAsia="Calibri" w:hAnsi="Times New Roman"/>
          <w:szCs w:val="22"/>
          <w:lang w:val="fr-FR" w:eastAsia="es-MX"/>
        </w:rPr>
        <w:t>,</w:t>
      </w:r>
    </w:p>
    <w:p w14:paraId="050FCD37" w14:textId="77777777" w:rsidR="00875323" w:rsidRPr="00623A2B" w:rsidRDefault="00875323" w:rsidP="007145F7">
      <w:pPr>
        <w:autoSpaceDE w:val="0"/>
        <w:autoSpaceDN w:val="0"/>
        <w:adjustRightInd w:val="0"/>
        <w:rPr>
          <w:rFonts w:ascii="Times New Roman" w:eastAsia="Arial Unicode MS" w:hAnsi="Times New Roman"/>
          <w:szCs w:val="22"/>
          <w:lang w:val="fr-FR" w:eastAsia="es-MX"/>
        </w:rPr>
      </w:pPr>
    </w:p>
    <w:p w14:paraId="4A406091" w14:textId="77777777" w:rsidR="00875323" w:rsidRPr="00623A2B" w:rsidRDefault="00875323" w:rsidP="006078C1">
      <w:pPr>
        <w:widowControl/>
        <w:autoSpaceDE w:val="0"/>
        <w:autoSpaceDN w:val="0"/>
        <w:adjustRightInd w:val="0"/>
        <w:ind w:firstLine="706"/>
        <w:rPr>
          <w:rFonts w:ascii="Times New Roman" w:eastAsia="Arial Unicode MS" w:hAnsi="Times New Roman"/>
          <w:szCs w:val="22"/>
          <w:lang w:val="fr-FR" w:eastAsia="es-MX"/>
        </w:rPr>
      </w:pPr>
      <w:r w:rsidRPr="00623A2B">
        <w:rPr>
          <w:rFonts w:ascii="Times New Roman" w:eastAsia="Calibri" w:hAnsi="Times New Roman"/>
          <w:szCs w:val="22"/>
          <w:lang w:val="fr-FR" w:eastAsia="es-MX"/>
        </w:rPr>
        <w:t xml:space="preserve">CONSIDÉRANT que sont reconnus comme droits d’importance fondamentale du consommateur ou de l'utilisateur la protection de la vie, de la santé et de la sécurité physique lors de la consommation ou de l'utilisation de biens et de services, ainsi que la protection de leurs intérêts </w:t>
      </w:r>
      <w:r w:rsidRPr="00623A2B">
        <w:rPr>
          <w:rFonts w:ascii="Times New Roman" w:eastAsia="Calibri" w:hAnsi="Times New Roman"/>
          <w:szCs w:val="22"/>
          <w:lang w:val="fr-FR" w:eastAsia="es-MX"/>
        </w:rPr>
        <w:lastRenderedPageBreak/>
        <w:t>économiques par le biais d’un traitement équitable et non discriminatoire ou abusif de la part des fournisseurs de biens et de services</w:t>
      </w:r>
      <w:r w:rsidRPr="00623A2B">
        <w:rPr>
          <w:rStyle w:val="FootnoteReference"/>
          <w:rFonts w:ascii="Times New Roman" w:eastAsia="Calibri" w:hAnsi="Times New Roman"/>
          <w:szCs w:val="22"/>
          <w:u w:val="single"/>
          <w:vertAlign w:val="superscript"/>
          <w:lang w:val="fr-FR" w:eastAsia="es-MX"/>
        </w:rPr>
        <w:footnoteReference w:id="84"/>
      </w:r>
      <w:r w:rsidRPr="00623A2B">
        <w:rPr>
          <w:rFonts w:ascii="Times New Roman" w:eastAsia="Calibri" w:hAnsi="Times New Roman"/>
          <w:szCs w:val="22"/>
          <w:vertAlign w:val="superscript"/>
          <w:lang w:val="fr-FR" w:eastAsia="es-MX"/>
        </w:rPr>
        <w:t>/</w:t>
      </w:r>
      <w:r w:rsidRPr="00623A2B">
        <w:rPr>
          <w:rFonts w:ascii="Times New Roman" w:eastAsia="Calibri" w:hAnsi="Times New Roman"/>
          <w:szCs w:val="22"/>
          <w:lang w:val="fr-FR" w:eastAsia="es-MX"/>
        </w:rPr>
        <w:t>,</w:t>
      </w:r>
    </w:p>
    <w:p w14:paraId="22C56D40" w14:textId="77777777" w:rsidR="00875323" w:rsidRPr="00623A2B" w:rsidRDefault="00875323" w:rsidP="007145F7">
      <w:pPr>
        <w:autoSpaceDE w:val="0"/>
        <w:autoSpaceDN w:val="0"/>
        <w:adjustRightInd w:val="0"/>
        <w:rPr>
          <w:rFonts w:ascii="Times New Roman" w:eastAsia="Arial Unicode MS" w:hAnsi="Times New Roman"/>
          <w:szCs w:val="22"/>
          <w:lang w:val="fr-FR" w:eastAsia="es-MX"/>
        </w:rPr>
      </w:pPr>
    </w:p>
    <w:p w14:paraId="0AFCEA2C" w14:textId="77777777" w:rsidR="00875323" w:rsidRPr="00623A2B" w:rsidRDefault="00875323" w:rsidP="007145F7">
      <w:pPr>
        <w:autoSpaceDE w:val="0"/>
        <w:autoSpaceDN w:val="0"/>
        <w:adjustRightInd w:val="0"/>
        <w:rPr>
          <w:rFonts w:ascii="Times New Roman" w:eastAsia="Arial Unicode MS" w:hAnsi="Times New Roman"/>
          <w:szCs w:val="22"/>
          <w:lang w:val="fr-FR" w:eastAsia="es-MX"/>
        </w:rPr>
      </w:pPr>
      <w:r w:rsidRPr="00623A2B">
        <w:rPr>
          <w:rFonts w:ascii="Times New Roman" w:eastAsia="Calibri" w:hAnsi="Times New Roman"/>
          <w:szCs w:val="22"/>
          <w:lang w:val="fr-FR" w:eastAsia="es-MX"/>
        </w:rPr>
        <w:t>DÉCIDE :</w:t>
      </w:r>
    </w:p>
    <w:p w14:paraId="23B05D1F" w14:textId="77777777" w:rsidR="00875323" w:rsidRPr="00623A2B" w:rsidRDefault="00875323" w:rsidP="007145F7">
      <w:pPr>
        <w:autoSpaceDE w:val="0"/>
        <w:autoSpaceDN w:val="0"/>
        <w:adjustRightInd w:val="0"/>
        <w:rPr>
          <w:rFonts w:ascii="Times New Roman" w:eastAsia="Arial Unicode MS" w:hAnsi="Times New Roman"/>
          <w:szCs w:val="22"/>
          <w:lang w:val="fr-FR" w:eastAsia="es-MX"/>
        </w:rPr>
      </w:pPr>
    </w:p>
    <w:p w14:paraId="3FF13E83" w14:textId="77777777" w:rsidR="00875323" w:rsidRPr="00623A2B" w:rsidRDefault="00875323" w:rsidP="007145F7">
      <w:pPr>
        <w:autoSpaceDE w:val="0"/>
        <w:autoSpaceDN w:val="0"/>
        <w:adjustRightInd w:val="0"/>
        <w:ind w:firstLine="706"/>
        <w:rPr>
          <w:rFonts w:ascii="Times New Roman" w:eastAsia="Arial Unicode MS" w:hAnsi="Times New Roman"/>
          <w:szCs w:val="22"/>
          <w:lang w:val="fr-FR" w:eastAsia="es-MX"/>
        </w:rPr>
      </w:pPr>
      <w:r w:rsidRPr="00623A2B">
        <w:rPr>
          <w:rFonts w:ascii="Times New Roman" w:eastAsia="Calibri" w:hAnsi="Times New Roman"/>
          <w:szCs w:val="22"/>
          <w:lang w:val="fr-FR" w:eastAsia="es-MX"/>
        </w:rPr>
        <w:t>1.</w:t>
      </w:r>
      <w:r w:rsidRPr="00623A2B">
        <w:rPr>
          <w:rFonts w:ascii="Times New Roman" w:eastAsia="Calibri" w:hAnsi="Times New Roman"/>
          <w:szCs w:val="22"/>
          <w:lang w:val="fr-FR" w:eastAsia="es-MX"/>
        </w:rPr>
        <w:tab/>
        <w:t xml:space="preserve">De demander au Réseau de santé et de sécurité du consommateur (RSSC) de l'OEA d'élaborer des lignes directrices pour la protection du consommateur en matière de sécurité des produits qui contribuent à la détection précoce de produits de consommation dangereux ou qui présentent un risque imprévu dans le contexte </w:t>
      </w:r>
      <w:proofErr w:type="spellStart"/>
      <w:r w:rsidRPr="00623A2B">
        <w:rPr>
          <w:rFonts w:ascii="Times New Roman" w:eastAsia="Calibri" w:hAnsi="Times New Roman"/>
          <w:szCs w:val="22"/>
          <w:lang w:val="fr-FR" w:eastAsia="es-MX"/>
        </w:rPr>
        <w:t>post-pandémie</w:t>
      </w:r>
      <w:proofErr w:type="spellEnd"/>
      <w:r w:rsidRPr="00623A2B">
        <w:rPr>
          <w:rFonts w:ascii="Times New Roman" w:eastAsia="Calibri" w:hAnsi="Times New Roman"/>
          <w:szCs w:val="22"/>
          <w:lang w:val="fr-FR" w:eastAsia="es-MX"/>
        </w:rPr>
        <w:t xml:space="preserve"> en collaboration avec les organismes internationaux, le secteur privé, la société civile et le monde universitaire.</w:t>
      </w:r>
    </w:p>
    <w:p w14:paraId="24F7EFAC" w14:textId="77777777" w:rsidR="00875323" w:rsidRPr="00623A2B" w:rsidRDefault="00875323" w:rsidP="007145F7">
      <w:pPr>
        <w:autoSpaceDE w:val="0"/>
        <w:autoSpaceDN w:val="0"/>
        <w:adjustRightInd w:val="0"/>
        <w:rPr>
          <w:rFonts w:ascii="Times New Roman" w:eastAsia="Arial Unicode MS" w:hAnsi="Times New Roman"/>
          <w:szCs w:val="22"/>
          <w:lang w:val="fr-FR" w:eastAsia="es-MX"/>
        </w:rPr>
      </w:pPr>
    </w:p>
    <w:p w14:paraId="56B26948" w14:textId="77777777" w:rsidR="00875323" w:rsidRPr="00623A2B" w:rsidRDefault="00875323" w:rsidP="007145F7">
      <w:pPr>
        <w:autoSpaceDE w:val="0"/>
        <w:autoSpaceDN w:val="0"/>
        <w:adjustRightInd w:val="0"/>
        <w:ind w:firstLine="706"/>
        <w:rPr>
          <w:rFonts w:ascii="Times New Roman" w:eastAsia="Calibri" w:hAnsi="Times New Roman"/>
          <w:szCs w:val="22"/>
          <w:lang w:val="fr-FR" w:eastAsia="es-MX"/>
        </w:rPr>
      </w:pPr>
      <w:r w:rsidRPr="00623A2B">
        <w:rPr>
          <w:rFonts w:ascii="Times New Roman" w:eastAsia="Calibri" w:hAnsi="Times New Roman"/>
          <w:szCs w:val="22"/>
          <w:lang w:val="fr-FR" w:eastAsia="es-MX"/>
        </w:rPr>
        <w:t>2.</w:t>
      </w:r>
      <w:r w:rsidRPr="00623A2B">
        <w:rPr>
          <w:rFonts w:ascii="Times New Roman" w:eastAsia="Calibri" w:hAnsi="Times New Roman"/>
          <w:szCs w:val="22"/>
          <w:lang w:val="fr-FR" w:eastAsia="es-MX"/>
        </w:rPr>
        <w:tab/>
        <w:t xml:space="preserve">D’inviter les États </w:t>
      </w:r>
      <w:proofErr w:type="gramStart"/>
      <w:r w:rsidRPr="00623A2B">
        <w:rPr>
          <w:rFonts w:ascii="Times New Roman" w:eastAsia="Calibri" w:hAnsi="Times New Roman"/>
          <w:szCs w:val="22"/>
          <w:lang w:val="fr-FR" w:eastAsia="es-MX"/>
        </w:rPr>
        <w:t>non membres</w:t>
      </w:r>
      <w:proofErr w:type="gramEnd"/>
      <w:r w:rsidRPr="00623A2B">
        <w:rPr>
          <w:rFonts w:ascii="Times New Roman" w:eastAsia="Calibri" w:hAnsi="Times New Roman"/>
          <w:szCs w:val="22"/>
          <w:lang w:val="fr-FR" w:eastAsia="es-MX"/>
        </w:rPr>
        <w:t xml:space="preserve"> à rejoindre le RSSC et d’inviter instamment les États membres du RSSC et les États observateurs à contribuer au fonds volontaire qui assure la pérennité des travaux du RSSC.</w:t>
      </w:r>
    </w:p>
    <w:p w14:paraId="157DDA28" w14:textId="77777777" w:rsidR="00875323" w:rsidRPr="00623A2B" w:rsidRDefault="00875323" w:rsidP="007145F7">
      <w:pPr>
        <w:rPr>
          <w:rFonts w:ascii="Times New Roman" w:hAnsi="Times New Roman"/>
          <w:szCs w:val="22"/>
          <w:lang w:val="fr-FR"/>
        </w:rPr>
      </w:pPr>
    </w:p>
    <w:p w14:paraId="1826F2B2" w14:textId="77777777" w:rsidR="00875323" w:rsidRPr="00623A2B" w:rsidRDefault="00875323" w:rsidP="00C05265">
      <w:pPr>
        <w:pStyle w:val="ListParagraph"/>
        <w:numPr>
          <w:ilvl w:val="0"/>
          <w:numId w:val="63"/>
        </w:numPr>
        <w:ind w:hanging="540"/>
        <w:rPr>
          <w:rFonts w:ascii="Times New Roman" w:hAnsi="Times New Roman"/>
          <w:szCs w:val="22"/>
          <w:u w:val="single"/>
          <w:lang w:val="fr-FR"/>
        </w:rPr>
      </w:pPr>
      <w:bookmarkStart w:id="57" w:name="_Toc86427154"/>
      <w:bookmarkStart w:id="58" w:name="_Toc87019932"/>
      <w:r w:rsidRPr="00623A2B">
        <w:rPr>
          <w:rFonts w:ascii="Times New Roman" w:hAnsi="Times New Roman"/>
          <w:szCs w:val="22"/>
          <w:u w:val="single"/>
          <w:lang w:val="fr-FR"/>
        </w:rPr>
        <w:t>Droits de l’enfant et de l’adolescent</w:t>
      </w:r>
      <w:bookmarkEnd w:id="57"/>
      <w:bookmarkEnd w:id="58"/>
    </w:p>
    <w:p w14:paraId="2939590D" w14:textId="77777777" w:rsidR="00875323" w:rsidRPr="00623A2B" w:rsidRDefault="00875323" w:rsidP="007145F7">
      <w:pPr>
        <w:rPr>
          <w:rFonts w:ascii="Times New Roman" w:hAnsi="Times New Roman"/>
          <w:szCs w:val="22"/>
          <w:lang w:val="fr-FR"/>
        </w:rPr>
      </w:pPr>
    </w:p>
    <w:p w14:paraId="181A1F04" w14:textId="77777777" w:rsidR="00875323" w:rsidRPr="00623A2B" w:rsidRDefault="00875323" w:rsidP="007145F7">
      <w:pPr>
        <w:ind w:firstLine="720"/>
        <w:rPr>
          <w:rFonts w:ascii="Times New Roman" w:eastAsia="Calibri" w:hAnsi="Times New Roman"/>
          <w:szCs w:val="22"/>
          <w:lang w:val="fr-FR"/>
        </w:rPr>
      </w:pPr>
      <w:r w:rsidRPr="00623A2B">
        <w:rPr>
          <w:rFonts w:ascii="Times New Roman" w:eastAsia="Calibri" w:hAnsi="Times New Roman"/>
          <w:szCs w:val="22"/>
          <w:lang w:val="fr-FR"/>
        </w:rPr>
        <w:t>RÉAFFIRMANT que les principes de participation active des enfants et des adolescents, de non-discrimination, de leur intérêt supérieur et de leur droit à la vie, à la survie et au développement, de même que l’exercice de l’expression de leur opinion, en fonction de leur âge et de leur maturité, sur les décisions qui les concernent et l'expérience d'être entendus par des adultes sont établis dans la Convention relative aux droits de l'enfant et constituent des éléments de base dans la construction d'une citoyenneté responsable,</w:t>
      </w:r>
    </w:p>
    <w:p w14:paraId="3D24A762" w14:textId="77777777" w:rsidR="00875323" w:rsidRPr="00623A2B" w:rsidRDefault="00875323" w:rsidP="007145F7">
      <w:pPr>
        <w:rPr>
          <w:rFonts w:ascii="Times New Roman" w:eastAsia="Calibri" w:hAnsi="Times New Roman"/>
          <w:szCs w:val="22"/>
          <w:lang w:val="fr-FR"/>
        </w:rPr>
      </w:pPr>
    </w:p>
    <w:p w14:paraId="423626A7" w14:textId="77777777" w:rsidR="00875323" w:rsidRPr="00623A2B" w:rsidRDefault="00875323" w:rsidP="007145F7">
      <w:pPr>
        <w:ind w:firstLine="720"/>
        <w:rPr>
          <w:rFonts w:ascii="Times New Roman" w:eastAsia="Calibri" w:hAnsi="Times New Roman"/>
          <w:szCs w:val="22"/>
          <w:lang w:val="fr-FR"/>
        </w:rPr>
      </w:pPr>
      <w:r w:rsidRPr="00623A2B">
        <w:rPr>
          <w:rFonts w:ascii="Times New Roman" w:eastAsia="Calibri" w:hAnsi="Times New Roman"/>
          <w:szCs w:val="22"/>
          <w:lang w:val="fr-FR"/>
        </w:rPr>
        <w:t xml:space="preserve">NOTANT avec satisfaction les progrès réalisés par l'Institut interaméricain de l'enfance et de l’adolescence (IIN) à cet égard, parmi lesquels on distingue la création de réseaux sous-régionaux d'enfants et d'adolescents, le fonctionnement du réseau de correspondants d'enfants et d'adolescents, la publication et la diffusion de documents pertinents sur la façon dont les enfants et les adolescents vivent les effets de la pandémie sur leurs droits et leur qualité de vie, la participation au Conseil permanent de l'OEA à l'occasion de la célébration de la Journée des enfants et des adolescents des Amériques en vertu de la résolution CP/RES. 1081 (2313/2017), de même que le travail coordonné qui est en cours avec la Commission interaméricaine des droits de l'homme et la Cour interaméricaine des droits de l'homme dans le but d’améliorer la communication entre ces organisations et les enfants et adolescents, </w:t>
      </w:r>
    </w:p>
    <w:p w14:paraId="3275BC85" w14:textId="77777777" w:rsidR="00875323" w:rsidRPr="00623A2B" w:rsidRDefault="00875323" w:rsidP="007145F7">
      <w:pPr>
        <w:rPr>
          <w:rFonts w:ascii="Times New Roman" w:eastAsia="Calibri" w:hAnsi="Times New Roman"/>
          <w:color w:val="000000"/>
          <w:szCs w:val="22"/>
          <w:lang w:val="fr-FR"/>
        </w:rPr>
      </w:pPr>
    </w:p>
    <w:p w14:paraId="69CE0AB6" w14:textId="77777777" w:rsidR="00875323" w:rsidRPr="00623A2B" w:rsidRDefault="00875323" w:rsidP="007145F7">
      <w:pPr>
        <w:rPr>
          <w:rFonts w:ascii="Times New Roman" w:eastAsia="Calibri" w:hAnsi="Times New Roman"/>
          <w:color w:val="000000"/>
          <w:szCs w:val="22"/>
          <w:lang w:val="fr-FR"/>
        </w:rPr>
      </w:pPr>
      <w:r w:rsidRPr="00623A2B">
        <w:rPr>
          <w:rFonts w:ascii="Times New Roman" w:eastAsia="Calibri" w:hAnsi="Times New Roman"/>
          <w:color w:val="000000"/>
          <w:szCs w:val="22"/>
          <w:lang w:val="fr-FR"/>
        </w:rPr>
        <w:t>DÉCIDE :</w:t>
      </w:r>
    </w:p>
    <w:p w14:paraId="207DE480" w14:textId="77777777" w:rsidR="00875323" w:rsidRPr="00623A2B" w:rsidRDefault="00875323" w:rsidP="007145F7">
      <w:pPr>
        <w:rPr>
          <w:rFonts w:ascii="Times New Roman" w:eastAsia="Calibri" w:hAnsi="Times New Roman"/>
          <w:iCs/>
          <w:color w:val="000000"/>
          <w:szCs w:val="22"/>
          <w:lang w:val="fr-FR"/>
        </w:rPr>
      </w:pPr>
    </w:p>
    <w:p w14:paraId="18B3CA0F" w14:textId="77777777" w:rsidR="00875323" w:rsidRPr="00623A2B" w:rsidRDefault="00875323" w:rsidP="007145F7">
      <w:pPr>
        <w:ind w:firstLine="720"/>
        <w:rPr>
          <w:rFonts w:ascii="Times New Roman" w:eastAsia="Calibri" w:hAnsi="Times New Roman"/>
          <w:color w:val="000000"/>
          <w:szCs w:val="22"/>
          <w:lang w:val="fr-FR"/>
        </w:rPr>
      </w:pPr>
      <w:r w:rsidRPr="00623A2B">
        <w:rPr>
          <w:rFonts w:ascii="Times New Roman" w:eastAsia="Calibri" w:hAnsi="Times New Roman"/>
          <w:color w:val="000000"/>
          <w:szCs w:val="22"/>
          <w:lang w:val="fr-FR"/>
        </w:rPr>
        <w:t>1.</w:t>
      </w:r>
      <w:r w:rsidRPr="00623A2B">
        <w:rPr>
          <w:rFonts w:ascii="Times New Roman" w:eastAsia="Calibri" w:hAnsi="Times New Roman"/>
          <w:color w:val="000000"/>
          <w:szCs w:val="22"/>
          <w:lang w:val="fr-FR"/>
        </w:rPr>
        <w:tab/>
        <w:t>De reconnaître le travail réalisé par l’Institut interaméricain de l’enfance et de l’adolescence (IIN) en matière de promotion de la participation des enfants et des adolescents et l’exercice de leur liberté de rechercher, recevoir et diffuser des informations et de maintenir des espaces de dialogue intergénérationnel, en exerçant une cohabitation fondée sur des valeurs démocratiques respectueuses de la diversité des opinions, d’encourager l’égalité, l’équité et la non-violence, la liberté et la justice en faveur du règlement pacifique des différends.</w:t>
      </w:r>
    </w:p>
    <w:p w14:paraId="445B66D5" w14:textId="77777777" w:rsidR="00875323" w:rsidRPr="00623A2B" w:rsidRDefault="00875323" w:rsidP="007145F7">
      <w:pPr>
        <w:ind w:firstLine="720"/>
        <w:rPr>
          <w:rFonts w:ascii="Times New Roman" w:eastAsia="Calibri" w:hAnsi="Times New Roman"/>
          <w:color w:val="000000"/>
          <w:szCs w:val="22"/>
          <w:lang w:val="fr-FR"/>
        </w:rPr>
      </w:pPr>
    </w:p>
    <w:p w14:paraId="0184DADD" w14:textId="77777777" w:rsidR="00875323" w:rsidRPr="00623A2B" w:rsidRDefault="00875323" w:rsidP="007145F7">
      <w:pPr>
        <w:ind w:firstLine="720"/>
        <w:rPr>
          <w:rFonts w:ascii="Times New Roman" w:eastAsia="Calibri" w:hAnsi="Times New Roman"/>
          <w:szCs w:val="22"/>
          <w:lang w:val="fr-FR"/>
        </w:rPr>
      </w:pPr>
      <w:r w:rsidRPr="00623A2B">
        <w:rPr>
          <w:rFonts w:ascii="Times New Roman" w:eastAsia="Calibri" w:hAnsi="Times New Roman"/>
          <w:szCs w:val="22"/>
          <w:lang w:val="fr-FR"/>
        </w:rPr>
        <w:t>2.</w:t>
      </w:r>
      <w:r w:rsidRPr="00623A2B">
        <w:rPr>
          <w:rFonts w:ascii="Times New Roman" w:eastAsia="Calibri" w:hAnsi="Times New Roman"/>
          <w:szCs w:val="22"/>
          <w:lang w:val="fr-FR"/>
        </w:rPr>
        <w:tab/>
        <w:t xml:space="preserve">De réaffirmer la nécessité d'établir un environnement de respect, de diversité et d’inclusion de l’identité ethnique et culturelle de tous les enfants et adolescents, et de faire connaître la situation des enfants et des adolescents handicapés ou de diversité fonctionnelle ainsi que la </w:t>
      </w:r>
      <w:r w:rsidRPr="00623A2B">
        <w:rPr>
          <w:rFonts w:ascii="Times New Roman" w:eastAsia="Calibri" w:hAnsi="Times New Roman"/>
          <w:szCs w:val="22"/>
          <w:lang w:val="fr-FR"/>
        </w:rPr>
        <w:lastRenderedPageBreak/>
        <w:t>pertinence d’adopter des mesures pour leur pleine inclusion, qui constitue la condition de l'existence et de la reproduction d'une dimension pluraliste de la société démocratique, en particulier compte tenu des disparités qui ont été exacerbées par la pandémie de COVID-19.</w:t>
      </w:r>
    </w:p>
    <w:p w14:paraId="60CD0FD3" w14:textId="77777777" w:rsidR="00875323" w:rsidRPr="00623A2B" w:rsidRDefault="00875323" w:rsidP="007145F7">
      <w:pPr>
        <w:rPr>
          <w:rFonts w:ascii="Times New Roman" w:eastAsia="Calibri" w:hAnsi="Times New Roman"/>
          <w:bCs/>
          <w:color w:val="000000"/>
          <w:szCs w:val="22"/>
          <w:lang w:val="fr-FR"/>
        </w:rPr>
      </w:pPr>
    </w:p>
    <w:p w14:paraId="35E4ECB1" w14:textId="77777777" w:rsidR="00875323" w:rsidRPr="00623A2B" w:rsidRDefault="00875323" w:rsidP="007145F7">
      <w:pPr>
        <w:ind w:firstLine="720"/>
        <w:rPr>
          <w:rFonts w:ascii="Times New Roman" w:eastAsia="Calibri" w:hAnsi="Times New Roman"/>
          <w:szCs w:val="22"/>
          <w:lang w:val="fr-FR"/>
        </w:rPr>
      </w:pPr>
      <w:r w:rsidRPr="00623A2B">
        <w:rPr>
          <w:rFonts w:ascii="Times New Roman" w:eastAsia="Calibri" w:hAnsi="Times New Roman"/>
          <w:color w:val="000000"/>
          <w:szCs w:val="22"/>
          <w:lang w:val="fr-FR"/>
        </w:rPr>
        <w:t>3.</w:t>
      </w:r>
      <w:r w:rsidRPr="00623A2B">
        <w:rPr>
          <w:rFonts w:ascii="Times New Roman" w:eastAsia="Calibri" w:hAnsi="Times New Roman"/>
          <w:color w:val="000000"/>
          <w:szCs w:val="22"/>
          <w:lang w:val="fr-FR"/>
        </w:rPr>
        <w:tab/>
        <w:t>D’accueillir avec satisfaction les progrès réalisés dans le cadre du mandat d'élargissement et de consolidation au sein de l’OEA des instances auxquelles participent les enfants et les adolescents, et d’encourager la poursuite des travaux à cet égard.</w:t>
      </w:r>
    </w:p>
    <w:p w14:paraId="2A591BD7" w14:textId="77777777" w:rsidR="00875323" w:rsidRPr="00623A2B" w:rsidRDefault="00875323" w:rsidP="007145F7">
      <w:pPr>
        <w:rPr>
          <w:rFonts w:ascii="Times New Roman" w:hAnsi="Times New Roman"/>
          <w:color w:val="000000"/>
          <w:szCs w:val="22"/>
          <w:lang w:val="fr-FR"/>
        </w:rPr>
      </w:pPr>
    </w:p>
    <w:p w14:paraId="378DE345" w14:textId="77777777" w:rsidR="00875323" w:rsidRPr="00623A2B" w:rsidRDefault="00875323" w:rsidP="00C05265">
      <w:pPr>
        <w:pStyle w:val="ListParagraph"/>
        <w:numPr>
          <w:ilvl w:val="0"/>
          <w:numId w:val="63"/>
        </w:numPr>
        <w:ind w:hanging="450"/>
        <w:rPr>
          <w:rFonts w:ascii="Times New Roman" w:hAnsi="Times New Roman"/>
          <w:szCs w:val="22"/>
          <w:u w:val="single"/>
          <w:lang w:val="fr-FR"/>
        </w:rPr>
      </w:pPr>
      <w:bookmarkStart w:id="59" w:name="_Toc86427155"/>
      <w:bookmarkStart w:id="60" w:name="_Toc87019933"/>
      <w:r w:rsidRPr="00623A2B">
        <w:rPr>
          <w:rFonts w:ascii="Times New Roman" w:hAnsi="Times New Roman"/>
          <w:szCs w:val="22"/>
          <w:u w:val="single"/>
          <w:lang w:val="fr-FR"/>
        </w:rPr>
        <w:t>Suivi de la Charte démocratique interaméricaine</w:t>
      </w:r>
      <w:bookmarkEnd w:id="59"/>
      <w:bookmarkEnd w:id="60"/>
    </w:p>
    <w:p w14:paraId="59549193" w14:textId="77777777" w:rsidR="00875323" w:rsidRPr="00623A2B" w:rsidRDefault="00875323" w:rsidP="007145F7">
      <w:pPr>
        <w:rPr>
          <w:rFonts w:ascii="Times New Roman" w:hAnsi="Times New Roman"/>
          <w:szCs w:val="22"/>
          <w:lang w:val="fr-FR"/>
        </w:rPr>
      </w:pPr>
    </w:p>
    <w:p w14:paraId="1C61A77F" w14:textId="77777777" w:rsidR="00875323" w:rsidRPr="00623A2B" w:rsidRDefault="00875323" w:rsidP="007145F7">
      <w:pPr>
        <w:ind w:firstLine="706"/>
        <w:rPr>
          <w:rFonts w:ascii="Times New Roman" w:hAnsi="Times New Roman"/>
          <w:i/>
          <w:szCs w:val="22"/>
          <w:lang w:val="fr-FR"/>
        </w:rPr>
      </w:pPr>
      <w:r w:rsidRPr="00623A2B">
        <w:rPr>
          <w:rFonts w:ascii="Times New Roman" w:hAnsi="Times New Roman"/>
          <w:szCs w:val="22"/>
          <w:lang w:val="fr-FR"/>
        </w:rPr>
        <w:t>PARTAGEANT la conviction que la démocratie est l’une des conquêtes les plus précieuses de notre région et que la transmission pacifique du pouvoir par des voies constitutionnelles et dans le respect des préceptes constitutionnels de chacun de nos États est le produit d’un processus continu et irréversible dans lequel la région n’admet aucune interruption et aucun recul,</w:t>
      </w:r>
    </w:p>
    <w:p w14:paraId="6963669C" w14:textId="77777777" w:rsidR="00875323" w:rsidRPr="00623A2B" w:rsidRDefault="00875323" w:rsidP="007145F7">
      <w:pPr>
        <w:rPr>
          <w:rFonts w:ascii="Times New Roman" w:hAnsi="Times New Roman"/>
          <w:szCs w:val="22"/>
          <w:lang w:val="fr-FR"/>
        </w:rPr>
      </w:pPr>
    </w:p>
    <w:p w14:paraId="256466B5" w14:textId="77777777" w:rsidR="00875323" w:rsidRPr="00623A2B" w:rsidRDefault="00875323" w:rsidP="007145F7">
      <w:pPr>
        <w:ind w:firstLine="706"/>
        <w:rPr>
          <w:rFonts w:ascii="Times New Roman" w:hAnsi="Times New Roman"/>
          <w:szCs w:val="22"/>
          <w:lang w:val="fr-FR"/>
        </w:rPr>
      </w:pPr>
      <w:r w:rsidRPr="00623A2B">
        <w:rPr>
          <w:rFonts w:ascii="Times New Roman" w:hAnsi="Times New Roman"/>
          <w:szCs w:val="22"/>
          <w:lang w:val="fr-FR"/>
        </w:rPr>
        <w:t>SOULIGNANT que le préambule de la Charte de l’Organisation des États Américains établit que la démocratie représentative est une condition indispensable à la stabilité, à la paix et au développement de la région, et que l’un des buts de l’OEA est de promouvoir et de consolider la démocratie représentative, dans le respect du principe de non-intervention,</w:t>
      </w:r>
    </w:p>
    <w:p w14:paraId="17C50725" w14:textId="77777777" w:rsidR="00875323" w:rsidRPr="00623A2B" w:rsidRDefault="00875323" w:rsidP="007145F7">
      <w:pPr>
        <w:rPr>
          <w:rFonts w:ascii="Times New Roman" w:hAnsi="Times New Roman"/>
          <w:szCs w:val="22"/>
          <w:lang w:val="fr-FR"/>
        </w:rPr>
      </w:pPr>
    </w:p>
    <w:p w14:paraId="7CAFE4AA"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RÉAFFIRMANT que la promotion et la protection des droits de la personne constituent une condition essentielle à l’existence d’une société démocratique, et reconnaissant l'importance du développement et du renforcement continus du système interaméricain des droits de la personne pour la consolidation de la démocratie de notre région,</w:t>
      </w:r>
    </w:p>
    <w:p w14:paraId="02E43FE1" w14:textId="77777777" w:rsidR="00875323" w:rsidRPr="00623A2B" w:rsidRDefault="00875323" w:rsidP="007145F7">
      <w:pPr>
        <w:rPr>
          <w:rFonts w:ascii="Times New Roman" w:hAnsi="Times New Roman"/>
          <w:szCs w:val="22"/>
          <w:lang w:val="fr-FR"/>
        </w:rPr>
      </w:pPr>
    </w:p>
    <w:p w14:paraId="0973406E" w14:textId="77777777" w:rsidR="00875323" w:rsidRPr="00623A2B" w:rsidRDefault="00875323" w:rsidP="007145F7">
      <w:pPr>
        <w:ind w:firstLine="706"/>
        <w:rPr>
          <w:rFonts w:ascii="Times New Roman" w:hAnsi="Times New Roman"/>
          <w:szCs w:val="22"/>
          <w:lang w:val="fr-FR"/>
        </w:rPr>
      </w:pPr>
      <w:r w:rsidRPr="00623A2B">
        <w:rPr>
          <w:rFonts w:ascii="Times New Roman" w:hAnsi="Times New Roman"/>
          <w:szCs w:val="22"/>
          <w:lang w:val="fr-FR"/>
        </w:rPr>
        <w:t>SOULIGNANT que « au nombre des composantes essentielles de la démocratie représentative figurent, entre autres, le respect des droits de l’homme et des libertés fondamentales, l’accès au pouvoir et son exercice assujetti à l’État de droit, la tenue d’élections périodiques, libres, justes et basées sur le suffrage universel et secret, à titre d’expression de la souveraineté populaire, le régime plural de partis et d’organisations politiques, ainsi que la séparation et l’indépendance des pouvoirs publics »,</w:t>
      </w:r>
    </w:p>
    <w:p w14:paraId="257B7D74" w14:textId="77777777" w:rsidR="00875323" w:rsidRPr="00623A2B" w:rsidRDefault="00875323" w:rsidP="007145F7">
      <w:pPr>
        <w:rPr>
          <w:rFonts w:ascii="Times New Roman" w:hAnsi="Times New Roman"/>
          <w:szCs w:val="22"/>
          <w:lang w:val="fr-FR"/>
        </w:rPr>
      </w:pPr>
    </w:p>
    <w:p w14:paraId="0D888C2C" w14:textId="77777777" w:rsidR="00875323" w:rsidRPr="00623A2B" w:rsidRDefault="00875323" w:rsidP="007145F7">
      <w:pPr>
        <w:autoSpaceDE w:val="0"/>
        <w:autoSpaceDN w:val="0"/>
        <w:adjustRightInd w:val="0"/>
        <w:ind w:firstLine="720"/>
        <w:rPr>
          <w:rFonts w:ascii="Times New Roman" w:hAnsi="Times New Roman"/>
          <w:szCs w:val="22"/>
          <w:lang w:val="fr-FR"/>
        </w:rPr>
      </w:pPr>
      <w:r w:rsidRPr="00623A2B">
        <w:rPr>
          <w:rFonts w:ascii="Times New Roman" w:hAnsi="Times New Roman"/>
          <w:szCs w:val="22"/>
          <w:lang w:val="fr-FR"/>
        </w:rPr>
        <w:t>RECONNAISSANT l'importance du respect des engagements et des principes de la Charte démocratique interaméricaine en tant qu'axes transversaux guidant la réponse globale de nos États aux défis de la pandémie de COVID-19, avec la participation pleine et égale de toutes les femmes aux structures politiques de leurs pays, en particulier à celles qui sont dotées d’un pouvoir de décision, afin de parvenir à des solutions efficaces et durables,</w:t>
      </w:r>
    </w:p>
    <w:p w14:paraId="4A7631B0" w14:textId="77777777" w:rsidR="00875323" w:rsidRPr="00623A2B" w:rsidRDefault="00875323" w:rsidP="007145F7">
      <w:pPr>
        <w:autoSpaceDE w:val="0"/>
        <w:autoSpaceDN w:val="0"/>
        <w:adjustRightInd w:val="0"/>
        <w:rPr>
          <w:rFonts w:ascii="Times New Roman" w:hAnsi="Times New Roman"/>
          <w:strike/>
          <w:szCs w:val="22"/>
          <w:lang w:val="fr-FR"/>
        </w:rPr>
      </w:pPr>
    </w:p>
    <w:p w14:paraId="335D09E3"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EXPRIMANT SA SATISFACTION</w:t>
      </w:r>
      <w:r w:rsidRPr="00623A2B">
        <w:rPr>
          <w:rFonts w:ascii="Times New Roman" w:hAnsi="Times New Roman"/>
          <w:b/>
          <w:bCs/>
          <w:szCs w:val="22"/>
          <w:lang w:val="fr-FR"/>
        </w:rPr>
        <w:t xml:space="preserve"> </w:t>
      </w:r>
      <w:r w:rsidRPr="00623A2B">
        <w:rPr>
          <w:rFonts w:ascii="Times New Roman" w:hAnsi="Times New Roman"/>
          <w:szCs w:val="22"/>
          <w:lang w:val="fr-FR"/>
        </w:rPr>
        <w:t>quant à</w:t>
      </w:r>
      <w:r w:rsidRPr="00623A2B">
        <w:rPr>
          <w:rFonts w:ascii="Times New Roman" w:hAnsi="Times New Roman"/>
          <w:b/>
          <w:bCs/>
          <w:szCs w:val="22"/>
          <w:lang w:val="fr-FR"/>
        </w:rPr>
        <w:t xml:space="preserve"> </w:t>
      </w:r>
      <w:r w:rsidRPr="00623A2B">
        <w:rPr>
          <w:rFonts w:ascii="Times New Roman" w:hAnsi="Times New Roman"/>
          <w:szCs w:val="22"/>
          <w:lang w:val="fr-FR"/>
        </w:rPr>
        <w:t>la tenue de la réunion spéciale de la CAJP sur le thème « La résilience démocratique, le rôle de la Charte démocratique interaméricaine et le processus des Sommets » en coordination avec le Secrétariat aux Sommets et la CISC, le 4 mai 2021, au cours de laquelle des recommandations ont été énoncées à l’intention du Groupe d'évaluation de la mise en œuvre des initiatives des Sommets des Amériques (GRIC) pour examen en prévision du Neuvième Sommet des Amériques,</w:t>
      </w:r>
    </w:p>
    <w:p w14:paraId="13511CA3" w14:textId="77777777" w:rsidR="00875323" w:rsidRPr="00623A2B" w:rsidRDefault="00875323" w:rsidP="007145F7">
      <w:pPr>
        <w:rPr>
          <w:rFonts w:ascii="Times New Roman" w:hAnsi="Times New Roman"/>
          <w:szCs w:val="22"/>
          <w:lang w:val="fr-FR"/>
        </w:rPr>
      </w:pPr>
    </w:p>
    <w:p w14:paraId="29C46485"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SOULIGNANT la commémoration du 20</w:t>
      </w:r>
      <w:r w:rsidRPr="00623A2B">
        <w:rPr>
          <w:rFonts w:ascii="Times New Roman" w:hAnsi="Times New Roman"/>
          <w:szCs w:val="22"/>
          <w:vertAlign w:val="superscript"/>
          <w:lang w:val="fr-FR"/>
        </w:rPr>
        <w:t>e</w:t>
      </w:r>
      <w:r w:rsidRPr="00623A2B">
        <w:rPr>
          <w:rFonts w:ascii="Times New Roman" w:hAnsi="Times New Roman"/>
          <w:szCs w:val="22"/>
          <w:lang w:val="fr-FR"/>
        </w:rPr>
        <w:t xml:space="preserve"> anniversaire de l'adoption par acclamation de la Charte démocratique interaméricaine lors de la session extraordinaire de l'Assemblée générale de l'OEA qui s'est tenue le 11 septembre 2001 à Lima (Pérou),</w:t>
      </w:r>
    </w:p>
    <w:p w14:paraId="6B662C20" w14:textId="77777777" w:rsidR="00667904" w:rsidRPr="00623A2B" w:rsidRDefault="0066790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623A2B">
        <w:rPr>
          <w:rFonts w:ascii="Times New Roman" w:hAnsi="Times New Roman"/>
          <w:szCs w:val="22"/>
          <w:lang w:val="fr-FR"/>
        </w:rPr>
        <w:br w:type="page"/>
      </w:r>
    </w:p>
    <w:p w14:paraId="6E510AD8" w14:textId="7CDDFDFF"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lastRenderedPageBreak/>
        <w:t>RÉAFFIRMANT tous les mandats contenus dans la résolution AG/RES. 2835 (XLIV-O/14), « Promotion et renforcement de la démocratie : Suivi de la Charte démocratique interaméricaine »,</w:t>
      </w:r>
    </w:p>
    <w:p w14:paraId="3619FA14" w14:textId="77777777" w:rsidR="00875323" w:rsidRPr="00623A2B" w:rsidRDefault="00875323" w:rsidP="007145F7">
      <w:pPr>
        <w:rPr>
          <w:rFonts w:ascii="Times New Roman" w:hAnsi="Times New Roman"/>
          <w:szCs w:val="22"/>
          <w:lang w:val="fr-FR"/>
        </w:rPr>
      </w:pPr>
    </w:p>
    <w:p w14:paraId="1D9BA39D" w14:textId="77777777" w:rsidR="00875323" w:rsidRPr="00623A2B" w:rsidRDefault="00875323" w:rsidP="007145F7">
      <w:pPr>
        <w:rPr>
          <w:rFonts w:ascii="Times New Roman" w:hAnsi="Times New Roman"/>
          <w:szCs w:val="22"/>
          <w:lang w:val="fr-FR"/>
        </w:rPr>
      </w:pPr>
      <w:r w:rsidRPr="00623A2B">
        <w:rPr>
          <w:rFonts w:ascii="Times New Roman" w:hAnsi="Times New Roman"/>
          <w:szCs w:val="22"/>
          <w:lang w:val="fr-FR"/>
        </w:rPr>
        <w:t>DÉCIDE :</w:t>
      </w:r>
    </w:p>
    <w:p w14:paraId="76E08969" w14:textId="77777777" w:rsidR="00875323" w:rsidRPr="00623A2B" w:rsidRDefault="00875323" w:rsidP="007145F7">
      <w:pPr>
        <w:rPr>
          <w:rFonts w:ascii="Times New Roman" w:hAnsi="Times New Roman"/>
          <w:szCs w:val="22"/>
          <w:lang w:val="fr-FR"/>
        </w:rPr>
      </w:pPr>
    </w:p>
    <w:p w14:paraId="1F047702" w14:textId="77777777" w:rsidR="00875323" w:rsidRPr="00623A2B" w:rsidRDefault="00875323" w:rsidP="00C05265">
      <w:pPr>
        <w:pStyle w:val="ListParagraph"/>
        <w:widowControl/>
        <w:numPr>
          <w:ilvl w:val="0"/>
          <w:numId w:val="6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b/>
          <w:szCs w:val="22"/>
          <w:lang w:val="fr-FR"/>
        </w:rPr>
      </w:pPr>
      <w:r w:rsidRPr="00623A2B">
        <w:rPr>
          <w:rFonts w:ascii="Times New Roman" w:hAnsi="Times New Roman"/>
          <w:szCs w:val="22"/>
          <w:lang w:val="fr-FR"/>
        </w:rPr>
        <w:t>De réaffirmer l’obligation faite aux États membres de l'OEA de promouvoir et de défendre la démocratie dans la région en tant que condition essentielle au développement social, politique et économique des peuples des Amériques.</w:t>
      </w:r>
    </w:p>
    <w:p w14:paraId="095656EE" w14:textId="77777777" w:rsidR="00875323" w:rsidRPr="00623A2B" w:rsidRDefault="00875323" w:rsidP="007145F7">
      <w:pPr>
        <w:rPr>
          <w:rFonts w:ascii="Times New Roman" w:hAnsi="Times New Roman"/>
          <w:szCs w:val="22"/>
          <w:lang w:val="fr-FR"/>
        </w:rPr>
      </w:pPr>
    </w:p>
    <w:p w14:paraId="50519BB6" w14:textId="77777777" w:rsidR="00875323" w:rsidRPr="00623A2B" w:rsidRDefault="00875323" w:rsidP="00C05265">
      <w:pPr>
        <w:pStyle w:val="ListParagraph"/>
        <w:widowControl/>
        <w:numPr>
          <w:ilvl w:val="0"/>
          <w:numId w:val="6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b/>
          <w:szCs w:val="22"/>
          <w:lang w:val="fr-FR"/>
        </w:rPr>
      </w:pPr>
      <w:r w:rsidRPr="00623A2B">
        <w:rPr>
          <w:rFonts w:ascii="Times New Roman" w:hAnsi="Times New Roman"/>
          <w:szCs w:val="22"/>
          <w:lang w:val="fr-FR"/>
        </w:rPr>
        <w:t>De continuer à promouvoir le renforcement des institutions, des valeurs, des pratiques et de la gouvernance démocratique, la lutte contre la corruption, la consolidation de l'État de droit, la réalisation de la pleine jouissance et de l'exercice effectif des droits de la personne ainsi que la réduction de la pauvreté, des inégalités et de l'exclusion sociale au moyen d’actions de coopération dans ces domaines entre les États membres.</w:t>
      </w:r>
    </w:p>
    <w:p w14:paraId="65CF783F" w14:textId="77777777" w:rsidR="00875323" w:rsidRPr="00623A2B" w:rsidRDefault="00875323" w:rsidP="007145F7">
      <w:pPr>
        <w:rPr>
          <w:rFonts w:ascii="Times New Roman" w:hAnsi="Times New Roman"/>
          <w:szCs w:val="22"/>
          <w:lang w:val="fr-FR"/>
        </w:rPr>
      </w:pPr>
    </w:p>
    <w:p w14:paraId="6344EEA3" w14:textId="77777777" w:rsidR="00875323" w:rsidRPr="00623A2B" w:rsidRDefault="00875323" w:rsidP="00C05265">
      <w:pPr>
        <w:pStyle w:val="ListParagraph"/>
        <w:widowControl/>
        <w:numPr>
          <w:ilvl w:val="0"/>
          <w:numId w:val="6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szCs w:val="22"/>
          <w:lang w:val="fr-FR"/>
        </w:rPr>
      </w:pPr>
      <w:r w:rsidRPr="00623A2B">
        <w:rPr>
          <w:rFonts w:ascii="Times New Roman" w:hAnsi="Times New Roman"/>
          <w:szCs w:val="22"/>
          <w:lang w:val="fr-FR"/>
        </w:rPr>
        <w:t>De demander au Secrétariat général de continuer à réaliser des programmes de formation pour la promotion des principes, valeurs et pratiques de la culture démocratique, conformément aux articles 26 et 27 de la Charte démocratique interaméricaine, ainsi que pour améliorer la connaissance et encourager la pratique de cet instrument interaméricain dans les pays du continent américain qui en font la demande.</w:t>
      </w:r>
    </w:p>
    <w:p w14:paraId="6683D6AD" w14:textId="77777777" w:rsidR="00875323" w:rsidRPr="00623A2B" w:rsidRDefault="00875323" w:rsidP="007145F7">
      <w:pPr>
        <w:rPr>
          <w:rFonts w:ascii="Times New Roman" w:hAnsi="Times New Roman"/>
          <w:szCs w:val="22"/>
          <w:lang w:val="fr-FR"/>
        </w:rPr>
      </w:pPr>
    </w:p>
    <w:p w14:paraId="6ACFA787" w14:textId="77777777" w:rsidR="00875323" w:rsidRPr="00623A2B" w:rsidRDefault="00875323" w:rsidP="00C05265">
      <w:pPr>
        <w:pStyle w:val="ListParagraph"/>
        <w:widowControl/>
        <w:numPr>
          <w:ilvl w:val="0"/>
          <w:numId w:val="6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strike/>
          <w:szCs w:val="22"/>
          <w:lang w:val="fr-FR"/>
        </w:rPr>
      </w:pPr>
      <w:r w:rsidRPr="00623A2B">
        <w:rPr>
          <w:rFonts w:ascii="Times New Roman" w:hAnsi="Times New Roman"/>
          <w:szCs w:val="22"/>
          <w:lang w:val="fr-FR"/>
        </w:rPr>
        <w:t>De réaffirmer la validité de la Charte démocratique interaméricaine en tant qu'instrument de promotion et de défense des valeurs et des principes de la démocratie représentative dans la région ; de charger le Conseil permanent de promouvoir,</w:t>
      </w:r>
      <w:r w:rsidRPr="00623A2B">
        <w:rPr>
          <w:rFonts w:ascii="Times New Roman" w:hAnsi="Times New Roman"/>
          <w:b/>
          <w:bCs/>
          <w:szCs w:val="22"/>
          <w:lang w:val="fr-FR"/>
        </w:rPr>
        <w:t xml:space="preserve"> </w:t>
      </w:r>
      <w:r w:rsidRPr="00623A2B">
        <w:rPr>
          <w:rFonts w:ascii="Times New Roman" w:hAnsi="Times New Roman"/>
          <w:szCs w:val="22"/>
          <w:lang w:val="fr-FR"/>
        </w:rPr>
        <w:t>en consultant largement les États membres pour qu’ils recommandent des intervenants, la tenue d'une séance extraordinaire pour poursuivre le dialogue sur l'efficacité de la Charte démocratique interaméricaine et les défis s’y rapportant en matière de protection et de préservation de la démocratie dans le continent américain et de faire rapport à l'Assemblée générale, lors de sa cinquante-deuxième session ordinaire, sur les résultats de cette séance extraordinaire.</w:t>
      </w:r>
    </w:p>
    <w:p w14:paraId="3B5AC979" w14:textId="77777777" w:rsidR="00875323" w:rsidRPr="00623A2B" w:rsidRDefault="00875323" w:rsidP="007145F7">
      <w:pPr>
        <w:rPr>
          <w:rFonts w:ascii="Times New Roman" w:hAnsi="Times New Roman"/>
          <w:szCs w:val="22"/>
          <w:lang w:val="fr-FR"/>
        </w:rPr>
      </w:pPr>
    </w:p>
    <w:p w14:paraId="24F0024C" w14:textId="77777777" w:rsidR="00875323" w:rsidRPr="00623A2B" w:rsidRDefault="00875323" w:rsidP="00C05265">
      <w:pPr>
        <w:pStyle w:val="ListParagraph"/>
        <w:widowControl/>
        <w:numPr>
          <w:ilvl w:val="0"/>
          <w:numId w:val="6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szCs w:val="22"/>
          <w:lang w:val="fr-FR"/>
        </w:rPr>
      </w:pPr>
      <w:r w:rsidRPr="00623A2B">
        <w:rPr>
          <w:rFonts w:ascii="Times New Roman" w:hAnsi="Times New Roman"/>
          <w:szCs w:val="22"/>
          <w:lang w:val="fr-FR"/>
        </w:rPr>
        <w:t>De promouvoir la participation de toutes les femmes à la vie politique, notamment en tant que dirigeantes élues, expertes techniques en matière d'élections, responsables engagées de la société civile et électrices informées.</w:t>
      </w:r>
    </w:p>
    <w:p w14:paraId="2694E132" w14:textId="77777777" w:rsidR="00875323" w:rsidRPr="00623A2B" w:rsidRDefault="00875323" w:rsidP="007145F7">
      <w:pPr>
        <w:rPr>
          <w:rFonts w:ascii="Times New Roman" w:hAnsi="Times New Roman"/>
          <w:szCs w:val="22"/>
          <w:lang w:val="fr-FR"/>
        </w:rPr>
      </w:pPr>
    </w:p>
    <w:p w14:paraId="38900EDC" w14:textId="2346B7EE" w:rsidR="00875323" w:rsidRPr="00623A2B" w:rsidRDefault="00875323" w:rsidP="00C05265">
      <w:pPr>
        <w:pStyle w:val="ListParagraph"/>
        <w:numPr>
          <w:ilvl w:val="0"/>
          <w:numId w:val="63"/>
        </w:numPr>
        <w:ind w:hanging="450"/>
        <w:rPr>
          <w:rFonts w:ascii="Times New Roman" w:hAnsi="Times New Roman"/>
          <w:szCs w:val="22"/>
          <w:u w:val="single"/>
          <w:lang w:val="fr-FR"/>
        </w:rPr>
      </w:pPr>
      <w:bookmarkStart w:id="61" w:name="_Toc86427156"/>
      <w:bookmarkStart w:id="62" w:name="_Toc87019934"/>
      <w:r w:rsidRPr="00623A2B">
        <w:rPr>
          <w:rFonts w:ascii="Times New Roman" w:hAnsi="Times New Roman"/>
          <w:szCs w:val="22"/>
          <w:u w:val="single"/>
          <w:lang w:val="fr-FR"/>
        </w:rPr>
        <w:t>Coopération technique et missions d’observation des élections</w:t>
      </w:r>
      <w:r w:rsidR="00DC5E26">
        <w:rPr>
          <w:rFonts w:ascii="Times New Roman" w:hAnsi="Times New Roman"/>
          <w:szCs w:val="22"/>
          <w:lang w:val="fr-FR"/>
        </w:rPr>
        <w:t xml:space="preserve"> </w:t>
      </w:r>
      <w:r w:rsidRPr="00DC5E26">
        <w:rPr>
          <w:rFonts w:ascii="Times New Roman" w:hAnsi="Times New Roman"/>
          <w:szCs w:val="22"/>
          <w:u w:val="single"/>
          <w:vertAlign w:val="superscript"/>
        </w:rPr>
        <w:footnoteReference w:id="85"/>
      </w:r>
      <w:r w:rsidRPr="00DC5E26">
        <w:rPr>
          <w:rFonts w:ascii="Times New Roman" w:hAnsi="Times New Roman"/>
          <w:szCs w:val="22"/>
          <w:vertAlign w:val="superscript"/>
          <w:lang w:val="fr-FR"/>
        </w:rPr>
        <w:t>/</w:t>
      </w:r>
      <w:bookmarkEnd w:id="61"/>
      <w:bookmarkEnd w:id="62"/>
    </w:p>
    <w:p w14:paraId="0996E3A5" w14:textId="77777777" w:rsidR="00875323" w:rsidRPr="00623A2B" w:rsidRDefault="00875323" w:rsidP="007145F7">
      <w:pPr>
        <w:pStyle w:val="BodyText"/>
        <w:spacing w:before="0" w:beforeAutospacing="0" w:after="0" w:afterAutospacing="0"/>
        <w:rPr>
          <w:rFonts w:cs="Times New Roman"/>
          <w:sz w:val="22"/>
          <w:szCs w:val="22"/>
          <w:lang w:val="fr-FR"/>
        </w:rPr>
      </w:pPr>
    </w:p>
    <w:p w14:paraId="7CA7DC9F" w14:textId="77777777" w:rsidR="00875323" w:rsidRPr="00623A2B" w:rsidRDefault="00875323" w:rsidP="007145F7">
      <w:pPr>
        <w:pStyle w:val="BodyText"/>
        <w:spacing w:before="0" w:beforeAutospacing="0" w:after="0" w:afterAutospacing="0"/>
        <w:ind w:right="125" w:firstLine="706"/>
        <w:rPr>
          <w:rFonts w:cs="Times New Roman"/>
          <w:sz w:val="22"/>
          <w:szCs w:val="22"/>
          <w:lang w:val="fr-FR"/>
        </w:rPr>
      </w:pPr>
      <w:r w:rsidRPr="00623A2B">
        <w:rPr>
          <w:rFonts w:cs="Times New Roman"/>
          <w:color w:val="282828"/>
          <w:sz w:val="22"/>
          <w:szCs w:val="22"/>
          <w:lang w:val="fr-FR"/>
        </w:rPr>
        <w:t>SOULIGNANT la contribution fondamentale de l’OEA au renforcement et au développement des processus et systèmes électoraux dans les États membres par l’intermédiaire des missions d’observation des élections de l'OEA et de la coopération technique en matière électorale, à la demande des États membres et conformément à la Charte démocratique interaméricaine, à la Déclaration de principes applicables à l’observation internationale des élections et au Code de conduite des observateurs électoraux internationaux,</w:t>
      </w:r>
    </w:p>
    <w:p w14:paraId="4EC7BBFE" w14:textId="77777777" w:rsidR="00875323" w:rsidRPr="00623A2B" w:rsidRDefault="00875323" w:rsidP="007145F7">
      <w:pPr>
        <w:pStyle w:val="BodyText"/>
        <w:spacing w:before="0" w:beforeAutospacing="0" w:after="0" w:afterAutospacing="0"/>
        <w:rPr>
          <w:rFonts w:cs="Times New Roman"/>
          <w:sz w:val="22"/>
          <w:szCs w:val="22"/>
          <w:lang w:val="fr-FR"/>
        </w:rPr>
      </w:pPr>
    </w:p>
    <w:p w14:paraId="5F83DF68" w14:textId="77777777" w:rsidR="00875323" w:rsidRPr="00623A2B" w:rsidRDefault="00875323" w:rsidP="007145F7">
      <w:pPr>
        <w:ind w:firstLine="720"/>
        <w:rPr>
          <w:rFonts w:ascii="Times New Roman" w:eastAsia="Calibri" w:hAnsi="Times New Roman"/>
          <w:bCs/>
          <w:szCs w:val="22"/>
          <w:lang w:val="fr-FR" w:eastAsia="es-US"/>
        </w:rPr>
      </w:pPr>
      <w:r w:rsidRPr="00623A2B">
        <w:rPr>
          <w:rFonts w:ascii="Times New Roman" w:eastAsia="Calibri" w:hAnsi="Times New Roman"/>
          <w:bCs/>
          <w:szCs w:val="22"/>
          <w:lang w:val="fr-FR" w:eastAsia="es-US"/>
        </w:rPr>
        <w:t>PRENANT EN COMPTE l’importance de renforcer la démocratie, la précieuse expérience des États membres et de leurs organes et autorités électoraux, et rappelant qu’ils ont pour responsabilité d’organiser, de réaliser et de garantir des processus électoraux libres et justes,</w:t>
      </w:r>
    </w:p>
    <w:p w14:paraId="611E7458" w14:textId="77777777" w:rsidR="00875323" w:rsidRPr="00623A2B" w:rsidRDefault="00875323" w:rsidP="007145F7">
      <w:pPr>
        <w:pStyle w:val="BodyText"/>
        <w:spacing w:before="0" w:beforeAutospacing="0" w:after="0" w:afterAutospacing="0"/>
        <w:ind w:left="110" w:right="111" w:firstLine="596"/>
        <w:rPr>
          <w:rFonts w:cs="Times New Roman"/>
          <w:sz w:val="22"/>
          <w:szCs w:val="22"/>
          <w:lang w:val="fr-FR"/>
        </w:rPr>
      </w:pPr>
      <w:r w:rsidRPr="00623A2B">
        <w:rPr>
          <w:rFonts w:cs="Times New Roman"/>
          <w:color w:val="282828"/>
          <w:sz w:val="22"/>
          <w:szCs w:val="22"/>
          <w:lang w:val="fr-FR"/>
        </w:rPr>
        <w:lastRenderedPageBreak/>
        <w:t>RENDANT HOMMAGE DE NOUVEAU au personnel du Département de la coopération électorale et de l’observation des élections, dont le professionnalisme et le dévouement ont permis à l’OEA de maintenir le déploiement de missions d'observation des élections durant la pandémie de COVID-19,</w:t>
      </w:r>
    </w:p>
    <w:p w14:paraId="68622C75" w14:textId="77777777" w:rsidR="00875323" w:rsidRPr="00623A2B" w:rsidRDefault="00875323" w:rsidP="007145F7">
      <w:pPr>
        <w:pStyle w:val="BodyText"/>
        <w:spacing w:before="0" w:beforeAutospacing="0" w:after="0" w:afterAutospacing="0"/>
        <w:rPr>
          <w:rFonts w:cs="Times New Roman"/>
          <w:sz w:val="22"/>
          <w:szCs w:val="22"/>
          <w:lang w:val="fr-FR"/>
        </w:rPr>
      </w:pPr>
    </w:p>
    <w:p w14:paraId="19507234" w14:textId="77777777" w:rsidR="00875323" w:rsidRPr="00623A2B" w:rsidRDefault="00875323" w:rsidP="007145F7">
      <w:pPr>
        <w:pStyle w:val="BodyText"/>
        <w:spacing w:before="0" w:beforeAutospacing="0" w:after="0" w:afterAutospacing="0"/>
        <w:ind w:left="109" w:right="126" w:firstLine="597"/>
        <w:rPr>
          <w:rFonts w:cs="Times New Roman"/>
          <w:sz w:val="22"/>
          <w:szCs w:val="22"/>
          <w:lang w:val="fr-FR"/>
        </w:rPr>
      </w:pPr>
      <w:r w:rsidRPr="00623A2B">
        <w:rPr>
          <w:rFonts w:cs="Times New Roman"/>
          <w:color w:val="282828"/>
          <w:sz w:val="22"/>
          <w:szCs w:val="22"/>
          <w:lang w:val="fr-FR"/>
        </w:rPr>
        <w:t>PRENANT NOTE du Guide des bonnes pratiques électorales pour le renforcement des processus électoraux publié par le Secrétariat général,</w:t>
      </w:r>
    </w:p>
    <w:p w14:paraId="3E39E55F" w14:textId="77777777" w:rsidR="00875323" w:rsidRPr="00623A2B" w:rsidRDefault="00875323" w:rsidP="007145F7">
      <w:pPr>
        <w:pStyle w:val="BodyText"/>
        <w:spacing w:before="0" w:beforeAutospacing="0" w:after="0" w:afterAutospacing="0"/>
        <w:rPr>
          <w:rFonts w:cs="Times New Roman"/>
          <w:sz w:val="22"/>
          <w:szCs w:val="22"/>
          <w:lang w:val="fr-FR"/>
        </w:rPr>
      </w:pPr>
    </w:p>
    <w:p w14:paraId="4E2134FE" w14:textId="77777777" w:rsidR="00875323" w:rsidRPr="00623A2B" w:rsidRDefault="00875323" w:rsidP="007145F7">
      <w:pPr>
        <w:pStyle w:val="BodyText"/>
        <w:spacing w:before="0" w:beforeAutospacing="0" w:after="0" w:afterAutospacing="0"/>
        <w:ind w:left="114" w:right="108" w:firstLine="592"/>
        <w:rPr>
          <w:rFonts w:cs="Times New Roman"/>
          <w:sz w:val="22"/>
          <w:szCs w:val="22"/>
          <w:lang w:val="fr-FR"/>
        </w:rPr>
      </w:pPr>
      <w:r w:rsidRPr="00623A2B">
        <w:rPr>
          <w:rFonts w:cs="Times New Roman"/>
          <w:color w:val="282828"/>
          <w:sz w:val="22"/>
          <w:szCs w:val="22"/>
          <w:lang w:val="fr-FR"/>
        </w:rPr>
        <w:t>RAPPELANT le Guide pour l’organisation d’élections en temps de pandémie publié par le Secrétariat général,</w:t>
      </w:r>
    </w:p>
    <w:p w14:paraId="6AFAD90D" w14:textId="77777777" w:rsidR="00875323" w:rsidRPr="00623A2B" w:rsidRDefault="00875323" w:rsidP="007145F7">
      <w:pPr>
        <w:pStyle w:val="BodyText"/>
        <w:spacing w:before="0" w:beforeAutospacing="0" w:after="0" w:afterAutospacing="0"/>
        <w:rPr>
          <w:rFonts w:cs="Times New Roman"/>
          <w:sz w:val="22"/>
          <w:szCs w:val="22"/>
          <w:lang w:val="fr-FR"/>
        </w:rPr>
      </w:pPr>
    </w:p>
    <w:p w14:paraId="3465AD54" w14:textId="12F578DB" w:rsidR="00875323" w:rsidRPr="00623A2B" w:rsidRDefault="00875323" w:rsidP="007145F7">
      <w:pPr>
        <w:pStyle w:val="BodyText"/>
        <w:spacing w:before="0" w:beforeAutospacing="0" w:after="0" w:afterAutospacing="0"/>
        <w:ind w:left="106" w:right="109" w:firstLine="600"/>
        <w:rPr>
          <w:rFonts w:cs="Times New Roman"/>
          <w:sz w:val="22"/>
          <w:szCs w:val="22"/>
          <w:lang w:val="fr-FR"/>
        </w:rPr>
      </w:pPr>
      <w:r w:rsidRPr="00623A2B">
        <w:rPr>
          <w:rFonts w:cs="Times New Roman"/>
          <w:color w:val="282828"/>
          <w:sz w:val="22"/>
          <w:szCs w:val="22"/>
          <w:lang w:val="fr-FR"/>
        </w:rPr>
        <w:t>RAPPELANT ÉGALEMENT la résolution AG/RES. 2905 (XLVII-O/17), « Renforcement de la démocratie », qui lève les restrictions empêchant l’utilisation de ressources du Fonds ordinaire de l’Organisation pour couvrir les coûts liés aux missions d'observation des élections,</w:t>
      </w:r>
    </w:p>
    <w:p w14:paraId="3BB72EAE" w14:textId="77777777" w:rsidR="00875323" w:rsidRPr="00623A2B" w:rsidRDefault="00875323" w:rsidP="007145F7">
      <w:pPr>
        <w:pStyle w:val="BodyText"/>
        <w:spacing w:before="0" w:beforeAutospacing="0" w:after="0" w:afterAutospacing="0"/>
        <w:rPr>
          <w:rFonts w:cs="Times New Roman"/>
          <w:sz w:val="22"/>
          <w:szCs w:val="22"/>
          <w:lang w:val="fr-FR"/>
        </w:rPr>
      </w:pPr>
    </w:p>
    <w:p w14:paraId="7D86A7C4" w14:textId="77777777" w:rsidR="00875323" w:rsidRPr="00623A2B" w:rsidRDefault="00875323" w:rsidP="007145F7">
      <w:pPr>
        <w:pStyle w:val="BodyText"/>
        <w:spacing w:before="0" w:beforeAutospacing="0" w:after="0" w:afterAutospacing="0"/>
        <w:rPr>
          <w:rFonts w:cs="Times New Roman"/>
          <w:sz w:val="22"/>
          <w:szCs w:val="22"/>
          <w:lang w:val="fr-FR"/>
        </w:rPr>
      </w:pPr>
      <w:r w:rsidRPr="00623A2B">
        <w:rPr>
          <w:rFonts w:cs="Times New Roman"/>
          <w:sz w:val="22"/>
          <w:szCs w:val="22"/>
          <w:lang w:val="fr-FR"/>
        </w:rPr>
        <w:t>DÉCIDE :</w:t>
      </w:r>
    </w:p>
    <w:p w14:paraId="31DF1340" w14:textId="77777777" w:rsidR="00875323" w:rsidRPr="00623A2B" w:rsidRDefault="00875323" w:rsidP="007145F7">
      <w:pPr>
        <w:pStyle w:val="BodyText"/>
        <w:spacing w:before="0" w:beforeAutospacing="0" w:after="0" w:afterAutospacing="0"/>
        <w:rPr>
          <w:rFonts w:cs="Times New Roman"/>
          <w:sz w:val="22"/>
          <w:szCs w:val="22"/>
          <w:lang w:val="fr-FR"/>
        </w:rPr>
      </w:pPr>
    </w:p>
    <w:p w14:paraId="55F23A44" w14:textId="77777777" w:rsidR="00875323" w:rsidRPr="00623A2B" w:rsidRDefault="00875323" w:rsidP="007145F7">
      <w:pPr>
        <w:pStyle w:val="ListParagraph"/>
        <w:autoSpaceDE w:val="0"/>
        <w:autoSpaceDN w:val="0"/>
        <w:ind w:left="0" w:right="103" w:firstLine="720"/>
        <w:contextualSpacing w:val="0"/>
        <w:rPr>
          <w:rFonts w:ascii="Times New Roman" w:hAnsi="Times New Roman"/>
          <w:bCs/>
          <w:color w:val="282828"/>
          <w:szCs w:val="22"/>
          <w:lang w:val="fr-FR"/>
        </w:rPr>
      </w:pPr>
      <w:r w:rsidRPr="00623A2B">
        <w:rPr>
          <w:rFonts w:ascii="Times New Roman" w:eastAsia="Calibri" w:hAnsi="Times New Roman"/>
          <w:bCs/>
          <w:szCs w:val="22"/>
          <w:lang w:val="fr-FR" w:eastAsia="es-US"/>
        </w:rPr>
        <w:t>1.</w:t>
      </w:r>
      <w:r w:rsidRPr="00623A2B">
        <w:rPr>
          <w:rFonts w:ascii="Times New Roman" w:eastAsia="Calibri" w:hAnsi="Times New Roman"/>
          <w:bCs/>
          <w:szCs w:val="22"/>
          <w:lang w:val="fr-FR" w:eastAsia="es-US"/>
        </w:rPr>
        <w:tab/>
        <w:t xml:space="preserve">De prendre note de la réalisation du mandat d’élaborer le </w:t>
      </w:r>
      <w:r w:rsidRPr="00623A2B">
        <w:rPr>
          <w:rFonts w:ascii="Times New Roman" w:hAnsi="Times New Roman"/>
          <w:bCs/>
          <w:color w:val="282828"/>
          <w:szCs w:val="22"/>
          <w:lang w:val="fr-FR"/>
        </w:rPr>
        <w:t>Guide des bonnes pratiques électorales pour le renforcement des processus électoraux, élaboré par le Département de la coopération électorale et de l’observation des élections (DECO) avec des contributions des autorités électorales de la région et, lorsque celui-ci fait rapport aux États membres, d’encourager le Secrétariat général à actualiser et perfectionner ce guide, si nécessaire, avec ses propres contributions et celles des autorités et organes électoraux.</w:t>
      </w:r>
    </w:p>
    <w:p w14:paraId="48B22F80" w14:textId="77777777" w:rsidR="00875323" w:rsidRPr="00623A2B" w:rsidRDefault="00875323" w:rsidP="007145F7">
      <w:pPr>
        <w:pStyle w:val="ListParagraph"/>
        <w:autoSpaceDE w:val="0"/>
        <w:autoSpaceDN w:val="0"/>
        <w:ind w:left="0" w:right="103"/>
        <w:contextualSpacing w:val="0"/>
        <w:rPr>
          <w:rFonts w:ascii="Times New Roman" w:hAnsi="Times New Roman"/>
          <w:color w:val="282828"/>
          <w:szCs w:val="22"/>
          <w:lang w:val="fr-FR"/>
        </w:rPr>
      </w:pPr>
    </w:p>
    <w:p w14:paraId="76D51172" w14:textId="77777777" w:rsidR="00875323" w:rsidRPr="00623A2B" w:rsidRDefault="00875323" w:rsidP="007145F7">
      <w:pPr>
        <w:pStyle w:val="BodyText"/>
        <w:spacing w:before="0" w:beforeAutospacing="0" w:after="0" w:afterAutospacing="0"/>
        <w:ind w:firstLine="720"/>
        <w:rPr>
          <w:rFonts w:cs="Times New Roman"/>
          <w:sz w:val="22"/>
          <w:szCs w:val="22"/>
          <w:lang w:val="fr-FR"/>
        </w:rPr>
      </w:pPr>
      <w:r w:rsidRPr="00623A2B">
        <w:rPr>
          <w:rFonts w:cs="Times New Roman"/>
          <w:sz w:val="22"/>
          <w:szCs w:val="22"/>
          <w:lang w:val="fr-FR"/>
        </w:rPr>
        <w:t>2.</w:t>
      </w:r>
      <w:r w:rsidRPr="00623A2B">
        <w:rPr>
          <w:rFonts w:cs="Times New Roman"/>
          <w:sz w:val="22"/>
          <w:szCs w:val="22"/>
          <w:lang w:val="fr-FR"/>
        </w:rPr>
        <w:tab/>
        <w:t xml:space="preserve">De demander au Secrétariat général de mettre à jour, si nécessaire, les mesures énoncées dans le Guide pour l'organisation d'élections en temps de pandémie et de continuer de diffuser </w:t>
      </w:r>
      <w:proofErr w:type="gramStart"/>
      <w:r w:rsidRPr="00623A2B">
        <w:rPr>
          <w:rFonts w:cs="Times New Roman"/>
          <w:sz w:val="22"/>
          <w:szCs w:val="22"/>
          <w:lang w:val="fr-FR"/>
        </w:rPr>
        <w:t>ce documents</w:t>
      </w:r>
      <w:proofErr w:type="gramEnd"/>
      <w:r w:rsidRPr="00623A2B">
        <w:rPr>
          <w:rFonts w:cs="Times New Roman"/>
          <w:sz w:val="22"/>
          <w:szCs w:val="22"/>
          <w:lang w:val="fr-FR"/>
        </w:rPr>
        <w:t xml:space="preserve"> auprès des États membres qui en font la demande.</w:t>
      </w:r>
    </w:p>
    <w:p w14:paraId="670B3B59" w14:textId="77777777" w:rsidR="00875323" w:rsidRPr="00623A2B" w:rsidRDefault="00875323" w:rsidP="007145F7">
      <w:pPr>
        <w:pStyle w:val="BodyText"/>
        <w:spacing w:before="0" w:beforeAutospacing="0" w:after="0" w:afterAutospacing="0"/>
        <w:rPr>
          <w:rFonts w:cs="Times New Roman"/>
          <w:sz w:val="22"/>
          <w:szCs w:val="22"/>
          <w:lang w:val="fr-FR"/>
        </w:rPr>
      </w:pPr>
    </w:p>
    <w:p w14:paraId="34F0A5C4" w14:textId="77777777" w:rsidR="00875323" w:rsidRPr="00623A2B" w:rsidRDefault="00875323" w:rsidP="007145F7">
      <w:pPr>
        <w:pStyle w:val="BodyText"/>
        <w:spacing w:before="0" w:beforeAutospacing="0" w:after="0" w:afterAutospacing="0"/>
        <w:ind w:firstLine="720"/>
        <w:rPr>
          <w:rFonts w:cs="Times New Roman"/>
          <w:b/>
          <w:bCs/>
          <w:sz w:val="22"/>
          <w:szCs w:val="22"/>
          <w:lang w:val="fr-FR"/>
        </w:rPr>
      </w:pPr>
      <w:r w:rsidRPr="00623A2B">
        <w:rPr>
          <w:rFonts w:cs="Times New Roman"/>
          <w:sz w:val="22"/>
          <w:szCs w:val="22"/>
          <w:lang w:val="fr-FR"/>
        </w:rPr>
        <w:t>3.</w:t>
      </w:r>
      <w:r w:rsidRPr="00623A2B">
        <w:rPr>
          <w:rFonts w:cs="Times New Roman"/>
          <w:sz w:val="22"/>
          <w:szCs w:val="22"/>
          <w:lang w:val="fr-FR"/>
        </w:rPr>
        <w:tab/>
        <w:t>De charger le DECO de mettre à jour le Manuel pour les missions d’observation des élections de l’Organisation des États Américains en tenant compte de l’expérience précieuse et des bonnes pratiques des autorités électorales des États membres, ainsi que d’autres normes internationales reconnues en la matière, et de faire part du résultat de ce processus aux États membres afin que ceux-ci formulent les observations et suggestions qu’ils jugent pertinentes aux fins d’examen par le DECO.</w:t>
      </w:r>
      <w:r w:rsidRPr="00623A2B">
        <w:rPr>
          <w:rFonts w:cs="Times New Roman"/>
          <w:b/>
          <w:bCs/>
          <w:sz w:val="22"/>
          <w:szCs w:val="22"/>
          <w:lang w:val="fr-FR"/>
        </w:rPr>
        <w:t xml:space="preserve"> </w:t>
      </w:r>
    </w:p>
    <w:p w14:paraId="0F142147" w14:textId="77777777" w:rsidR="00875323" w:rsidRPr="00623A2B" w:rsidRDefault="00875323" w:rsidP="007145F7">
      <w:pPr>
        <w:pStyle w:val="BodyText"/>
        <w:spacing w:before="0" w:beforeAutospacing="0" w:after="0" w:afterAutospacing="0"/>
        <w:rPr>
          <w:rFonts w:cs="Times New Roman"/>
          <w:sz w:val="22"/>
          <w:szCs w:val="22"/>
          <w:lang w:val="fr-FR"/>
        </w:rPr>
      </w:pPr>
    </w:p>
    <w:p w14:paraId="124D68CD" w14:textId="77777777" w:rsidR="00875323" w:rsidRPr="00623A2B" w:rsidRDefault="00875323" w:rsidP="007145F7">
      <w:pPr>
        <w:pStyle w:val="BodyText"/>
        <w:spacing w:before="0" w:beforeAutospacing="0" w:after="0" w:afterAutospacing="0"/>
        <w:ind w:firstLine="720"/>
        <w:rPr>
          <w:rFonts w:cs="Times New Roman"/>
          <w:sz w:val="22"/>
          <w:szCs w:val="22"/>
          <w:lang w:val="fr-FR"/>
        </w:rPr>
      </w:pPr>
      <w:r w:rsidRPr="00623A2B">
        <w:rPr>
          <w:rFonts w:cs="Times New Roman"/>
          <w:sz w:val="22"/>
          <w:szCs w:val="22"/>
          <w:lang w:val="fr-FR"/>
        </w:rPr>
        <w:t>4.</w:t>
      </w:r>
      <w:r w:rsidRPr="00623A2B">
        <w:rPr>
          <w:rFonts w:cs="Times New Roman"/>
          <w:sz w:val="22"/>
          <w:szCs w:val="22"/>
          <w:lang w:val="fr-FR"/>
        </w:rPr>
        <w:tab/>
        <w:t>D’inviter les bailleurs de fonds à continuer de soutenir l'envoi de missions d'observation des élections et la mise en œuvre des recommandations contenues dans les rapports de ces missions qui peuvent porter sur la justice électorale, le genre, le financement politique, l'organisation des élections, les médias, les groupes sous-représentés, les technologies liées aux élections et les systèmes politiques et juridiques.</w:t>
      </w:r>
    </w:p>
    <w:p w14:paraId="3EBA494E" w14:textId="77777777" w:rsidR="00875323" w:rsidRPr="00623A2B" w:rsidRDefault="00875323" w:rsidP="007145F7">
      <w:pPr>
        <w:rPr>
          <w:rFonts w:ascii="Times New Roman" w:eastAsia="Calibri" w:hAnsi="Times New Roman"/>
          <w:szCs w:val="22"/>
          <w:lang w:val="fr-FR" w:eastAsia="es-US"/>
        </w:rPr>
      </w:pPr>
    </w:p>
    <w:p w14:paraId="0B9AFE18" w14:textId="77777777" w:rsidR="00875323" w:rsidRPr="00623A2B" w:rsidRDefault="00875323" w:rsidP="007145F7">
      <w:pPr>
        <w:autoSpaceDE w:val="0"/>
        <w:autoSpaceDN w:val="0"/>
        <w:ind w:right="107" w:firstLine="720"/>
        <w:rPr>
          <w:rFonts w:ascii="Times New Roman" w:hAnsi="Times New Roman"/>
          <w:szCs w:val="22"/>
          <w:lang w:val="fr-FR"/>
        </w:rPr>
      </w:pPr>
      <w:r w:rsidRPr="00623A2B">
        <w:rPr>
          <w:rFonts w:ascii="Times New Roman" w:hAnsi="Times New Roman"/>
          <w:szCs w:val="22"/>
          <w:lang w:val="fr-FR"/>
        </w:rPr>
        <w:t>5.</w:t>
      </w:r>
      <w:r w:rsidRPr="00623A2B">
        <w:rPr>
          <w:rFonts w:ascii="Times New Roman" w:hAnsi="Times New Roman"/>
          <w:szCs w:val="22"/>
          <w:lang w:val="fr-FR"/>
        </w:rPr>
        <w:tab/>
        <w:t>De charger le Secrétariat général de poursuivre ses efforts visant à lever des fonds afin d’assurer la viabilité financière des missions d’observation des élections et de continuer à renforcer dans ce contexte les efforts visant à soutenir la rationalité, la transparence, l'austérité et la responsabilité.</w:t>
      </w:r>
    </w:p>
    <w:p w14:paraId="5412A081" w14:textId="77777777" w:rsidR="00875323" w:rsidRPr="00623A2B" w:rsidRDefault="00875323" w:rsidP="007145F7">
      <w:pPr>
        <w:rPr>
          <w:rFonts w:ascii="Times New Roman" w:hAnsi="Times New Roman"/>
          <w:szCs w:val="22"/>
          <w:lang w:val="fr-FR"/>
        </w:rPr>
      </w:pPr>
    </w:p>
    <w:p w14:paraId="618EA998" w14:textId="77777777" w:rsidR="00667904" w:rsidRPr="00623A2B" w:rsidRDefault="0066790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lang w:val="fr-FR"/>
        </w:rPr>
      </w:pPr>
      <w:bookmarkStart w:id="63" w:name="_Toc86427157"/>
      <w:bookmarkStart w:id="64" w:name="_Toc87019935"/>
      <w:r w:rsidRPr="00623A2B">
        <w:rPr>
          <w:rFonts w:ascii="Times New Roman" w:hAnsi="Times New Roman"/>
          <w:szCs w:val="22"/>
          <w:u w:val="single"/>
          <w:lang w:val="fr-FR"/>
        </w:rPr>
        <w:br w:type="page"/>
      </w:r>
    </w:p>
    <w:p w14:paraId="69A46122" w14:textId="6E2A2307" w:rsidR="00875323" w:rsidRPr="00623A2B" w:rsidRDefault="00875323" w:rsidP="00C05265">
      <w:pPr>
        <w:pStyle w:val="ListParagraph"/>
        <w:numPr>
          <w:ilvl w:val="0"/>
          <w:numId w:val="63"/>
        </w:numPr>
        <w:ind w:hanging="540"/>
        <w:rPr>
          <w:rFonts w:ascii="Times New Roman" w:hAnsi="Times New Roman"/>
          <w:szCs w:val="22"/>
          <w:u w:val="single"/>
          <w:lang w:val="fr-FR"/>
        </w:rPr>
      </w:pPr>
      <w:r w:rsidRPr="00623A2B">
        <w:rPr>
          <w:rFonts w:ascii="Times New Roman" w:hAnsi="Times New Roman"/>
          <w:szCs w:val="22"/>
          <w:u w:val="single"/>
          <w:lang w:val="fr-FR"/>
        </w:rPr>
        <w:lastRenderedPageBreak/>
        <w:t>Renforcement du cadastre et du registre foncier dans les Amériques face à la COVID-19 (2021)</w:t>
      </w:r>
      <w:bookmarkEnd w:id="63"/>
      <w:bookmarkEnd w:id="64"/>
    </w:p>
    <w:p w14:paraId="622F413F" w14:textId="77777777" w:rsidR="00875323" w:rsidRPr="00623A2B" w:rsidRDefault="00875323" w:rsidP="007145F7">
      <w:pPr>
        <w:keepNext/>
        <w:rPr>
          <w:rFonts w:ascii="Times New Roman" w:hAnsi="Times New Roman"/>
          <w:szCs w:val="22"/>
          <w:lang w:val="fr-FR"/>
        </w:rPr>
      </w:pPr>
    </w:p>
    <w:p w14:paraId="49E6FD4E"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CONSIDÉRANT les sections « Renforcement du cadastre et du registre foncier dans les Amériques » des résolutions AG/RES.  2927 (XLVIII-O/18), AG/RES. 2931 (XLIX-O/19) et AG/RES.</w:t>
      </w:r>
      <w:r w:rsidRPr="00623A2B">
        <w:rPr>
          <w:rFonts w:ascii="Times New Roman" w:hAnsi="Times New Roman"/>
          <w:color w:val="FFFFFF"/>
          <w:szCs w:val="22"/>
          <w:lang w:val="fr-FR"/>
        </w:rPr>
        <w:t xml:space="preserve"> </w:t>
      </w:r>
      <w:r w:rsidRPr="00623A2B">
        <w:rPr>
          <w:rFonts w:ascii="Times New Roman" w:hAnsi="Times New Roman"/>
          <w:szCs w:val="22"/>
          <w:lang w:val="fr-FR"/>
        </w:rPr>
        <w:t>2958 (L-O/20), « Renforcement de la démocratie », aux termes desquelles le Secrétariat général est chargé de poursuivre, par l’intermédiaire du Département pour l’efficacité de la gestion publique, son soutien aux efforts que déploient les États membres qui en font la demande afin de renforcer leur gestion du cadastre et de leur registre foncier ainsi que pour procéder à des échanges de données d’expériences et de bonnes pratiques qui promeuvent le programme d’action régional s’y rapportant,</w:t>
      </w:r>
    </w:p>
    <w:p w14:paraId="3D9076FF" w14:textId="77777777" w:rsidR="00875323" w:rsidRPr="00623A2B" w:rsidRDefault="00875323" w:rsidP="007145F7">
      <w:pPr>
        <w:rPr>
          <w:rFonts w:ascii="Times New Roman" w:hAnsi="Times New Roman"/>
          <w:szCs w:val="22"/>
          <w:lang w:val="fr-FR"/>
        </w:rPr>
      </w:pPr>
    </w:p>
    <w:p w14:paraId="6A31F06C"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PRENANT CONNAISSANCE des effets multidimensionnels de la pandémie de COVID-19, entre autres, ses incidences sur une économie locale diminuée, et des défis auxquels l’administration publique fait face en matière de prestation de services aux citoyens, dont le cadastre et le registre foncier,</w:t>
      </w:r>
    </w:p>
    <w:p w14:paraId="18E14CA2" w14:textId="77777777" w:rsidR="00875323" w:rsidRPr="00623A2B" w:rsidRDefault="00875323" w:rsidP="007145F7">
      <w:pPr>
        <w:rPr>
          <w:rFonts w:ascii="Times New Roman" w:hAnsi="Times New Roman"/>
          <w:szCs w:val="22"/>
          <w:lang w:val="fr-FR"/>
        </w:rPr>
      </w:pPr>
    </w:p>
    <w:p w14:paraId="16459DD3"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PRENANT NOTE du rapport d’activité 2019 du Réseau interaméricain du cadastre et du registre foncier (RICRP), lequel a été présenté lors de sa sixième conférence et assemblée, tenue en mode virtuel le 4 décembre 2020 à Buenos Aires (Argentine), et lors de la réunion virtuelle de la CAJP tenue le 25 février 2021,</w:t>
      </w:r>
    </w:p>
    <w:p w14:paraId="07C45942" w14:textId="77777777" w:rsidR="00875323" w:rsidRPr="00623A2B" w:rsidRDefault="00875323" w:rsidP="007145F7">
      <w:pPr>
        <w:rPr>
          <w:rFonts w:ascii="Times New Roman" w:hAnsi="Times New Roman"/>
          <w:szCs w:val="22"/>
          <w:lang w:val="fr-FR"/>
        </w:rPr>
      </w:pPr>
    </w:p>
    <w:p w14:paraId="12A0F5E5"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EXPRIMANT SES REMERCIEMENTS au Gouvernement du Pérou à l’occasion de la tenue de la sixième conférence et assemblée du RICRP en 2020, organisée avec la collaboration de la Banque mondiale et du Secrétariat général de l'OEA, ainsi qu’à la République dominicaine, en qualité de pays président, de même qu’à la Colombie, au Honduras, à la Jamaïque, au Mexique et au Paraguay, en qualité de pays représentants auprès du Comité exécutif du Réseau pour l'année 2021,</w:t>
      </w:r>
    </w:p>
    <w:p w14:paraId="44061F84" w14:textId="77777777" w:rsidR="00875323" w:rsidRPr="00623A2B" w:rsidRDefault="00875323" w:rsidP="007145F7">
      <w:pPr>
        <w:rPr>
          <w:rFonts w:ascii="Times New Roman" w:hAnsi="Times New Roman"/>
          <w:szCs w:val="22"/>
          <w:lang w:val="fr-FR"/>
        </w:rPr>
      </w:pPr>
    </w:p>
    <w:p w14:paraId="39F3F62D" w14:textId="77777777" w:rsidR="00875323" w:rsidRPr="00623A2B" w:rsidRDefault="00875323" w:rsidP="007145F7">
      <w:pPr>
        <w:keepNext/>
        <w:rPr>
          <w:rFonts w:ascii="Times New Roman" w:hAnsi="Times New Roman"/>
          <w:szCs w:val="22"/>
          <w:lang w:val="fr-FR"/>
        </w:rPr>
      </w:pPr>
      <w:r w:rsidRPr="00623A2B">
        <w:rPr>
          <w:rFonts w:ascii="Times New Roman" w:hAnsi="Times New Roman"/>
          <w:szCs w:val="22"/>
          <w:lang w:val="fr-FR"/>
        </w:rPr>
        <w:t xml:space="preserve">DÉCIDE : </w:t>
      </w:r>
    </w:p>
    <w:p w14:paraId="5F37F36A" w14:textId="77777777" w:rsidR="00875323" w:rsidRPr="00623A2B" w:rsidRDefault="00875323" w:rsidP="007145F7">
      <w:pPr>
        <w:keepNext/>
        <w:rPr>
          <w:rFonts w:ascii="Times New Roman" w:hAnsi="Times New Roman"/>
          <w:szCs w:val="22"/>
          <w:lang w:val="fr-FR"/>
        </w:rPr>
      </w:pPr>
    </w:p>
    <w:p w14:paraId="008205E6" w14:textId="77777777" w:rsidR="00875323" w:rsidRPr="00623A2B" w:rsidRDefault="00875323" w:rsidP="00C05265">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rPr>
      </w:pPr>
      <w:r w:rsidRPr="00623A2B">
        <w:rPr>
          <w:rFonts w:ascii="Times New Roman" w:hAnsi="Times New Roman"/>
          <w:szCs w:val="22"/>
          <w:lang w:val="fr-FR"/>
        </w:rPr>
        <w:t>De charger le Secrétariat général, par l'intermédiaire du Département pour l’efficacité dans la gestion publique, de continuer à apporter son soutien en tant que Secrétariat technique du Réseau interaméricain du cadastre et du registre foncier (RICRP) en promouvant l'organisation d'activités, de programmes et de projets permettant de renforcer la gestion du cadastre et du registre foncier face à la COVID-19 ainsi que la diffusion de sa contribution au processus de relance économique et sociale de la région, la création de partenariats et la coopération pour leur mise en œuvre, y compris la formation à l’intention des organismes responsables du cadastre et du registre foncier dans la région, des échanges de données d’expériences et de connaissances entre ces organismes ainsi qu’un échange de données d’expériences sur la question de prestation de services à la population à distance et de dématérialisation du cadastre et du registre foncier.</w:t>
      </w:r>
    </w:p>
    <w:p w14:paraId="1728FA9C" w14:textId="77777777" w:rsidR="00875323" w:rsidRPr="00623A2B" w:rsidRDefault="00875323" w:rsidP="007145F7">
      <w:pPr>
        <w:contextualSpacing/>
        <w:rPr>
          <w:rFonts w:ascii="Times New Roman" w:hAnsi="Times New Roman"/>
          <w:szCs w:val="22"/>
          <w:lang w:val="fr-FR"/>
        </w:rPr>
      </w:pPr>
    </w:p>
    <w:p w14:paraId="1A22F30A" w14:textId="77777777" w:rsidR="00875323" w:rsidRPr="00623A2B" w:rsidRDefault="00875323" w:rsidP="00C05265">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rPr>
      </w:pPr>
      <w:r w:rsidRPr="00623A2B">
        <w:rPr>
          <w:rFonts w:ascii="Times New Roman" w:hAnsi="Times New Roman"/>
          <w:szCs w:val="22"/>
          <w:lang w:val="fr-FR"/>
        </w:rPr>
        <w:t xml:space="preserve">De réaffirmer l'importance d'approfondir les efforts et la promotion de l’échange de données d'expériences entre les organismes nationaux chargés du cadastre et du registre foncier pour l'avancement de la gestion du cadastre et du registre foncier ainsi que la collaboration entre ces organismes et d'autres institutions du secteur public, privé et de la société civile. Conjointement avec l'effort visant le perfectionnement de la base de données du cadastre territorial et du registre foncier, en tenant compte de l'entretien et de la mise à jour constante du cadastre et du registre foncier dans la région, d'exhorter les États membres à contribuer à la création d'un guide régional de lignes directrices sur la numérisation des procédures et des services de cadastre et de registre foncier au bénéfice des </w:t>
      </w:r>
      <w:r w:rsidRPr="00623A2B">
        <w:rPr>
          <w:rFonts w:ascii="Times New Roman" w:hAnsi="Times New Roman"/>
          <w:szCs w:val="22"/>
          <w:lang w:val="fr-FR"/>
        </w:rPr>
        <w:lastRenderedPageBreak/>
        <w:t>utilisateurs, et de demander au Département pour l’efficacité dans la gestion publique de soutenir la production de ce guide.</w:t>
      </w:r>
    </w:p>
    <w:p w14:paraId="49D286BC" w14:textId="77777777" w:rsidR="00875323" w:rsidRPr="00623A2B" w:rsidRDefault="00875323" w:rsidP="007145F7">
      <w:pPr>
        <w:contextualSpacing/>
        <w:rPr>
          <w:rFonts w:ascii="Times New Roman" w:hAnsi="Times New Roman"/>
          <w:szCs w:val="22"/>
          <w:lang w:val="fr-FR"/>
        </w:rPr>
      </w:pPr>
    </w:p>
    <w:p w14:paraId="2C87B00E" w14:textId="77777777" w:rsidR="00875323" w:rsidRPr="00623A2B" w:rsidRDefault="00875323" w:rsidP="00C05265">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rPr>
      </w:pPr>
      <w:r w:rsidRPr="00623A2B">
        <w:rPr>
          <w:rFonts w:ascii="Times New Roman" w:hAnsi="Times New Roman"/>
          <w:szCs w:val="22"/>
          <w:lang w:val="fr-FR"/>
        </w:rPr>
        <w:t>D’exhorter les institutions de cadastre et de registre foncier des États membres à participer à la formulation d'initiatives qui répondent aux objectifs énoncés dans la présente résolution par l'échange de données d'expériences qui renforcent la gestion du cadastre et du registre foncier face à la COVID-19 ainsi que la transformation numérique au moyen de l’exploitation de systèmes, de bases de données et de modèles technologiques conventionnels et, en particulier, les modèles émergents, tout en confiant au Département pour l’efficacité dans la gestion publique la réalisation de l'enquête bisannuelle sur le cadastre et le registre foncier, et la présentation d’un rapport sur les résultats de celle-ci à la Commission des questions juridiques et politiques.</w:t>
      </w:r>
    </w:p>
    <w:p w14:paraId="6C79CB78" w14:textId="77777777" w:rsidR="00875323" w:rsidRPr="00623A2B" w:rsidRDefault="00875323" w:rsidP="007145F7">
      <w:pPr>
        <w:contextualSpacing/>
        <w:rPr>
          <w:rFonts w:ascii="Times New Roman" w:hAnsi="Times New Roman"/>
          <w:szCs w:val="22"/>
          <w:lang w:val="fr-FR"/>
        </w:rPr>
      </w:pPr>
    </w:p>
    <w:p w14:paraId="177FB840" w14:textId="77777777" w:rsidR="00875323" w:rsidRPr="00623A2B" w:rsidRDefault="00875323" w:rsidP="00C05265">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rPr>
      </w:pPr>
      <w:r w:rsidRPr="00623A2B">
        <w:rPr>
          <w:rFonts w:ascii="Times New Roman" w:hAnsi="Times New Roman"/>
          <w:szCs w:val="22"/>
          <w:lang w:val="fr-FR"/>
        </w:rPr>
        <w:t>De réitérer l'invitation adressée à tous les États membres pour qu’ils assistent à la septième conférence et assemblée annuelle du RICRP qui se tiendra en mode virtuel et présentiel du 1</w:t>
      </w:r>
      <w:r w:rsidRPr="00623A2B">
        <w:rPr>
          <w:rFonts w:ascii="Times New Roman" w:hAnsi="Times New Roman"/>
          <w:szCs w:val="22"/>
          <w:vertAlign w:val="superscript"/>
          <w:lang w:val="fr-FR"/>
        </w:rPr>
        <w:t>er</w:t>
      </w:r>
      <w:r w:rsidRPr="00623A2B">
        <w:rPr>
          <w:rFonts w:ascii="Times New Roman" w:hAnsi="Times New Roman"/>
          <w:szCs w:val="22"/>
          <w:lang w:val="fr-FR"/>
        </w:rPr>
        <w:t xml:space="preserve"> au 4 novembre 2021 à Santo Domingo (République dominicaine) avec le concours du Registre immobilier de la République dominicaine en qualité de président du RICRP.</w:t>
      </w:r>
    </w:p>
    <w:p w14:paraId="19CC3A42" w14:textId="77777777" w:rsidR="00875323" w:rsidRPr="00623A2B" w:rsidRDefault="00875323" w:rsidP="007145F7">
      <w:pPr>
        <w:ind w:right="-1443"/>
        <w:rPr>
          <w:rFonts w:ascii="Times New Roman" w:hAnsi="Times New Roman"/>
          <w:szCs w:val="22"/>
          <w:lang w:val="fr-FR"/>
        </w:rPr>
      </w:pPr>
    </w:p>
    <w:p w14:paraId="4AE3A2A2" w14:textId="77777777" w:rsidR="00875323" w:rsidRPr="00623A2B" w:rsidRDefault="00875323" w:rsidP="00C05265">
      <w:pPr>
        <w:pStyle w:val="ListParagraph"/>
        <w:numPr>
          <w:ilvl w:val="0"/>
          <w:numId w:val="63"/>
        </w:numPr>
        <w:ind w:hanging="450"/>
        <w:rPr>
          <w:rFonts w:ascii="Times New Roman" w:hAnsi="Times New Roman"/>
          <w:szCs w:val="22"/>
          <w:u w:val="single"/>
          <w:lang w:val="fr-FR"/>
        </w:rPr>
      </w:pPr>
      <w:bookmarkStart w:id="65" w:name="_Toc86427158"/>
      <w:bookmarkStart w:id="66" w:name="_Toc87019936"/>
      <w:r w:rsidRPr="00623A2B">
        <w:rPr>
          <w:rFonts w:ascii="Times New Roman" w:hAnsi="Times New Roman"/>
          <w:szCs w:val="22"/>
          <w:u w:val="single"/>
          <w:lang w:val="fr-FR"/>
        </w:rPr>
        <w:t>Réunion des ministres de la justice des Amériques</w:t>
      </w:r>
      <w:bookmarkEnd w:id="65"/>
      <w:bookmarkEnd w:id="66"/>
    </w:p>
    <w:p w14:paraId="19E30495" w14:textId="77777777" w:rsidR="00875323" w:rsidRPr="00623A2B" w:rsidRDefault="00875323" w:rsidP="007145F7">
      <w:pPr>
        <w:ind w:right="-1443"/>
        <w:rPr>
          <w:rFonts w:ascii="Times New Roman" w:hAnsi="Times New Roman"/>
          <w:szCs w:val="22"/>
          <w:lang w:val="fr-FR"/>
        </w:rPr>
      </w:pPr>
    </w:p>
    <w:p w14:paraId="353398E7"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GARDANT PRÉSENT À L’ESPRIT que la coopération entre les autorités responsables en matière de justice constitue un des domaines prioritaires de l’OEA, que la Réunion des ministres de la justice des Amériques (REMJA) s’est consolidée en tant que forum politique et technique continental en matière de justice et de coopération juridique internationale, et que cette coopération est essentielle pour le développement des systèmes de justice et la consolidation de l’État de droit dans la région ; que lors des Sommets des Amériques, les chefs d’État et de gouvernement ont soutenu les travaux accomplis dans le cadre de la REMJA et la mise en œuvre de ses conclusions et recommandations,</w:t>
      </w:r>
    </w:p>
    <w:p w14:paraId="177DA86B" w14:textId="77777777" w:rsidR="00875323" w:rsidRPr="00623A2B" w:rsidRDefault="00875323" w:rsidP="007145F7">
      <w:pPr>
        <w:rPr>
          <w:rFonts w:ascii="Times New Roman" w:hAnsi="Times New Roman"/>
          <w:szCs w:val="22"/>
          <w:lang w:val="fr-FR"/>
        </w:rPr>
      </w:pPr>
    </w:p>
    <w:p w14:paraId="4AB2C3D2" w14:textId="77777777" w:rsidR="00875323" w:rsidRPr="00623A2B" w:rsidRDefault="00875323" w:rsidP="007145F7">
      <w:pPr>
        <w:rPr>
          <w:rFonts w:ascii="Times New Roman" w:hAnsi="Times New Roman"/>
          <w:szCs w:val="22"/>
          <w:lang w:val="fr-FR"/>
        </w:rPr>
      </w:pPr>
      <w:r w:rsidRPr="00623A2B">
        <w:rPr>
          <w:rFonts w:ascii="Times New Roman" w:hAnsi="Times New Roman"/>
          <w:szCs w:val="22"/>
          <w:lang w:val="fr-FR"/>
        </w:rPr>
        <w:t>DÉCIDE :</w:t>
      </w:r>
    </w:p>
    <w:p w14:paraId="470F3CE9" w14:textId="77777777" w:rsidR="00875323" w:rsidRPr="00623A2B" w:rsidRDefault="00875323" w:rsidP="007145F7">
      <w:pPr>
        <w:rPr>
          <w:rFonts w:ascii="Times New Roman" w:hAnsi="Times New Roman"/>
          <w:szCs w:val="22"/>
          <w:lang w:val="fr-FR"/>
        </w:rPr>
      </w:pPr>
    </w:p>
    <w:p w14:paraId="2EA08685"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1.</w:t>
      </w:r>
      <w:r w:rsidRPr="00623A2B">
        <w:rPr>
          <w:rFonts w:ascii="Times New Roman" w:hAnsi="Times New Roman"/>
          <w:szCs w:val="22"/>
          <w:lang w:val="fr-FR"/>
        </w:rPr>
        <w:tab/>
        <w:t xml:space="preserve">D’exprimer sa satisfaction quant aux résultats de la Onzième Réunion des ministres de la justice des Amériques (REMJA-XI), tenue les 18 et 19 mai 2021 en mode virtuel, avec pour État hôte l’Équateur ; de remercier l’Équateur, en particulier le Bureau du Procureur général de ce pays, pour l'organisation réussie de cette réunion et de reprendre à son compte les « Conclusions et recommandations de la REMJA-XI », dont le texte fait l’objet du document REMJA-XI/doc.2/21 </w:t>
      </w:r>
      <w:proofErr w:type="spellStart"/>
      <w:r w:rsidRPr="00623A2B">
        <w:rPr>
          <w:rFonts w:ascii="Times New Roman" w:hAnsi="Times New Roman"/>
          <w:szCs w:val="22"/>
          <w:lang w:val="fr-FR"/>
        </w:rPr>
        <w:t>rev</w:t>
      </w:r>
      <w:proofErr w:type="spellEnd"/>
      <w:r w:rsidRPr="00623A2B">
        <w:rPr>
          <w:rFonts w:ascii="Times New Roman" w:hAnsi="Times New Roman"/>
          <w:szCs w:val="22"/>
          <w:lang w:val="fr-FR"/>
        </w:rPr>
        <w:t>. 1 et fait partie de la présente résolution, et de charger le Département de la coopération juridique du Secrétariat aux questions juridiques, en sa qualité de Secrétariat technique de la REMJA, d’accomplir les mandats qui lui ont été attribués dans ce document en fonction des ressources allouées.</w:t>
      </w:r>
    </w:p>
    <w:p w14:paraId="5F5567EB" w14:textId="77777777" w:rsidR="00875323" w:rsidRPr="00623A2B" w:rsidRDefault="00875323" w:rsidP="007145F7">
      <w:pPr>
        <w:rPr>
          <w:rFonts w:ascii="Times New Roman" w:hAnsi="Times New Roman"/>
          <w:szCs w:val="22"/>
          <w:lang w:val="fr-FR"/>
        </w:rPr>
      </w:pPr>
    </w:p>
    <w:p w14:paraId="6A8086C6"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2.</w:t>
      </w:r>
      <w:r w:rsidRPr="00623A2B">
        <w:rPr>
          <w:rFonts w:ascii="Times New Roman" w:hAnsi="Times New Roman"/>
          <w:szCs w:val="22"/>
          <w:lang w:val="fr-FR"/>
        </w:rPr>
        <w:tab/>
        <w:t>De saluer la réalisation des mandats de la REMJA pendant la pandémie de COVID-19 avec le soutien du Secrétariat technique de la REMJA, tels que l'organisation d'ateliers de formation régionaux et de webinaires sur divers sujets, notamment la cybercriminalité et les cryptomonnaies.</w:t>
      </w:r>
    </w:p>
    <w:p w14:paraId="5FBF430D" w14:textId="77777777" w:rsidR="00875323" w:rsidRPr="00623A2B" w:rsidRDefault="00875323" w:rsidP="007145F7">
      <w:pPr>
        <w:rPr>
          <w:rFonts w:ascii="Times New Roman" w:hAnsi="Times New Roman"/>
          <w:szCs w:val="22"/>
          <w:lang w:val="fr-FR"/>
        </w:rPr>
      </w:pPr>
    </w:p>
    <w:p w14:paraId="477C43DB" w14:textId="77777777" w:rsidR="00875323" w:rsidRPr="00623A2B" w:rsidRDefault="00875323" w:rsidP="007145F7">
      <w:pPr>
        <w:ind w:firstLine="720"/>
        <w:rPr>
          <w:rFonts w:ascii="Times New Roman" w:eastAsia="Calibri" w:hAnsi="Times New Roman"/>
          <w:b/>
          <w:bCs/>
          <w:szCs w:val="22"/>
          <w:lang w:val="fr-FR"/>
        </w:rPr>
      </w:pPr>
      <w:r w:rsidRPr="00623A2B">
        <w:rPr>
          <w:rFonts w:ascii="Times New Roman" w:hAnsi="Times New Roman"/>
          <w:szCs w:val="22"/>
          <w:lang w:val="fr-FR"/>
        </w:rPr>
        <w:t>3.</w:t>
      </w:r>
      <w:r w:rsidRPr="00623A2B">
        <w:rPr>
          <w:rFonts w:ascii="Times New Roman" w:hAnsi="Times New Roman"/>
          <w:szCs w:val="22"/>
          <w:lang w:val="fr-FR"/>
        </w:rPr>
        <w:tab/>
      </w:r>
      <w:r w:rsidRPr="00623A2B">
        <w:rPr>
          <w:rFonts w:ascii="Times New Roman" w:eastAsia="Calibri" w:hAnsi="Times New Roman"/>
          <w:szCs w:val="22"/>
          <w:lang w:val="fr-FR"/>
        </w:rPr>
        <w:t>De saluer la création, par la REMJA XI, d’un nouveau groupe de travail composé d’experts des ministères de la justice des Amériques chargé de mettre au point des recommandations concernant le renforcement du processus REMJA ou des mesures visant le renforcement de ce processus dans le but d’entreprendre un suivi opportun et approprié des recommandations et conclusions adoptées par la REMJA.</w:t>
      </w:r>
    </w:p>
    <w:p w14:paraId="05440540" w14:textId="77777777" w:rsidR="00875323" w:rsidRPr="00623A2B" w:rsidRDefault="00875323" w:rsidP="007145F7">
      <w:pPr>
        <w:rPr>
          <w:rFonts w:ascii="Times New Roman" w:hAnsi="Times New Roman"/>
          <w:szCs w:val="22"/>
          <w:lang w:val="fr-FR"/>
        </w:rPr>
      </w:pPr>
    </w:p>
    <w:p w14:paraId="1D8A0FD1"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lastRenderedPageBreak/>
        <w:t>4.</w:t>
      </w:r>
      <w:r w:rsidRPr="00623A2B">
        <w:rPr>
          <w:rFonts w:ascii="Times New Roman" w:hAnsi="Times New Roman"/>
          <w:szCs w:val="22"/>
          <w:lang w:val="fr-FR"/>
        </w:rPr>
        <w:tab/>
        <w:t>De charger le Conseil permanent de convoquer les réunions des groupes de travail de la REMJA, en fonction de la disponibilité des ressources, et de demander au Secrétariat technique de la REMJA de fournir un soutien technique pour la tenue de ces réunions.</w:t>
      </w:r>
    </w:p>
    <w:p w14:paraId="548D74CE" w14:textId="77777777" w:rsidR="00875323" w:rsidRPr="00623A2B" w:rsidRDefault="00875323" w:rsidP="007145F7">
      <w:pPr>
        <w:rPr>
          <w:rFonts w:ascii="Times New Roman" w:hAnsi="Times New Roman"/>
          <w:szCs w:val="22"/>
          <w:lang w:val="fr-FR"/>
        </w:rPr>
      </w:pPr>
    </w:p>
    <w:p w14:paraId="51C6DF4C"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5.</w:t>
      </w:r>
      <w:r w:rsidRPr="00623A2B">
        <w:rPr>
          <w:rFonts w:ascii="Times New Roman" w:hAnsi="Times New Roman"/>
          <w:szCs w:val="22"/>
          <w:lang w:val="fr-FR"/>
        </w:rPr>
        <w:tab/>
        <w:t>De demander au Secrétariat technique de continuer à fournir un appui, des services de consultation juridique et une aide technique à la REMJA, à ses groupes de travail et réunions techniques ; à élaborer des documents et des études visant à soutenir le suivi et l'application de ses recommandations ; à mettre en œuvre des programmes, projets et activités de coopération technique à titre de suivi ; à administrer et à assurer l’entretien des réseaux relevant de sa sphère de compétence ; à mener des démarches en vue d'obtenir des ressources pour le financement des activités de la REMJA ; à renforcer la coordination et la collaboration avec les secrétariats d'autres organismes, entités ou mécanismes de coopération internationale dans les domaines intéressant la REMJA et à mettre en œuvre les autres attributions que lui confère le Document de Washington.</w:t>
      </w:r>
    </w:p>
    <w:p w14:paraId="557145FE" w14:textId="77777777" w:rsidR="00875323" w:rsidRPr="00623A2B" w:rsidRDefault="00875323" w:rsidP="007145F7">
      <w:pPr>
        <w:snapToGrid w:val="0"/>
        <w:ind w:right="61"/>
        <w:rPr>
          <w:rFonts w:ascii="Times New Roman" w:hAnsi="Times New Roman"/>
          <w:bCs/>
          <w:snapToGrid w:val="0"/>
          <w:szCs w:val="22"/>
          <w:lang w:val="fr-FR" w:eastAsia="es-ES_tradnl"/>
        </w:rPr>
      </w:pPr>
    </w:p>
    <w:p w14:paraId="759703E0" w14:textId="77777777" w:rsidR="00875323" w:rsidRPr="00623A2B" w:rsidRDefault="00875323" w:rsidP="00C05265">
      <w:pPr>
        <w:pStyle w:val="ListParagraph"/>
        <w:numPr>
          <w:ilvl w:val="0"/>
          <w:numId w:val="63"/>
        </w:numPr>
        <w:ind w:hanging="450"/>
        <w:rPr>
          <w:rFonts w:ascii="Times New Roman" w:hAnsi="Times New Roman"/>
          <w:szCs w:val="22"/>
          <w:u w:val="single"/>
          <w:lang w:val="fr-FR"/>
        </w:rPr>
      </w:pPr>
      <w:bookmarkStart w:id="67" w:name="_Toc86427159"/>
      <w:bookmarkStart w:id="68" w:name="_Toc87019937"/>
      <w:r w:rsidRPr="00623A2B">
        <w:rPr>
          <w:rFonts w:ascii="Times New Roman" w:hAnsi="Times New Roman"/>
          <w:szCs w:val="22"/>
          <w:u w:val="single"/>
          <w:lang w:val="fr-FR"/>
        </w:rPr>
        <w:t>Suivi de la Convention interaméricaine contre la corruption et du Programme interaméricain de coopération pour la lutte contre la corruption</w:t>
      </w:r>
      <w:bookmarkEnd w:id="67"/>
      <w:bookmarkEnd w:id="68"/>
    </w:p>
    <w:p w14:paraId="3D7CAA14" w14:textId="77777777" w:rsidR="00875323" w:rsidRPr="00623A2B" w:rsidRDefault="00875323" w:rsidP="007145F7">
      <w:pPr>
        <w:rPr>
          <w:rFonts w:ascii="Times New Roman" w:hAnsi="Times New Roman"/>
          <w:szCs w:val="22"/>
          <w:lang w:val="fr-FR"/>
        </w:rPr>
      </w:pPr>
    </w:p>
    <w:p w14:paraId="729584EC"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 xml:space="preserve">PRENANT EN COMPTE l’engagement des États membres envers la prévention de la corruption et la lutte contre celle-ci, concrétisé dans le Plan stratégique intégral de l’Organisation ainsi que dans les mandats issus des Sommets des Amériques, en particulier ceux énoncés dans l’Engagement de Lima : « La gouvernance démocratique face à la corruption », adopté à Lima (Pérou) en avril 2018, qui ont trait à la Convention interaméricaine contre la corruption et au Mécanisme de suivi de la mise en œuvre de la Convention interaméricaine contre la corruption (MESICIC), de même que le « Programme interaméricain de coopération pour la lutte contre la corruption » [AG/RES. 2275 (XXXVII-O/07)] et les « Recommandations de la Quatrième Réunion de la Conférence des États parties au MESICIC » (MESICIC/CEP-IV/doc.2/15 </w:t>
      </w:r>
      <w:proofErr w:type="spellStart"/>
      <w:r w:rsidRPr="00623A2B">
        <w:rPr>
          <w:rFonts w:ascii="Times New Roman" w:hAnsi="Times New Roman"/>
          <w:szCs w:val="22"/>
          <w:lang w:val="fr-FR"/>
        </w:rPr>
        <w:t>rev</w:t>
      </w:r>
      <w:proofErr w:type="spellEnd"/>
      <w:r w:rsidRPr="00623A2B">
        <w:rPr>
          <w:rFonts w:ascii="Times New Roman" w:hAnsi="Times New Roman"/>
          <w:szCs w:val="22"/>
          <w:lang w:val="fr-FR"/>
        </w:rPr>
        <w:t>. 1),</w:t>
      </w:r>
    </w:p>
    <w:p w14:paraId="6D1952C2" w14:textId="77777777" w:rsidR="00875323" w:rsidRPr="00623A2B" w:rsidRDefault="00875323" w:rsidP="007145F7">
      <w:pPr>
        <w:rPr>
          <w:rFonts w:ascii="Times New Roman" w:hAnsi="Times New Roman"/>
          <w:szCs w:val="22"/>
          <w:lang w:val="fr-FR"/>
        </w:rPr>
      </w:pPr>
    </w:p>
    <w:p w14:paraId="7F88D495" w14:textId="77777777" w:rsidR="00875323" w:rsidRPr="00623A2B" w:rsidRDefault="00875323" w:rsidP="007145F7">
      <w:pPr>
        <w:rPr>
          <w:rFonts w:ascii="Times New Roman" w:hAnsi="Times New Roman"/>
          <w:szCs w:val="22"/>
          <w:lang w:val="fr-FR"/>
        </w:rPr>
      </w:pPr>
      <w:r w:rsidRPr="00623A2B">
        <w:rPr>
          <w:rFonts w:ascii="Times New Roman" w:hAnsi="Times New Roman"/>
          <w:szCs w:val="22"/>
          <w:lang w:val="fr-FR"/>
        </w:rPr>
        <w:t>DÉCIDE :</w:t>
      </w:r>
    </w:p>
    <w:p w14:paraId="3F505EED" w14:textId="77777777" w:rsidR="00875323" w:rsidRPr="00623A2B" w:rsidRDefault="00875323" w:rsidP="007145F7">
      <w:pPr>
        <w:rPr>
          <w:rFonts w:ascii="Times New Roman" w:hAnsi="Times New Roman"/>
          <w:szCs w:val="22"/>
          <w:lang w:val="fr-FR"/>
        </w:rPr>
      </w:pPr>
    </w:p>
    <w:p w14:paraId="09567B40"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1.</w:t>
      </w:r>
      <w:r w:rsidRPr="00623A2B">
        <w:rPr>
          <w:rFonts w:ascii="Times New Roman" w:hAnsi="Times New Roman"/>
          <w:szCs w:val="22"/>
          <w:lang w:val="fr-FR"/>
        </w:rPr>
        <w:tab/>
        <w:t>De réaffirmer l’engagement des États membres de prévenir et de combattre la corruption de manière résolue, à promouvoir la transparence dans la gestion publique et dans la relation public-privé ainsi que la responsabilité, et de continuer à progresser dans la mise en œuvre effective des recommandations du Mécanisme de suivi de la mise en œuvre de la Convention interaméricaine contre la corruption (MESICIC).</w:t>
      </w:r>
    </w:p>
    <w:p w14:paraId="55C2EEDC" w14:textId="77777777" w:rsidR="00875323" w:rsidRPr="00623A2B" w:rsidRDefault="00875323" w:rsidP="007145F7">
      <w:pPr>
        <w:rPr>
          <w:rFonts w:ascii="Times New Roman" w:hAnsi="Times New Roman"/>
          <w:szCs w:val="22"/>
          <w:lang w:val="fr-FR"/>
        </w:rPr>
      </w:pPr>
    </w:p>
    <w:p w14:paraId="325258FF"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2.</w:t>
      </w:r>
      <w:r w:rsidRPr="00623A2B">
        <w:rPr>
          <w:rFonts w:ascii="Times New Roman" w:hAnsi="Times New Roman"/>
          <w:szCs w:val="22"/>
          <w:lang w:val="fr-FR"/>
        </w:rPr>
        <w:tab/>
        <w:t>D’exprimer sa reconnaissance au Comité d'experts du MESICIC pour le travail effectué, avec le soutien du Département de la coopération juridique en sa qualité de secrétariat technique de ce mécanisme, qui a entamé son sixième cycle et a réalisé les travaux correspondant au processus d'analyse dans le cadre de ce cycle du Paraguay, du Pérou, du Costa Rica et du Mexique, dans le contexte des défis présentés par la pandémie de COVID-19 et conformément au calendrier adopté.</w:t>
      </w:r>
    </w:p>
    <w:p w14:paraId="1C2CF7C5" w14:textId="77777777" w:rsidR="00875323" w:rsidRPr="00623A2B" w:rsidRDefault="00875323" w:rsidP="007145F7">
      <w:pPr>
        <w:rPr>
          <w:rFonts w:ascii="Times New Roman" w:hAnsi="Times New Roman"/>
          <w:szCs w:val="22"/>
          <w:lang w:val="fr-FR"/>
        </w:rPr>
      </w:pPr>
    </w:p>
    <w:p w14:paraId="0429FED6"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3.</w:t>
      </w:r>
      <w:r w:rsidRPr="00623A2B">
        <w:rPr>
          <w:rFonts w:ascii="Times New Roman" w:hAnsi="Times New Roman"/>
          <w:szCs w:val="22"/>
          <w:lang w:val="fr-FR"/>
        </w:rPr>
        <w:tab/>
        <w:t>D’exprimer sa satisfaction quant renforcement continu du MESICIC en tant que forum de coopération et d'échange de bonnes pratiques et d'informations, d'expériences et d'évolutions pertinentes des États en matière de prévention et de lutte contre la corruption, comme cela s'est produit dans le cadre des réunions virtuelles du Comité d'experts du MESICIC et des webinaires organisés pendant la pandémie de COVID-19.</w:t>
      </w:r>
    </w:p>
    <w:p w14:paraId="5A22090B" w14:textId="77777777" w:rsidR="00875323" w:rsidRPr="00623A2B" w:rsidRDefault="00875323" w:rsidP="007145F7">
      <w:pPr>
        <w:rPr>
          <w:rFonts w:ascii="Times New Roman" w:hAnsi="Times New Roman"/>
          <w:szCs w:val="22"/>
          <w:lang w:val="fr-FR"/>
        </w:rPr>
      </w:pPr>
    </w:p>
    <w:p w14:paraId="66C1D8C4"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lastRenderedPageBreak/>
        <w:t>4.</w:t>
      </w:r>
      <w:r w:rsidRPr="00623A2B">
        <w:rPr>
          <w:rFonts w:ascii="Times New Roman" w:hAnsi="Times New Roman"/>
          <w:szCs w:val="22"/>
          <w:lang w:val="fr-FR"/>
        </w:rPr>
        <w:tab/>
        <w:t>De charger le Département de la coopération juridique du Secrétariat aux questions juridiques, en sa qualité de secrétariat technique du MESICIC, de continuer d’exécuter les mandats issus des Recommandations de la Quatrième Réunion de la Conférence des États parties au MESICIC, en fonction des ressources allouées à cet effet dans le programme-budget de l’Organisation et d’autres ressources.</w:t>
      </w:r>
    </w:p>
    <w:p w14:paraId="35A5B504" w14:textId="77777777" w:rsidR="00875323" w:rsidRPr="00623A2B" w:rsidRDefault="00875323" w:rsidP="007145F7">
      <w:pPr>
        <w:rPr>
          <w:rFonts w:ascii="Times New Roman" w:hAnsi="Times New Roman"/>
          <w:szCs w:val="22"/>
          <w:lang w:val="fr-FR"/>
        </w:rPr>
      </w:pPr>
    </w:p>
    <w:p w14:paraId="311E1DD1"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5.</w:t>
      </w:r>
      <w:r w:rsidRPr="00623A2B">
        <w:rPr>
          <w:rFonts w:ascii="Times New Roman" w:hAnsi="Times New Roman"/>
          <w:szCs w:val="22"/>
          <w:lang w:val="fr-FR"/>
        </w:rPr>
        <w:tab/>
        <w:t>De demander également au Secrétariat technique du MESICIC de continuer à fournir, dans le cadre de ses compétences, notamment, un soutien technique et des conseils juridiques à la Conférence des États parties et à son Comité d’experts et à faciliter les échanges de bonnes pratiques et la coopération en vue de l’atteinte des objectifs de la Convention interaméricaine contre la corruption ; de même, de continuer à fournir un appui technique, selon les besoins, au Programme interaméricain de coopération pour la lutte contre la corruption, en maintenant le Portail anticorruption des Amériques et en réalisant les démarches nécessaires afin d’obtenir des ressources pour le financement des activités de coopération régionale, y compris de coopération juridique contre la corruption.</w:t>
      </w:r>
    </w:p>
    <w:p w14:paraId="6B6A99B7" w14:textId="77777777" w:rsidR="00875323" w:rsidRPr="00623A2B" w:rsidRDefault="00875323" w:rsidP="007145F7">
      <w:pPr>
        <w:rPr>
          <w:rFonts w:ascii="Times New Roman" w:hAnsi="Times New Roman"/>
          <w:szCs w:val="22"/>
          <w:lang w:val="fr-FR"/>
        </w:rPr>
      </w:pPr>
    </w:p>
    <w:p w14:paraId="7397E38F"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6.</w:t>
      </w:r>
      <w:r w:rsidRPr="00623A2B">
        <w:rPr>
          <w:rFonts w:ascii="Times New Roman" w:hAnsi="Times New Roman"/>
          <w:szCs w:val="22"/>
          <w:lang w:val="fr-FR"/>
        </w:rPr>
        <w:tab/>
        <w:t>D’inviter aussi le Secrétariat technique du MESICIC à continuer de renforcer la coordination et la collaboration avec les secrétariats d’autres organismes, entités ou mécanismes de coopération internationale en la matière, en encourageant des synergies et une culture anticorruption et en s’acquittant des autres fonctions qui lui sont conférées par le Document de Buenos Aires et les règlements de la Conférence des États parties au MESICIC et de son Comité d’experts.</w:t>
      </w:r>
    </w:p>
    <w:p w14:paraId="2501DC50" w14:textId="77777777" w:rsidR="00875323" w:rsidRPr="00623A2B" w:rsidRDefault="00875323" w:rsidP="007145F7">
      <w:pPr>
        <w:rPr>
          <w:rFonts w:ascii="Times New Roman" w:hAnsi="Times New Roman"/>
          <w:szCs w:val="22"/>
          <w:lang w:val="fr-FR"/>
        </w:rPr>
      </w:pPr>
    </w:p>
    <w:p w14:paraId="536DAA2D"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7.</w:t>
      </w:r>
      <w:r w:rsidRPr="00623A2B">
        <w:rPr>
          <w:rFonts w:ascii="Times New Roman" w:hAnsi="Times New Roman"/>
          <w:szCs w:val="22"/>
          <w:lang w:val="fr-FR"/>
        </w:rPr>
        <w:tab/>
        <w:t>De demander au Secrétariat technique du MESICIC de continuer à élaborer, en coordination avec le Département pour l’efficacité dans la gestion publique, dans le cadre de leurs compétences respectives, des mesures destinées à faciliter l’identification d’opportunités et l’offre de coopération technique entre les États parties qui en font la demande, en se servant des capacités du MECIGEP.</w:t>
      </w:r>
    </w:p>
    <w:p w14:paraId="31265445" w14:textId="77777777" w:rsidR="00875323" w:rsidRPr="00623A2B" w:rsidRDefault="00875323" w:rsidP="007145F7">
      <w:pPr>
        <w:rPr>
          <w:rFonts w:ascii="Times New Roman" w:hAnsi="Times New Roman"/>
          <w:szCs w:val="22"/>
          <w:lang w:val="fr-FR"/>
        </w:rPr>
      </w:pPr>
    </w:p>
    <w:p w14:paraId="267B9F54"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8.</w:t>
      </w:r>
      <w:r w:rsidRPr="00623A2B">
        <w:rPr>
          <w:rFonts w:ascii="Times New Roman" w:hAnsi="Times New Roman"/>
          <w:szCs w:val="22"/>
          <w:lang w:val="fr-FR"/>
        </w:rPr>
        <w:tab/>
        <w:t>De demander que le MESICIC continue de mettre en œuvre, dans le cadre de ses compétences et en fonction des ressources inscrites dans le programme-budget de l’Organisation et d’autres ressources, les mandats qui lui sont confiés dans l’Engagement de Lima : « La gouvernance démocratique face à la corruption », adopté lors du Huitième Sommet des Amériques tenu en avril 2018 à Lima (Pérou), et présente au Conseil permanent, par l’intermédiaire de la présidence du Comité d’experts du MESICIC, un rapport sur les progrès accomplis dans la mise en œuvre de ces mandats, avant la cinquante-deuxième session ordinaire de l’Assemblée générale.</w:t>
      </w:r>
    </w:p>
    <w:p w14:paraId="6F9C1F32" w14:textId="77777777" w:rsidR="00875323" w:rsidRPr="00623A2B" w:rsidRDefault="00875323" w:rsidP="007145F7">
      <w:pPr>
        <w:rPr>
          <w:rFonts w:ascii="Times New Roman" w:hAnsi="Times New Roman"/>
          <w:szCs w:val="22"/>
          <w:lang w:val="fr-FR"/>
        </w:rPr>
      </w:pPr>
    </w:p>
    <w:p w14:paraId="5365BE85"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9.</w:t>
      </w:r>
      <w:r w:rsidRPr="00623A2B">
        <w:rPr>
          <w:rFonts w:ascii="Times New Roman" w:hAnsi="Times New Roman"/>
          <w:szCs w:val="22"/>
          <w:lang w:val="fr-FR"/>
        </w:rPr>
        <w:tab/>
        <w:t>De reconnaître les progrès réalisés par le MESICIC dans la mise en œuvre des mandats mentionnés au paragraphe 8, notamment l’examen d’une proposition d’indicateurs visant à réduire l’impunité pour les actes de corruption et l’augmentation des activités de promotion de synergies avec d’autres mécanismes internationaux de lutte contre la corruption, tels que ceux de l’ONU, du Groupe d’États contre la corruption (GRECO) du Conseil de l'Europe, du Groupe de travail anticorruption du G20 et de l’Organisation de coopération et de développement économiques (OCDE).</w:t>
      </w:r>
    </w:p>
    <w:p w14:paraId="014AC9D0" w14:textId="77777777" w:rsidR="00875323" w:rsidRPr="00623A2B" w:rsidRDefault="00875323" w:rsidP="007145F7">
      <w:pPr>
        <w:rPr>
          <w:rFonts w:ascii="Times New Roman" w:hAnsi="Times New Roman"/>
          <w:szCs w:val="22"/>
          <w:lang w:val="fr-FR"/>
        </w:rPr>
      </w:pPr>
    </w:p>
    <w:p w14:paraId="2D2CEDB5"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10.</w:t>
      </w:r>
      <w:r w:rsidRPr="00623A2B">
        <w:rPr>
          <w:rFonts w:ascii="Times New Roman" w:hAnsi="Times New Roman"/>
          <w:szCs w:val="22"/>
          <w:lang w:val="fr-FR"/>
        </w:rPr>
        <w:tab/>
        <w:t>De prier instamment les États membres d’adopter des mesures efficaces pour la récupération des biens volés, contre l’évitement fiscal et contre l’évasion fiscale, contre le blanchiment d’actifs et les flux financiers illicites provenant de la corruption, pour l’identification des bénéficiaires finaux, ainsi que pour la surveillance étroite de la gestion des marchés publics et des processus de passation de contrats.</w:t>
      </w:r>
    </w:p>
    <w:p w14:paraId="2FA7F4A0"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lastRenderedPageBreak/>
        <w:t>11.</w:t>
      </w:r>
      <w:r w:rsidRPr="00623A2B">
        <w:rPr>
          <w:rFonts w:ascii="Times New Roman" w:hAnsi="Times New Roman"/>
          <w:szCs w:val="22"/>
          <w:lang w:val="fr-FR"/>
        </w:rPr>
        <w:tab/>
        <w:t>D’encourager les États membres et les observateurs permanents à coopérer avec le MESICIC et à appuyer son financement afin d’assurer la réalisation de ses objectifs, en reconnaissant les difficultés qu’un déficit budgétaire de l’OEA peut faire peser sur le travail du MESICIC.</w:t>
      </w:r>
    </w:p>
    <w:p w14:paraId="5960621F" w14:textId="77777777" w:rsidR="00875323" w:rsidRPr="00623A2B" w:rsidRDefault="00875323" w:rsidP="007145F7">
      <w:pPr>
        <w:rPr>
          <w:rFonts w:ascii="Times New Roman" w:hAnsi="Times New Roman"/>
          <w:szCs w:val="22"/>
          <w:lang w:val="fr-FR"/>
        </w:rPr>
      </w:pPr>
    </w:p>
    <w:p w14:paraId="61A12619" w14:textId="77777777" w:rsidR="00875323" w:rsidRPr="00623A2B" w:rsidRDefault="00875323" w:rsidP="00C05265">
      <w:pPr>
        <w:pStyle w:val="ListParagraph"/>
        <w:numPr>
          <w:ilvl w:val="0"/>
          <w:numId w:val="63"/>
        </w:numPr>
        <w:rPr>
          <w:rFonts w:ascii="Times New Roman" w:hAnsi="Times New Roman"/>
          <w:szCs w:val="22"/>
          <w:u w:val="single"/>
          <w:lang w:val="fr-FR"/>
        </w:rPr>
      </w:pPr>
      <w:bookmarkStart w:id="69" w:name="_Toc86427160"/>
      <w:bookmarkStart w:id="70" w:name="_Toc87019938"/>
      <w:r w:rsidRPr="00623A2B">
        <w:rPr>
          <w:rFonts w:ascii="Times New Roman" w:hAnsi="Times New Roman"/>
          <w:szCs w:val="22"/>
          <w:u w:val="single"/>
          <w:lang w:val="fr-FR"/>
        </w:rPr>
        <w:t>Programme interaméricain des facilitateurs judiciaires</w:t>
      </w:r>
      <w:bookmarkEnd w:id="69"/>
      <w:bookmarkEnd w:id="70"/>
    </w:p>
    <w:p w14:paraId="7E3F85B7" w14:textId="77777777" w:rsidR="00875323" w:rsidRPr="00623A2B" w:rsidRDefault="00875323" w:rsidP="007145F7">
      <w:pPr>
        <w:rPr>
          <w:rFonts w:ascii="Times New Roman" w:hAnsi="Times New Roman"/>
          <w:szCs w:val="22"/>
          <w:lang w:val="fr-FR"/>
        </w:rPr>
      </w:pPr>
    </w:p>
    <w:p w14:paraId="65F9A840"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RECONNAISSANT l'importance du travail effectué même pendant la pandémie de COVID-19 par les facilitateurs et facilitatrices judiciaires, y compris dans les communautés les plus éloignées et défavorisées, comme un moyen approprié pour créer des conditions de paix et d'harmonie au sein des populations, ainsi que pour favoriser le droit d’accès à la justice et renforcer le cadre institutionnel en articulant la communication entre les membres des communautés et les institutions nationales,</w:t>
      </w:r>
    </w:p>
    <w:p w14:paraId="35B8994F" w14:textId="77777777" w:rsidR="00875323" w:rsidRPr="00623A2B" w:rsidRDefault="00875323" w:rsidP="007145F7">
      <w:pPr>
        <w:rPr>
          <w:rFonts w:ascii="Times New Roman" w:hAnsi="Times New Roman"/>
          <w:szCs w:val="22"/>
          <w:lang w:val="fr-FR"/>
        </w:rPr>
      </w:pPr>
    </w:p>
    <w:p w14:paraId="05DE416C"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CONSIDÉRANT que le Programme des facilitateurs judiciaires est en train de franchir une nouvelle étape, soit l’établissement de nouvelles activités et le perfectionnement de ses objectifs afin d'optimiser le travail effectué par les services nationaux de facilitateurs dans les États qui font partie du Programme,</w:t>
      </w:r>
    </w:p>
    <w:p w14:paraId="3A8077EB" w14:textId="77777777" w:rsidR="00875323" w:rsidRPr="00623A2B" w:rsidRDefault="00875323" w:rsidP="007145F7">
      <w:pPr>
        <w:rPr>
          <w:rFonts w:ascii="Times New Roman" w:hAnsi="Times New Roman"/>
          <w:szCs w:val="22"/>
          <w:lang w:val="fr-FR"/>
        </w:rPr>
      </w:pPr>
    </w:p>
    <w:p w14:paraId="6D85483D" w14:textId="77777777" w:rsidR="00875323" w:rsidRPr="00623A2B" w:rsidRDefault="00875323" w:rsidP="007145F7">
      <w:pPr>
        <w:rPr>
          <w:rFonts w:ascii="Times New Roman" w:hAnsi="Times New Roman"/>
          <w:szCs w:val="22"/>
          <w:lang w:val="fr-FR"/>
        </w:rPr>
      </w:pPr>
      <w:r w:rsidRPr="00623A2B">
        <w:rPr>
          <w:rFonts w:ascii="Times New Roman" w:hAnsi="Times New Roman"/>
          <w:szCs w:val="22"/>
          <w:lang w:val="fr-FR"/>
        </w:rPr>
        <w:t>DÉCIDE :</w:t>
      </w:r>
    </w:p>
    <w:p w14:paraId="2D312C25" w14:textId="77777777" w:rsidR="00875323" w:rsidRPr="00623A2B" w:rsidRDefault="00875323" w:rsidP="007145F7">
      <w:pPr>
        <w:rPr>
          <w:rFonts w:ascii="Times New Roman" w:hAnsi="Times New Roman"/>
          <w:szCs w:val="22"/>
          <w:lang w:val="fr-FR"/>
        </w:rPr>
      </w:pPr>
    </w:p>
    <w:p w14:paraId="52775524"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1.</w:t>
      </w:r>
      <w:r w:rsidRPr="00623A2B">
        <w:rPr>
          <w:rFonts w:ascii="Times New Roman" w:hAnsi="Times New Roman"/>
          <w:szCs w:val="22"/>
          <w:lang w:val="fr-FR"/>
        </w:rPr>
        <w:tab/>
        <w:t>D’inviter les États membres à soutenir la nouvelle étape du Programme interaméricain des facilitateurs judiciaires (PIFJ) et, dans ce contexte, à promouvoir les actions suivantes : optimisation du fonctionnement des services nationaux de facilitateurs judiciaires, renforcement et accompagnement ; formation et apprentissage continus ; diffusion des contenus et des activités.</w:t>
      </w:r>
    </w:p>
    <w:p w14:paraId="470A2DC7" w14:textId="77777777" w:rsidR="00875323" w:rsidRPr="00623A2B" w:rsidRDefault="00875323" w:rsidP="007145F7">
      <w:pPr>
        <w:rPr>
          <w:rFonts w:ascii="Times New Roman" w:hAnsi="Times New Roman"/>
          <w:szCs w:val="22"/>
          <w:lang w:val="fr-FR"/>
        </w:rPr>
      </w:pPr>
    </w:p>
    <w:p w14:paraId="6C8B141E"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2.</w:t>
      </w:r>
      <w:r w:rsidRPr="00623A2B">
        <w:rPr>
          <w:rFonts w:ascii="Times New Roman" w:hAnsi="Times New Roman"/>
          <w:szCs w:val="22"/>
          <w:lang w:val="fr-FR"/>
        </w:rPr>
        <w:tab/>
        <w:t>De demander au Secrétariat général, conjointement avec le PIFJ, en fonction des ressources disponibles, d'évaluer et de mesurer l'impact du service fourni par le Programme afin d'identifier les mécanismes mis en œuvre avec de plus grands résultats et bénéfices au sein des communautés, en particulier dans celles en situation de plus grande vulnérabilité, dans lesquelles le PIFJ est mis en œuvre afin de partager les meilleures pratiques, les leçons apprises et les capacités technologiques parmi les services nationaux de facilitateurs et facilitatrices judiciaires et, de cette façon, soutenir les efforts visant à faciliter l'identification des besoins, des questions prioritaires, des avantages directs pour les communautés et l'articulation avec les normes nationales et le PIFJ.</w:t>
      </w:r>
    </w:p>
    <w:p w14:paraId="2E8FA129" w14:textId="77777777" w:rsidR="00875323" w:rsidRPr="00623A2B" w:rsidRDefault="00875323" w:rsidP="007145F7">
      <w:pPr>
        <w:rPr>
          <w:rFonts w:ascii="Times New Roman" w:hAnsi="Times New Roman"/>
          <w:szCs w:val="22"/>
          <w:lang w:val="fr-FR"/>
        </w:rPr>
      </w:pPr>
    </w:p>
    <w:p w14:paraId="572668DA"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3.</w:t>
      </w:r>
      <w:r w:rsidRPr="00623A2B">
        <w:rPr>
          <w:rFonts w:ascii="Times New Roman" w:hAnsi="Times New Roman"/>
          <w:szCs w:val="22"/>
          <w:lang w:val="fr-FR"/>
        </w:rPr>
        <w:tab/>
        <w:t>D’inviter instamment le Secrétariat général, en collaboration avec le PIFJ, à accompagner les États dans l'identification de nouvelles attributions pour les facilitateurs et facilitatrices judiciaires et à trouver des espaces pour la médiation communautaire qui auront un impact positif plus important sur l'accès des communautés à la justice.</w:t>
      </w:r>
    </w:p>
    <w:p w14:paraId="77914D8E" w14:textId="77777777" w:rsidR="00875323" w:rsidRPr="00623A2B" w:rsidRDefault="00875323" w:rsidP="007145F7">
      <w:pPr>
        <w:rPr>
          <w:rFonts w:ascii="Times New Roman" w:hAnsi="Times New Roman"/>
          <w:szCs w:val="22"/>
          <w:lang w:val="fr-FR"/>
        </w:rPr>
      </w:pPr>
    </w:p>
    <w:p w14:paraId="1C59430A" w14:textId="77777777" w:rsidR="00875323" w:rsidRPr="00623A2B" w:rsidRDefault="00875323" w:rsidP="00C05265">
      <w:pPr>
        <w:pStyle w:val="ListParagraph"/>
        <w:numPr>
          <w:ilvl w:val="0"/>
          <w:numId w:val="63"/>
        </w:numPr>
        <w:ind w:hanging="450"/>
        <w:rPr>
          <w:rFonts w:ascii="Times New Roman" w:hAnsi="Times New Roman"/>
          <w:szCs w:val="22"/>
          <w:u w:val="single"/>
          <w:lang w:val="fr-FR"/>
        </w:rPr>
      </w:pPr>
      <w:bookmarkStart w:id="71" w:name="_Toc86427161"/>
      <w:bookmarkStart w:id="72" w:name="_Toc87019939"/>
      <w:r w:rsidRPr="00623A2B">
        <w:rPr>
          <w:rFonts w:ascii="Times New Roman" w:hAnsi="Times New Roman"/>
          <w:szCs w:val="22"/>
          <w:u w:val="single"/>
          <w:lang w:val="fr-FR"/>
        </w:rPr>
        <w:t>Renforcement et innovation de la gestion publique dans les Amériques</w:t>
      </w:r>
      <w:bookmarkEnd w:id="71"/>
      <w:bookmarkEnd w:id="72"/>
    </w:p>
    <w:p w14:paraId="276D9340" w14:textId="77777777" w:rsidR="00875323" w:rsidRPr="00623A2B" w:rsidRDefault="00875323" w:rsidP="007145F7">
      <w:pPr>
        <w:rPr>
          <w:rFonts w:ascii="Times New Roman" w:hAnsi="Times New Roman"/>
          <w:szCs w:val="22"/>
          <w:lang w:val="fr-FR"/>
        </w:rPr>
      </w:pPr>
    </w:p>
    <w:p w14:paraId="31B6D611" w14:textId="77777777" w:rsidR="00875323" w:rsidRPr="00623A2B" w:rsidRDefault="00875323" w:rsidP="007145F7">
      <w:pPr>
        <w:ind w:firstLine="720"/>
        <w:rPr>
          <w:rFonts w:ascii="Times New Roman" w:hAnsi="Times New Roman"/>
          <w:szCs w:val="22"/>
          <w:lang w:val="fr-FR"/>
        </w:rPr>
      </w:pPr>
      <w:r w:rsidRPr="00623A2B">
        <w:rPr>
          <w:rFonts w:ascii="Times New Roman" w:eastAsia="Calibri" w:hAnsi="Times New Roman"/>
          <w:szCs w:val="22"/>
          <w:lang w:val="fr-FR"/>
        </w:rPr>
        <w:t xml:space="preserve">CONSIDÉRANT que la démocratie est fondamentale pour le développement social, politique et économique des peuples des Amériques et que la gestion publique efficace, le respect des droits de la personne, un espace civique inclusif et sûr, la promotion de la transparence, l’ouverture, l’inclusion y compris dans le domaine numérique et la lutte contre la corruption sont des composantes essentielles pour le plein exercice de la démocratie, </w:t>
      </w:r>
    </w:p>
    <w:p w14:paraId="4E3F1F85" w14:textId="77777777" w:rsidR="00875323" w:rsidRPr="00623A2B" w:rsidRDefault="00875323" w:rsidP="007145F7">
      <w:pPr>
        <w:rPr>
          <w:rFonts w:ascii="Times New Roman" w:hAnsi="Times New Roman"/>
          <w:szCs w:val="22"/>
          <w:lang w:val="fr-FR"/>
        </w:rPr>
      </w:pPr>
    </w:p>
    <w:p w14:paraId="66A906E2" w14:textId="77777777" w:rsidR="00875323" w:rsidRPr="00623A2B" w:rsidRDefault="00875323" w:rsidP="007145F7">
      <w:pPr>
        <w:ind w:firstLine="720"/>
        <w:rPr>
          <w:rFonts w:ascii="Times New Roman" w:hAnsi="Times New Roman"/>
          <w:szCs w:val="22"/>
          <w:lang w:val="fr-FR"/>
        </w:rPr>
      </w:pPr>
      <w:r w:rsidRPr="00623A2B">
        <w:rPr>
          <w:rFonts w:ascii="Times New Roman" w:eastAsia="Calibri" w:hAnsi="Times New Roman"/>
          <w:szCs w:val="22"/>
          <w:lang w:val="fr-FR"/>
        </w:rPr>
        <w:t xml:space="preserve">RÉAFFIRMANT les engagements énoncés dans l’Engagement de Lima, lequel a été approuvé par les chefs d’État et de gouvernement lors du Huitième Sommet des Amériques tenu à Lima (Pérou) </w:t>
      </w:r>
      <w:r w:rsidRPr="00623A2B">
        <w:rPr>
          <w:rFonts w:ascii="Times New Roman" w:eastAsia="Calibri" w:hAnsi="Times New Roman"/>
          <w:szCs w:val="22"/>
          <w:lang w:val="fr-FR"/>
        </w:rPr>
        <w:lastRenderedPageBreak/>
        <w:t>en avril 2018, en particulier ceux relatifs au renforcement des institutions démocratiques, à la promotion de politiques d’intégrité et de transparence, au gouvernement ouvert, au gouvernement numérique, aux données en libre accès, aux marchés publics, à l’équité et à l’égalité des sexes, à l’autonomisation des femmes ainsi qu’à l’inclusion des différents groupes en situation de vulnérabilité dans la définition des mesures visant à renforcer la gouvernance et à combattre la corruption, et reconnaissant également l’importance de créer des synergies entre les différentes tribunes internationales en la matière,</w:t>
      </w:r>
    </w:p>
    <w:p w14:paraId="7D79F692" w14:textId="77777777" w:rsidR="00875323" w:rsidRPr="00623A2B" w:rsidRDefault="00875323" w:rsidP="007145F7">
      <w:pPr>
        <w:rPr>
          <w:rFonts w:ascii="Times New Roman" w:hAnsi="Times New Roman"/>
          <w:szCs w:val="22"/>
          <w:lang w:val="fr-FR"/>
        </w:rPr>
      </w:pPr>
    </w:p>
    <w:p w14:paraId="4AF54383" w14:textId="77777777" w:rsidR="00875323" w:rsidRPr="00623A2B" w:rsidRDefault="00875323" w:rsidP="007145F7">
      <w:pPr>
        <w:ind w:firstLine="720"/>
        <w:rPr>
          <w:rFonts w:ascii="Times New Roman" w:hAnsi="Times New Roman"/>
          <w:szCs w:val="22"/>
          <w:lang w:val="fr-FR"/>
        </w:rPr>
      </w:pPr>
      <w:r w:rsidRPr="00623A2B">
        <w:rPr>
          <w:rFonts w:ascii="Times New Roman" w:eastAsia="Calibri" w:hAnsi="Times New Roman"/>
          <w:szCs w:val="22"/>
          <w:lang w:val="fr-FR"/>
        </w:rPr>
        <w:t>RECONNAISSANT qu’il importe que les activités du Département pour l’efficacité dans la gestion publique soient menées, le cas échéant, en coordination avec la Commission interaméricaine des femmes à la lumière de la promotion et de la protection des droits de toutes les femmes ainsi que de l’équité et de l’égalité entre les sexes,</w:t>
      </w:r>
    </w:p>
    <w:p w14:paraId="3E2BD7D3" w14:textId="77777777" w:rsidR="00875323" w:rsidRPr="00623A2B" w:rsidRDefault="00875323" w:rsidP="007145F7">
      <w:pPr>
        <w:rPr>
          <w:rFonts w:ascii="Times New Roman" w:hAnsi="Times New Roman"/>
          <w:szCs w:val="22"/>
          <w:lang w:val="fr-FR"/>
        </w:rPr>
      </w:pPr>
    </w:p>
    <w:p w14:paraId="33038E53" w14:textId="77777777" w:rsidR="00875323" w:rsidRPr="00623A2B" w:rsidRDefault="00875323" w:rsidP="007145F7">
      <w:pPr>
        <w:ind w:firstLine="720"/>
        <w:rPr>
          <w:rFonts w:ascii="Times New Roman" w:hAnsi="Times New Roman"/>
          <w:szCs w:val="22"/>
          <w:lang w:val="fr-FR"/>
        </w:rPr>
      </w:pPr>
      <w:r w:rsidRPr="00623A2B">
        <w:rPr>
          <w:rFonts w:ascii="Times New Roman" w:eastAsia="Calibri" w:hAnsi="Times New Roman"/>
          <w:szCs w:val="22"/>
          <w:lang w:val="fr-FR"/>
        </w:rPr>
        <w:t>RÉAFFIRMANT l’importance de la transparence dans la gestion publique et d’une culture de la légalité assorties de mécanismes de participation citoyenne et de responsabilité comme conditions indispensables à la lutte contre la corruption, de même que l’engagement des États membres de continuer à promouvoir leur renforcement par des mesures et actions visant à prévenir, détecter, réprimer et éliminer les actes de corruption,</w:t>
      </w:r>
    </w:p>
    <w:p w14:paraId="2A77C35F" w14:textId="77777777" w:rsidR="00875323" w:rsidRPr="00623A2B" w:rsidRDefault="00875323" w:rsidP="007145F7">
      <w:pPr>
        <w:rPr>
          <w:rFonts w:ascii="Times New Roman" w:hAnsi="Times New Roman"/>
          <w:szCs w:val="22"/>
          <w:lang w:val="fr-FR"/>
        </w:rPr>
      </w:pPr>
    </w:p>
    <w:p w14:paraId="4F8ED659" w14:textId="77777777" w:rsidR="00875323" w:rsidRPr="00623A2B" w:rsidRDefault="00875323" w:rsidP="007145F7">
      <w:pPr>
        <w:ind w:firstLine="720"/>
        <w:rPr>
          <w:rFonts w:ascii="Times New Roman" w:hAnsi="Times New Roman"/>
          <w:szCs w:val="22"/>
          <w:lang w:val="fr-FR"/>
        </w:rPr>
      </w:pPr>
      <w:r w:rsidRPr="00623A2B">
        <w:rPr>
          <w:rFonts w:ascii="Times New Roman" w:eastAsia="Calibri" w:hAnsi="Times New Roman"/>
          <w:szCs w:val="22"/>
          <w:lang w:val="fr-FR"/>
        </w:rPr>
        <w:t>CONSCIENTE des effets défavorables occasionnés par la pandémie de COVID-19 pour les citoyens de la région, en particulier les femmes et les filles et d’autres personnes appartenant à des groupes en situation de vulnérabilité, et considérant que les technologies de l’information et des communications sont un outil essentiel pour une riposte effective des gouvernements face aux effets défavorables causés par la pandémie de COVID-19 en facilitant l’aide et l’accessibilité des services au bénéfice des citoyens ainsi que le fonctionnement des administrations publiques à distance,</w:t>
      </w:r>
    </w:p>
    <w:p w14:paraId="35C1EF12" w14:textId="77777777" w:rsidR="00875323" w:rsidRPr="00623A2B" w:rsidRDefault="00875323" w:rsidP="007145F7">
      <w:pPr>
        <w:rPr>
          <w:rFonts w:ascii="Times New Roman" w:hAnsi="Times New Roman"/>
          <w:szCs w:val="22"/>
          <w:lang w:val="fr-FR"/>
        </w:rPr>
      </w:pPr>
    </w:p>
    <w:p w14:paraId="6BFD5E1A" w14:textId="77777777" w:rsidR="00875323" w:rsidRPr="00623A2B" w:rsidRDefault="00875323" w:rsidP="007145F7">
      <w:pPr>
        <w:rPr>
          <w:rFonts w:ascii="Times New Roman" w:hAnsi="Times New Roman"/>
          <w:szCs w:val="22"/>
          <w:lang w:val="fr-FR"/>
        </w:rPr>
      </w:pPr>
      <w:r w:rsidRPr="00623A2B">
        <w:rPr>
          <w:rFonts w:ascii="Times New Roman" w:hAnsi="Times New Roman"/>
          <w:szCs w:val="22"/>
          <w:lang w:val="fr-FR"/>
        </w:rPr>
        <w:tab/>
        <w:t>SOULIGNANT le potentiel de la transformation numérique et de l’approche de gouvernement ouvert afin de renforcer les démocraties dans le continent américain et parvenir à un relèvement après la pandémie qui soit durable, résilient et inclusif,</w:t>
      </w:r>
    </w:p>
    <w:p w14:paraId="7210001B" w14:textId="77777777" w:rsidR="00875323" w:rsidRPr="00623A2B" w:rsidRDefault="00875323" w:rsidP="007145F7">
      <w:pPr>
        <w:rPr>
          <w:rFonts w:ascii="Times New Roman" w:eastAsia="Calibri" w:hAnsi="Times New Roman"/>
          <w:szCs w:val="22"/>
          <w:lang w:val="fr-FR"/>
        </w:rPr>
      </w:pPr>
    </w:p>
    <w:p w14:paraId="6AE104F7" w14:textId="77777777" w:rsidR="00875323" w:rsidRPr="00623A2B" w:rsidRDefault="00875323" w:rsidP="007145F7">
      <w:pPr>
        <w:rPr>
          <w:rFonts w:ascii="Times New Roman" w:hAnsi="Times New Roman"/>
          <w:szCs w:val="22"/>
          <w:lang w:val="fr-FR"/>
        </w:rPr>
      </w:pPr>
      <w:r w:rsidRPr="00623A2B">
        <w:rPr>
          <w:rFonts w:ascii="Times New Roman" w:eastAsia="Calibri" w:hAnsi="Times New Roman"/>
          <w:szCs w:val="22"/>
          <w:lang w:val="fr-FR"/>
        </w:rPr>
        <w:t xml:space="preserve">DÉCIDE : </w:t>
      </w:r>
    </w:p>
    <w:p w14:paraId="55886CFE" w14:textId="77777777" w:rsidR="00875323" w:rsidRPr="00623A2B" w:rsidRDefault="00875323" w:rsidP="007145F7">
      <w:pPr>
        <w:rPr>
          <w:rFonts w:ascii="Times New Roman" w:hAnsi="Times New Roman"/>
          <w:szCs w:val="22"/>
          <w:lang w:val="fr-FR"/>
        </w:rPr>
      </w:pPr>
    </w:p>
    <w:p w14:paraId="6DCA3073" w14:textId="77777777" w:rsidR="00875323" w:rsidRPr="00623A2B" w:rsidRDefault="00875323" w:rsidP="007145F7">
      <w:pPr>
        <w:ind w:firstLine="720"/>
        <w:rPr>
          <w:rFonts w:ascii="Times New Roman" w:hAnsi="Times New Roman"/>
          <w:szCs w:val="22"/>
          <w:lang w:val="fr-FR"/>
        </w:rPr>
      </w:pPr>
      <w:r w:rsidRPr="00623A2B">
        <w:rPr>
          <w:rFonts w:ascii="Times New Roman" w:eastAsia="Calibri" w:hAnsi="Times New Roman"/>
          <w:szCs w:val="22"/>
          <w:lang w:val="fr-FR"/>
        </w:rPr>
        <w:t>1.</w:t>
      </w:r>
      <w:r w:rsidRPr="00623A2B">
        <w:rPr>
          <w:rFonts w:ascii="Times New Roman" w:eastAsia="Calibri" w:hAnsi="Times New Roman"/>
          <w:szCs w:val="22"/>
          <w:lang w:val="fr-FR"/>
        </w:rPr>
        <w:tab/>
        <w:t>D’exhorter les États membres à promouvoir des codes de conduite et à préserver un espace civique inclusif et sûr, respectueux des droits de la personne et assortis de normes strictes d’éthique, de probité, de transparence et d’intégrité dans le secteur public, en appuyant les efforts de conscientisation et de formation sur ces thèmes et en prenant comme référence les recommandations énoncées dans les « Lignes directrices pour la gestion des politiques d’intégrité dans les administrations publiques des Amériques ».</w:t>
      </w:r>
    </w:p>
    <w:p w14:paraId="00B1A65D" w14:textId="77777777" w:rsidR="00875323" w:rsidRPr="00623A2B" w:rsidRDefault="00875323" w:rsidP="007145F7">
      <w:pPr>
        <w:rPr>
          <w:rFonts w:ascii="Times New Roman" w:hAnsi="Times New Roman"/>
          <w:szCs w:val="22"/>
          <w:lang w:val="fr-FR"/>
        </w:rPr>
      </w:pPr>
    </w:p>
    <w:p w14:paraId="3A47F78E" w14:textId="77777777" w:rsidR="00875323" w:rsidRPr="00623A2B" w:rsidRDefault="00875323" w:rsidP="00C05265">
      <w:pPr>
        <w:widowControl/>
        <w:ind w:firstLine="720"/>
        <w:rPr>
          <w:rFonts w:ascii="Times New Roman" w:hAnsi="Times New Roman"/>
          <w:szCs w:val="22"/>
          <w:lang w:val="fr-FR"/>
        </w:rPr>
      </w:pPr>
      <w:r w:rsidRPr="00623A2B">
        <w:rPr>
          <w:rFonts w:ascii="Times New Roman" w:eastAsia="Calibri" w:hAnsi="Times New Roman"/>
          <w:szCs w:val="22"/>
          <w:lang w:val="fr-FR"/>
        </w:rPr>
        <w:t>2.</w:t>
      </w:r>
      <w:r w:rsidRPr="00623A2B">
        <w:rPr>
          <w:rFonts w:ascii="Times New Roman" w:eastAsia="Calibri" w:hAnsi="Times New Roman"/>
          <w:szCs w:val="22"/>
          <w:lang w:val="fr-FR"/>
        </w:rPr>
        <w:tab/>
        <w:t xml:space="preserve">De charger le Secrétariat général de renforcer son école d’administration publique pour que, en fonction des ressources disponibles, elle soutienne l’administration publique nationale et locale des États, à leur demande, au moyen de programmes de formation et d’apprentissage destinés au renforcement de la gouvernance démocratique respectueuse des droits de la personne, de la gouvernance inclusive, de l’égalité de genre, de l'autonomisation des femmes et des autres groupes marginalisés, des pratiques d’éthique, de la probité, de la transparence institutionnelle et de l’intégrité, de l’accès à la justice, de l’innovation, de la participation des citoyens et de la reddition de comptes aux citoyens, ainsi que des programmes visant le renforcement des capacités d’innovation publique </w:t>
      </w:r>
      <w:r w:rsidRPr="00623A2B">
        <w:rPr>
          <w:rFonts w:ascii="Times New Roman" w:eastAsia="Calibri" w:hAnsi="Times New Roman"/>
          <w:szCs w:val="22"/>
          <w:lang w:val="fr-FR"/>
        </w:rPr>
        <w:lastRenderedPageBreak/>
        <w:t>centrés sur une conception axée sur les personnes, l’analyse multidimensionnelle, la cocréation, l’utilisation de preuves et la gestion et l’évaluation des programmes, entre autres.</w:t>
      </w:r>
    </w:p>
    <w:p w14:paraId="75F0DE26" w14:textId="77777777" w:rsidR="00875323" w:rsidRPr="00623A2B" w:rsidRDefault="00875323" w:rsidP="007145F7">
      <w:pPr>
        <w:rPr>
          <w:rFonts w:ascii="Times New Roman" w:hAnsi="Times New Roman"/>
          <w:szCs w:val="22"/>
          <w:lang w:val="fr-FR"/>
        </w:rPr>
      </w:pPr>
    </w:p>
    <w:p w14:paraId="34873BC3" w14:textId="77777777" w:rsidR="00875323" w:rsidRPr="00623A2B" w:rsidRDefault="00875323" w:rsidP="007145F7">
      <w:pPr>
        <w:ind w:firstLine="720"/>
        <w:rPr>
          <w:rFonts w:ascii="Times New Roman" w:hAnsi="Times New Roman"/>
          <w:szCs w:val="22"/>
          <w:lang w:val="fr-FR"/>
        </w:rPr>
      </w:pPr>
      <w:r w:rsidRPr="00623A2B">
        <w:rPr>
          <w:rFonts w:ascii="Times New Roman" w:eastAsia="Calibri" w:hAnsi="Times New Roman"/>
          <w:szCs w:val="22"/>
          <w:lang w:val="fr-FR"/>
        </w:rPr>
        <w:t>3.</w:t>
      </w:r>
      <w:r w:rsidRPr="00623A2B">
        <w:rPr>
          <w:rFonts w:ascii="Times New Roman" w:eastAsia="Calibri" w:hAnsi="Times New Roman"/>
          <w:szCs w:val="22"/>
          <w:lang w:val="fr-FR"/>
        </w:rPr>
        <w:tab/>
        <w:t>De charger le Secrétariat général de continuer de soutenir les États membres qui en font la demande, par l’intermédiaire du Département pour l’efficacité dans la gestion publique, pour la mise en œuvre de politiques de gouvernement ouvert, de gouvernement numérique, d’interopérabilité, de données en libre accès pour le développement de l'économie numérique et la transformation numérique à partir de la valeur des données en libre accès, de transparence fiscale, de simplification administrative, de budgets ouverts, de systèmes électroniques d’achat et de passation de marchés publics ainsi que d’enregistrement public des fournisseurs de l’État, entre autres, de même que la sensibilisation et la professionnalisation requises des fonctionnaires en matière d’innovation publique pour l’utilité et la viabilité de ces mesures d’exécution et ce, en tenant compte du fait que ces questions sont fondamentales pour la réponse et la reprise face aux effets défavorables causés par la pandémie de COVID-19 et qu’elles exigent la participation de la société civile et d’autres acteurs sociaux.</w:t>
      </w:r>
    </w:p>
    <w:p w14:paraId="430C674E" w14:textId="77777777" w:rsidR="00875323" w:rsidRPr="00623A2B" w:rsidRDefault="00875323" w:rsidP="007145F7">
      <w:pPr>
        <w:rPr>
          <w:rFonts w:ascii="Times New Roman" w:hAnsi="Times New Roman"/>
          <w:szCs w:val="22"/>
          <w:lang w:val="fr-FR"/>
        </w:rPr>
      </w:pPr>
    </w:p>
    <w:p w14:paraId="4DE3EF68" w14:textId="77777777" w:rsidR="00875323" w:rsidRPr="00623A2B" w:rsidRDefault="00875323" w:rsidP="007145F7">
      <w:pPr>
        <w:ind w:firstLine="720"/>
        <w:rPr>
          <w:rFonts w:ascii="Times New Roman" w:hAnsi="Times New Roman"/>
          <w:szCs w:val="22"/>
          <w:lang w:val="fr-FR"/>
        </w:rPr>
      </w:pPr>
      <w:r w:rsidRPr="00623A2B">
        <w:rPr>
          <w:rFonts w:ascii="Times New Roman" w:eastAsia="Calibri" w:hAnsi="Times New Roman"/>
          <w:szCs w:val="22"/>
          <w:lang w:val="fr-FR"/>
        </w:rPr>
        <w:t>4.</w:t>
      </w:r>
      <w:r w:rsidRPr="00623A2B">
        <w:rPr>
          <w:rFonts w:ascii="Times New Roman" w:eastAsia="Calibri" w:hAnsi="Times New Roman"/>
          <w:szCs w:val="22"/>
          <w:lang w:val="fr-FR"/>
        </w:rPr>
        <w:tab/>
        <w:t>De demander au Département pour l’efficacité dans la gestion publique de continuer d’appuyer les efforts déployés par les États membres en vue du renforcement de l’efficacité et de l’inclusion</w:t>
      </w:r>
      <w:r w:rsidRPr="00623A2B">
        <w:rPr>
          <w:rFonts w:ascii="Times New Roman" w:eastAsia="Calibri" w:hAnsi="Times New Roman"/>
          <w:b/>
          <w:bCs/>
          <w:szCs w:val="22"/>
          <w:lang w:val="fr-FR"/>
        </w:rPr>
        <w:t xml:space="preserve"> </w:t>
      </w:r>
      <w:r w:rsidRPr="00623A2B">
        <w:rPr>
          <w:rFonts w:ascii="Times New Roman" w:eastAsia="Calibri" w:hAnsi="Times New Roman"/>
          <w:szCs w:val="22"/>
          <w:lang w:val="fr-FR"/>
        </w:rPr>
        <w:t>dans la gestion publique au moyen du partage de données d’expériences par le biais du Mécanisme interaméricain de coopération pour l’efficacité dans la gestion publique (MECIGEP), dans la limite des ressources disponibles, en établissant un programme de stages et de mutations, dont sera responsable le Département pour l’efficacité dans la gestion publique, avec les pays membres, dans le but d’échanger des données d'expériences en matière d’organisation, de gestion par processus et d’amélioration des services publics.</w:t>
      </w:r>
    </w:p>
    <w:p w14:paraId="3C643AFA" w14:textId="77777777" w:rsidR="00875323" w:rsidRPr="00623A2B" w:rsidRDefault="00875323" w:rsidP="007145F7">
      <w:pPr>
        <w:rPr>
          <w:rFonts w:ascii="Times New Roman" w:hAnsi="Times New Roman"/>
          <w:szCs w:val="22"/>
          <w:lang w:val="fr-FR"/>
        </w:rPr>
      </w:pPr>
    </w:p>
    <w:p w14:paraId="6C376C9F" w14:textId="77777777" w:rsidR="00875323" w:rsidRPr="00623A2B" w:rsidRDefault="00875323" w:rsidP="007145F7">
      <w:pPr>
        <w:rPr>
          <w:rFonts w:ascii="Times New Roman" w:eastAsia="Calibri" w:hAnsi="Times New Roman"/>
          <w:szCs w:val="22"/>
          <w:lang w:val="fr-FR"/>
        </w:rPr>
      </w:pPr>
      <w:r w:rsidRPr="00623A2B">
        <w:rPr>
          <w:rFonts w:ascii="Times New Roman" w:hAnsi="Times New Roman"/>
          <w:b/>
          <w:bCs/>
          <w:szCs w:val="22"/>
          <w:lang w:val="fr-FR"/>
        </w:rPr>
        <w:tab/>
      </w:r>
      <w:r w:rsidRPr="00623A2B">
        <w:rPr>
          <w:rFonts w:ascii="Times New Roman" w:hAnsi="Times New Roman"/>
          <w:szCs w:val="22"/>
          <w:lang w:val="fr-FR"/>
        </w:rPr>
        <w:t>5.</w:t>
      </w:r>
      <w:r w:rsidRPr="00623A2B">
        <w:rPr>
          <w:rFonts w:ascii="Times New Roman" w:hAnsi="Times New Roman"/>
          <w:szCs w:val="22"/>
          <w:lang w:val="fr-FR"/>
        </w:rPr>
        <w:tab/>
      </w:r>
      <w:r w:rsidRPr="00623A2B">
        <w:rPr>
          <w:rFonts w:ascii="Times New Roman" w:eastAsia="Calibri" w:hAnsi="Times New Roman"/>
          <w:szCs w:val="22"/>
          <w:lang w:val="fr-FR"/>
        </w:rPr>
        <w:t>D’exhorter les États membres à promouvoir l’innovation publique comme un des piliers fondamentaux de leur transformation, en favorisant une nouvelle approche de conception, de mise en œuvre et de gestion axée sur la cocréation de solutions aux problèmes publics prioritaires et transversaux, ainsi que l’installation et la mesure des capacités pour innover au niveau de leurs institutions et de leurs fonctionnaires.</w:t>
      </w:r>
    </w:p>
    <w:p w14:paraId="254F0DDE" w14:textId="77777777" w:rsidR="00875323" w:rsidRPr="00623A2B" w:rsidRDefault="00875323" w:rsidP="007145F7">
      <w:pPr>
        <w:rPr>
          <w:rFonts w:ascii="Times New Roman" w:hAnsi="Times New Roman"/>
          <w:szCs w:val="22"/>
          <w:lang w:val="fr-FR"/>
        </w:rPr>
      </w:pPr>
    </w:p>
    <w:p w14:paraId="64D3CC19" w14:textId="77777777" w:rsidR="00875323" w:rsidRPr="00623A2B" w:rsidRDefault="00875323" w:rsidP="007145F7">
      <w:pPr>
        <w:ind w:firstLine="720"/>
        <w:rPr>
          <w:rFonts w:ascii="Times New Roman" w:eastAsia="Calibri" w:hAnsi="Times New Roman"/>
          <w:b/>
          <w:bCs/>
          <w:szCs w:val="22"/>
          <w:lang w:val="fr-FR"/>
        </w:rPr>
      </w:pPr>
      <w:r w:rsidRPr="00623A2B">
        <w:rPr>
          <w:rFonts w:ascii="Times New Roman" w:eastAsia="Calibri" w:hAnsi="Times New Roman"/>
          <w:szCs w:val="22"/>
          <w:lang w:val="fr-FR"/>
        </w:rPr>
        <w:t>6.</w:t>
      </w:r>
      <w:r w:rsidRPr="00623A2B">
        <w:rPr>
          <w:rFonts w:ascii="Times New Roman" w:eastAsia="Calibri" w:hAnsi="Times New Roman"/>
          <w:szCs w:val="22"/>
          <w:lang w:val="fr-FR"/>
        </w:rPr>
        <w:tab/>
        <w:t>D’exhorter les États à participer au « Prix interaméricain de l'innovation au service de l’efficacité dans la gestion publique » en tant que mécanisme permettant de reconnaître, d’encourager, de systématiser et de promouvoir chaque année les innovations en matière de gestion publique qui sont mises en œuvre dans la région, par l’intermédiaire de leurs institutions publiques respectives qui sont liées à l’innovation publique.</w:t>
      </w:r>
    </w:p>
    <w:p w14:paraId="2C49BBBE" w14:textId="77777777" w:rsidR="00875323" w:rsidRPr="00623A2B" w:rsidRDefault="00875323" w:rsidP="007145F7">
      <w:pPr>
        <w:rPr>
          <w:rFonts w:ascii="Times New Roman" w:eastAsia="Calibri" w:hAnsi="Times New Roman"/>
          <w:b/>
          <w:bCs/>
          <w:szCs w:val="22"/>
          <w:lang w:val="fr-FR"/>
        </w:rPr>
      </w:pPr>
    </w:p>
    <w:p w14:paraId="23B427A4" w14:textId="77777777" w:rsidR="00875323" w:rsidRPr="00623A2B" w:rsidRDefault="00875323" w:rsidP="007145F7">
      <w:pPr>
        <w:ind w:firstLine="720"/>
        <w:rPr>
          <w:rFonts w:ascii="Times New Roman" w:hAnsi="Times New Roman"/>
          <w:szCs w:val="22"/>
          <w:lang w:val="fr-FR"/>
        </w:rPr>
      </w:pPr>
      <w:r w:rsidRPr="00623A2B">
        <w:rPr>
          <w:rFonts w:ascii="Times New Roman" w:eastAsia="Calibri" w:hAnsi="Times New Roman"/>
          <w:szCs w:val="22"/>
          <w:lang w:val="fr-FR"/>
        </w:rPr>
        <w:t>7.</w:t>
      </w:r>
      <w:r w:rsidRPr="00623A2B">
        <w:rPr>
          <w:rFonts w:ascii="Times New Roman" w:eastAsia="Calibri" w:hAnsi="Times New Roman"/>
          <w:szCs w:val="22"/>
          <w:lang w:val="fr-FR"/>
        </w:rPr>
        <w:tab/>
        <w:t>De demander au Secrétariat général, par l'intermédiaire du Département pour l’efficacité dans la gestion publique en qualité de secrétariat technique du Réseau interaméricain des marchés publics, de continuer à soutenir le renforcement des systèmes nationaux d'achat et de passation de marchés publics des États membres, par la mise en œuvre de politiques et de pratiques en matière d'analyse et d'utilisation des données, d'intégrité, d'innovation, de durabilité, d'efficience et de professionnalisation dans le but de gérer des modèles efficaces qui favorisent une responsabilité adéquate ainsi qu’une participation et une collaboration accrues avec la société civile et le secteur privé.</w:t>
      </w:r>
    </w:p>
    <w:p w14:paraId="51617A38" w14:textId="77777777" w:rsidR="00875323" w:rsidRPr="00623A2B" w:rsidRDefault="00875323" w:rsidP="007145F7">
      <w:pPr>
        <w:rPr>
          <w:rFonts w:ascii="Times New Roman" w:hAnsi="Times New Roman"/>
          <w:b/>
          <w:bCs/>
          <w:szCs w:val="22"/>
          <w:lang w:val="fr-FR"/>
        </w:rPr>
      </w:pPr>
    </w:p>
    <w:p w14:paraId="239AA6AA" w14:textId="77777777" w:rsidR="00875323" w:rsidRPr="00623A2B" w:rsidRDefault="00875323" w:rsidP="007145F7">
      <w:pPr>
        <w:ind w:firstLine="720"/>
        <w:rPr>
          <w:rFonts w:ascii="Times New Roman" w:hAnsi="Times New Roman"/>
          <w:b/>
          <w:bCs/>
          <w:szCs w:val="22"/>
          <w:lang w:val="fr-FR"/>
        </w:rPr>
      </w:pPr>
      <w:r w:rsidRPr="00623A2B">
        <w:rPr>
          <w:rFonts w:ascii="Times New Roman" w:hAnsi="Times New Roman"/>
          <w:szCs w:val="22"/>
          <w:lang w:val="fr-FR"/>
        </w:rPr>
        <w:t>8.</w:t>
      </w:r>
      <w:r w:rsidRPr="00623A2B">
        <w:rPr>
          <w:rFonts w:ascii="Times New Roman" w:hAnsi="Times New Roman"/>
          <w:szCs w:val="22"/>
          <w:lang w:val="fr-FR"/>
        </w:rPr>
        <w:tab/>
        <w:t>De promouvoir le gouvernement ouvert inclusif et accessible et la numérisation des services aux particuliers dans la région afin de fournir la facilité d’accéder virtuellement ou en personne aux institutions publiques pour faire des démarches administratives et limiter la nécessité pour les citoyens d'être physiquement présents dans ces institutions.</w:t>
      </w:r>
    </w:p>
    <w:p w14:paraId="7EF885F2"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lastRenderedPageBreak/>
        <w:t>9.</w:t>
      </w:r>
      <w:r w:rsidRPr="00623A2B">
        <w:rPr>
          <w:rFonts w:ascii="Times New Roman" w:hAnsi="Times New Roman"/>
          <w:b/>
          <w:bCs/>
          <w:szCs w:val="22"/>
          <w:lang w:val="fr-FR"/>
        </w:rPr>
        <w:tab/>
      </w:r>
      <w:r w:rsidRPr="00623A2B">
        <w:rPr>
          <w:rFonts w:ascii="Times New Roman" w:hAnsi="Times New Roman"/>
          <w:szCs w:val="22"/>
          <w:lang w:val="fr-FR"/>
        </w:rPr>
        <w:t>D’inviter les États membres à] encourager et, par l’intermédiaire de l’École d’administration publique, des universités et établissements d'enseignement supérieur à former des professionnels de la gestion publique afin de fournir le potentiel humain qualifié nécessaire aux différents niveaux de gouvernement.</w:t>
      </w:r>
    </w:p>
    <w:p w14:paraId="1F378BFA" w14:textId="77777777" w:rsidR="00875323" w:rsidRPr="00623A2B" w:rsidRDefault="00875323" w:rsidP="007145F7">
      <w:pPr>
        <w:rPr>
          <w:rFonts w:ascii="Times New Roman" w:hAnsi="Times New Roman"/>
          <w:b/>
          <w:bCs/>
          <w:szCs w:val="22"/>
          <w:lang w:val="fr-FR"/>
        </w:rPr>
      </w:pPr>
    </w:p>
    <w:p w14:paraId="3101C16D" w14:textId="77777777" w:rsidR="00875323" w:rsidRPr="00623A2B" w:rsidRDefault="00875323" w:rsidP="007145F7">
      <w:pPr>
        <w:ind w:firstLine="720"/>
        <w:rPr>
          <w:rFonts w:ascii="Times New Roman" w:hAnsi="Times New Roman"/>
          <w:szCs w:val="22"/>
          <w:lang w:val="fr-FR"/>
        </w:rPr>
      </w:pPr>
      <w:r w:rsidRPr="00623A2B">
        <w:rPr>
          <w:rFonts w:ascii="Times New Roman" w:hAnsi="Times New Roman"/>
          <w:szCs w:val="22"/>
          <w:lang w:val="fr-FR"/>
        </w:rPr>
        <w:t>10.</w:t>
      </w:r>
      <w:r w:rsidRPr="00623A2B">
        <w:rPr>
          <w:rFonts w:ascii="Times New Roman" w:hAnsi="Times New Roman"/>
          <w:b/>
          <w:bCs/>
          <w:szCs w:val="22"/>
          <w:lang w:val="fr-FR"/>
        </w:rPr>
        <w:tab/>
      </w:r>
      <w:r w:rsidRPr="00623A2B">
        <w:rPr>
          <w:rFonts w:ascii="Times New Roman" w:hAnsi="Times New Roman"/>
          <w:szCs w:val="22"/>
          <w:lang w:val="fr-FR"/>
        </w:rPr>
        <w:t>D’inviter les États à établir des normes, partager les normes établies par leurs soins pour l'exercice de fonctions publiques afin de rendre la gestion publique transparente et de favoriser une culture de légalité, d'inclusion, d'équité et d'intégrité dans la gestion publique dans le but de renforcer la gouvernance et la lutte contre la corruption.</w:t>
      </w:r>
    </w:p>
    <w:p w14:paraId="2B6630A4" w14:textId="77777777" w:rsidR="00875323" w:rsidRPr="00623A2B" w:rsidRDefault="00875323" w:rsidP="007145F7">
      <w:pPr>
        <w:snapToGrid w:val="0"/>
        <w:ind w:right="61"/>
        <w:rPr>
          <w:rFonts w:ascii="Times New Roman" w:hAnsi="Times New Roman"/>
          <w:bCs/>
          <w:snapToGrid w:val="0"/>
          <w:szCs w:val="22"/>
          <w:lang w:val="fr-FR" w:eastAsia="es-ES_tradnl"/>
        </w:rPr>
      </w:pPr>
    </w:p>
    <w:p w14:paraId="0A64C658" w14:textId="77777777" w:rsidR="00875323" w:rsidRPr="00623A2B" w:rsidRDefault="00875323" w:rsidP="00C05265">
      <w:pPr>
        <w:pStyle w:val="ListParagraph"/>
        <w:numPr>
          <w:ilvl w:val="0"/>
          <w:numId w:val="63"/>
        </w:numPr>
        <w:ind w:hanging="540"/>
        <w:rPr>
          <w:rFonts w:ascii="Times New Roman" w:hAnsi="Times New Roman"/>
          <w:szCs w:val="22"/>
          <w:u w:val="single"/>
          <w:lang w:val="fr-FR"/>
        </w:rPr>
      </w:pPr>
      <w:bookmarkStart w:id="73" w:name="_Toc86427162"/>
      <w:bookmarkStart w:id="74" w:name="_Toc87019940"/>
      <w:r w:rsidRPr="00623A2B">
        <w:rPr>
          <w:rFonts w:ascii="Times New Roman" w:hAnsi="Times New Roman"/>
          <w:szCs w:val="22"/>
          <w:u w:val="single"/>
          <w:lang w:val="fr-FR"/>
        </w:rPr>
        <w:t>Gouvernement ouvert, numérique, inclusif et transparent</w:t>
      </w:r>
      <w:bookmarkEnd w:id="73"/>
      <w:bookmarkEnd w:id="74"/>
    </w:p>
    <w:p w14:paraId="5719CB60" w14:textId="77777777" w:rsidR="00875323" w:rsidRPr="00623A2B" w:rsidRDefault="00875323" w:rsidP="007145F7">
      <w:pPr>
        <w:rPr>
          <w:rFonts w:ascii="Times New Roman" w:hAnsi="Times New Roman"/>
          <w:szCs w:val="22"/>
          <w:lang w:val="fr-FR"/>
        </w:rPr>
      </w:pPr>
    </w:p>
    <w:p w14:paraId="139BFE90" w14:textId="77777777" w:rsidR="00875323" w:rsidRPr="00623A2B" w:rsidRDefault="00875323" w:rsidP="007145F7">
      <w:pPr>
        <w:ind w:firstLine="720"/>
        <w:rPr>
          <w:rFonts w:ascii="Times New Roman" w:hAnsi="Times New Roman"/>
          <w:szCs w:val="22"/>
          <w:lang w:val="fr-FR"/>
        </w:rPr>
      </w:pPr>
      <w:r w:rsidRPr="00623A2B">
        <w:rPr>
          <w:rFonts w:ascii="Times New Roman" w:eastAsia="Calibri" w:hAnsi="Times New Roman"/>
          <w:szCs w:val="22"/>
          <w:lang w:val="fr-FR"/>
        </w:rPr>
        <w:t>RÉAFFIRMANT l'engagement des États membres envers le modèle de gouvernement ouvert et reconnaissant la valeur significative des mécanismes et des initiatives de coopération à l’échelle régionale, tels que le Réseau interaméricain de gouvernement numérique (Réseau GEALC) pour développer, diffuser et mettre en œuvre les meilleures pratiques et les leçons apprises en matière de gouvernement numérique dans les Amériques, à l'appui des processus de développement et de confiance institutionnelle, de même que leur avancement dans les niveaux de maturité du gouvernement numérique dans la région,</w:t>
      </w:r>
    </w:p>
    <w:p w14:paraId="6281A83C" w14:textId="77777777" w:rsidR="00875323" w:rsidRPr="00623A2B" w:rsidRDefault="00875323" w:rsidP="007145F7">
      <w:pPr>
        <w:rPr>
          <w:rFonts w:ascii="Times New Roman" w:hAnsi="Times New Roman"/>
          <w:szCs w:val="22"/>
          <w:lang w:val="fr-FR"/>
        </w:rPr>
      </w:pPr>
    </w:p>
    <w:p w14:paraId="23200268" w14:textId="77777777" w:rsidR="00875323" w:rsidRPr="00623A2B" w:rsidRDefault="00875323" w:rsidP="007145F7">
      <w:pPr>
        <w:ind w:firstLine="720"/>
        <w:rPr>
          <w:rFonts w:ascii="Times New Roman" w:hAnsi="Times New Roman"/>
          <w:szCs w:val="22"/>
          <w:lang w:val="fr-FR"/>
        </w:rPr>
      </w:pPr>
      <w:r w:rsidRPr="00623A2B">
        <w:rPr>
          <w:rFonts w:ascii="Times New Roman" w:eastAsia="Calibri" w:hAnsi="Times New Roman"/>
          <w:szCs w:val="22"/>
          <w:lang w:val="fr-FR"/>
        </w:rPr>
        <w:t>CONSIDÉRANT que la pandémie de COVID-19 et son impact sanitaire, social et économique ont mis en évidence l'importance fondamentale du gouvernement numérique et du gouvernement ouvert pour que les États deviennent efficients, efficaces, présents et transparents et qu’ils anticipent les besoins de leurs citoyens et se mettent à leur service afin de mettre en œuvre des politiques publiques de bien-être collectif,</w:t>
      </w:r>
    </w:p>
    <w:p w14:paraId="1E0905E2" w14:textId="77777777" w:rsidR="00875323" w:rsidRPr="00623A2B" w:rsidRDefault="00875323" w:rsidP="007145F7">
      <w:pPr>
        <w:rPr>
          <w:rFonts w:ascii="Times New Roman" w:hAnsi="Times New Roman"/>
          <w:szCs w:val="22"/>
          <w:lang w:val="fr-FR"/>
        </w:rPr>
      </w:pPr>
    </w:p>
    <w:p w14:paraId="5B33681F" w14:textId="77777777" w:rsidR="00875323" w:rsidRPr="00623A2B" w:rsidRDefault="00875323" w:rsidP="007145F7">
      <w:pPr>
        <w:ind w:firstLine="720"/>
        <w:rPr>
          <w:rFonts w:ascii="Times New Roman" w:hAnsi="Times New Roman"/>
          <w:szCs w:val="22"/>
          <w:lang w:val="fr-FR"/>
        </w:rPr>
      </w:pPr>
      <w:r w:rsidRPr="00623A2B">
        <w:rPr>
          <w:rFonts w:ascii="Times New Roman" w:eastAsia="Calibri" w:hAnsi="Times New Roman"/>
          <w:szCs w:val="22"/>
          <w:lang w:val="fr-FR"/>
        </w:rPr>
        <w:t>CONFIRMANT le potentiel de la transformation numérique et de l'approche de gouvernement ouvert pour renforcer nos démocraties et parvenir à une relance durable, résiliente et inclusive, ce qui a été réaffirmé lors de la Sixième Réunion ministérielle sur le gouvernement numérique et de la Quatorzième Réunion annuelle du Réseau GEALC à travers l'engagement portant sur « La transformation numérique pour la relance économique et sociale »,</w:t>
      </w:r>
    </w:p>
    <w:p w14:paraId="5E2E4FDE" w14:textId="77777777" w:rsidR="00875323" w:rsidRPr="00623A2B" w:rsidRDefault="00875323" w:rsidP="007145F7">
      <w:pPr>
        <w:rPr>
          <w:rFonts w:ascii="Times New Roman" w:hAnsi="Times New Roman"/>
          <w:szCs w:val="22"/>
          <w:lang w:val="fr-FR"/>
        </w:rPr>
      </w:pPr>
    </w:p>
    <w:p w14:paraId="31BAD2FD" w14:textId="77777777" w:rsidR="00875323" w:rsidRPr="00623A2B" w:rsidRDefault="00875323" w:rsidP="007145F7">
      <w:pPr>
        <w:ind w:firstLine="720"/>
        <w:rPr>
          <w:rFonts w:ascii="Times New Roman" w:hAnsi="Times New Roman"/>
          <w:szCs w:val="22"/>
          <w:lang w:val="fr-FR"/>
        </w:rPr>
      </w:pPr>
      <w:r w:rsidRPr="00623A2B">
        <w:rPr>
          <w:rFonts w:ascii="Times New Roman" w:eastAsia="Calibri" w:hAnsi="Times New Roman"/>
          <w:szCs w:val="22"/>
          <w:lang w:val="fr-FR"/>
        </w:rPr>
        <w:t>CONVAINCUE que la numérisation des processus, procédures et services gouvernementaux, qui place les citoyens au centre de ses priorités, et l'incorporation intégrale des technologies dans le fonctionnement de l'État permettent la continuité du lien entre les États et les citoyens, même en temps de crise,</w:t>
      </w:r>
    </w:p>
    <w:p w14:paraId="673CF77E" w14:textId="77777777" w:rsidR="00875323" w:rsidRPr="00623A2B" w:rsidRDefault="00875323" w:rsidP="007145F7">
      <w:pPr>
        <w:rPr>
          <w:rFonts w:ascii="Times New Roman" w:hAnsi="Times New Roman"/>
          <w:szCs w:val="22"/>
          <w:lang w:val="fr-FR"/>
        </w:rPr>
      </w:pPr>
    </w:p>
    <w:p w14:paraId="28EF96D5" w14:textId="77777777" w:rsidR="00875323" w:rsidRPr="00623A2B" w:rsidRDefault="00875323" w:rsidP="007145F7">
      <w:pPr>
        <w:ind w:firstLine="720"/>
        <w:rPr>
          <w:rFonts w:ascii="Times New Roman" w:hAnsi="Times New Roman"/>
          <w:szCs w:val="22"/>
          <w:lang w:val="fr-FR"/>
        </w:rPr>
      </w:pPr>
      <w:r w:rsidRPr="00623A2B">
        <w:rPr>
          <w:rFonts w:ascii="Times New Roman" w:eastAsia="Calibri" w:hAnsi="Times New Roman"/>
          <w:szCs w:val="22"/>
          <w:lang w:val="fr-FR"/>
        </w:rPr>
        <w:t>RÉITÉRANT que les principes d’un gouvernement ouvert sont un moyen de renforcer la démocratie, de revaloriser les institutions et les actions publiques et de restaurer la confiance des citoyens dans l'État,</w:t>
      </w:r>
    </w:p>
    <w:p w14:paraId="0A7A3F1A" w14:textId="77777777" w:rsidR="00875323" w:rsidRPr="00623A2B" w:rsidRDefault="00875323" w:rsidP="007145F7">
      <w:pPr>
        <w:rPr>
          <w:rFonts w:ascii="Times New Roman" w:hAnsi="Times New Roman"/>
          <w:szCs w:val="22"/>
          <w:lang w:val="fr-FR"/>
        </w:rPr>
      </w:pPr>
    </w:p>
    <w:p w14:paraId="0ED37422" w14:textId="77777777" w:rsidR="00875323" w:rsidRPr="00623A2B" w:rsidRDefault="00875323" w:rsidP="007145F7">
      <w:pPr>
        <w:rPr>
          <w:rFonts w:ascii="Times New Roman" w:hAnsi="Times New Roman"/>
          <w:szCs w:val="22"/>
          <w:lang w:val="fr-FR"/>
        </w:rPr>
      </w:pPr>
      <w:r w:rsidRPr="00623A2B">
        <w:rPr>
          <w:rFonts w:ascii="Times New Roman" w:hAnsi="Times New Roman"/>
          <w:szCs w:val="22"/>
          <w:lang w:val="fr-FR"/>
        </w:rPr>
        <w:t>DÉCIDE :</w:t>
      </w:r>
    </w:p>
    <w:p w14:paraId="611AEBDB" w14:textId="77777777" w:rsidR="00875323" w:rsidRPr="00623A2B" w:rsidRDefault="00875323" w:rsidP="007145F7">
      <w:pPr>
        <w:rPr>
          <w:rFonts w:ascii="Times New Roman" w:hAnsi="Times New Roman"/>
          <w:szCs w:val="22"/>
          <w:lang w:val="fr-FR"/>
        </w:rPr>
      </w:pPr>
    </w:p>
    <w:p w14:paraId="60D7108A" w14:textId="77777777" w:rsidR="00875323" w:rsidRPr="00623A2B" w:rsidRDefault="00875323" w:rsidP="007145F7">
      <w:pPr>
        <w:ind w:firstLine="720"/>
        <w:rPr>
          <w:rFonts w:ascii="Times New Roman" w:eastAsia="Calibri" w:hAnsi="Times New Roman"/>
          <w:szCs w:val="22"/>
          <w:lang w:val="fr-FR"/>
        </w:rPr>
      </w:pPr>
      <w:r w:rsidRPr="00623A2B">
        <w:rPr>
          <w:rFonts w:ascii="Times New Roman" w:eastAsia="Calibri" w:hAnsi="Times New Roman"/>
          <w:szCs w:val="22"/>
          <w:lang w:val="fr-FR"/>
        </w:rPr>
        <w:t>1.</w:t>
      </w:r>
      <w:r w:rsidRPr="00623A2B">
        <w:rPr>
          <w:rFonts w:ascii="Times New Roman" w:eastAsia="Calibri" w:hAnsi="Times New Roman"/>
          <w:szCs w:val="22"/>
          <w:lang w:val="fr-FR"/>
        </w:rPr>
        <w:tab/>
        <w:t>D’inviter instamment les États membres à continuer de promouvoir des initiatives multilatérales et bilatérales de coopération en matière de gouvernement ouvert et de gouvernement numérique, et à soutenir l’inclusion numérique ainsi qu’un relèvement résilient et inclusif après la pandémie de COVID-19 pour tous et toutes dans le but d’assurer, pour les femmes et d’autres groupes en situation de vulnérabilité, une participation pleine et effective ainsi que l’égalité des chances.</w:t>
      </w:r>
    </w:p>
    <w:p w14:paraId="35A2721F" w14:textId="77777777" w:rsidR="00875323" w:rsidRPr="00623A2B" w:rsidRDefault="00875323" w:rsidP="007145F7">
      <w:pPr>
        <w:ind w:firstLine="720"/>
        <w:rPr>
          <w:rFonts w:ascii="Times New Roman" w:hAnsi="Times New Roman"/>
          <w:szCs w:val="22"/>
          <w:lang w:val="fr-FR"/>
        </w:rPr>
      </w:pPr>
      <w:r w:rsidRPr="00623A2B">
        <w:rPr>
          <w:rFonts w:ascii="Times New Roman" w:eastAsia="Calibri" w:hAnsi="Times New Roman"/>
          <w:szCs w:val="22"/>
          <w:lang w:val="fr-FR"/>
        </w:rPr>
        <w:lastRenderedPageBreak/>
        <w:t>2.</w:t>
      </w:r>
      <w:r w:rsidRPr="00623A2B">
        <w:rPr>
          <w:rFonts w:ascii="Times New Roman" w:eastAsia="Calibri" w:hAnsi="Times New Roman"/>
          <w:szCs w:val="22"/>
          <w:lang w:val="fr-FR"/>
        </w:rPr>
        <w:tab/>
        <w:t>D’inviter les États membres à participer activement au Réseau interaméricain de gouvernement numérique (Réseau GEALC) et, en particulier, à ses groupes de travail.</w:t>
      </w:r>
    </w:p>
    <w:p w14:paraId="3400EFFF" w14:textId="77777777" w:rsidR="00875323" w:rsidRPr="00623A2B" w:rsidRDefault="00875323" w:rsidP="007145F7">
      <w:pPr>
        <w:rPr>
          <w:rFonts w:ascii="Times New Roman" w:hAnsi="Times New Roman"/>
          <w:szCs w:val="22"/>
          <w:lang w:val="fr-FR"/>
        </w:rPr>
      </w:pPr>
    </w:p>
    <w:p w14:paraId="2303D039" w14:textId="77777777" w:rsidR="00875323" w:rsidRPr="00623A2B" w:rsidRDefault="00875323" w:rsidP="007145F7">
      <w:pPr>
        <w:ind w:firstLine="720"/>
        <w:rPr>
          <w:rFonts w:ascii="Times New Roman" w:hAnsi="Times New Roman"/>
          <w:szCs w:val="22"/>
          <w:lang w:val="fr-FR"/>
        </w:rPr>
      </w:pPr>
      <w:r w:rsidRPr="00623A2B">
        <w:rPr>
          <w:rFonts w:ascii="Times New Roman" w:eastAsia="Calibri" w:hAnsi="Times New Roman"/>
          <w:szCs w:val="22"/>
          <w:lang w:val="fr-FR"/>
        </w:rPr>
        <w:t>3.</w:t>
      </w:r>
      <w:r w:rsidRPr="00623A2B">
        <w:rPr>
          <w:rFonts w:ascii="Times New Roman" w:eastAsia="Calibri" w:hAnsi="Times New Roman"/>
          <w:szCs w:val="22"/>
          <w:lang w:val="fr-FR"/>
        </w:rPr>
        <w:tab/>
        <w:t>De charger le Secrétariat général, par l'intermédiaire du Département pour l’efficacité dans la gestion publique et, le cas échéant, en collaboration avec d’autres acteurs comme la Banque interaméricaine de développement, de renforcer le Réseau GEALC en tant que mécanisme de coopération technique permettant d’impulser les échanges entre les institutions publiques de toutes les branches du pouvoir et échelons du gouvernement afin de mettre en œuvre les meilleures pratiques en matière de cyberadministration dans les Amériques et de promouvoir les politiques et l'utilisation des technologies numériques pour impulser la transparence, la participation et la responsabilité, les services numériques centrés sur le citoyen, la réduction de la bureaucratie et la simplification des procédures.</w:t>
      </w:r>
    </w:p>
    <w:p w14:paraId="6457D23A" w14:textId="77777777" w:rsidR="00875323" w:rsidRPr="00623A2B" w:rsidRDefault="00875323" w:rsidP="007145F7">
      <w:pPr>
        <w:rPr>
          <w:rFonts w:ascii="Times New Roman" w:hAnsi="Times New Roman"/>
          <w:szCs w:val="22"/>
          <w:lang w:val="fr-FR"/>
        </w:rPr>
      </w:pPr>
    </w:p>
    <w:p w14:paraId="1828EBC4" w14:textId="77777777" w:rsidR="00875323" w:rsidRPr="00623A2B" w:rsidRDefault="00875323" w:rsidP="007145F7">
      <w:pPr>
        <w:ind w:firstLine="720"/>
        <w:rPr>
          <w:rFonts w:ascii="Times New Roman" w:hAnsi="Times New Roman"/>
          <w:szCs w:val="22"/>
          <w:lang w:val="fr-FR"/>
        </w:rPr>
      </w:pPr>
      <w:r w:rsidRPr="00623A2B">
        <w:rPr>
          <w:rFonts w:ascii="Times New Roman" w:eastAsia="Calibri" w:hAnsi="Times New Roman"/>
          <w:szCs w:val="22"/>
          <w:lang w:val="fr-FR"/>
        </w:rPr>
        <w:t>4.</w:t>
      </w:r>
      <w:r w:rsidRPr="00623A2B">
        <w:rPr>
          <w:rFonts w:ascii="Times New Roman" w:eastAsia="Calibri" w:hAnsi="Times New Roman"/>
          <w:szCs w:val="22"/>
          <w:lang w:val="fr-FR"/>
        </w:rPr>
        <w:tab/>
        <w:t>D’inviter instamment le Secrétariat général, par l'intermédiaire du Département pour l’efficacité dans la gestion publique, à fournir des services consultatifs, un accompagnement ou un appui technique ou à gérer des fonds, pour les États membres qui en font la demande, à l’appui de la mise en œuvre du Programme interaméricain de données en libre accès (PIDA), approuvé au moyen de la résolution AG/RES. 2931 (XLIX-O/19), dont l'objectif est de renforcer les politiques en matière d'information en libre accès et d'accroître la capacité des gouvernements et des citoyens à prévenir et à combattre la corruption grâce à des données en libre accès.</w:t>
      </w:r>
    </w:p>
    <w:p w14:paraId="74E978DE" w14:textId="77777777" w:rsidR="00875323" w:rsidRPr="00623A2B" w:rsidRDefault="00875323" w:rsidP="007145F7">
      <w:pPr>
        <w:rPr>
          <w:rFonts w:ascii="Times New Roman" w:hAnsi="Times New Roman"/>
          <w:szCs w:val="22"/>
          <w:lang w:val="fr-FR"/>
        </w:rPr>
      </w:pPr>
    </w:p>
    <w:p w14:paraId="3BCEE578" w14:textId="77777777" w:rsidR="00875323" w:rsidRPr="00623A2B" w:rsidRDefault="00875323" w:rsidP="007145F7">
      <w:pPr>
        <w:ind w:firstLine="720"/>
        <w:rPr>
          <w:rFonts w:ascii="Times New Roman" w:hAnsi="Times New Roman"/>
          <w:szCs w:val="22"/>
          <w:lang w:val="fr-FR"/>
        </w:rPr>
      </w:pPr>
      <w:r w:rsidRPr="00623A2B">
        <w:rPr>
          <w:rFonts w:ascii="Times New Roman" w:eastAsia="Calibri" w:hAnsi="Times New Roman"/>
          <w:szCs w:val="22"/>
          <w:lang w:val="fr-FR"/>
        </w:rPr>
        <w:t>5.</w:t>
      </w:r>
      <w:r w:rsidRPr="00623A2B">
        <w:rPr>
          <w:rFonts w:ascii="Times New Roman" w:eastAsia="Calibri" w:hAnsi="Times New Roman"/>
          <w:szCs w:val="22"/>
          <w:lang w:val="fr-FR"/>
        </w:rPr>
        <w:tab/>
        <w:t>D'inviter instamment le Secrétariat général, par l’intermédiaire du Département pour l’efficacité de la gestion publique, en fonction des ressources disponibles, à soutenir les États membres, à leur demande, dans la mise en œuvre des principes du gouvernement ouvert et à promouvoir des activités de formation, d’apprentissage, de formation technique et d’échange d'expériences dans les domaines du gouvernement ouvert, des données en libre accès et du gouvernement numérique.</w:t>
      </w:r>
    </w:p>
    <w:p w14:paraId="0B45FA26" w14:textId="77777777" w:rsidR="00875323" w:rsidRPr="00623A2B" w:rsidRDefault="00875323" w:rsidP="007145F7">
      <w:pPr>
        <w:rPr>
          <w:rFonts w:ascii="Times New Roman" w:hAnsi="Times New Roman"/>
          <w:szCs w:val="22"/>
          <w:lang w:val="fr-FR"/>
        </w:rPr>
      </w:pPr>
    </w:p>
    <w:p w14:paraId="169A3735" w14:textId="77777777" w:rsidR="00875323" w:rsidRPr="00623A2B" w:rsidRDefault="00875323" w:rsidP="007145F7">
      <w:pPr>
        <w:ind w:firstLine="720"/>
        <w:rPr>
          <w:rFonts w:ascii="Times New Roman" w:hAnsi="Times New Roman"/>
          <w:szCs w:val="22"/>
          <w:lang w:val="fr-FR"/>
        </w:rPr>
      </w:pPr>
      <w:r w:rsidRPr="00623A2B">
        <w:rPr>
          <w:rFonts w:ascii="Times New Roman" w:eastAsia="Calibri" w:hAnsi="Times New Roman"/>
          <w:szCs w:val="22"/>
          <w:lang w:val="fr-FR"/>
        </w:rPr>
        <w:t>6.</w:t>
      </w:r>
      <w:r w:rsidRPr="00623A2B">
        <w:rPr>
          <w:rFonts w:ascii="Times New Roman" w:eastAsia="Calibri" w:hAnsi="Times New Roman"/>
          <w:szCs w:val="22"/>
          <w:lang w:val="fr-FR"/>
        </w:rPr>
        <w:tab/>
        <w:t>D’encourager les États membres à s'engager activement dans d'autres activités de coopération en matière de gouvernement ouvert, en particulier le Partenariat pour un gouvernement ouvert, dont le modèle garantit la cocréation d'engagements concrets avec la participation, le suivi et le dialogue direct des organisations de la société civile, et permet d'identifier les possibilités de collaboration sur des projets de renforcement de la démocratie.</w:t>
      </w:r>
    </w:p>
    <w:p w14:paraId="3544B6F5" w14:textId="77777777" w:rsidR="00875323" w:rsidRPr="00623A2B" w:rsidRDefault="00875323" w:rsidP="007145F7">
      <w:pPr>
        <w:rPr>
          <w:rFonts w:ascii="Times New Roman" w:hAnsi="Times New Roman"/>
          <w:szCs w:val="22"/>
          <w:lang w:val="fr-FR"/>
        </w:rPr>
      </w:pPr>
    </w:p>
    <w:p w14:paraId="282BB284" w14:textId="77777777" w:rsidR="00875323" w:rsidRPr="00623A2B" w:rsidRDefault="00875323" w:rsidP="007145F7">
      <w:pPr>
        <w:ind w:firstLine="720"/>
        <w:rPr>
          <w:rFonts w:ascii="Times New Roman" w:eastAsia="Calibri" w:hAnsi="Times New Roman"/>
          <w:szCs w:val="22"/>
          <w:lang w:val="fr-FR"/>
        </w:rPr>
      </w:pPr>
      <w:r w:rsidRPr="00623A2B">
        <w:rPr>
          <w:rFonts w:ascii="Times New Roman" w:eastAsia="Calibri" w:hAnsi="Times New Roman"/>
          <w:szCs w:val="22"/>
          <w:lang w:val="fr-FR"/>
        </w:rPr>
        <w:t>7.</w:t>
      </w:r>
      <w:r w:rsidRPr="00623A2B">
        <w:rPr>
          <w:rFonts w:ascii="Times New Roman" w:eastAsia="Calibri" w:hAnsi="Times New Roman"/>
          <w:szCs w:val="22"/>
          <w:lang w:val="fr-FR"/>
        </w:rPr>
        <w:tab/>
        <w:t>De recommander aux États membres de renforcer les compétences numériques des agents publics et d'inclure l'approche de l'innovation numérique et de l'expérience utilisateur dans la recherche, la conception, le développement et l'exploitation des services numériques.</w:t>
      </w:r>
    </w:p>
    <w:p w14:paraId="2F6C3FCE" w14:textId="77777777" w:rsidR="00875323" w:rsidRPr="00623A2B" w:rsidRDefault="00875323" w:rsidP="007145F7">
      <w:pPr>
        <w:rPr>
          <w:rFonts w:ascii="Times New Roman" w:hAnsi="Times New Roman"/>
          <w:szCs w:val="22"/>
          <w:lang w:val="fr-FR"/>
        </w:rPr>
      </w:pPr>
    </w:p>
    <w:p w14:paraId="66D8911C" w14:textId="77777777" w:rsidR="00875323" w:rsidRPr="00623A2B" w:rsidRDefault="00875323" w:rsidP="007145F7">
      <w:pPr>
        <w:ind w:firstLine="720"/>
        <w:rPr>
          <w:rFonts w:ascii="Times New Roman" w:eastAsia="Calibri" w:hAnsi="Times New Roman"/>
          <w:szCs w:val="22"/>
          <w:lang w:val="fr-FR"/>
        </w:rPr>
      </w:pPr>
      <w:r w:rsidRPr="00623A2B">
        <w:rPr>
          <w:rFonts w:ascii="Times New Roman" w:eastAsia="Calibri" w:hAnsi="Times New Roman"/>
          <w:szCs w:val="22"/>
          <w:lang w:val="fr-FR"/>
        </w:rPr>
        <w:t>8.</w:t>
      </w:r>
      <w:r w:rsidRPr="00623A2B">
        <w:rPr>
          <w:rFonts w:ascii="Times New Roman" w:eastAsia="Calibri" w:hAnsi="Times New Roman"/>
          <w:szCs w:val="22"/>
          <w:lang w:val="fr-FR"/>
        </w:rPr>
        <w:tab/>
        <w:t>D’inviter instamment les États membres à incorporer et promouvoir des stratégies d’alphabétisation et de citoyenneté numériques permettant aux personnes d’acquérir des connaissances et des aptitudes pour exercer leurs droits et obligations dans le domaine numérique, comme espace fondamental de participation, d’inclusion et d’adoption des services numériques.</w:t>
      </w:r>
    </w:p>
    <w:p w14:paraId="1D43BFC2" w14:textId="77777777" w:rsidR="00875323" w:rsidRPr="00623A2B" w:rsidRDefault="00875323" w:rsidP="007145F7">
      <w:pPr>
        <w:rPr>
          <w:rFonts w:ascii="Times New Roman" w:eastAsia="Calibri" w:hAnsi="Times New Roman"/>
          <w:szCs w:val="22"/>
          <w:lang w:val="fr-FR"/>
        </w:rPr>
      </w:pPr>
    </w:p>
    <w:p w14:paraId="4B202E1F" w14:textId="77777777" w:rsidR="00875323" w:rsidRPr="00623A2B" w:rsidRDefault="00875323" w:rsidP="007145F7">
      <w:pPr>
        <w:ind w:firstLine="720"/>
        <w:rPr>
          <w:rFonts w:ascii="Times New Roman" w:hAnsi="Times New Roman"/>
          <w:szCs w:val="22"/>
          <w:lang w:val="fr-FR"/>
        </w:rPr>
      </w:pPr>
      <w:r w:rsidRPr="00623A2B">
        <w:rPr>
          <w:rFonts w:ascii="Times New Roman" w:eastAsia="Calibri" w:hAnsi="Times New Roman"/>
          <w:szCs w:val="22"/>
          <w:lang w:val="fr-FR"/>
        </w:rPr>
        <w:t>9.</w:t>
      </w:r>
      <w:r w:rsidRPr="00623A2B">
        <w:rPr>
          <w:rFonts w:ascii="Times New Roman" w:eastAsia="Calibri" w:hAnsi="Times New Roman"/>
          <w:szCs w:val="22"/>
          <w:lang w:val="fr-FR"/>
        </w:rPr>
        <w:tab/>
        <w:t xml:space="preserve">D’appeler les États membres à promouvoir des mécanismes sûrs et normalisés d'interopérabilité des données et de signature numérique qui contribuent à encourager les échanges transfrontaliers d'informations conformément aux cadres normatifs et de </w:t>
      </w:r>
      <w:proofErr w:type="gramStart"/>
      <w:r w:rsidRPr="00623A2B">
        <w:rPr>
          <w:rFonts w:ascii="Times New Roman" w:eastAsia="Calibri" w:hAnsi="Times New Roman"/>
          <w:szCs w:val="22"/>
          <w:lang w:val="fr-FR"/>
        </w:rPr>
        <w:t>réglementation légaux</w:t>
      </w:r>
      <w:proofErr w:type="gramEnd"/>
      <w:r w:rsidRPr="00623A2B">
        <w:rPr>
          <w:rFonts w:ascii="Times New Roman" w:eastAsia="Calibri" w:hAnsi="Times New Roman"/>
          <w:szCs w:val="22"/>
          <w:lang w:val="fr-FR"/>
        </w:rPr>
        <w:t xml:space="preserve"> applicables dans chaque pays.</w:t>
      </w:r>
    </w:p>
    <w:p w14:paraId="2C964164" w14:textId="77777777" w:rsidR="00875323" w:rsidRPr="00623A2B" w:rsidRDefault="00875323" w:rsidP="007145F7">
      <w:pPr>
        <w:rPr>
          <w:rFonts w:ascii="Times New Roman" w:hAnsi="Times New Roman"/>
          <w:szCs w:val="22"/>
          <w:lang w:val="fr-FR"/>
        </w:rPr>
      </w:pPr>
    </w:p>
    <w:p w14:paraId="1B5762E9" w14:textId="77777777" w:rsidR="00875323" w:rsidRPr="00623A2B" w:rsidRDefault="00875323" w:rsidP="007145F7">
      <w:pPr>
        <w:ind w:firstLine="720"/>
        <w:rPr>
          <w:rFonts w:ascii="Times New Roman" w:hAnsi="Times New Roman"/>
          <w:szCs w:val="22"/>
          <w:lang w:val="fr-FR"/>
        </w:rPr>
      </w:pPr>
      <w:r w:rsidRPr="00623A2B">
        <w:rPr>
          <w:rFonts w:ascii="Times New Roman" w:eastAsia="Calibri" w:hAnsi="Times New Roman"/>
          <w:szCs w:val="22"/>
          <w:lang w:val="fr-FR"/>
        </w:rPr>
        <w:t>10.</w:t>
      </w:r>
      <w:r w:rsidRPr="00623A2B">
        <w:rPr>
          <w:rFonts w:ascii="Times New Roman" w:eastAsia="Calibri" w:hAnsi="Times New Roman"/>
          <w:szCs w:val="22"/>
          <w:lang w:val="fr-FR"/>
        </w:rPr>
        <w:tab/>
        <w:t>D’inviter les États membres à participer à la Quinzième Réunion annuelle du Réseau GEALC qui aura lieu à Panama les 18 et 19 novembre 2021.</w:t>
      </w:r>
      <w:r w:rsidRPr="00623A2B">
        <w:rPr>
          <w:rFonts w:ascii="Times New Roman" w:hAnsi="Times New Roman"/>
          <w:szCs w:val="22"/>
          <w:lang w:val="fr-FR"/>
        </w:rPr>
        <w:t xml:space="preserve"> </w:t>
      </w:r>
      <w:r w:rsidRPr="00623A2B">
        <w:rPr>
          <w:rFonts w:ascii="Times New Roman" w:hAnsi="Times New Roman"/>
          <w:szCs w:val="22"/>
          <w:lang w:val="fr-FR"/>
        </w:rPr>
        <w:br w:type="page"/>
      </w:r>
    </w:p>
    <w:p w14:paraId="027A465C" w14:textId="11B7CDBC" w:rsidR="00875323" w:rsidRPr="00623A2B" w:rsidRDefault="00875323" w:rsidP="00BB0383">
      <w:pPr>
        <w:jc w:val="center"/>
        <w:rPr>
          <w:rFonts w:ascii="Times New Roman" w:hAnsi="Times New Roman"/>
          <w:sz w:val="20"/>
          <w:lang w:val="fr-FR"/>
        </w:rPr>
      </w:pPr>
      <w:r w:rsidRPr="00623A2B">
        <w:rPr>
          <w:rFonts w:ascii="Times New Roman" w:hAnsi="Times New Roman"/>
          <w:sz w:val="20"/>
          <w:lang w:val="fr-FR"/>
        </w:rPr>
        <w:lastRenderedPageBreak/>
        <w:t>NOTES DE BAS DE PAGE</w:t>
      </w:r>
    </w:p>
    <w:p w14:paraId="535C64D6" w14:textId="1A9540C8" w:rsidR="00BB0383" w:rsidRPr="00623A2B" w:rsidRDefault="00BB0383" w:rsidP="00BB0383">
      <w:pPr>
        <w:jc w:val="center"/>
        <w:rPr>
          <w:rFonts w:ascii="Times New Roman" w:hAnsi="Times New Roman"/>
          <w:sz w:val="20"/>
          <w:lang w:val="fr-FR"/>
        </w:rPr>
      </w:pPr>
    </w:p>
    <w:p w14:paraId="6AE306BB" w14:textId="64677D52" w:rsidR="00BB0383" w:rsidRPr="00623A2B" w:rsidRDefault="00BB0383" w:rsidP="00BB0383">
      <w:pPr>
        <w:jc w:val="center"/>
        <w:rPr>
          <w:rFonts w:ascii="Times New Roman" w:hAnsi="Times New Roman"/>
          <w:sz w:val="20"/>
          <w:lang w:val="fr-FR"/>
        </w:rPr>
      </w:pPr>
    </w:p>
    <w:p w14:paraId="32B1783B" w14:textId="77777777" w:rsidR="007145F7" w:rsidRPr="00623A2B" w:rsidRDefault="007145F7" w:rsidP="007145F7">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1.</w:t>
      </w:r>
      <w:r w:rsidRPr="00623A2B">
        <w:rPr>
          <w:rFonts w:ascii="Times New Roman" w:hAnsi="Times New Roman"/>
          <w:sz w:val="20"/>
          <w:lang w:val="fr-FR"/>
        </w:rPr>
        <w:tab/>
        <w:t>… Cinquante-et-unième Session ordinaire de l’Assemblée générale de l’Organisation des États Américains (OEA), lesquelles constituent des actes contraires au droit international.</w:t>
      </w:r>
    </w:p>
    <w:p w14:paraId="5D5E50C4" w14:textId="77777777" w:rsidR="007145F7" w:rsidRPr="00623A2B" w:rsidRDefault="007145F7" w:rsidP="007145F7">
      <w:pPr>
        <w:pStyle w:val="FootnoteText"/>
        <w:tabs>
          <w:tab w:val="clear" w:pos="360"/>
        </w:tabs>
        <w:ind w:left="0" w:firstLine="720"/>
        <w:rPr>
          <w:rFonts w:ascii="Times New Roman" w:hAnsi="Times New Roman"/>
          <w:sz w:val="20"/>
          <w:lang w:val="fr-FR"/>
        </w:rPr>
      </w:pPr>
    </w:p>
    <w:p w14:paraId="064D472C" w14:textId="77777777" w:rsidR="007145F7" w:rsidRPr="00623A2B" w:rsidRDefault="007145F7" w:rsidP="007145F7">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5DB01FE6" w14:textId="77777777" w:rsidR="007145F7" w:rsidRPr="00623A2B" w:rsidRDefault="007145F7" w:rsidP="007145F7">
      <w:pPr>
        <w:pStyle w:val="FootnoteText"/>
        <w:tabs>
          <w:tab w:val="clear" w:pos="360"/>
        </w:tabs>
        <w:ind w:left="0" w:firstLine="720"/>
        <w:rPr>
          <w:rFonts w:ascii="Times New Roman" w:hAnsi="Times New Roman"/>
          <w:sz w:val="20"/>
          <w:lang w:val="fr-FR"/>
        </w:rPr>
      </w:pPr>
    </w:p>
    <w:p w14:paraId="48C4AE3E" w14:textId="77777777" w:rsidR="007145F7" w:rsidRPr="00623A2B" w:rsidRDefault="007145F7" w:rsidP="007145F7">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3C5D6BBF" w14:textId="77777777" w:rsidR="007145F7" w:rsidRPr="00623A2B" w:rsidRDefault="007145F7" w:rsidP="007145F7">
      <w:pPr>
        <w:pStyle w:val="FootnoteText"/>
        <w:tabs>
          <w:tab w:val="clear" w:pos="360"/>
        </w:tabs>
        <w:ind w:left="0" w:firstLine="720"/>
        <w:rPr>
          <w:rFonts w:ascii="Times New Roman" w:hAnsi="Times New Roman"/>
          <w:sz w:val="20"/>
          <w:lang w:val="fr-FR"/>
        </w:rPr>
      </w:pPr>
    </w:p>
    <w:p w14:paraId="66FB5574" w14:textId="77777777" w:rsidR="007145F7" w:rsidRPr="00623A2B" w:rsidRDefault="007145F7" w:rsidP="007145F7">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 xml:space="preserve">La reconnaissance d’un gouvernement est un acte souverain des États, et non des institutions internationales. L’OEA ne possède ni ne peut s’arroger des facultés de reconnaissance collective opposable à la qualité de </w:t>
      </w:r>
      <w:proofErr w:type="gramStart"/>
      <w:r w:rsidRPr="00623A2B">
        <w:rPr>
          <w:rFonts w:ascii="Times New Roman" w:hAnsi="Times New Roman"/>
          <w:sz w:val="20"/>
          <w:lang w:val="fr-FR"/>
        </w:rPr>
        <w:t>membre;</w:t>
      </w:r>
      <w:proofErr w:type="gramEnd"/>
      <w:r w:rsidRPr="00623A2B">
        <w:rPr>
          <w:rFonts w:ascii="Times New Roman" w:hAnsi="Times New Roman"/>
          <w:sz w:val="20"/>
          <w:lang w:val="fr-FR"/>
        </w:rPr>
        <w:t xml:space="preserve"> c’est pourquoi tout acte visant à atteindre cet objectif tombe en dehors de sa compétence et est matériellement nul.</w:t>
      </w:r>
    </w:p>
    <w:p w14:paraId="530A1F87" w14:textId="77777777" w:rsidR="007145F7" w:rsidRPr="00623A2B" w:rsidRDefault="007145F7" w:rsidP="007145F7">
      <w:pPr>
        <w:pStyle w:val="FootnoteText"/>
        <w:tabs>
          <w:tab w:val="clear" w:pos="360"/>
        </w:tabs>
        <w:ind w:left="0" w:firstLine="720"/>
        <w:rPr>
          <w:rFonts w:ascii="Times New Roman" w:hAnsi="Times New Roman"/>
          <w:sz w:val="20"/>
          <w:lang w:val="fr-FR"/>
        </w:rPr>
      </w:pPr>
    </w:p>
    <w:p w14:paraId="46685675" w14:textId="77777777" w:rsidR="007145F7" w:rsidRPr="00623A2B" w:rsidRDefault="007145F7" w:rsidP="007145F7">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2BC9AD3B" w14:textId="77777777" w:rsidR="007145F7" w:rsidRPr="00623A2B" w:rsidRDefault="007145F7" w:rsidP="007145F7">
      <w:pPr>
        <w:pStyle w:val="FootnoteText"/>
        <w:tabs>
          <w:tab w:val="clear" w:pos="360"/>
        </w:tabs>
        <w:ind w:left="0" w:firstLine="720"/>
        <w:rPr>
          <w:rFonts w:ascii="Times New Roman" w:hAnsi="Times New Roman"/>
          <w:sz w:val="20"/>
          <w:lang w:val="fr-FR"/>
        </w:rPr>
      </w:pPr>
    </w:p>
    <w:p w14:paraId="73078B65" w14:textId="77777777" w:rsidR="007145F7" w:rsidRPr="00623A2B" w:rsidRDefault="007145F7" w:rsidP="007145F7">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037B8F2A" w14:textId="77777777" w:rsidR="007145F7" w:rsidRPr="00623A2B" w:rsidRDefault="007145F7" w:rsidP="007145F7">
      <w:pPr>
        <w:pStyle w:val="FootnoteText"/>
        <w:tabs>
          <w:tab w:val="clear" w:pos="360"/>
        </w:tabs>
        <w:ind w:left="0" w:firstLine="720"/>
        <w:rPr>
          <w:rFonts w:ascii="Times New Roman" w:hAnsi="Times New Roman"/>
          <w:sz w:val="20"/>
          <w:lang w:val="fr-FR"/>
        </w:rPr>
      </w:pPr>
    </w:p>
    <w:p w14:paraId="36300045" w14:textId="77777777" w:rsidR="007145F7" w:rsidRPr="00623A2B" w:rsidRDefault="007145F7" w:rsidP="007145F7">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6A8731E1" w14:textId="77777777" w:rsidR="007145F7" w:rsidRPr="00623A2B" w:rsidRDefault="007145F7" w:rsidP="007145F7">
      <w:pPr>
        <w:pStyle w:val="FootnoteText"/>
        <w:tabs>
          <w:tab w:val="clear" w:pos="360"/>
        </w:tabs>
        <w:ind w:left="0" w:firstLine="720"/>
        <w:rPr>
          <w:rFonts w:ascii="Times New Roman" w:hAnsi="Times New Roman"/>
          <w:sz w:val="20"/>
          <w:lang w:val="fr-FR"/>
        </w:rPr>
      </w:pPr>
    </w:p>
    <w:p w14:paraId="5F916445" w14:textId="77777777" w:rsidR="007145F7" w:rsidRPr="00623A2B" w:rsidRDefault="007145F7" w:rsidP="007145F7">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2.</w:t>
      </w:r>
      <w:r w:rsidRPr="00623A2B">
        <w:rPr>
          <w:rFonts w:ascii="Times New Roman" w:hAnsi="Times New Roman"/>
          <w:sz w:val="20"/>
          <w:lang w:val="fr-FR"/>
        </w:rPr>
        <w:tab/>
        <w:t xml:space="preserve">… de personnes qui prétendent usurper la représentation légale de la République bolivarienne du Venezuela et du Gouvernement légitime du Président </w:t>
      </w:r>
      <w:proofErr w:type="spellStart"/>
      <w:r w:rsidRPr="00623A2B">
        <w:rPr>
          <w:rFonts w:ascii="Times New Roman" w:hAnsi="Times New Roman"/>
          <w:sz w:val="20"/>
          <w:lang w:val="fr-FR"/>
        </w:rPr>
        <w:t>Nicolás</w:t>
      </w:r>
      <w:proofErr w:type="spellEnd"/>
      <w:r w:rsidRPr="00623A2B">
        <w:rPr>
          <w:rFonts w:ascii="Times New Roman" w:hAnsi="Times New Roman"/>
          <w:sz w:val="20"/>
          <w:lang w:val="fr-FR"/>
        </w:rPr>
        <w:t xml:space="preserve"> </w:t>
      </w:r>
      <w:proofErr w:type="spellStart"/>
      <w:r w:rsidRPr="00623A2B">
        <w:rPr>
          <w:rFonts w:ascii="Times New Roman" w:hAnsi="Times New Roman"/>
          <w:sz w:val="20"/>
          <w:lang w:val="fr-FR"/>
        </w:rPr>
        <w:t>Maduro</w:t>
      </w:r>
      <w:proofErr w:type="spellEnd"/>
      <w:r w:rsidRPr="00623A2B">
        <w:rPr>
          <w:rFonts w:ascii="Times New Roman" w:hAnsi="Times New Roman"/>
          <w:sz w:val="20"/>
          <w:lang w:val="fr-FR"/>
        </w:rPr>
        <w:t xml:space="preserve"> Moros. Nous demandons que notre refus soit consigné dans tous les documents qui seront traités lors de la présente Cinquante-et-unième Session de l’Assemblée générale de l’OEA.</w:t>
      </w:r>
    </w:p>
    <w:p w14:paraId="67C09B9B" w14:textId="77777777" w:rsidR="007145F7" w:rsidRPr="00623A2B" w:rsidRDefault="007145F7" w:rsidP="007145F7">
      <w:pPr>
        <w:pStyle w:val="FootnoteText"/>
        <w:tabs>
          <w:tab w:val="clear" w:pos="360"/>
        </w:tabs>
        <w:ind w:left="0" w:firstLine="720"/>
        <w:rPr>
          <w:rFonts w:ascii="Times New Roman" w:hAnsi="Times New Roman"/>
          <w:sz w:val="20"/>
          <w:lang w:val="fr-FR"/>
        </w:rPr>
      </w:pPr>
    </w:p>
    <w:p w14:paraId="631E82C4" w14:textId="77777777" w:rsidR="007145F7" w:rsidRPr="00623A2B" w:rsidRDefault="007145F7" w:rsidP="007145F7">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3.</w:t>
      </w:r>
      <w:r w:rsidRPr="00623A2B">
        <w:rPr>
          <w:rFonts w:ascii="Times New Roman" w:hAnsi="Times New Roman"/>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248B83E7" w14:textId="77777777" w:rsidR="007145F7" w:rsidRPr="00623A2B" w:rsidRDefault="007145F7" w:rsidP="007145F7">
      <w:pPr>
        <w:pStyle w:val="FootnoteText"/>
        <w:tabs>
          <w:tab w:val="clear" w:pos="360"/>
        </w:tabs>
        <w:ind w:left="0" w:firstLine="720"/>
        <w:rPr>
          <w:rFonts w:ascii="Times New Roman" w:hAnsi="Times New Roman"/>
          <w:sz w:val="20"/>
          <w:lang w:val="fr-FR"/>
        </w:rPr>
      </w:pPr>
    </w:p>
    <w:p w14:paraId="17500193" w14:textId="77777777" w:rsidR="007145F7" w:rsidRPr="00623A2B" w:rsidRDefault="007145F7" w:rsidP="007145F7">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 xml:space="preserve">Antigua-et-Barbuda n'a pas soutenu la résolution CP/RES. 1124 (2217/19) du 9 avril 2019 qui visait à nommer M. Gustavo </w:t>
      </w:r>
      <w:proofErr w:type="spellStart"/>
      <w:r w:rsidRPr="00623A2B">
        <w:rPr>
          <w:rFonts w:ascii="Times New Roman" w:hAnsi="Times New Roman"/>
          <w:sz w:val="20"/>
          <w:lang w:val="fr-FR"/>
        </w:rPr>
        <w:t>Tarre</w:t>
      </w:r>
      <w:proofErr w:type="spellEnd"/>
      <w:r w:rsidRPr="00623A2B">
        <w:rPr>
          <w:rFonts w:ascii="Times New Roman" w:hAnsi="Times New Roman"/>
          <w:sz w:val="20"/>
          <w:lang w:val="fr-FR"/>
        </w:rPr>
        <w:t xml:space="preserve"> comme représentant de l'Assemblée nationale auprès de l'OEA et n'a pas accepté les </w:t>
      </w:r>
      <w:r w:rsidRPr="00623A2B">
        <w:rPr>
          <w:rFonts w:ascii="Times New Roman" w:hAnsi="Times New Roman"/>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735910E8" w14:textId="77777777" w:rsidR="007145F7" w:rsidRPr="00623A2B" w:rsidRDefault="007145F7" w:rsidP="007145F7">
      <w:pPr>
        <w:pStyle w:val="FootnoteText"/>
        <w:tabs>
          <w:tab w:val="clear" w:pos="360"/>
        </w:tabs>
        <w:ind w:left="0" w:firstLine="720"/>
        <w:rPr>
          <w:rFonts w:ascii="Times New Roman" w:hAnsi="Times New Roman"/>
          <w:sz w:val="20"/>
          <w:lang w:val="fr-FR"/>
        </w:rPr>
      </w:pPr>
    </w:p>
    <w:p w14:paraId="3AEA9070" w14:textId="77777777" w:rsidR="007145F7" w:rsidRPr="00623A2B" w:rsidRDefault="007145F7" w:rsidP="007145F7">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53B3F1C7" w14:textId="77777777" w:rsidR="007145F7" w:rsidRPr="00623A2B" w:rsidRDefault="007145F7" w:rsidP="007145F7">
      <w:pPr>
        <w:ind w:firstLine="720"/>
        <w:rPr>
          <w:rFonts w:ascii="Times New Roman" w:hAnsi="Times New Roman"/>
          <w:position w:val="-1"/>
          <w:sz w:val="20"/>
          <w:lang w:val="fr-CA"/>
        </w:rPr>
      </w:pPr>
    </w:p>
    <w:p w14:paraId="394F3802" w14:textId="77777777" w:rsidR="007145F7" w:rsidRPr="00623A2B" w:rsidRDefault="007145F7" w:rsidP="007145F7">
      <w:pPr>
        <w:pStyle w:val="FootnoteText"/>
        <w:ind w:left="0" w:firstLine="720"/>
        <w:rPr>
          <w:rFonts w:ascii="Times New Roman" w:hAnsi="Times New Roman"/>
          <w:sz w:val="20"/>
          <w:lang w:val="fr-CA"/>
        </w:rPr>
      </w:pPr>
      <w:r w:rsidRPr="00623A2B">
        <w:rPr>
          <w:rFonts w:ascii="Times New Roman" w:hAnsi="Times New Roman"/>
          <w:sz w:val="20"/>
          <w:lang w:val="fr-FR"/>
        </w:rPr>
        <w:t>4.</w:t>
      </w:r>
      <w:r w:rsidRPr="00623A2B">
        <w:rPr>
          <w:rFonts w:ascii="Times New Roman" w:hAnsi="Times New Roman"/>
          <w:sz w:val="20"/>
          <w:lang w:val="fr-FR"/>
        </w:rPr>
        <w:tab/>
      </w:r>
      <w:r w:rsidRPr="00623A2B">
        <w:rPr>
          <w:rFonts w:ascii="Times New Roman" w:hAnsi="Times New Roman"/>
          <w:sz w:val="20"/>
          <w:lang w:val="fr-CA"/>
        </w:rPr>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2F2480F7" w14:textId="77777777" w:rsidR="007145F7" w:rsidRPr="00623A2B" w:rsidRDefault="007145F7" w:rsidP="007145F7">
      <w:pPr>
        <w:pStyle w:val="FootnoteText"/>
        <w:ind w:left="0" w:firstLine="720"/>
        <w:rPr>
          <w:rFonts w:ascii="Times New Roman" w:hAnsi="Times New Roman"/>
          <w:sz w:val="20"/>
          <w:lang w:val="fr-CA"/>
        </w:rPr>
      </w:pPr>
    </w:p>
    <w:p w14:paraId="26744E36" w14:textId="77777777" w:rsidR="007145F7" w:rsidRPr="00623A2B" w:rsidRDefault="007145F7" w:rsidP="00DC5E26">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CA"/>
        </w:rPr>
        <w:t xml:space="preserve">Saint-Vincent-et-les-Grenadines n'a pas soutenu la résolution CP/RES. 1124 (2217/19) du 9 avril 2019, qui, dans une parodie de procédure, a permis au prétendu représentant de siéger.  Saint-Vincent-et-les-Grenadines informe donc cette Assemblée </w:t>
      </w:r>
      <w:r w:rsidRPr="00DC5E26">
        <w:rPr>
          <w:rFonts w:ascii="Times New Roman" w:hAnsi="Times New Roman"/>
          <w:sz w:val="20"/>
          <w:lang w:val="fr-FR"/>
        </w:rPr>
        <w:t>générale</w:t>
      </w:r>
      <w:r w:rsidRPr="00623A2B">
        <w:rPr>
          <w:rFonts w:ascii="Times New Roman" w:hAnsi="Times New Roman"/>
          <w:sz w:val="20"/>
          <w:lang w:val="fr-CA"/>
        </w:rPr>
        <w:t xml:space="preserv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p>
    <w:p w14:paraId="713FABDF" w14:textId="77777777" w:rsidR="007145F7" w:rsidRPr="00623A2B" w:rsidRDefault="007145F7" w:rsidP="00BB0383">
      <w:pPr>
        <w:jc w:val="center"/>
        <w:rPr>
          <w:rFonts w:ascii="Times New Roman" w:hAnsi="Times New Roman"/>
          <w:sz w:val="20"/>
          <w:lang w:val="fr-FR"/>
        </w:rPr>
      </w:pPr>
    </w:p>
    <w:p w14:paraId="069929BD" w14:textId="6D4D19EA" w:rsidR="00875323" w:rsidRPr="00623A2B" w:rsidRDefault="00BB0383" w:rsidP="00BB0383">
      <w:pPr>
        <w:ind w:firstLine="720"/>
        <w:rPr>
          <w:rFonts w:ascii="Times New Roman" w:hAnsi="Times New Roman"/>
          <w:sz w:val="20"/>
          <w:lang w:val="fr-FR"/>
        </w:rPr>
      </w:pPr>
      <w:r w:rsidRPr="00623A2B">
        <w:rPr>
          <w:rFonts w:ascii="Times New Roman" w:hAnsi="Times New Roman"/>
          <w:sz w:val="20"/>
          <w:lang w:val="fr-FR"/>
        </w:rPr>
        <w:t>5</w:t>
      </w:r>
      <w:r w:rsidR="00875323" w:rsidRPr="00623A2B">
        <w:rPr>
          <w:rFonts w:ascii="Times New Roman" w:hAnsi="Times New Roman"/>
          <w:sz w:val="20"/>
          <w:lang w:val="fr-FR"/>
        </w:rPr>
        <w:t>.</w:t>
      </w:r>
      <w:r w:rsidR="00875323" w:rsidRPr="00623A2B">
        <w:rPr>
          <w:rFonts w:ascii="Times New Roman" w:hAnsi="Times New Roman"/>
          <w:sz w:val="20"/>
          <w:lang w:val="fr-FR"/>
        </w:rPr>
        <w:tab/>
        <w:t>…</w:t>
      </w:r>
      <w:r w:rsidR="0036448D" w:rsidRPr="00623A2B">
        <w:rPr>
          <w:rFonts w:ascii="Times New Roman" w:hAnsi="Times New Roman"/>
          <w:sz w:val="20"/>
          <w:lang w:val="fr-FR"/>
        </w:rPr>
        <w:t xml:space="preserve">référence </w:t>
      </w:r>
      <w:r w:rsidR="00875323" w:rsidRPr="00623A2B">
        <w:rPr>
          <w:rFonts w:ascii="Times New Roman" w:hAnsi="Times New Roman"/>
          <w:sz w:val="20"/>
          <w:lang w:val="fr-FR"/>
        </w:rPr>
        <w:t>aux droits du consommateur qui peuvent exister dans le droit national, le cas échéant.</w:t>
      </w:r>
    </w:p>
    <w:p w14:paraId="3CE2E96A" w14:textId="77777777" w:rsidR="00875323" w:rsidRPr="00623A2B" w:rsidRDefault="00875323" w:rsidP="00875323">
      <w:pPr>
        <w:rPr>
          <w:rFonts w:ascii="Times New Roman" w:hAnsi="Times New Roman"/>
          <w:sz w:val="20"/>
          <w:lang w:val="fr-FR"/>
        </w:rPr>
      </w:pPr>
    </w:p>
    <w:p w14:paraId="4B9B5952" w14:textId="4DA39430" w:rsidR="00286485" w:rsidRPr="00623A2B" w:rsidRDefault="00BB0383" w:rsidP="00BB0383">
      <w:pPr>
        <w:pStyle w:val="FootnoteText"/>
        <w:tabs>
          <w:tab w:val="clear" w:pos="360"/>
        </w:tabs>
        <w:ind w:left="0" w:firstLine="720"/>
        <w:rPr>
          <w:rFonts w:ascii="Times New Roman" w:hAnsi="Times New Roman"/>
          <w:color w:val="000000"/>
          <w:sz w:val="20"/>
          <w:lang w:val="fr-FR"/>
        </w:rPr>
      </w:pPr>
      <w:r w:rsidRPr="00623A2B">
        <w:rPr>
          <w:rFonts w:ascii="Times New Roman" w:hAnsi="Times New Roman"/>
          <w:sz w:val="20"/>
          <w:lang w:val="fr-FR"/>
        </w:rPr>
        <w:t>6</w:t>
      </w:r>
      <w:r w:rsidR="00875323" w:rsidRPr="00623A2B">
        <w:rPr>
          <w:rFonts w:ascii="Times New Roman" w:hAnsi="Times New Roman"/>
          <w:sz w:val="20"/>
          <w:lang w:val="fr-FR"/>
        </w:rPr>
        <w:t>.</w:t>
      </w:r>
      <w:r w:rsidR="00875323" w:rsidRPr="00623A2B">
        <w:rPr>
          <w:rFonts w:ascii="Times New Roman" w:hAnsi="Times New Roman"/>
          <w:sz w:val="20"/>
          <w:lang w:val="fr-FR"/>
        </w:rPr>
        <w:tab/>
        <w:t>…</w:t>
      </w:r>
      <w:r w:rsidR="00875323" w:rsidRPr="00623A2B">
        <w:rPr>
          <w:rFonts w:ascii="Times New Roman" w:hAnsi="Times New Roman"/>
          <w:color w:val="000000"/>
          <w:sz w:val="20"/>
          <w:lang w:val="fr-FR"/>
        </w:rPr>
        <w:t xml:space="preserve"> signé entre le gouvernement de l'État plurinational de Bolivie et le Secrétariat général de l'Organisation des États Américains, agissant contre le droit et l'éthique, a émis à 4 h 05 le dimanche 10 novembre 2019 un « Rapport de conclusions préliminaires » de 13 pages, partial et illégal, qui n'était pas envisagé dans l'accord signé avec l'État bolivien, qui n'a pas été validé par ce dernier, contenant une série de déclarations et de manquements à la vérité qui ont favorisé le coup d'État en Bolivie et la violation extrêmement grave des droits de la personne qui en a résulté selon le rapport du GIEI-Bolivie.</w:t>
      </w:r>
    </w:p>
    <w:p w14:paraId="1778C53D" w14:textId="4F60B31A" w:rsidR="002F66C9" w:rsidRPr="00623A2B" w:rsidRDefault="002F66C9" w:rsidP="00BB0383">
      <w:pPr>
        <w:pStyle w:val="FootnoteText"/>
        <w:tabs>
          <w:tab w:val="clear" w:pos="360"/>
        </w:tabs>
        <w:ind w:left="0" w:firstLine="720"/>
        <w:rPr>
          <w:rFonts w:ascii="Times New Roman" w:hAnsi="Times New Roman"/>
          <w:sz w:val="20"/>
          <w:lang w:val="fr-FR"/>
        </w:rPr>
      </w:pPr>
    </w:p>
    <w:p w14:paraId="0C49F924" w14:textId="77777777" w:rsidR="008507FE" w:rsidRPr="00623A2B" w:rsidRDefault="008507FE" w:rsidP="00BB0383">
      <w:pPr>
        <w:pStyle w:val="FootnoteText"/>
        <w:tabs>
          <w:tab w:val="clear" w:pos="360"/>
        </w:tabs>
        <w:ind w:left="0" w:firstLine="720"/>
        <w:rPr>
          <w:rFonts w:ascii="Times New Roman" w:hAnsi="Times New Roman"/>
          <w:sz w:val="20"/>
          <w:lang w:val="fr-FR"/>
        </w:rPr>
        <w:sectPr w:rsidR="008507FE" w:rsidRPr="00623A2B" w:rsidSect="00623A2B">
          <w:footnotePr>
            <w:numRestart w:val="eachSect"/>
          </w:footnotePr>
          <w:type w:val="oddPage"/>
          <w:pgSz w:w="12240" w:h="15840" w:code="1"/>
          <w:pgMar w:top="2160" w:right="1570" w:bottom="1296" w:left="1699" w:header="720" w:footer="720" w:gutter="0"/>
          <w:cols w:space="708"/>
          <w:titlePg/>
          <w:docGrid w:linePitch="360"/>
        </w:sectPr>
      </w:pPr>
    </w:p>
    <w:p w14:paraId="10D00F5E" w14:textId="62E69732" w:rsidR="00F723DA" w:rsidRPr="00623A2B" w:rsidRDefault="00F723DA" w:rsidP="003E5BC5">
      <w:pPr>
        <w:pStyle w:val="Heading1"/>
        <w:spacing w:before="0"/>
        <w:jc w:val="center"/>
        <w:rPr>
          <w:rFonts w:ascii="Times New Roman" w:hAnsi="Times New Roman" w:cs="Times New Roman"/>
          <w:color w:val="auto"/>
          <w:sz w:val="22"/>
          <w:szCs w:val="22"/>
          <w:lang w:val="fr-FR" w:eastAsia="es-ES"/>
        </w:rPr>
      </w:pPr>
      <w:bookmarkStart w:id="75" w:name="_Toc89177466"/>
      <w:bookmarkStart w:id="76" w:name="_Toc74732027"/>
      <w:r w:rsidRPr="00623A2B">
        <w:rPr>
          <w:rFonts w:ascii="Times New Roman" w:hAnsi="Times New Roman" w:cs="Times New Roman"/>
          <w:color w:val="auto"/>
          <w:sz w:val="22"/>
          <w:szCs w:val="22"/>
          <w:lang w:val="fr-FR"/>
        </w:rPr>
        <w:lastRenderedPageBreak/>
        <w:t>AG/RES. 297</w:t>
      </w:r>
      <w:r w:rsidR="00431B41" w:rsidRPr="00623A2B">
        <w:rPr>
          <w:rFonts w:ascii="Times New Roman" w:hAnsi="Times New Roman" w:cs="Times New Roman"/>
          <w:color w:val="auto"/>
          <w:sz w:val="22"/>
          <w:szCs w:val="22"/>
          <w:lang w:val="fr-FR"/>
        </w:rPr>
        <w:t>6</w:t>
      </w:r>
      <w:r w:rsidRPr="00623A2B">
        <w:rPr>
          <w:rFonts w:ascii="Times New Roman" w:hAnsi="Times New Roman" w:cs="Times New Roman"/>
          <w:color w:val="auto"/>
          <w:sz w:val="22"/>
          <w:szCs w:val="22"/>
          <w:lang w:val="fr-FR"/>
        </w:rPr>
        <w:t xml:space="preserve"> (LI-O/21)</w:t>
      </w:r>
      <w:r w:rsidRPr="00623A2B">
        <w:rPr>
          <w:rFonts w:ascii="Times New Roman" w:hAnsi="Times New Roman" w:cs="Times New Roman"/>
          <w:color w:val="auto"/>
          <w:sz w:val="22"/>
          <w:szCs w:val="22"/>
          <w:lang w:val="fr-FR"/>
        </w:rPr>
        <w:br/>
      </w:r>
      <w:r w:rsidRPr="00623A2B">
        <w:rPr>
          <w:rFonts w:ascii="Times New Roman" w:hAnsi="Times New Roman" w:cs="Times New Roman"/>
          <w:color w:val="auto"/>
          <w:sz w:val="22"/>
          <w:szCs w:val="22"/>
          <w:lang w:val="fr-FR" w:eastAsia="es-ES"/>
        </w:rPr>
        <w:br/>
      </w:r>
      <w:r w:rsidRPr="00623A2B">
        <w:rPr>
          <w:rFonts w:ascii="Times New Roman" w:hAnsi="Times New Roman" w:cs="Times New Roman"/>
          <w:color w:val="auto"/>
          <w:sz w:val="22"/>
          <w:szCs w:val="22"/>
          <w:lang w:val="fr-FR"/>
        </w:rPr>
        <w:t>PROMOTION ET PROTECTION DES DROITS DE LA PERSONNE</w:t>
      </w:r>
      <w:r w:rsidR="00FE0D76" w:rsidRPr="00623A2B">
        <w:rPr>
          <w:rStyle w:val="FootnoteReference"/>
          <w:rFonts w:ascii="Times New Roman" w:hAnsi="Times New Roman" w:cs="Times New Roman"/>
          <w:sz w:val="22"/>
          <w:szCs w:val="22"/>
          <w:u w:val="single"/>
          <w:vertAlign w:val="superscript"/>
          <w:lang w:val="pt-BR"/>
        </w:rPr>
        <w:footnoteReference w:id="86"/>
      </w:r>
      <w:r w:rsidR="00FE0D76" w:rsidRPr="00623A2B">
        <w:rPr>
          <w:rFonts w:ascii="Times New Roman" w:hAnsi="Times New Roman" w:cs="Times New Roman"/>
          <w:color w:val="auto"/>
          <w:sz w:val="22"/>
          <w:szCs w:val="22"/>
          <w:vertAlign w:val="superscript"/>
          <w:lang w:val="fr-CA"/>
        </w:rPr>
        <w:t>/</w:t>
      </w:r>
      <w:r w:rsidR="00FE0D76" w:rsidRPr="00623A2B">
        <w:rPr>
          <w:rStyle w:val="FootnoteReference"/>
          <w:rFonts w:ascii="Times New Roman" w:hAnsi="Times New Roman" w:cs="Times New Roman"/>
          <w:sz w:val="22"/>
          <w:szCs w:val="22"/>
          <w:u w:val="single"/>
          <w:vertAlign w:val="superscript"/>
          <w:lang w:val="pt-BR"/>
        </w:rPr>
        <w:footnoteReference w:id="87"/>
      </w:r>
      <w:r w:rsidR="00FE0D76" w:rsidRPr="00623A2B">
        <w:rPr>
          <w:rFonts w:ascii="Times New Roman" w:hAnsi="Times New Roman" w:cs="Times New Roman"/>
          <w:color w:val="auto"/>
          <w:sz w:val="22"/>
          <w:szCs w:val="22"/>
          <w:vertAlign w:val="superscript"/>
          <w:lang w:val="fr-CA"/>
        </w:rPr>
        <w:t>/</w:t>
      </w:r>
      <w:r w:rsidR="00FE0D76" w:rsidRPr="00623A2B">
        <w:rPr>
          <w:rStyle w:val="FootnoteReference"/>
          <w:rFonts w:ascii="Times New Roman" w:hAnsi="Times New Roman" w:cs="Times New Roman"/>
          <w:sz w:val="22"/>
          <w:szCs w:val="22"/>
          <w:u w:val="single"/>
          <w:vertAlign w:val="superscript"/>
          <w:lang w:val="pt-BR"/>
        </w:rPr>
        <w:footnoteReference w:id="88"/>
      </w:r>
      <w:r w:rsidR="00FE0D76" w:rsidRPr="00623A2B">
        <w:rPr>
          <w:rFonts w:ascii="Times New Roman" w:hAnsi="Times New Roman" w:cs="Times New Roman"/>
          <w:color w:val="auto"/>
          <w:sz w:val="22"/>
          <w:szCs w:val="22"/>
          <w:vertAlign w:val="superscript"/>
          <w:lang w:val="fr-CA"/>
        </w:rPr>
        <w:t>/</w:t>
      </w:r>
      <w:r w:rsidR="00FE0D76" w:rsidRPr="00623A2B">
        <w:rPr>
          <w:rStyle w:val="FootnoteReference"/>
          <w:rFonts w:ascii="Times New Roman" w:hAnsi="Times New Roman" w:cs="Times New Roman"/>
          <w:sz w:val="22"/>
          <w:szCs w:val="22"/>
          <w:u w:val="single"/>
          <w:vertAlign w:val="superscript"/>
          <w:lang w:val="pt-BR"/>
        </w:rPr>
        <w:footnoteReference w:id="89"/>
      </w:r>
      <w:r w:rsidR="00FE0D76" w:rsidRPr="00623A2B">
        <w:rPr>
          <w:rFonts w:ascii="Times New Roman" w:hAnsi="Times New Roman" w:cs="Times New Roman"/>
          <w:color w:val="auto"/>
          <w:sz w:val="22"/>
          <w:szCs w:val="22"/>
          <w:vertAlign w:val="superscript"/>
          <w:lang w:val="fr-CA"/>
        </w:rPr>
        <w:t>/</w:t>
      </w:r>
      <w:r w:rsidR="00FE0D76" w:rsidRPr="00623A2B">
        <w:rPr>
          <w:rStyle w:val="FootnoteReference"/>
          <w:rFonts w:ascii="Times New Roman" w:hAnsi="Times New Roman" w:cs="Times New Roman"/>
          <w:sz w:val="22"/>
          <w:szCs w:val="22"/>
          <w:u w:val="single"/>
          <w:vertAlign w:val="superscript"/>
          <w:lang w:val="fr-FR" w:eastAsia="es-ES"/>
        </w:rPr>
        <w:footnoteReference w:id="90"/>
      </w:r>
      <w:r w:rsidR="00FE0D76" w:rsidRPr="00623A2B">
        <w:rPr>
          <w:rFonts w:ascii="Times New Roman" w:hAnsi="Times New Roman" w:cs="Times New Roman"/>
          <w:color w:val="auto"/>
          <w:sz w:val="22"/>
          <w:szCs w:val="22"/>
          <w:vertAlign w:val="superscript"/>
          <w:lang w:val="fr-CA"/>
        </w:rPr>
        <w:t>/</w:t>
      </w:r>
      <w:r w:rsidR="00FE0D76" w:rsidRPr="00623A2B">
        <w:rPr>
          <w:rStyle w:val="FootnoteReference"/>
          <w:rFonts w:ascii="Times New Roman" w:hAnsi="Times New Roman" w:cs="Times New Roman"/>
          <w:sz w:val="22"/>
          <w:szCs w:val="22"/>
          <w:u w:val="single"/>
          <w:vertAlign w:val="superscript"/>
          <w:lang w:val="fr-FR" w:eastAsia="es-ES"/>
        </w:rPr>
        <w:footnoteReference w:id="91"/>
      </w:r>
      <w:r w:rsidR="00FE0D76" w:rsidRPr="00623A2B">
        <w:rPr>
          <w:rFonts w:ascii="Times New Roman" w:hAnsi="Times New Roman" w:cs="Times New Roman"/>
          <w:color w:val="auto"/>
          <w:sz w:val="22"/>
          <w:szCs w:val="22"/>
          <w:vertAlign w:val="superscript"/>
          <w:lang w:val="fr-FR" w:eastAsia="es-ES"/>
        </w:rPr>
        <w:t>/</w:t>
      </w:r>
      <w:bookmarkEnd w:id="75"/>
    </w:p>
    <w:p w14:paraId="18EA36B5" w14:textId="77777777" w:rsidR="00F723DA" w:rsidRPr="00623A2B" w:rsidRDefault="00F723DA" w:rsidP="003E5BC5">
      <w:pPr>
        <w:suppressAutoHyphens/>
        <w:jc w:val="center"/>
        <w:rPr>
          <w:rFonts w:ascii="Times New Roman" w:hAnsi="Times New Roman"/>
          <w:szCs w:val="22"/>
          <w:lang w:val="fr-FR" w:eastAsia="es-ES"/>
        </w:rPr>
      </w:pPr>
    </w:p>
    <w:p w14:paraId="6C418203" w14:textId="5C2F921B" w:rsidR="00F723DA" w:rsidRPr="00623A2B" w:rsidRDefault="00F723DA" w:rsidP="00F723DA">
      <w:pPr>
        <w:tabs>
          <w:tab w:val="left" w:pos="1620"/>
        </w:tabs>
        <w:suppressAutoHyphens/>
        <w:jc w:val="center"/>
        <w:rPr>
          <w:rFonts w:ascii="Times New Roman" w:eastAsia="Calibri" w:hAnsi="Times New Roman"/>
          <w:szCs w:val="22"/>
          <w:lang w:val="fr-FR" w:eastAsia="es-US"/>
        </w:rPr>
      </w:pPr>
      <w:r w:rsidRPr="00623A2B">
        <w:rPr>
          <w:rFonts w:ascii="Times New Roman" w:hAnsi="Times New Roman"/>
          <w:szCs w:val="22"/>
          <w:lang w:val="fr-FR" w:eastAsia="es-ES"/>
        </w:rPr>
        <w:t>(</w:t>
      </w:r>
      <w:r w:rsidRPr="00623A2B">
        <w:rPr>
          <w:rFonts w:ascii="Times New Roman" w:hAnsi="Times New Roman"/>
          <w:szCs w:val="22"/>
          <w:lang w:val="fr-FR"/>
        </w:rPr>
        <w:t xml:space="preserve">Résolution adoptée à la </w:t>
      </w:r>
      <w:r w:rsidR="00F25AFC" w:rsidRPr="00623A2B">
        <w:rPr>
          <w:rFonts w:ascii="Times New Roman" w:hAnsi="Times New Roman"/>
          <w:bCs/>
          <w:szCs w:val="22"/>
          <w:lang w:val="fr-FR" w:eastAsia="es-ES"/>
        </w:rPr>
        <w:t>quatrième</w:t>
      </w:r>
      <w:r w:rsidRPr="00623A2B">
        <w:rPr>
          <w:rFonts w:ascii="Times New Roman" w:hAnsi="Times New Roman"/>
          <w:szCs w:val="22"/>
          <w:lang w:val="fr-FR"/>
        </w:rPr>
        <w:t xml:space="preserve"> séance plénière, </w:t>
      </w:r>
      <w:r w:rsidRPr="00623A2B">
        <w:rPr>
          <w:rFonts w:ascii="Times New Roman" w:hAnsi="Times New Roman"/>
          <w:szCs w:val="22"/>
          <w:lang w:val="fr-CA"/>
        </w:rPr>
        <w:t>le 11 novembre 2021</w:t>
      </w:r>
      <w:r w:rsidRPr="00623A2B">
        <w:rPr>
          <w:rFonts w:ascii="Times New Roman" w:hAnsi="Times New Roman"/>
          <w:szCs w:val="22"/>
          <w:lang w:val="fr-FR" w:eastAsia="es-ES"/>
        </w:rPr>
        <w:t>)</w:t>
      </w:r>
    </w:p>
    <w:bookmarkEnd w:id="76"/>
    <w:p w14:paraId="28259923" w14:textId="77777777" w:rsidR="00F723DA" w:rsidRPr="00623A2B" w:rsidRDefault="00F723DA" w:rsidP="00F723DA">
      <w:pPr>
        <w:suppressAutoHyphens/>
        <w:autoSpaceDE w:val="0"/>
        <w:autoSpaceDN w:val="0"/>
        <w:adjustRightInd w:val="0"/>
        <w:rPr>
          <w:rFonts w:ascii="Times New Roman" w:hAnsi="Times New Roman"/>
          <w:kern w:val="32"/>
          <w:szCs w:val="22"/>
          <w:lang w:val="fr-FR"/>
        </w:rPr>
      </w:pPr>
    </w:p>
    <w:p w14:paraId="4570AADB" w14:textId="77777777" w:rsidR="00F723DA" w:rsidRPr="00623A2B" w:rsidRDefault="00F723DA" w:rsidP="00F723DA">
      <w:pPr>
        <w:suppressAutoHyphens/>
        <w:autoSpaceDE w:val="0"/>
        <w:autoSpaceDN w:val="0"/>
        <w:adjustRightInd w:val="0"/>
        <w:rPr>
          <w:rFonts w:ascii="Times New Roman" w:hAnsi="Times New Roman"/>
          <w:kern w:val="32"/>
          <w:szCs w:val="22"/>
          <w:lang w:val="fr-FR"/>
        </w:rPr>
      </w:pPr>
    </w:p>
    <w:p w14:paraId="0E5776EB" w14:textId="77777777" w:rsidR="00F723DA" w:rsidRPr="00623A2B" w:rsidRDefault="00F723DA" w:rsidP="00F723DA">
      <w:pPr>
        <w:suppressAutoHyphens/>
        <w:ind w:firstLine="720"/>
        <w:rPr>
          <w:rFonts w:ascii="Times New Roman" w:hAnsi="Times New Roman"/>
          <w:bCs/>
          <w:szCs w:val="22"/>
          <w:lang w:val="fr-FR"/>
        </w:rPr>
      </w:pPr>
      <w:r w:rsidRPr="00623A2B">
        <w:rPr>
          <w:rFonts w:ascii="Times New Roman" w:hAnsi="Times New Roman"/>
          <w:bCs/>
          <w:szCs w:val="22"/>
          <w:lang w:val="fr-FR"/>
        </w:rPr>
        <w:t>L’ASSEMBLÉE GÉNÉRALE,</w:t>
      </w:r>
    </w:p>
    <w:p w14:paraId="4C79C34D" w14:textId="77777777" w:rsidR="00F723DA" w:rsidRPr="00623A2B" w:rsidRDefault="00F723DA" w:rsidP="00F723DA">
      <w:pPr>
        <w:suppressAutoHyphens/>
        <w:rPr>
          <w:rFonts w:ascii="Times New Roman" w:hAnsi="Times New Roman"/>
          <w:szCs w:val="22"/>
          <w:lang w:val="fr-FR"/>
        </w:rPr>
      </w:pPr>
    </w:p>
    <w:p w14:paraId="76464812" w14:textId="77777777" w:rsidR="00F723DA" w:rsidRPr="00623A2B" w:rsidRDefault="00F723DA" w:rsidP="00F723DA">
      <w:pPr>
        <w:suppressAutoHyphens/>
        <w:ind w:firstLine="720"/>
        <w:rPr>
          <w:rFonts w:ascii="Times New Roman" w:hAnsi="Times New Roman"/>
          <w:bCs/>
          <w:szCs w:val="22"/>
          <w:lang w:val="fr-FR"/>
        </w:rPr>
      </w:pPr>
      <w:r w:rsidRPr="00623A2B">
        <w:rPr>
          <w:rFonts w:ascii="Times New Roman" w:hAnsi="Times New Roman"/>
          <w:szCs w:val="22"/>
          <w:lang w:val="fr-FR" w:eastAsia="es-ES"/>
        </w:rPr>
        <w:t>RÉAFFIRMANT les normes et principes généraux du droit international et ceux de la Charte de l’Organisation des États Américains (OEA), du droit international relatif aux droits de la personne et du droit international humanitaire, les instruments interaméricains contraignants en la matière, ainsi que les droits énoncés dans la Déclaration américaine des droits et devoirs de l’homme, la Convention américaine relative aux droits de l’homme, le cas échéant, de même que l’importante fonction que remplissent les organes du système interaméricain des droits de la personne pour la promotion et la protection des droits de la personne dans les Amériques,</w:t>
      </w:r>
    </w:p>
    <w:p w14:paraId="0147D859" w14:textId="77777777" w:rsidR="00F723DA" w:rsidRPr="00623A2B" w:rsidRDefault="00F723DA" w:rsidP="00F723DA">
      <w:pPr>
        <w:suppressAutoHyphens/>
        <w:rPr>
          <w:rFonts w:ascii="Times New Roman" w:hAnsi="Times New Roman"/>
          <w:bCs/>
          <w:szCs w:val="22"/>
          <w:lang w:val="fr-FR"/>
        </w:rPr>
      </w:pPr>
    </w:p>
    <w:p w14:paraId="3C4380E9" w14:textId="77777777" w:rsidR="00F723DA" w:rsidRPr="00623A2B" w:rsidRDefault="00F723DA" w:rsidP="00F723DA">
      <w:pPr>
        <w:suppressAutoHyphens/>
        <w:ind w:firstLine="720"/>
        <w:rPr>
          <w:rFonts w:ascii="Times New Roman" w:hAnsi="Times New Roman"/>
          <w:bCs/>
          <w:szCs w:val="22"/>
          <w:lang w:val="fr-FR"/>
        </w:rPr>
      </w:pPr>
      <w:r w:rsidRPr="00623A2B">
        <w:rPr>
          <w:rFonts w:ascii="Times New Roman" w:hAnsi="Times New Roman"/>
          <w:szCs w:val="22"/>
          <w:lang w:val="fr-FR"/>
        </w:rPr>
        <w:t xml:space="preserve">RAPPELANT les déclarations AG/DEC. 71 (XLIII-O/13) et AG/DEC. 89 (XLVI-O/16), de même que la résolution </w:t>
      </w:r>
      <w:r w:rsidRPr="00623A2B">
        <w:rPr>
          <w:rStyle w:val="Heading1Char"/>
          <w:rFonts w:ascii="Times New Roman" w:hAnsi="Times New Roman" w:cs="Times New Roman"/>
          <w:color w:val="auto"/>
          <w:sz w:val="22"/>
          <w:szCs w:val="22"/>
          <w:lang w:val="fr-FR"/>
        </w:rPr>
        <w:t>AG/RES. 2961 (L-O/20</w:t>
      </w:r>
      <w:r w:rsidRPr="00623A2B">
        <w:rPr>
          <w:rFonts w:ascii="Times New Roman" w:hAnsi="Times New Roman"/>
          <w:szCs w:val="22"/>
          <w:lang w:val="fr-FR"/>
        </w:rPr>
        <w:t>) et toutes les déclarations et résolutions antérieures adoptées sur ces questions,</w:t>
      </w:r>
    </w:p>
    <w:p w14:paraId="04B5356E" w14:textId="77777777" w:rsidR="00F723DA" w:rsidRPr="00623A2B" w:rsidRDefault="00F723DA" w:rsidP="00F723DA">
      <w:pPr>
        <w:suppressAutoHyphens/>
        <w:rPr>
          <w:rFonts w:ascii="Times New Roman" w:hAnsi="Times New Roman"/>
          <w:szCs w:val="22"/>
          <w:lang w:val="fr-FR"/>
        </w:rPr>
      </w:pPr>
    </w:p>
    <w:p w14:paraId="36CF602E" w14:textId="77777777" w:rsidR="00F723DA" w:rsidRPr="00623A2B" w:rsidRDefault="00F723DA" w:rsidP="00F723DA">
      <w:pPr>
        <w:suppressAutoHyphens/>
        <w:ind w:firstLine="720"/>
        <w:rPr>
          <w:rFonts w:ascii="Times New Roman" w:hAnsi="Times New Roman"/>
          <w:bCs/>
          <w:szCs w:val="22"/>
          <w:lang w:val="fr-FR"/>
        </w:rPr>
      </w:pPr>
      <w:r w:rsidRPr="00623A2B">
        <w:rPr>
          <w:rFonts w:ascii="Times New Roman" w:hAnsi="Times New Roman"/>
          <w:szCs w:val="22"/>
          <w:lang w:val="fr-FR" w:eastAsia="es-ES"/>
        </w:rPr>
        <w:t>AYANT VU le « Rapport annuel du Conseil permanent adressé à l’Assemblée générale – Octobre 2020 - Novembre 2021 » (</w:t>
      </w:r>
      <w:r w:rsidRPr="00623A2B">
        <w:rPr>
          <w:rFonts w:ascii="Times New Roman" w:hAnsi="Times New Roman"/>
          <w:szCs w:val="22"/>
          <w:lang w:val="fr-FR"/>
        </w:rPr>
        <w:t xml:space="preserve">AG/doc.5726/21 </w:t>
      </w:r>
      <w:proofErr w:type="spellStart"/>
      <w:r w:rsidRPr="00623A2B">
        <w:rPr>
          <w:rFonts w:ascii="Times New Roman" w:hAnsi="Times New Roman"/>
          <w:szCs w:val="22"/>
          <w:lang w:val="fr-FR"/>
        </w:rPr>
        <w:t>add</w:t>
      </w:r>
      <w:proofErr w:type="spellEnd"/>
      <w:r w:rsidRPr="00623A2B">
        <w:rPr>
          <w:rFonts w:ascii="Times New Roman" w:hAnsi="Times New Roman"/>
          <w:szCs w:val="22"/>
          <w:lang w:val="fr-FR"/>
        </w:rPr>
        <w:t>. 1</w:t>
      </w:r>
      <w:r w:rsidRPr="00623A2B">
        <w:rPr>
          <w:rFonts w:ascii="Times New Roman" w:hAnsi="Times New Roman"/>
          <w:szCs w:val="22"/>
          <w:lang w:val="fr-FR" w:eastAsia="es-ES"/>
        </w:rPr>
        <w:t>), notamment la section se référant aux activités de la Commission des questions juridiques et politiques (CAJP),</w:t>
      </w:r>
    </w:p>
    <w:p w14:paraId="4CA9866C" w14:textId="77777777" w:rsidR="00F723DA" w:rsidRPr="00623A2B" w:rsidRDefault="00F723DA" w:rsidP="00F723DA">
      <w:pPr>
        <w:suppressAutoHyphens/>
        <w:rPr>
          <w:rFonts w:ascii="Times New Roman" w:hAnsi="Times New Roman"/>
          <w:szCs w:val="22"/>
          <w:lang w:val="fr-FR"/>
        </w:rPr>
      </w:pPr>
    </w:p>
    <w:p w14:paraId="1E96C28A" w14:textId="77777777" w:rsidR="00F723DA" w:rsidRPr="00623A2B" w:rsidRDefault="00F723DA" w:rsidP="00F723DA">
      <w:pPr>
        <w:suppressAutoHyphens/>
        <w:autoSpaceDE w:val="0"/>
        <w:autoSpaceDN w:val="0"/>
        <w:ind w:right="121" w:firstLine="720"/>
        <w:rPr>
          <w:rFonts w:ascii="Times New Roman" w:hAnsi="Times New Roman"/>
          <w:bCs/>
          <w:strike/>
          <w:szCs w:val="22"/>
          <w:lang w:val="fr-FR"/>
        </w:rPr>
      </w:pPr>
      <w:r w:rsidRPr="00623A2B">
        <w:rPr>
          <w:rFonts w:ascii="Times New Roman" w:hAnsi="Times New Roman"/>
          <w:szCs w:val="22"/>
          <w:lang w:val="fr-FR" w:eastAsia="es-ES"/>
        </w:rPr>
        <w:t>CONSIDÉRANT que les programmes, activités et tâches établis dans les résolutions relevant de la compétence de la CAJP contribuent à la réalisation des buts essentiels de l’Organisation qui sont énoncés dans la Charte de l’OEA</w:t>
      </w:r>
      <w:r w:rsidRPr="00623A2B">
        <w:rPr>
          <w:rFonts w:ascii="Times New Roman" w:hAnsi="Times New Roman"/>
          <w:szCs w:val="22"/>
          <w:lang w:val="fr-FR"/>
        </w:rPr>
        <w:t>,</w:t>
      </w:r>
    </w:p>
    <w:p w14:paraId="18B1F1CA" w14:textId="77777777" w:rsidR="00F723DA" w:rsidRPr="00623A2B" w:rsidRDefault="00F723DA" w:rsidP="00F723DA">
      <w:pPr>
        <w:rPr>
          <w:rFonts w:ascii="Times New Roman" w:hAnsi="Times New Roman"/>
          <w:szCs w:val="22"/>
          <w:lang w:val="fr-FR"/>
        </w:rPr>
      </w:pPr>
    </w:p>
    <w:p w14:paraId="7D959B0F" w14:textId="77777777" w:rsidR="00F723DA" w:rsidRPr="00623A2B" w:rsidRDefault="00F723DA" w:rsidP="00EE7518">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547"/>
        <w:contextualSpacing w:val="0"/>
        <w:jc w:val="left"/>
        <w:rPr>
          <w:rFonts w:ascii="Times New Roman" w:hAnsi="Times New Roman"/>
          <w:szCs w:val="22"/>
          <w:u w:val="single"/>
          <w:lang w:val="fr-FR"/>
        </w:rPr>
      </w:pPr>
      <w:r w:rsidRPr="00623A2B">
        <w:rPr>
          <w:rFonts w:ascii="Times New Roman" w:hAnsi="Times New Roman"/>
          <w:szCs w:val="22"/>
          <w:u w:val="single"/>
          <w:lang w:val="fr-FR"/>
        </w:rPr>
        <w:t>La défense publique officielle et autonome, garantie d'accès à la justice pour les femmes en situation de vulnérabilité</w:t>
      </w:r>
    </w:p>
    <w:p w14:paraId="6F6A95FE" w14:textId="77777777" w:rsidR="00F723DA" w:rsidRPr="00623A2B" w:rsidRDefault="00F723DA" w:rsidP="00F723DA">
      <w:pPr>
        <w:suppressAutoHyphens/>
        <w:rPr>
          <w:rFonts w:ascii="Times New Roman" w:eastAsia="Calibri" w:hAnsi="Times New Roman"/>
          <w:szCs w:val="22"/>
          <w:u w:val="single"/>
          <w:lang w:val="fr-FR"/>
        </w:rPr>
      </w:pPr>
    </w:p>
    <w:p w14:paraId="670921BD" w14:textId="77777777" w:rsidR="00F723DA" w:rsidRPr="00623A2B" w:rsidRDefault="00F723DA" w:rsidP="00F723DA">
      <w:pPr>
        <w:suppressAutoHyphens/>
        <w:ind w:firstLine="706"/>
        <w:rPr>
          <w:rFonts w:ascii="Times New Roman" w:hAnsi="Times New Roman"/>
          <w:szCs w:val="22"/>
          <w:lang w:val="fr-FR"/>
        </w:rPr>
      </w:pPr>
      <w:r w:rsidRPr="00623A2B">
        <w:rPr>
          <w:rFonts w:ascii="Times New Roman" w:hAnsi="Times New Roman"/>
          <w:szCs w:val="22"/>
          <w:lang w:val="fr-FR"/>
        </w:rPr>
        <w:t>RAPPELANT que l’Assemblée générale a pris note des Principes et directives en matière de défense publique dans les Amériques approuvés à l’unanimité par le Comité juridique interaméricain par le biais de la résolution CJI/RES. 226 (LXXXIX-O/16),</w:t>
      </w:r>
    </w:p>
    <w:p w14:paraId="64604239" w14:textId="77777777" w:rsidR="00F723DA" w:rsidRPr="00623A2B" w:rsidRDefault="00F723DA" w:rsidP="00F723DA">
      <w:pPr>
        <w:suppressAutoHyphens/>
        <w:rPr>
          <w:rFonts w:ascii="Times New Roman" w:hAnsi="Times New Roman"/>
          <w:szCs w:val="22"/>
          <w:lang w:val="fr-FR"/>
        </w:rPr>
      </w:pPr>
    </w:p>
    <w:p w14:paraId="5BD97A7E" w14:textId="77777777" w:rsidR="00F723DA" w:rsidRPr="00623A2B" w:rsidRDefault="00F723DA" w:rsidP="00DC5E26">
      <w:pPr>
        <w:widowControl/>
        <w:suppressAutoHyphens/>
        <w:ind w:firstLine="706"/>
        <w:rPr>
          <w:rFonts w:ascii="Times New Roman" w:hAnsi="Times New Roman"/>
          <w:szCs w:val="22"/>
          <w:lang w:val="fr-FR"/>
        </w:rPr>
      </w:pPr>
      <w:r w:rsidRPr="00623A2B">
        <w:rPr>
          <w:rFonts w:ascii="Times New Roman" w:hAnsi="Times New Roman"/>
          <w:szCs w:val="22"/>
          <w:lang w:val="fr-FR"/>
        </w:rPr>
        <w:lastRenderedPageBreak/>
        <w:t>RAPPELANT également le rapport de la Commission interaméricaine des droits de l'homme (CIDH) sur la violence et la discrimination à l'égard des femmes, des filles et des adolescentes : Bonnes pratiques et défis en Amérique latine et dans les Caraïbes,</w:t>
      </w:r>
    </w:p>
    <w:p w14:paraId="413D224B" w14:textId="77777777" w:rsidR="00F723DA" w:rsidRPr="00623A2B" w:rsidRDefault="00F723DA" w:rsidP="00F723DA">
      <w:pPr>
        <w:suppressAutoHyphens/>
        <w:rPr>
          <w:rFonts w:ascii="Times New Roman" w:hAnsi="Times New Roman"/>
          <w:szCs w:val="22"/>
          <w:lang w:val="fr-FR"/>
        </w:rPr>
      </w:pPr>
    </w:p>
    <w:p w14:paraId="61596E03" w14:textId="77777777" w:rsidR="00F723DA" w:rsidRPr="00623A2B" w:rsidRDefault="00F723DA" w:rsidP="00F723DA">
      <w:pPr>
        <w:suppressAutoHyphens/>
        <w:ind w:firstLine="706"/>
        <w:rPr>
          <w:rFonts w:ascii="Times New Roman" w:eastAsia="Calibri" w:hAnsi="Times New Roman"/>
          <w:szCs w:val="22"/>
          <w:lang w:val="fr-FR"/>
        </w:rPr>
      </w:pPr>
      <w:r w:rsidRPr="00623A2B">
        <w:rPr>
          <w:rFonts w:ascii="Times New Roman" w:hAnsi="Times New Roman"/>
          <w:szCs w:val="22"/>
          <w:lang w:val="fr-FR"/>
        </w:rPr>
        <w:t>CONSIDÉRANT la recommandation générale n° 1 du Comité d'expertes du Mécanisme de suivi de la mise en œuvre de la Convention de Belém do Pará (MESECVI) sur la légitime défense et la violence à l'égard des femmes, conformément à l'article 2 de la Convention de Belém do Pará,</w:t>
      </w:r>
    </w:p>
    <w:p w14:paraId="3EDE4FF7" w14:textId="77777777" w:rsidR="00F723DA" w:rsidRPr="00623A2B" w:rsidRDefault="00F723DA" w:rsidP="00F723DA">
      <w:pPr>
        <w:suppressAutoHyphens/>
        <w:rPr>
          <w:rFonts w:ascii="Times New Roman" w:eastAsia="Calibri" w:hAnsi="Times New Roman"/>
          <w:szCs w:val="22"/>
          <w:u w:val="single"/>
          <w:lang w:val="fr-FR"/>
        </w:rPr>
      </w:pPr>
    </w:p>
    <w:p w14:paraId="71AE9FA1" w14:textId="77777777" w:rsidR="00F723DA" w:rsidRPr="00623A2B" w:rsidRDefault="00F723DA" w:rsidP="00F723DA">
      <w:pPr>
        <w:suppressAutoHyphens/>
        <w:ind w:firstLine="706"/>
        <w:rPr>
          <w:rFonts w:ascii="Times New Roman" w:eastAsia="Calibri" w:hAnsi="Times New Roman"/>
          <w:szCs w:val="22"/>
          <w:lang w:val="fr-FR"/>
        </w:rPr>
      </w:pPr>
      <w:r w:rsidRPr="00623A2B">
        <w:rPr>
          <w:rFonts w:ascii="Times New Roman" w:hAnsi="Times New Roman"/>
          <w:szCs w:val="22"/>
          <w:lang w:val="fr-FR"/>
        </w:rPr>
        <w:t>NOTANT que les Règles de Brasilia sur l'accès à la justice des personnes en condition de vulnérabilité [mise à jour approuvée par l'assemblée plénière de la XIX</w:t>
      </w:r>
      <w:r w:rsidRPr="00623A2B">
        <w:rPr>
          <w:rFonts w:ascii="Times New Roman" w:hAnsi="Times New Roman"/>
          <w:szCs w:val="22"/>
          <w:vertAlign w:val="superscript"/>
          <w:lang w:val="fr-FR"/>
        </w:rPr>
        <w:t>e</w:t>
      </w:r>
      <w:r w:rsidRPr="00623A2B">
        <w:rPr>
          <w:rFonts w:ascii="Times New Roman" w:hAnsi="Times New Roman"/>
          <w:szCs w:val="22"/>
          <w:lang w:val="fr-FR"/>
        </w:rPr>
        <w:t xml:space="preserve"> édition du Sommet judiciaire ibéro-américain, avril 2018, Quito (Équateur)] exhortent, dans la règle 19, à promouvoir les mesures nécessaires pour éliminer la discrimination à l'égard des femmes dans l'accès au système judiciaire pour la protection de leurs droits et intérêts légitimes, en réalisant une égalité effective des conditions. Une attention particulière sera accordée au renforcement des mécanismes destinés à préserver leurs biens juridiques, l'accès aux garanties voulues, aux procédures et aux processus judiciaires ainsi que le traitement rapide et opportun des cas,</w:t>
      </w:r>
    </w:p>
    <w:p w14:paraId="532EC8B7" w14:textId="77777777" w:rsidR="00F723DA" w:rsidRPr="00623A2B" w:rsidRDefault="00F723DA" w:rsidP="00F723DA">
      <w:pPr>
        <w:suppressAutoHyphens/>
        <w:rPr>
          <w:rFonts w:ascii="Times New Roman" w:eastAsia="Calibri" w:hAnsi="Times New Roman"/>
          <w:szCs w:val="22"/>
          <w:u w:val="single"/>
          <w:lang w:val="fr-FR"/>
        </w:rPr>
      </w:pPr>
    </w:p>
    <w:p w14:paraId="44D6FD9B" w14:textId="77777777" w:rsidR="00F723DA" w:rsidRPr="00623A2B" w:rsidRDefault="00F723DA" w:rsidP="00F723DA">
      <w:pPr>
        <w:suppressAutoHyphens/>
        <w:ind w:firstLine="706"/>
        <w:rPr>
          <w:rFonts w:ascii="Times New Roman" w:eastAsia="Calibri" w:hAnsi="Times New Roman"/>
          <w:szCs w:val="22"/>
          <w:lang w:val="fr-FR"/>
        </w:rPr>
      </w:pPr>
      <w:r w:rsidRPr="00623A2B">
        <w:rPr>
          <w:rFonts w:ascii="Times New Roman" w:hAnsi="Times New Roman"/>
          <w:szCs w:val="22"/>
          <w:lang w:val="fr-FR"/>
        </w:rPr>
        <w:tab/>
        <w:t>SOULIGNANT l’importance de traiter en particulier la situation des femmes en situation de vulnérabilité dans le contexte de la crise sanitaire actuelle et, dans ce sens, prenant note de la résolution n</w:t>
      </w:r>
      <w:r w:rsidRPr="00623A2B">
        <w:rPr>
          <w:rFonts w:ascii="Times New Roman" w:hAnsi="Times New Roman"/>
          <w:szCs w:val="22"/>
          <w:vertAlign w:val="superscript"/>
          <w:lang w:val="fr-FR"/>
        </w:rPr>
        <w:t>o</w:t>
      </w:r>
      <w:r w:rsidRPr="00623A2B">
        <w:rPr>
          <w:rFonts w:ascii="Times New Roman" w:hAnsi="Times New Roman"/>
          <w:szCs w:val="22"/>
          <w:lang w:val="fr-FR"/>
        </w:rPr>
        <w:t xml:space="preserve"> 1/2020 de la CIDH, « Pandémie et droits de la personne dans les Amériques », y compris la section se référant aux femmes,</w:t>
      </w:r>
    </w:p>
    <w:p w14:paraId="06CBF715" w14:textId="77777777" w:rsidR="00F723DA" w:rsidRPr="00623A2B" w:rsidRDefault="00F723DA" w:rsidP="00F723DA">
      <w:pPr>
        <w:suppressAutoHyphens/>
        <w:rPr>
          <w:rFonts w:ascii="Times New Roman" w:hAnsi="Times New Roman"/>
          <w:szCs w:val="22"/>
          <w:lang w:val="fr-FR"/>
        </w:rPr>
      </w:pPr>
    </w:p>
    <w:p w14:paraId="59D296F3" w14:textId="77777777" w:rsidR="00F723DA" w:rsidRPr="00623A2B" w:rsidRDefault="00F723DA" w:rsidP="00F723DA">
      <w:pPr>
        <w:suppressAutoHyphens/>
        <w:rPr>
          <w:rFonts w:ascii="Times New Roman" w:eastAsia="Calibri" w:hAnsi="Times New Roman"/>
          <w:szCs w:val="22"/>
          <w:lang w:val="fr-FR"/>
        </w:rPr>
      </w:pPr>
      <w:r w:rsidRPr="00623A2B">
        <w:rPr>
          <w:rFonts w:ascii="Times New Roman" w:hAnsi="Times New Roman"/>
          <w:szCs w:val="22"/>
          <w:lang w:val="fr-FR"/>
        </w:rPr>
        <w:t>DÉCIDE :</w:t>
      </w:r>
    </w:p>
    <w:p w14:paraId="7EF5DC90" w14:textId="77777777" w:rsidR="00F723DA" w:rsidRPr="00623A2B" w:rsidRDefault="00F723DA" w:rsidP="00F723DA">
      <w:pPr>
        <w:suppressAutoHyphens/>
        <w:rPr>
          <w:rFonts w:ascii="Times New Roman" w:eastAsia="Calibri" w:hAnsi="Times New Roman"/>
          <w:szCs w:val="22"/>
          <w:u w:val="single"/>
          <w:lang w:val="fr-FR"/>
        </w:rPr>
      </w:pPr>
    </w:p>
    <w:p w14:paraId="391B7CEB" w14:textId="77777777" w:rsidR="00F723DA" w:rsidRPr="00623A2B" w:rsidRDefault="00F723DA" w:rsidP="00F723DA">
      <w:pPr>
        <w:suppressAutoHyphens/>
        <w:ind w:firstLine="706"/>
        <w:rPr>
          <w:rFonts w:ascii="Times New Roman" w:eastAsia="Calibri" w:hAnsi="Times New Roman"/>
          <w:szCs w:val="22"/>
          <w:lang w:val="fr-FR"/>
        </w:rPr>
      </w:pPr>
      <w:r w:rsidRPr="00623A2B">
        <w:rPr>
          <w:rFonts w:ascii="Times New Roman" w:hAnsi="Times New Roman"/>
          <w:szCs w:val="22"/>
          <w:lang w:val="fr-FR"/>
        </w:rPr>
        <w:t xml:space="preserve">1. </w:t>
      </w:r>
      <w:r w:rsidRPr="00623A2B">
        <w:rPr>
          <w:rFonts w:ascii="Times New Roman" w:hAnsi="Times New Roman"/>
          <w:szCs w:val="22"/>
          <w:lang w:val="fr-FR"/>
        </w:rPr>
        <w:tab/>
        <w:t>D’affirmer l'importance fondamentale du service d'assistance juridique gratuite fourni par les bureaux de défenseurs publics officiels des Amériques en fonction de leurs compétences afin de garantir l'accès à la justice pour toutes les personnes et, en particulier, pour toutes les femmes et les filles ayant subi des violences sexuelles et sexistes ainsi que pour la reconnaissance et la promotion de leurs droits sans discrimination, en particulier leurs droits économiques, sociaux et culturels, qui sont indispensables pour mettre au point des projets autonomes exempts de violence.</w:t>
      </w:r>
    </w:p>
    <w:p w14:paraId="6E941FE8" w14:textId="77777777" w:rsidR="00F723DA" w:rsidRPr="00623A2B" w:rsidRDefault="00F723DA" w:rsidP="00F723DA">
      <w:pPr>
        <w:suppressAutoHyphens/>
        <w:rPr>
          <w:rFonts w:ascii="Times New Roman" w:eastAsia="Calibri" w:hAnsi="Times New Roman"/>
          <w:szCs w:val="22"/>
          <w:lang w:val="fr-FR"/>
        </w:rPr>
      </w:pPr>
    </w:p>
    <w:p w14:paraId="4398EDA2" w14:textId="77777777" w:rsidR="00F723DA" w:rsidRPr="00623A2B" w:rsidRDefault="00F723DA" w:rsidP="00F723DA">
      <w:pPr>
        <w:suppressAutoHyphens/>
        <w:rPr>
          <w:rFonts w:ascii="Times New Roman" w:eastAsia="Calibri" w:hAnsi="Times New Roman"/>
          <w:szCs w:val="22"/>
          <w:lang w:val="fr-FR"/>
        </w:rPr>
      </w:pPr>
      <w:r w:rsidRPr="00623A2B">
        <w:rPr>
          <w:rFonts w:ascii="Times New Roman" w:eastAsia="Calibri" w:hAnsi="Times New Roman"/>
          <w:szCs w:val="22"/>
          <w:lang w:val="fr-FR"/>
        </w:rPr>
        <w:tab/>
        <w:t>2.</w:t>
      </w:r>
      <w:r w:rsidRPr="00623A2B">
        <w:rPr>
          <w:rFonts w:ascii="Times New Roman" w:eastAsia="Calibri" w:hAnsi="Times New Roman"/>
          <w:szCs w:val="22"/>
          <w:lang w:val="fr-FR"/>
        </w:rPr>
        <w:tab/>
        <w:t>D</w:t>
      </w:r>
      <w:r w:rsidRPr="00623A2B">
        <w:rPr>
          <w:rFonts w:ascii="Times New Roman" w:hAnsi="Times New Roman"/>
          <w:szCs w:val="22"/>
          <w:lang w:val="fr-FR"/>
        </w:rPr>
        <w:t>'exhorter les États membres à intégrer une perspective de genre dans les procédures de défense pénale impliquant des femmes en conflit avec la loi pénale, en particulier celles qui sont privées de liberté. En particulier dans le contexte de la pandémie, d’encourager les États membres à appliquer, lorsqu’il y a lieu, des mesures de substitution à la privation de liberté à l’endroit des femmes inculpées et/ou condamnées, en prenant particulièrement en considération les conséquences que cette situation engendre pour elles et leur environnement direct.</w:t>
      </w:r>
    </w:p>
    <w:p w14:paraId="5CE13E7C" w14:textId="77777777" w:rsidR="00F723DA" w:rsidRPr="00623A2B" w:rsidRDefault="00F723DA" w:rsidP="00F723DA">
      <w:pPr>
        <w:suppressAutoHyphens/>
        <w:rPr>
          <w:rFonts w:ascii="Times New Roman" w:eastAsia="Calibri" w:hAnsi="Times New Roman"/>
          <w:szCs w:val="22"/>
          <w:lang w:val="fr-FR"/>
        </w:rPr>
      </w:pPr>
    </w:p>
    <w:p w14:paraId="482704B2" w14:textId="77777777" w:rsidR="00F723DA" w:rsidRPr="00623A2B" w:rsidRDefault="00F723DA" w:rsidP="00F723DA">
      <w:pPr>
        <w:suppressAutoHyphens/>
        <w:ind w:firstLine="706"/>
        <w:rPr>
          <w:rFonts w:ascii="Times New Roman" w:eastAsia="Calibri" w:hAnsi="Times New Roman"/>
          <w:szCs w:val="22"/>
          <w:lang w:val="fr-FR"/>
        </w:rPr>
      </w:pPr>
      <w:r w:rsidRPr="00623A2B">
        <w:rPr>
          <w:rFonts w:ascii="Times New Roman" w:hAnsi="Times New Roman"/>
          <w:szCs w:val="22"/>
          <w:lang w:val="fr-FR"/>
        </w:rPr>
        <w:t>3.</w:t>
      </w:r>
      <w:r w:rsidRPr="00623A2B">
        <w:rPr>
          <w:rFonts w:ascii="Times New Roman" w:hAnsi="Times New Roman"/>
          <w:szCs w:val="22"/>
          <w:lang w:val="fr-FR"/>
        </w:rPr>
        <w:tab/>
        <w:t xml:space="preserve">Tant que les difficultés inhérentes au contexte de la pandémie de COVID-19 persistent, d’exhorter les États à envisager de déclarer essentiels et indispensables les services de prise en charge et d'assistance juridique destinés à toutes les femmes en situation de vulnérabilité. De même, en cas d’imposition de restrictions à la liberté de circulation, il convient de s’efforcer de garantir des solutions de substitution pour la prise en charge. </w:t>
      </w:r>
    </w:p>
    <w:p w14:paraId="1BEBFEDA" w14:textId="77777777" w:rsidR="00F723DA" w:rsidRPr="00623A2B" w:rsidRDefault="00F723DA" w:rsidP="00F723DA">
      <w:pPr>
        <w:suppressAutoHyphens/>
        <w:rPr>
          <w:rFonts w:ascii="Times New Roman" w:eastAsia="Calibri" w:hAnsi="Times New Roman"/>
          <w:szCs w:val="22"/>
          <w:u w:val="single"/>
          <w:lang w:val="fr-FR"/>
        </w:rPr>
      </w:pPr>
    </w:p>
    <w:p w14:paraId="479CB109" w14:textId="77777777" w:rsidR="00F723DA" w:rsidRPr="00623A2B" w:rsidRDefault="00F723DA" w:rsidP="00252142">
      <w:pPr>
        <w:widowControl/>
        <w:suppressAutoHyphens/>
        <w:ind w:firstLine="706"/>
        <w:rPr>
          <w:rFonts w:ascii="Times New Roman" w:hAnsi="Times New Roman"/>
          <w:szCs w:val="22"/>
          <w:lang w:val="fr-FR"/>
        </w:rPr>
      </w:pPr>
      <w:r w:rsidRPr="00623A2B">
        <w:rPr>
          <w:rFonts w:ascii="Times New Roman" w:hAnsi="Times New Roman"/>
          <w:szCs w:val="22"/>
          <w:lang w:val="fr-FR"/>
        </w:rPr>
        <w:t xml:space="preserve">De même, d’encourager les États membres à faciliter l'accès à la justice pour les femmes   qui ont subi  la violence sexuelle et fondée sur le genre, notamment, dans le cadre des fonctions de chaque institution compétente conformément à la réglementation applicable, à chercher à garantir des services d'assistance et de représentation juridique gratuits, accessibles, efficaces et spécialisés pour les femmes </w:t>
      </w:r>
      <w:r w:rsidRPr="00623A2B">
        <w:rPr>
          <w:rFonts w:ascii="Times New Roman" w:hAnsi="Times New Roman"/>
          <w:szCs w:val="22"/>
          <w:lang w:val="fr-FR"/>
        </w:rPr>
        <w:lastRenderedPageBreak/>
        <w:t>qui dénoncent des situations de violence sexuelle et fondée sur le genre, et à faciliter l'accès à la justice de manière précoce, urgente et opportune afin d'obtenir des mesures de protection en leur faveur.</w:t>
      </w:r>
    </w:p>
    <w:p w14:paraId="614076D1" w14:textId="77777777" w:rsidR="00F723DA" w:rsidRPr="00623A2B" w:rsidRDefault="00F723DA" w:rsidP="00F723DA">
      <w:pPr>
        <w:suppressAutoHyphens/>
        <w:rPr>
          <w:rFonts w:ascii="Times New Roman" w:hAnsi="Times New Roman"/>
          <w:szCs w:val="22"/>
          <w:lang w:val="fr-FR"/>
        </w:rPr>
      </w:pPr>
    </w:p>
    <w:p w14:paraId="011B13E2" w14:textId="77777777" w:rsidR="00F723DA" w:rsidRPr="00623A2B" w:rsidRDefault="00F723DA" w:rsidP="00F723DA">
      <w:pPr>
        <w:suppressAutoHyphens/>
        <w:ind w:firstLine="706"/>
        <w:rPr>
          <w:rFonts w:ascii="Times New Roman" w:eastAsia="Calibri" w:hAnsi="Times New Roman"/>
          <w:b/>
          <w:bCs/>
          <w:szCs w:val="22"/>
          <w:lang w:val="fr-FR"/>
        </w:rPr>
      </w:pPr>
      <w:r w:rsidRPr="00623A2B">
        <w:rPr>
          <w:rFonts w:ascii="Times New Roman" w:hAnsi="Times New Roman"/>
          <w:szCs w:val="22"/>
          <w:lang w:val="fr-FR"/>
        </w:rPr>
        <w:t>(Section Suivi et rapports) : De demander au Conseil permanent de charger la Commission des questions juridiques et politiques (CAJP) d'inclure dans son plan de travail avant la cinquante-deuxième session ordinaire de l'Assemblée générale le thème suivant de la présente résolution, afin de promouvoir l'échange de données d'expériences et de bonnes pratiques :  La défense publique officielle et autonome, garantie d'accès à la justice pour les femmes en situation de vulnérabilité ». Tenue d’une dixième réunion extraordinaire de la CAJP sur les bonnes pratiques destinées à garantir l’accès à la justice pour les femmes en situation de vulnérabilité en défense de leurs droits humains qu’effectue chaque institution de défense publique officielle de la région au cours du premier trimestre de 2022, avec la présence des États membres et de leurs institutions publiques officielles d’assistance juridique respectives, d’experts du secteur universitaire et de la société civile, ainsi que des organisations internationales. La participation des membres de l’AIDEF</w:t>
      </w:r>
      <w:r w:rsidRPr="00623A2B">
        <w:rPr>
          <w:rFonts w:ascii="Times New Roman" w:hAnsi="Times New Roman"/>
          <w:b/>
          <w:bCs/>
          <w:szCs w:val="22"/>
          <w:lang w:val="fr-FR"/>
        </w:rPr>
        <w:t xml:space="preserve"> </w:t>
      </w:r>
      <w:r w:rsidRPr="00623A2B">
        <w:rPr>
          <w:rFonts w:ascii="Times New Roman" w:hAnsi="Times New Roman"/>
          <w:szCs w:val="22"/>
          <w:lang w:val="fr-FR"/>
        </w:rPr>
        <w:t>doit être</w:t>
      </w:r>
      <w:r w:rsidRPr="00623A2B">
        <w:rPr>
          <w:rFonts w:ascii="Times New Roman" w:hAnsi="Times New Roman"/>
          <w:b/>
          <w:bCs/>
          <w:szCs w:val="22"/>
          <w:lang w:val="fr-FR"/>
        </w:rPr>
        <w:t xml:space="preserve"> </w:t>
      </w:r>
      <w:r w:rsidRPr="00623A2B">
        <w:rPr>
          <w:rFonts w:ascii="Times New Roman" w:hAnsi="Times New Roman"/>
          <w:szCs w:val="22"/>
          <w:lang w:val="fr-FR"/>
        </w:rPr>
        <w:t>garantie par cette institution</w:t>
      </w:r>
      <w:r w:rsidRPr="00623A2B">
        <w:rPr>
          <w:rFonts w:ascii="Times New Roman" w:hAnsi="Times New Roman"/>
          <w:b/>
          <w:bCs/>
          <w:szCs w:val="22"/>
          <w:lang w:val="fr-FR"/>
        </w:rPr>
        <w:t xml:space="preserve"> </w:t>
      </w:r>
      <w:r w:rsidRPr="00623A2B">
        <w:rPr>
          <w:rFonts w:ascii="Times New Roman" w:hAnsi="Times New Roman"/>
          <w:szCs w:val="22"/>
          <w:lang w:val="fr-FR"/>
        </w:rPr>
        <w:t>même.</w:t>
      </w:r>
    </w:p>
    <w:p w14:paraId="06D6846B" w14:textId="77777777" w:rsidR="00F723DA" w:rsidRPr="00623A2B" w:rsidRDefault="00F723DA" w:rsidP="00F723DA">
      <w:pPr>
        <w:pStyle w:val="Standard"/>
        <w:jc w:val="both"/>
        <w:rPr>
          <w:rFonts w:ascii="Times New Roman" w:hAnsi="Times New Roman"/>
          <w:sz w:val="22"/>
          <w:szCs w:val="22"/>
          <w:lang w:val="fr-FR"/>
        </w:rPr>
      </w:pPr>
    </w:p>
    <w:p w14:paraId="6EA2C301" w14:textId="77777777" w:rsidR="00F723DA" w:rsidRPr="00623A2B" w:rsidRDefault="00F723DA" w:rsidP="00EE7518">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547"/>
        <w:contextualSpacing w:val="0"/>
        <w:jc w:val="left"/>
        <w:rPr>
          <w:rFonts w:ascii="Times New Roman" w:hAnsi="Times New Roman"/>
          <w:szCs w:val="22"/>
          <w:u w:val="single"/>
          <w:lang w:val="fr-FR"/>
        </w:rPr>
      </w:pPr>
      <w:r w:rsidRPr="00623A2B">
        <w:rPr>
          <w:rFonts w:ascii="Times New Roman" w:hAnsi="Times New Roman"/>
          <w:szCs w:val="22"/>
          <w:u w:val="single"/>
          <w:lang w:val="fr-FR"/>
        </w:rPr>
        <w:t>Femmes et hommes défenseurs des droits de la personne</w:t>
      </w:r>
    </w:p>
    <w:p w14:paraId="751FE34D" w14:textId="77777777" w:rsidR="00F723DA" w:rsidRPr="00623A2B" w:rsidRDefault="00F723DA" w:rsidP="00F723DA">
      <w:pPr>
        <w:rPr>
          <w:rFonts w:ascii="Times New Roman" w:hAnsi="Times New Roman"/>
          <w:szCs w:val="22"/>
          <w:lang w:val="fr-FR"/>
        </w:rPr>
      </w:pPr>
    </w:p>
    <w:p w14:paraId="635FF2C9" w14:textId="77777777" w:rsidR="00F723DA" w:rsidRPr="00623A2B" w:rsidRDefault="00F723DA" w:rsidP="00F723DA">
      <w:pPr>
        <w:ind w:firstLine="706"/>
        <w:rPr>
          <w:rFonts w:ascii="Times New Roman" w:eastAsia="Calibri" w:hAnsi="Times New Roman"/>
          <w:b/>
          <w:bCs/>
          <w:szCs w:val="22"/>
          <w:lang w:val="fr-FR"/>
        </w:rPr>
      </w:pPr>
      <w:r w:rsidRPr="00623A2B">
        <w:rPr>
          <w:rFonts w:ascii="Times New Roman" w:eastAsia="Calibri" w:hAnsi="Times New Roman"/>
          <w:szCs w:val="22"/>
          <w:lang w:val="fr-FR"/>
        </w:rPr>
        <w:t>CONSIDÉRANT la responsabilité première des États de respecter, de protéger, de promouvoir et de réaliser tous les droits de la personne et les libertés fondamentales de tout un chacun, y compris le droit de défendre et de promouvoir les droits de la personne, ainsi que la profonde préoccupation que provoquent les situations qui empêchent ou entravent le travail des défenseurs des droits de la personne aux niveaux national et régional dans les Amériques,</w:t>
      </w:r>
    </w:p>
    <w:p w14:paraId="72F205EC" w14:textId="77777777" w:rsidR="00F723DA" w:rsidRPr="00623A2B" w:rsidRDefault="00F723DA" w:rsidP="00F723DA">
      <w:pPr>
        <w:rPr>
          <w:rFonts w:ascii="Times New Roman" w:eastAsia="Calibri" w:hAnsi="Times New Roman"/>
          <w:szCs w:val="22"/>
          <w:lang w:val="fr-FR"/>
        </w:rPr>
      </w:pPr>
    </w:p>
    <w:p w14:paraId="49DA2712" w14:textId="77777777" w:rsidR="00F723DA" w:rsidRPr="00623A2B" w:rsidRDefault="00F723DA" w:rsidP="00F723DA">
      <w:pPr>
        <w:ind w:firstLine="706"/>
        <w:rPr>
          <w:rFonts w:ascii="Times New Roman" w:eastAsia="Calibri" w:hAnsi="Times New Roman"/>
          <w:szCs w:val="22"/>
          <w:lang w:val="fr-FR"/>
        </w:rPr>
      </w:pPr>
      <w:r w:rsidRPr="00623A2B">
        <w:rPr>
          <w:rFonts w:ascii="Times New Roman" w:eastAsia="Calibri" w:hAnsi="Times New Roman"/>
          <w:szCs w:val="22"/>
          <w:lang w:val="fr-FR"/>
        </w:rPr>
        <w:t>SOULIGNANT le travail important et légitime que réalisent toutes ces personnes, ces collectifs et ces communautés qui, sans violence, se manifestent, expriment leur opinion, dénoncent publiquement les abus et les violations des droits de la personne, renseignent sur les droits, recherchent la justice, la vérité et la réparation ainsi que la prévention de la récidive pour empêcher</w:t>
      </w:r>
      <w:r w:rsidRPr="00623A2B">
        <w:rPr>
          <w:rFonts w:ascii="Times New Roman" w:eastAsia="Calibri" w:hAnsi="Times New Roman"/>
          <w:szCs w:val="22"/>
          <w:lang w:val="fr-CA"/>
        </w:rPr>
        <w:t xml:space="preserve"> </w:t>
      </w:r>
      <w:r w:rsidRPr="00623A2B">
        <w:rPr>
          <w:rFonts w:ascii="Times New Roman" w:eastAsia="Calibri" w:hAnsi="Times New Roman"/>
          <w:szCs w:val="22"/>
          <w:lang w:val="fr-FR"/>
        </w:rPr>
        <w:t xml:space="preserve">les  violations de droits de la personne, ou qui exercent toute autre activité de promotion des droits de la personne, </w:t>
      </w:r>
    </w:p>
    <w:p w14:paraId="5119AC96" w14:textId="77777777" w:rsidR="00F723DA" w:rsidRPr="00623A2B" w:rsidRDefault="00F723DA" w:rsidP="00F723DA">
      <w:pPr>
        <w:rPr>
          <w:rFonts w:ascii="Times New Roman" w:eastAsia="Calibri" w:hAnsi="Times New Roman"/>
          <w:szCs w:val="22"/>
          <w:lang w:val="fr-FR"/>
        </w:rPr>
      </w:pPr>
    </w:p>
    <w:p w14:paraId="60FEE888" w14:textId="77777777" w:rsidR="00F723DA" w:rsidRPr="00623A2B" w:rsidRDefault="00F723DA" w:rsidP="00F723DA">
      <w:pPr>
        <w:rPr>
          <w:rFonts w:ascii="Times New Roman" w:eastAsia="Calibri" w:hAnsi="Times New Roman"/>
          <w:szCs w:val="22"/>
          <w:lang w:val="fr-FR"/>
        </w:rPr>
      </w:pPr>
      <w:r w:rsidRPr="00623A2B">
        <w:rPr>
          <w:rFonts w:ascii="Times New Roman" w:eastAsia="Calibri" w:hAnsi="Times New Roman"/>
          <w:szCs w:val="22"/>
          <w:lang w:val="fr-FR"/>
        </w:rPr>
        <w:t>DÉCIDE :</w:t>
      </w:r>
    </w:p>
    <w:p w14:paraId="2E2B94C8" w14:textId="77777777" w:rsidR="00F723DA" w:rsidRPr="00623A2B" w:rsidRDefault="00F723DA" w:rsidP="00F723DA">
      <w:pPr>
        <w:rPr>
          <w:rFonts w:ascii="Times New Roman" w:eastAsia="Calibri" w:hAnsi="Times New Roman"/>
          <w:szCs w:val="22"/>
          <w:lang w:val="fr-FR"/>
        </w:rPr>
      </w:pPr>
    </w:p>
    <w:p w14:paraId="58F77B4C" w14:textId="77777777" w:rsidR="00F723DA" w:rsidRPr="00623A2B" w:rsidRDefault="00F723DA" w:rsidP="00EE7518">
      <w:pPr>
        <w:widowControl/>
        <w:numPr>
          <w:ilvl w:val="0"/>
          <w:numId w:val="6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567"/>
        <w:contextualSpacing/>
        <w:rPr>
          <w:rFonts w:ascii="Times New Roman" w:eastAsia="Calibri" w:hAnsi="Times New Roman"/>
          <w:szCs w:val="22"/>
          <w:lang w:val="fr-FR"/>
        </w:rPr>
      </w:pPr>
      <w:r w:rsidRPr="00623A2B">
        <w:rPr>
          <w:rFonts w:ascii="Times New Roman" w:eastAsia="Calibri" w:hAnsi="Times New Roman"/>
          <w:szCs w:val="22"/>
          <w:lang w:val="fr-FR"/>
        </w:rPr>
        <w:t>De reconnaître la tâche qu’accomplissent, sur les plans local, national et régional, les défenseurs des droits de la personne ainsi que leur précieuse contribution à la promotion, au respect et à la protection des droits de la personne et des libertés fondamentales dans les Amériques.</w:t>
      </w:r>
    </w:p>
    <w:p w14:paraId="2941E6C1" w14:textId="77777777" w:rsidR="00F723DA" w:rsidRPr="00623A2B" w:rsidRDefault="00F723DA" w:rsidP="00F723DA">
      <w:pPr>
        <w:suppressAutoHyphens/>
        <w:contextualSpacing/>
        <w:rPr>
          <w:rFonts w:ascii="Times New Roman" w:eastAsia="Calibri" w:hAnsi="Times New Roman"/>
          <w:szCs w:val="22"/>
          <w:lang w:val="fr-FR"/>
        </w:rPr>
      </w:pPr>
    </w:p>
    <w:p w14:paraId="603E5347" w14:textId="77777777" w:rsidR="00F723DA" w:rsidRPr="00623A2B" w:rsidRDefault="00F723DA" w:rsidP="00EE7518">
      <w:pPr>
        <w:widowControl/>
        <w:numPr>
          <w:ilvl w:val="0"/>
          <w:numId w:val="6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567"/>
        <w:contextualSpacing/>
        <w:rPr>
          <w:rFonts w:ascii="Times New Roman" w:eastAsia="Calibri" w:hAnsi="Times New Roman"/>
          <w:szCs w:val="22"/>
          <w:lang w:val="fr-FR"/>
        </w:rPr>
      </w:pPr>
      <w:r w:rsidRPr="00623A2B">
        <w:rPr>
          <w:rFonts w:ascii="Times New Roman" w:eastAsia="Calibri" w:hAnsi="Times New Roman"/>
          <w:szCs w:val="22"/>
          <w:lang w:val="fr-FR"/>
        </w:rPr>
        <w:t>D’inviter instamment les États membres à adopter les mesures nécessaires pour créer les conditions sociales, économiques, politiques et à intégrer une perspective globale de protection, en incluant des mesures de protection différenciées et collectives, ainsi qu’une perspective de genre sur la protection des défenseurs des droits de la personne, y compris les communicateurs et les environnementalistes de même que</w:t>
      </w:r>
      <w:r w:rsidRPr="00623A2B">
        <w:rPr>
          <w:rFonts w:ascii="Times New Roman" w:eastAsia="Calibri" w:hAnsi="Times New Roman"/>
          <w:b/>
          <w:bCs/>
          <w:szCs w:val="22"/>
          <w:lang w:val="fr-FR"/>
        </w:rPr>
        <w:t xml:space="preserve"> </w:t>
      </w:r>
      <w:r w:rsidRPr="00623A2B">
        <w:rPr>
          <w:rFonts w:ascii="Times New Roman" w:eastAsia="Calibri" w:hAnsi="Times New Roman"/>
          <w:szCs w:val="22"/>
          <w:lang w:val="fr-FR"/>
        </w:rPr>
        <w:t>leurs familles, et la création d'un environnement favorable à la défense des droits de la personne, en accordant les garanties juridiques nécessaires pour que toute personne, agissant individuellement ou collectivement, puisse jouir de tous ses droits et libertés,</w:t>
      </w:r>
      <w:r w:rsidRPr="00623A2B">
        <w:rPr>
          <w:rFonts w:ascii="Times New Roman" w:eastAsia="Calibri" w:hAnsi="Times New Roman"/>
          <w:b/>
          <w:bCs/>
          <w:szCs w:val="22"/>
          <w:lang w:val="fr-FR"/>
        </w:rPr>
        <w:t xml:space="preserve"> </w:t>
      </w:r>
      <w:r w:rsidRPr="00623A2B">
        <w:rPr>
          <w:rFonts w:ascii="Times New Roman" w:eastAsia="Calibri" w:hAnsi="Times New Roman"/>
          <w:szCs w:val="22"/>
          <w:lang w:val="fr-CA"/>
        </w:rPr>
        <w:t>à l’</w:t>
      </w:r>
      <w:r w:rsidRPr="00623A2B">
        <w:rPr>
          <w:rFonts w:ascii="Times New Roman" w:eastAsia="Calibri" w:hAnsi="Times New Roman"/>
          <w:szCs w:val="22"/>
          <w:lang w:val="fr-FR"/>
        </w:rPr>
        <w:t>exclusion de tout type de discrimination,</w:t>
      </w:r>
      <w:r w:rsidRPr="00623A2B">
        <w:rPr>
          <w:rFonts w:ascii="Times New Roman" w:eastAsia="Calibri" w:hAnsi="Times New Roman"/>
          <w:b/>
          <w:bCs/>
          <w:szCs w:val="22"/>
          <w:lang w:val="fr-FR"/>
        </w:rPr>
        <w:t xml:space="preserve"> </w:t>
      </w:r>
      <w:r w:rsidRPr="00623A2B">
        <w:rPr>
          <w:rFonts w:ascii="Times New Roman" w:eastAsia="Calibri" w:hAnsi="Times New Roman"/>
          <w:szCs w:val="22"/>
          <w:lang w:val="fr-FR"/>
        </w:rPr>
        <w:t>en particulier ceux qui défendent et exercent les droits à la liberté d’expression, d’association et de réunion pacifique dans des contextes où des violations des droits de la personne sont perpétrées.</w:t>
      </w:r>
    </w:p>
    <w:p w14:paraId="520DAA7A" w14:textId="77777777" w:rsidR="00F723DA" w:rsidRPr="00623A2B" w:rsidRDefault="00F723DA" w:rsidP="00F723DA">
      <w:pPr>
        <w:rPr>
          <w:rFonts w:ascii="Times New Roman" w:eastAsia="Calibri" w:hAnsi="Times New Roman"/>
          <w:szCs w:val="22"/>
          <w:lang w:val="fr-FR"/>
        </w:rPr>
      </w:pPr>
    </w:p>
    <w:p w14:paraId="7151E26F" w14:textId="255D5E9A" w:rsidR="00F723DA" w:rsidRPr="00623A2B" w:rsidRDefault="00F723DA" w:rsidP="00EE7518">
      <w:pPr>
        <w:widowControl/>
        <w:numPr>
          <w:ilvl w:val="0"/>
          <w:numId w:val="6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567"/>
        <w:contextualSpacing/>
        <w:rPr>
          <w:rFonts w:ascii="Times New Roman" w:eastAsia="Calibri" w:hAnsi="Times New Roman"/>
          <w:szCs w:val="22"/>
          <w:lang w:val="fr-FR"/>
        </w:rPr>
      </w:pPr>
      <w:r w:rsidRPr="00623A2B">
        <w:rPr>
          <w:rFonts w:ascii="Times New Roman" w:eastAsia="Calibri" w:hAnsi="Times New Roman"/>
          <w:szCs w:val="22"/>
          <w:lang w:val="fr-FR"/>
        </w:rPr>
        <w:t xml:space="preserve">D’accorder une attention particulière à la situation de femmes défenseurs des droits de la personne, qui malheureusement encourent des risques spécifiques pour des raisons de genre, y </w:t>
      </w:r>
      <w:r w:rsidRPr="00623A2B">
        <w:rPr>
          <w:rFonts w:ascii="Times New Roman" w:eastAsia="Calibri" w:hAnsi="Times New Roman"/>
          <w:szCs w:val="22"/>
          <w:lang w:val="fr-FR"/>
        </w:rPr>
        <w:lastRenderedPageBreak/>
        <w:t>compris la violence sexuelle et la violence fondée sur le genre. Il s’avère essentiel de garantir les droits de toutes les femmes qui agissent en tant que défenseurs des droits de la personne, et qui peuvent être confrontées à diverses formes de violence ; de faire ressortir l’importance du renforcement du rôle de la famille et de la communauté comme espace de protection et de support ; d’éviter qu’en raison de leurs activités en faveur de la défense des droits de la personne, ces défenseurs n’encourent pas de risques d’agression.</w:t>
      </w:r>
    </w:p>
    <w:p w14:paraId="6D68AD8A" w14:textId="77777777" w:rsidR="00F723DA" w:rsidRPr="00623A2B" w:rsidRDefault="00F723DA" w:rsidP="00F723DA">
      <w:pPr>
        <w:rPr>
          <w:rFonts w:ascii="Times New Roman" w:eastAsia="Calibri" w:hAnsi="Times New Roman"/>
          <w:bCs/>
          <w:szCs w:val="22"/>
          <w:lang w:val="fr-FR"/>
        </w:rPr>
      </w:pPr>
    </w:p>
    <w:p w14:paraId="63D672A7" w14:textId="77777777" w:rsidR="00F723DA" w:rsidRPr="00623A2B" w:rsidRDefault="00F723DA" w:rsidP="00EE7518">
      <w:pPr>
        <w:widowControl/>
        <w:numPr>
          <w:ilvl w:val="0"/>
          <w:numId w:val="6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567"/>
        <w:contextualSpacing/>
        <w:rPr>
          <w:rFonts w:ascii="Times New Roman" w:eastAsia="Calibri" w:hAnsi="Times New Roman"/>
          <w:szCs w:val="22"/>
          <w:lang w:val="fr-FR"/>
        </w:rPr>
      </w:pPr>
      <w:r w:rsidRPr="00623A2B">
        <w:rPr>
          <w:rFonts w:ascii="Times New Roman" w:eastAsia="Calibri" w:hAnsi="Times New Roman"/>
          <w:szCs w:val="22"/>
          <w:lang w:val="fr-FR"/>
        </w:rPr>
        <w:t>De condamner tout acte qui vise à empêcher ou entraver, directement ou indirectement, les tâches qu’accomplissent les femmes et hommes défenseurs des droits de la personne dans les Amériques, y compris les représailles, les menaces, l'intimidation et le harcèlement et autres, dans le cadre de la lutte contre la pandémie de COVID-19.</w:t>
      </w:r>
    </w:p>
    <w:p w14:paraId="34F963AF" w14:textId="77777777" w:rsidR="00F723DA" w:rsidRPr="00623A2B" w:rsidRDefault="00F723DA" w:rsidP="00F723DA">
      <w:pPr>
        <w:rPr>
          <w:rFonts w:ascii="Times New Roman" w:eastAsia="Calibri" w:hAnsi="Times New Roman"/>
          <w:szCs w:val="22"/>
          <w:lang w:val="fr-FR"/>
        </w:rPr>
      </w:pPr>
    </w:p>
    <w:p w14:paraId="5E720372" w14:textId="77777777" w:rsidR="00F723DA" w:rsidRPr="00623A2B" w:rsidRDefault="00F723DA" w:rsidP="00EE7518">
      <w:pPr>
        <w:widowControl/>
        <w:numPr>
          <w:ilvl w:val="0"/>
          <w:numId w:val="6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567"/>
        <w:contextualSpacing/>
        <w:rPr>
          <w:rFonts w:ascii="Times New Roman" w:eastAsia="Calibri" w:hAnsi="Times New Roman"/>
          <w:szCs w:val="22"/>
          <w:lang w:val="fr-FR"/>
        </w:rPr>
      </w:pPr>
      <w:r w:rsidRPr="00623A2B">
        <w:rPr>
          <w:rFonts w:ascii="Times New Roman" w:eastAsia="Calibri" w:hAnsi="Times New Roman"/>
          <w:szCs w:val="22"/>
          <w:lang w:val="fr-FR"/>
        </w:rPr>
        <w:t>D’inviter instamment les États membres à poursuivre leur travail en matière de prévention des situations qui empêchent ou entravent le travail des défenseurs des droits de la personne, ainsi que de protection de leurs droits fondamentaux, au niveau interne et dans les différentes tribunes internationales, étant entendu que la protection des défenseurs et le soutien de leur travail constituent un élément fondamental des stratégies de défense et de garantie des droits de la personne des États, du travail des organismes internationaux dans leur ensemble et des activités des ONG concernées et de la société civile en général.</w:t>
      </w:r>
    </w:p>
    <w:p w14:paraId="56FB0235" w14:textId="77777777" w:rsidR="00F723DA" w:rsidRPr="00623A2B" w:rsidRDefault="00F723DA" w:rsidP="00F723DA">
      <w:pPr>
        <w:pStyle w:val="ListParagraph"/>
        <w:rPr>
          <w:rFonts w:ascii="Times New Roman" w:hAnsi="Times New Roman"/>
          <w:szCs w:val="22"/>
          <w:lang w:val="fr-FR"/>
        </w:rPr>
      </w:pPr>
    </w:p>
    <w:p w14:paraId="76908444" w14:textId="77777777" w:rsidR="00F723DA" w:rsidRPr="00623A2B" w:rsidRDefault="00F723DA" w:rsidP="00EE7518">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547"/>
        <w:contextualSpacing w:val="0"/>
        <w:jc w:val="left"/>
        <w:rPr>
          <w:rFonts w:ascii="Times New Roman" w:hAnsi="Times New Roman"/>
          <w:szCs w:val="22"/>
          <w:u w:val="single"/>
          <w:lang w:val="fr-FR"/>
        </w:rPr>
      </w:pPr>
      <w:r w:rsidRPr="00623A2B">
        <w:rPr>
          <w:rFonts w:ascii="Times New Roman" w:eastAsia="Calibri" w:hAnsi="Times New Roman"/>
          <w:szCs w:val="22"/>
          <w:u w:val="single"/>
          <w:lang w:val="fr-CA"/>
        </w:rPr>
        <w:t xml:space="preserve">Droits de l’enfant et de l’adolescent </w:t>
      </w:r>
    </w:p>
    <w:p w14:paraId="212F1CD1" w14:textId="77777777" w:rsidR="00F723DA" w:rsidRPr="00623A2B" w:rsidRDefault="00F723DA" w:rsidP="00F723DA">
      <w:pPr>
        <w:pStyle w:val="Heading1"/>
        <w:spacing w:before="0"/>
        <w:rPr>
          <w:rFonts w:ascii="Times New Roman" w:hAnsi="Times New Roman" w:cs="Times New Roman"/>
          <w:color w:val="auto"/>
          <w:sz w:val="22"/>
          <w:szCs w:val="22"/>
          <w:lang w:val="fr-FR"/>
        </w:rPr>
      </w:pPr>
    </w:p>
    <w:p w14:paraId="277137FF" w14:textId="77777777" w:rsidR="00F723DA" w:rsidRPr="00623A2B" w:rsidRDefault="00F723DA" w:rsidP="00F723DA">
      <w:pPr>
        <w:autoSpaceDE w:val="0"/>
        <w:autoSpaceDN w:val="0"/>
        <w:adjustRightInd w:val="0"/>
        <w:ind w:firstLine="706"/>
        <w:rPr>
          <w:rFonts w:ascii="Times New Roman" w:eastAsia="Arial Unicode MS" w:hAnsi="Times New Roman"/>
          <w:szCs w:val="22"/>
          <w:lang w:val="fr-FR" w:eastAsia="es-MX"/>
        </w:rPr>
      </w:pPr>
      <w:r w:rsidRPr="00623A2B">
        <w:rPr>
          <w:rFonts w:ascii="Times New Roman" w:eastAsia="Calibri" w:hAnsi="Times New Roman"/>
          <w:szCs w:val="22"/>
          <w:lang w:val="fr-FR" w:eastAsia="es-MX"/>
        </w:rPr>
        <w:t>CONSIDÉRANT le pourcentage élevé de personnes de moins de 18 ans qui caractérise la population des Amériques ainsi que les écarts d'inégalité qui existent dans la région en ce qui concerne l'accès à la pleine jouissance de leurs droits,</w:t>
      </w:r>
    </w:p>
    <w:p w14:paraId="3D7E02B6" w14:textId="77777777" w:rsidR="00F723DA" w:rsidRPr="00623A2B" w:rsidRDefault="00F723DA" w:rsidP="00F723DA">
      <w:pPr>
        <w:autoSpaceDE w:val="0"/>
        <w:autoSpaceDN w:val="0"/>
        <w:adjustRightInd w:val="0"/>
        <w:rPr>
          <w:rFonts w:ascii="Times New Roman" w:eastAsia="Arial Unicode MS" w:hAnsi="Times New Roman"/>
          <w:szCs w:val="22"/>
          <w:lang w:val="fr-FR" w:eastAsia="es-MX"/>
        </w:rPr>
      </w:pPr>
    </w:p>
    <w:p w14:paraId="263AC820" w14:textId="77777777" w:rsidR="00F723DA" w:rsidRPr="00623A2B" w:rsidRDefault="00F723DA" w:rsidP="00F723DA">
      <w:pPr>
        <w:autoSpaceDE w:val="0"/>
        <w:autoSpaceDN w:val="0"/>
        <w:adjustRightInd w:val="0"/>
        <w:ind w:firstLine="706"/>
        <w:rPr>
          <w:rFonts w:ascii="Times New Roman" w:eastAsia="Arial Unicode MS" w:hAnsi="Times New Roman"/>
          <w:szCs w:val="22"/>
          <w:lang w:val="fr-FR" w:eastAsia="es-MX"/>
        </w:rPr>
      </w:pPr>
      <w:r w:rsidRPr="00623A2B">
        <w:rPr>
          <w:rFonts w:ascii="Times New Roman" w:eastAsia="Calibri" w:hAnsi="Times New Roman"/>
          <w:szCs w:val="22"/>
          <w:lang w:val="fr-FR" w:eastAsia="es-MX"/>
        </w:rPr>
        <w:t>RÉAFFIRMANT la nécessité de redoubler d'efforts pour respecter les engagements relatifs aux droits des enfants et des adolescents, en particulier dans un contexte de pandémie qui a provoqué, entre autres, une crise sanitaire, de développement des aptitudes d’apprentissage, éducatives et économiques, à l’origine d’effets graves sur leur vie, qui ont exacerbé les inégalités existantes,</w:t>
      </w:r>
    </w:p>
    <w:p w14:paraId="381C3C75" w14:textId="77777777" w:rsidR="00F723DA" w:rsidRPr="00623A2B" w:rsidRDefault="00F723DA" w:rsidP="00F723DA">
      <w:pPr>
        <w:autoSpaceDE w:val="0"/>
        <w:autoSpaceDN w:val="0"/>
        <w:adjustRightInd w:val="0"/>
        <w:rPr>
          <w:rFonts w:ascii="Times New Roman" w:eastAsia="Arial Unicode MS" w:hAnsi="Times New Roman"/>
          <w:szCs w:val="22"/>
          <w:lang w:val="fr-FR" w:eastAsia="es-MX"/>
        </w:rPr>
      </w:pPr>
    </w:p>
    <w:p w14:paraId="2E481D43" w14:textId="77777777" w:rsidR="00F723DA" w:rsidRPr="00623A2B" w:rsidRDefault="00F723DA" w:rsidP="00F723DA">
      <w:pPr>
        <w:autoSpaceDE w:val="0"/>
        <w:autoSpaceDN w:val="0"/>
        <w:adjustRightInd w:val="0"/>
        <w:ind w:firstLine="706"/>
        <w:rPr>
          <w:rFonts w:ascii="Times New Roman" w:eastAsia="Arial Unicode MS" w:hAnsi="Times New Roman"/>
          <w:szCs w:val="22"/>
          <w:lang w:val="fr-FR" w:eastAsia="es-MX"/>
        </w:rPr>
      </w:pPr>
      <w:r w:rsidRPr="00623A2B">
        <w:rPr>
          <w:rFonts w:ascii="Times New Roman" w:eastAsia="Calibri" w:hAnsi="Times New Roman"/>
          <w:szCs w:val="22"/>
          <w:lang w:val="fr-FR" w:eastAsia="es-MX"/>
        </w:rPr>
        <w:t>SOULIGNANT la nature globale et multidimensionnelle des droits des enfants et des adolescents et, par conséquent, la coordination intersectorielle et interinstitutionnelle nécessaire à leur promotion et à leur protection, ainsi que l'importance de disposer d'institutions dûment qualifiées en la matière, dotées d'un personnel adéquat, d'installations suffisantes, de moyens appropriés et d'une expérience avérée dans ce type de tâche, et prenant note de l'avis consultatif OC-17/2002 de la Cour interaméricaine des droits de l'homme,</w:t>
      </w:r>
    </w:p>
    <w:p w14:paraId="1F975521" w14:textId="77777777" w:rsidR="00F723DA" w:rsidRPr="00623A2B" w:rsidRDefault="00F723DA" w:rsidP="00F723DA">
      <w:pPr>
        <w:autoSpaceDE w:val="0"/>
        <w:autoSpaceDN w:val="0"/>
        <w:adjustRightInd w:val="0"/>
        <w:rPr>
          <w:rFonts w:ascii="Times New Roman" w:eastAsia="Calibri" w:hAnsi="Times New Roman"/>
          <w:szCs w:val="22"/>
          <w:lang w:val="fr-FR" w:eastAsia="es-MX"/>
        </w:rPr>
      </w:pPr>
    </w:p>
    <w:p w14:paraId="0BA998E6" w14:textId="77777777" w:rsidR="00F723DA" w:rsidRPr="00623A2B" w:rsidRDefault="00F723DA" w:rsidP="00F723DA">
      <w:pPr>
        <w:rPr>
          <w:rFonts w:ascii="Times New Roman" w:hAnsi="Times New Roman"/>
          <w:szCs w:val="22"/>
          <w:lang w:val="fr-FR"/>
        </w:rPr>
      </w:pPr>
      <w:r w:rsidRPr="00623A2B">
        <w:rPr>
          <w:rFonts w:ascii="Times New Roman" w:hAnsi="Times New Roman"/>
          <w:b/>
          <w:bCs/>
          <w:szCs w:val="22"/>
          <w:lang w:val="fr-FR"/>
        </w:rPr>
        <w:tab/>
      </w:r>
      <w:r w:rsidRPr="00623A2B">
        <w:rPr>
          <w:rFonts w:ascii="Times New Roman" w:hAnsi="Times New Roman"/>
          <w:szCs w:val="22"/>
          <w:lang w:val="fr-FR"/>
        </w:rPr>
        <w:t>RÉAFFIRMANT l'engagement des États membres en faveur de la prévention, de la sanction et de l'élimination de tous les types d'abus et de violence à l'égard des enfants et des adolescents dans tous les domaines de leur vie, en tant que priorité du continent américain, en particulier pendant la pandémie lequel doit, compte tenu de son importance, faire l'objet d'un diagnostic régional en vue de l'adoption de nouvelles mesures,</w:t>
      </w:r>
    </w:p>
    <w:p w14:paraId="045B7518" w14:textId="77777777" w:rsidR="00F723DA" w:rsidRPr="00623A2B" w:rsidRDefault="00F723DA" w:rsidP="00F723DA">
      <w:pPr>
        <w:rPr>
          <w:rFonts w:ascii="Times New Roman" w:hAnsi="Times New Roman"/>
          <w:szCs w:val="22"/>
          <w:lang w:val="fr-FR"/>
        </w:rPr>
      </w:pPr>
    </w:p>
    <w:p w14:paraId="43A7BC69" w14:textId="2F384471" w:rsidR="00F723DA" w:rsidRPr="00623A2B" w:rsidRDefault="00F723DA" w:rsidP="00F723DA">
      <w:pPr>
        <w:ind w:firstLine="708"/>
        <w:rPr>
          <w:rFonts w:ascii="Times New Roman" w:hAnsi="Times New Roman"/>
          <w:szCs w:val="22"/>
          <w:lang w:val="fr-FR"/>
        </w:rPr>
      </w:pPr>
      <w:r w:rsidRPr="00623A2B">
        <w:rPr>
          <w:rFonts w:ascii="Times New Roman" w:hAnsi="Times New Roman"/>
          <w:szCs w:val="22"/>
          <w:lang w:val="fr-FR"/>
        </w:rPr>
        <w:t>AYANT À L'ESPRIT que les enfants et les adolescents, en raison de leur âge, doivent recevoir une protection et des soins particuliers pour leur épanouissement intégral et harmonieux en tant qu’êtres humains, au sein d'une famille, milieu naturel de croissance et de bien-être,</w:t>
      </w:r>
    </w:p>
    <w:p w14:paraId="14F3E5CF" w14:textId="77777777" w:rsidR="00F723DA" w:rsidRPr="00623A2B" w:rsidRDefault="00F723DA" w:rsidP="00F723DA">
      <w:pPr>
        <w:autoSpaceDE w:val="0"/>
        <w:autoSpaceDN w:val="0"/>
        <w:adjustRightInd w:val="0"/>
        <w:rPr>
          <w:rFonts w:ascii="Times New Roman" w:eastAsia="Calibri" w:hAnsi="Times New Roman"/>
          <w:szCs w:val="22"/>
          <w:lang w:val="fr-FR" w:eastAsia="es-MX"/>
        </w:rPr>
      </w:pPr>
    </w:p>
    <w:p w14:paraId="6BC3EB9F" w14:textId="77777777" w:rsidR="00F723DA" w:rsidRPr="00623A2B" w:rsidRDefault="00F723DA" w:rsidP="00F723DA">
      <w:pPr>
        <w:keepNext/>
        <w:autoSpaceDE w:val="0"/>
        <w:autoSpaceDN w:val="0"/>
        <w:adjustRightInd w:val="0"/>
        <w:rPr>
          <w:rFonts w:ascii="Times New Roman" w:eastAsia="Arial Unicode MS" w:hAnsi="Times New Roman"/>
          <w:szCs w:val="22"/>
          <w:lang w:val="fr-FR" w:eastAsia="es-MX"/>
        </w:rPr>
      </w:pPr>
      <w:r w:rsidRPr="00623A2B">
        <w:rPr>
          <w:rFonts w:ascii="Times New Roman" w:eastAsia="Calibri" w:hAnsi="Times New Roman"/>
          <w:szCs w:val="22"/>
          <w:lang w:val="fr-FR" w:eastAsia="es-MX"/>
        </w:rPr>
        <w:lastRenderedPageBreak/>
        <w:t>DÉCIDE :</w:t>
      </w:r>
    </w:p>
    <w:p w14:paraId="56332028" w14:textId="77777777" w:rsidR="00F723DA" w:rsidRPr="00623A2B" w:rsidRDefault="00F723DA" w:rsidP="00F723DA">
      <w:pPr>
        <w:keepNext/>
        <w:autoSpaceDE w:val="0"/>
        <w:autoSpaceDN w:val="0"/>
        <w:adjustRightInd w:val="0"/>
        <w:rPr>
          <w:rFonts w:ascii="Times New Roman" w:eastAsia="Arial Unicode MS" w:hAnsi="Times New Roman"/>
          <w:szCs w:val="22"/>
          <w:lang w:val="fr-FR" w:eastAsia="es-MX"/>
        </w:rPr>
      </w:pPr>
    </w:p>
    <w:p w14:paraId="02657FDE" w14:textId="77777777" w:rsidR="00F723DA" w:rsidRPr="00623A2B" w:rsidRDefault="00F723DA" w:rsidP="00F723DA">
      <w:pPr>
        <w:autoSpaceDE w:val="0"/>
        <w:autoSpaceDN w:val="0"/>
        <w:adjustRightInd w:val="0"/>
        <w:ind w:firstLine="706"/>
        <w:rPr>
          <w:rFonts w:ascii="Times New Roman" w:eastAsia="Arial Unicode MS" w:hAnsi="Times New Roman"/>
          <w:szCs w:val="22"/>
          <w:lang w:val="fr-FR" w:eastAsia="es-MX"/>
        </w:rPr>
      </w:pPr>
      <w:r w:rsidRPr="00623A2B">
        <w:rPr>
          <w:rFonts w:ascii="Times New Roman" w:eastAsia="Calibri" w:hAnsi="Times New Roman"/>
          <w:szCs w:val="22"/>
          <w:lang w:val="fr-FR" w:eastAsia="es-MX"/>
        </w:rPr>
        <w:t>1.</w:t>
      </w:r>
      <w:r w:rsidRPr="00623A2B">
        <w:rPr>
          <w:rFonts w:ascii="Times New Roman" w:eastAsia="Calibri" w:hAnsi="Times New Roman"/>
          <w:szCs w:val="22"/>
          <w:lang w:val="fr-FR" w:eastAsia="es-MX"/>
        </w:rPr>
        <w:tab/>
        <w:t xml:space="preserve">Afin de promouvoir le développement intégral des enfants et des adolescents, continuer à promouvoir la création et le renforcement des systèmes intégraux de promotion et de protection des droits de l’enfant et de l’adolescent dans la région, qui mettent en œuvre des politiques publiques universelles et inclusives, participatives et respectueuses de la diversité pour fournir des services de qualité, et qui favorisent le développement intégré, en accordant une attention particulière aux groupes exclus de par l’histoire et/ou en situation de vulnérabilité, y compris les groupes d’enfants et d’adolescents qui fuient leur pays à la recherche de protection internationale. </w:t>
      </w:r>
    </w:p>
    <w:p w14:paraId="0AE71941" w14:textId="77777777" w:rsidR="00F723DA" w:rsidRPr="00623A2B" w:rsidRDefault="00F723DA" w:rsidP="00F723DA">
      <w:pPr>
        <w:autoSpaceDE w:val="0"/>
        <w:autoSpaceDN w:val="0"/>
        <w:adjustRightInd w:val="0"/>
        <w:rPr>
          <w:rFonts w:ascii="Times New Roman" w:eastAsia="Arial Unicode MS" w:hAnsi="Times New Roman"/>
          <w:szCs w:val="22"/>
          <w:lang w:val="fr-FR" w:eastAsia="es-MX"/>
        </w:rPr>
      </w:pPr>
    </w:p>
    <w:p w14:paraId="5EC08F88" w14:textId="77777777" w:rsidR="00F723DA" w:rsidRPr="00623A2B" w:rsidRDefault="00F723DA" w:rsidP="00F723DA">
      <w:pPr>
        <w:autoSpaceDE w:val="0"/>
        <w:autoSpaceDN w:val="0"/>
        <w:adjustRightInd w:val="0"/>
        <w:ind w:firstLine="706"/>
        <w:rPr>
          <w:rFonts w:ascii="Times New Roman" w:eastAsia="Calibri" w:hAnsi="Times New Roman"/>
          <w:szCs w:val="22"/>
          <w:lang w:val="fr-FR" w:eastAsia="es-MX"/>
        </w:rPr>
      </w:pPr>
      <w:r w:rsidRPr="00623A2B">
        <w:rPr>
          <w:rFonts w:ascii="Times New Roman" w:eastAsia="Calibri" w:hAnsi="Times New Roman"/>
          <w:szCs w:val="22"/>
          <w:lang w:val="fr-FR" w:eastAsia="es-MX"/>
        </w:rPr>
        <w:t>2.</w:t>
      </w:r>
      <w:r w:rsidRPr="00623A2B">
        <w:rPr>
          <w:rFonts w:ascii="Times New Roman" w:eastAsia="Calibri" w:hAnsi="Times New Roman"/>
          <w:szCs w:val="22"/>
          <w:lang w:val="fr-FR" w:eastAsia="es-MX"/>
        </w:rPr>
        <w:tab/>
        <w:t>D'encourager les États membres à continuer d'orienter leur travail commun en faveur des enfants et des adolescents, en accordant une attention particulière à la réponse aux effets de la crise sanitaire de la COVID-19 et aux questions prioritaires telles que la petite enfance et l'adolescence, ainsi qu'à la nécessité d'insister sur le renforcement de la promotion et de la protection de tous leurs droits, en tenant compte de la diversité des conditions et des circonstances, de la parité hommes-femmes, sans aucun type de discrimination, ainsi que de la création d'espaces pour que leurs opinions soient écoutées. De même, de poursuivre les actions entreprises pour aborder des défis tels que l'enlèvement international d'enfants, l'élimination de la violence, de la traite et de l'exploitation, y compris sexuelle, la prévention de la grossesse chez les filles et les adolescentes, les abus physiques et émotionnels, y compris dans le contexte numérique, où il convient d'atténuer les risques et d'améliorer les possibilités en matière d'éducation, ainsi que la garantie de procédures d'asile et de refuge, conformément au droit international et à la législation nationale correspondante, pour ceux qui en font la demande en raison de persécutions ou de violations des droits de la personne, et la constitution, entre autres formes d'organisation, de réseaux d'autoprotection avec une participation intergénérationnelle sous la supervision de leurs parents ou de leurs tuteurs.</w:t>
      </w:r>
    </w:p>
    <w:p w14:paraId="1C4F38BA" w14:textId="77777777" w:rsidR="00F723DA" w:rsidRPr="00623A2B" w:rsidRDefault="00F723DA" w:rsidP="00F723DA">
      <w:pPr>
        <w:autoSpaceDE w:val="0"/>
        <w:autoSpaceDN w:val="0"/>
        <w:adjustRightInd w:val="0"/>
        <w:rPr>
          <w:rFonts w:ascii="Times New Roman" w:eastAsia="Calibri" w:hAnsi="Times New Roman"/>
          <w:szCs w:val="22"/>
          <w:lang w:val="fr-FR" w:eastAsia="es-MX"/>
        </w:rPr>
      </w:pPr>
    </w:p>
    <w:p w14:paraId="26400A71" w14:textId="77777777" w:rsidR="00F723DA" w:rsidRPr="00623A2B" w:rsidRDefault="00F723DA" w:rsidP="00F723DA">
      <w:pPr>
        <w:autoSpaceDE w:val="0"/>
        <w:autoSpaceDN w:val="0"/>
        <w:adjustRightInd w:val="0"/>
        <w:ind w:firstLine="706"/>
        <w:rPr>
          <w:rFonts w:ascii="Times New Roman" w:eastAsia="Calibri" w:hAnsi="Times New Roman"/>
          <w:szCs w:val="22"/>
          <w:lang w:val="fr-FR" w:eastAsia="es-MX"/>
        </w:rPr>
      </w:pPr>
      <w:r w:rsidRPr="00623A2B">
        <w:rPr>
          <w:rFonts w:ascii="Times New Roman" w:eastAsia="Calibri" w:hAnsi="Times New Roman"/>
          <w:szCs w:val="22"/>
          <w:lang w:val="fr-FR" w:eastAsia="es-MX"/>
        </w:rPr>
        <w:t>3.</w:t>
      </w:r>
      <w:r w:rsidRPr="00623A2B">
        <w:rPr>
          <w:rFonts w:ascii="Times New Roman" w:eastAsia="Calibri" w:hAnsi="Times New Roman"/>
          <w:szCs w:val="22"/>
          <w:lang w:val="fr-FR" w:eastAsia="es-MX"/>
        </w:rPr>
        <w:tab/>
        <w:t>De reconnaître les activités de l'Institut interaméricain de l'enfance et de l’adolescence (IIN), en particulier la formation et l'éducation des ressources humaines en matière de politiques de protection des droits des enfants et des adolescents,  en mettant un accent particulier sur ceux qui se trouvent en situation de vulnérabilité ainsi que l’établissement de divers groupes de travail avec les ressources existantes et les activités réalisées en permanence pour définir des orientations stratégiques et des méthodologies innovantes dans leurs activités.</w:t>
      </w:r>
    </w:p>
    <w:p w14:paraId="01DD66D9" w14:textId="77777777" w:rsidR="00F723DA" w:rsidRPr="00623A2B" w:rsidRDefault="00F723DA" w:rsidP="00F723DA">
      <w:pPr>
        <w:autoSpaceDE w:val="0"/>
        <w:autoSpaceDN w:val="0"/>
        <w:adjustRightInd w:val="0"/>
        <w:rPr>
          <w:rFonts w:ascii="Times New Roman" w:eastAsia="Arial Unicode MS" w:hAnsi="Times New Roman"/>
          <w:szCs w:val="22"/>
          <w:lang w:val="fr-FR" w:eastAsia="es-MX"/>
        </w:rPr>
      </w:pPr>
    </w:p>
    <w:p w14:paraId="25BF457C" w14:textId="77777777" w:rsidR="00F723DA" w:rsidRPr="00623A2B" w:rsidRDefault="00F723DA" w:rsidP="00F723DA">
      <w:pPr>
        <w:autoSpaceDE w:val="0"/>
        <w:autoSpaceDN w:val="0"/>
        <w:adjustRightInd w:val="0"/>
        <w:ind w:firstLine="706"/>
        <w:rPr>
          <w:rFonts w:ascii="Times New Roman" w:eastAsia="Calibri" w:hAnsi="Times New Roman"/>
          <w:szCs w:val="22"/>
          <w:lang w:val="fr-FR" w:eastAsia="es-MX"/>
        </w:rPr>
      </w:pPr>
      <w:r w:rsidRPr="00623A2B">
        <w:rPr>
          <w:rFonts w:ascii="Times New Roman" w:eastAsia="Calibri" w:hAnsi="Times New Roman"/>
          <w:szCs w:val="22"/>
          <w:lang w:val="fr-FR" w:eastAsia="es-MX"/>
        </w:rPr>
        <w:t>4.</w:t>
      </w:r>
      <w:r w:rsidRPr="00623A2B">
        <w:rPr>
          <w:rFonts w:ascii="Times New Roman" w:eastAsia="Calibri" w:hAnsi="Times New Roman"/>
          <w:szCs w:val="22"/>
          <w:lang w:val="fr-FR" w:eastAsia="es-MX"/>
        </w:rPr>
        <w:tab/>
        <w:t xml:space="preserve">De charger le Secrétariat général, en consultation avec les États membres et en collaboration avec l’INN et d'autres organes pertinents de l'OEA, de soumettre à l'Assemblée générale, lors de sa cinquante-deuxième session ordinaire, par l’intermédiaire de la Commission des questions juridiques et politiques (CAJP), un diagnostic continental sur la prévention, l'éradication et la sanction de la maltraitance et de toutes les formes de violence à l'égard des enfants et des adolescents et qui, </w:t>
      </w:r>
      <w:r w:rsidRPr="00623A2B">
        <w:rPr>
          <w:rFonts w:ascii="Times New Roman" w:eastAsia="Calibri" w:hAnsi="Times New Roman"/>
          <w:lang w:val="fr-FR"/>
        </w:rPr>
        <w:t xml:space="preserve">sur la base de l’évaluation nationale effectuée par les États à partir des différents apports, </w:t>
      </w:r>
      <w:r w:rsidRPr="00623A2B">
        <w:rPr>
          <w:rFonts w:ascii="Times New Roman" w:eastAsia="Calibri" w:hAnsi="Times New Roman"/>
          <w:szCs w:val="22"/>
          <w:lang w:val="fr-FR" w:eastAsia="es-MX"/>
        </w:rPr>
        <w:t>y compris</w:t>
      </w:r>
      <w:r w:rsidRPr="00623A2B">
        <w:rPr>
          <w:rFonts w:ascii="Times New Roman" w:eastAsia="Calibri" w:hAnsi="Times New Roman"/>
          <w:lang w:val="fr-FR"/>
        </w:rPr>
        <w:t xml:space="preserve"> le</w:t>
      </w:r>
      <w:r w:rsidRPr="00623A2B">
        <w:rPr>
          <w:rFonts w:ascii="Times New Roman" w:eastAsia="Calibri" w:hAnsi="Times New Roman"/>
          <w:szCs w:val="22"/>
          <w:lang w:val="fr-FR" w:eastAsia="es-MX"/>
        </w:rPr>
        <w:t xml:space="preserve"> rapport élaboré par l’IIN, conformément à la résolution AG/RES. 2961 (L-O/20), entre autres aspects, permettra d'examiner la pertinence de l'adoption de mesures ultérieures</w:t>
      </w:r>
      <w:r w:rsidRPr="00623A2B">
        <w:rPr>
          <w:rFonts w:ascii="Times New Roman" w:eastAsia="Calibri" w:hAnsi="Times New Roman"/>
          <w:lang w:val="fr-FR"/>
        </w:rPr>
        <w:t xml:space="preserve">, lesquelles pourraient inclure un éventuel instrument interaméricain </w:t>
      </w:r>
      <w:r w:rsidRPr="00623A2B">
        <w:rPr>
          <w:rFonts w:ascii="Times New Roman" w:eastAsia="Calibri" w:hAnsi="Times New Roman"/>
          <w:szCs w:val="22"/>
          <w:lang w:val="fr-FR" w:eastAsia="es-MX"/>
        </w:rPr>
        <w:t>en la matière, avec les ressources existantes.</w:t>
      </w:r>
    </w:p>
    <w:p w14:paraId="35D977CC" w14:textId="77777777" w:rsidR="00F723DA" w:rsidRPr="00623A2B" w:rsidRDefault="00F723DA" w:rsidP="00F723DA">
      <w:pPr>
        <w:snapToGrid w:val="0"/>
        <w:ind w:right="61"/>
        <w:jc w:val="center"/>
        <w:rPr>
          <w:rFonts w:ascii="Times New Roman" w:hAnsi="Times New Roman"/>
          <w:bCs/>
          <w:snapToGrid w:val="0"/>
          <w:szCs w:val="22"/>
          <w:lang w:val="fr-FR" w:eastAsia="es-ES_tradnl"/>
        </w:rPr>
      </w:pPr>
    </w:p>
    <w:p w14:paraId="72D59E1B" w14:textId="3538405F" w:rsidR="00F723DA" w:rsidRPr="00623A2B" w:rsidRDefault="00F723DA" w:rsidP="00EE7518">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547"/>
        <w:contextualSpacing w:val="0"/>
        <w:jc w:val="left"/>
        <w:rPr>
          <w:rFonts w:ascii="Times New Roman" w:hAnsi="Times New Roman"/>
          <w:szCs w:val="22"/>
          <w:u w:val="single"/>
          <w:lang w:val="fr-CA"/>
        </w:rPr>
      </w:pPr>
      <w:r w:rsidRPr="00623A2B">
        <w:rPr>
          <w:rFonts w:ascii="Times New Roman" w:hAnsi="Times New Roman"/>
          <w:szCs w:val="22"/>
          <w:u w:val="single"/>
          <w:lang w:val="fr-CA"/>
        </w:rPr>
        <w:t>Renforcement du Mécanisme de suivi de la mise en œuvre du Protocole de San Salvador</w:t>
      </w:r>
    </w:p>
    <w:p w14:paraId="081F5937" w14:textId="77777777" w:rsidR="00F723DA" w:rsidRPr="00623A2B" w:rsidRDefault="00F723DA" w:rsidP="00F723DA">
      <w:pPr>
        <w:autoSpaceDE w:val="0"/>
        <w:autoSpaceDN w:val="0"/>
        <w:adjustRightInd w:val="0"/>
        <w:rPr>
          <w:rFonts w:ascii="Times New Roman" w:eastAsia="Arial Unicode MS" w:hAnsi="Times New Roman"/>
          <w:szCs w:val="22"/>
          <w:lang w:val="fr-FR" w:eastAsia="es-MX"/>
        </w:rPr>
      </w:pPr>
    </w:p>
    <w:p w14:paraId="35AE3992" w14:textId="77777777" w:rsidR="00F723DA" w:rsidRPr="00623A2B" w:rsidRDefault="00F723DA" w:rsidP="00F723DA">
      <w:pPr>
        <w:autoSpaceDE w:val="0"/>
        <w:autoSpaceDN w:val="0"/>
        <w:adjustRightInd w:val="0"/>
        <w:ind w:firstLine="706"/>
        <w:rPr>
          <w:rFonts w:ascii="Times New Roman" w:eastAsia="Arial Unicode MS" w:hAnsi="Times New Roman"/>
          <w:szCs w:val="22"/>
          <w:lang w:val="fr-FR" w:eastAsia="es-MX"/>
        </w:rPr>
      </w:pPr>
      <w:r w:rsidRPr="00623A2B">
        <w:rPr>
          <w:rFonts w:ascii="Times New Roman" w:eastAsia="Calibri" w:hAnsi="Times New Roman"/>
          <w:szCs w:val="22"/>
          <w:lang w:val="fr-FR" w:eastAsia="es-MX"/>
        </w:rPr>
        <w:t xml:space="preserve">SOULIGNANT qu’à ce jour, seize  États membres ont ratifié le Protocole additionnel à la Convention américaine relative aux droits de l’homme traitant des droits économiques, sociaux et culturels (Protocole de San Salvador), dont l’article 19 établit que les États parties s’engagent à </w:t>
      </w:r>
      <w:r w:rsidRPr="00623A2B">
        <w:rPr>
          <w:rFonts w:ascii="Times New Roman" w:eastAsia="Calibri" w:hAnsi="Times New Roman"/>
          <w:szCs w:val="22"/>
          <w:lang w:val="fr-FR" w:eastAsia="es-MX"/>
        </w:rPr>
        <w:lastRenderedPageBreak/>
        <w:t>présenter des rapports nationaux périodiques sur les mesures progressives qui ont été adoptées pour assurer le plein respect des droits consacrés dans cet instrument, et que les normes correspondantes ont été établies au moyen de la résolution AG/RES. 2074 (XXXV-O/05) et des résolutions suivantes,</w:t>
      </w:r>
    </w:p>
    <w:p w14:paraId="77E35E6B" w14:textId="77777777" w:rsidR="00F723DA" w:rsidRPr="00623A2B" w:rsidRDefault="00F723DA" w:rsidP="00F723DA">
      <w:pPr>
        <w:autoSpaceDE w:val="0"/>
        <w:autoSpaceDN w:val="0"/>
        <w:adjustRightInd w:val="0"/>
        <w:rPr>
          <w:rFonts w:ascii="Times New Roman" w:eastAsia="Arial Unicode MS" w:hAnsi="Times New Roman"/>
          <w:szCs w:val="22"/>
          <w:lang w:val="fr-FR" w:eastAsia="es-MX"/>
        </w:rPr>
      </w:pPr>
    </w:p>
    <w:p w14:paraId="68AA1A8A" w14:textId="77777777" w:rsidR="00F723DA" w:rsidRPr="00623A2B" w:rsidRDefault="00F723DA" w:rsidP="00F723DA">
      <w:pPr>
        <w:autoSpaceDE w:val="0"/>
        <w:autoSpaceDN w:val="0"/>
        <w:adjustRightInd w:val="0"/>
        <w:rPr>
          <w:rFonts w:ascii="Times New Roman" w:eastAsia="Arial Unicode MS" w:hAnsi="Times New Roman"/>
          <w:szCs w:val="22"/>
          <w:lang w:val="fr-FR" w:eastAsia="es-MX"/>
        </w:rPr>
      </w:pPr>
      <w:r w:rsidRPr="00623A2B">
        <w:rPr>
          <w:rFonts w:ascii="Times New Roman" w:eastAsia="Calibri" w:hAnsi="Times New Roman"/>
          <w:szCs w:val="22"/>
          <w:lang w:val="fr-FR" w:eastAsia="es-MX"/>
        </w:rPr>
        <w:t>DÉCIDE :</w:t>
      </w:r>
    </w:p>
    <w:p w14:paraId="60C92115" w14:textId="77777777" w:rsidR="00F723DA" w:rsidRPr="00623A2B" w:rsidRDefault="00F723DA" w:rsidP="00F723DA">
      <w:pPr>
        <w:autoSpaceDE w:val="0"/>
        <w:autoSpaceDN w:val="0"/>
        <w:adjustRightInd w:val="0"/>
        <w:rPr>
          <w:rFonts w:ascii="Times New Roman" w:eastAsia="Arial Unicode MS" w:hAnsi="Times New Roman"/>
          <w:szCs w:val="22"/>
          <w:lang w:val="fr-FR" w:eastAsia="es-MX"/>
        </w:rPr>
      </w:pPr>
    </w:p>
    <w:p w14:paraId="1F0713A0" w14:textId="77777777" w:rsidR="00F723DA" w:rsidRPr="00623A2B" w:rsidRDefault="00F723DA" w:rsidP="00F723DA">
      <w:pPr>
        <w:autoSpaceDE w:val="0"/>
        <w:autoSpaceDN w:val="0"/>
        <w:adjustRightInd w:val="0"/>
        <w:ind w:firstLine="706"/>
        <w:rPr>
          <w:rFonts w:ascii="Times New Roman" w:eastAsia="Calibri" w:hAnsi="Times New Roman"/>
          <w:szCs w:val="22"/>
          <w:lang w:val="fr-FR" w:eastAsia="es-MX"/>
        </w:rPr>
      </w:pPr>
      <w:r w:rsidRPr="00623A2B">
        <w:rPr>
          <w:rFonts w:ascii="Times New Roman" w:eastAsia="Calibri" w:hAnsi="Times New Roman"/>
          <w:szCs w:val="22"/>
          <w:lang w:val="fr-FR" w:eastAsia="es-MX"/>
        </w:rPr>
        <w:t xml:space="preserve">1. </w:t>
      </w:r>
      <w:r w:rsidRPr="00623A2B">
        <w:rPr>
          <w:rFonts w:ascii="Times New Roman" w:eastAsia="Calibri" w:hAnsi="Times New Roman"/>
          <w:szCs w:val="22"/>
          <w:lang w:val="fr-FR" w:eastAsia="es-MX"/>
        </w:rPr>
        <w:tab/>
        <w:t>De féliciter les États parties pour l’engagement et les efforts en matière de respect des délais établis pour la remise des rapports nationaux, et de demander aux États parties qui ne l’ont pas encore fait de remettre promptement les rapports correspondant aux deux groupes de droits. De même, d’encourager les États parties à prendre en compte les observations pour l’élaboration de leurs politiques publiques pour promouvoir les droits économiques, sociaux et culturels, y compris le droit à un environnement sain, énoncé à l'article 11.</w:t>
      </w:r>
    </w:p>
    <w:p w14:paraId="6D88914D" w14:textId="77777777" w:rsidR="00F723DA" w:rsidRPr="00623A2B" w:rsidRDefault="00F723DA" w:rsidP="00F723DA">
      <w:pPr>
        <w:autoSpaceDE w:val="0"/>
        <w:autoSpaceDN w:val="0"/>
        <w:adjustRightInd w:val="0"/>
        <w:rPr>
          <w:rFonts w:ascii="Times New Roman" w:eastAsia="Arial Unicode MS" w:hAnsi="Times New Roman"/>
          <w:szCs w:val="22"/>
          <w:lang w:val="fr-FR" w:eastAsia="es-MX"/>
        </w:rPr>
      </w:pPr>
    </w:p>
    <w:p w14:paraId="2B3B2F4F" w14:textId="77777777" w:rsidR="00F723DA" w:rsidRPr="00623A2B" w:rsidRDefault="00F723DA" w:rsidP="00F723DA">
      <w:pPr>
        <w:autoSpaceDE w:val="0"/>
        <w:autoSpaceDN w:val="0"/>
        <w:adjustRightInd w:val="0"/>
        <w:ind w:firstLine="706"/>
        <w:rPr>
          <w:rFonts w:ascii="Times New Roman" w:eastAsia="Arial Unicode MS" w:hAnsi="Times New Roman"/>
          <w:szCs w:val="22"/>
          <w:lang w:val="fr-FR" w:eastAsia="es-MX"/>
        </w:rPr>
      </w:pPr>
      <w:r w:rsidRPr="00623A2B">
        <w:rPr>
          <w:rFonts w:ascii="Times New Roman" w:eastAsia="Calibri" w:hAnsi="Times New Roman"/>
          <w:szCs w:val="22"/>
          <w:lang w:val="fr-FR" w:eastAsia="es-MX"/>
        </w:rPr>
        <w:t>2.</w:t>
      </w:r>
      <w:r w:rsidRPr="00623A2B">
        <w:rPr>
          <w:rFonts w:ascii="Times New Roman" w:eastAsia="Calibri" w:hAnsi="Times New Roman"/>
          <w:szCs w:val="22"/>
          <w:lang w:val="fr-FR" w:eastAsia="es-MX"/>
        </w:rPr>
        <w:tab/>
        <w:t>D’inviter les États membres qui ne sont pas encore devenus des États parties à envisager de signer ou de ratifier le Protocole additionnel à la Convention américaine relative aux droits de l’homme traitant des droits économiques, sociaux et culturels (Protocole de San Salvador), ou d’adhérer à cet instrument, selon le cas.</w:t>
      </w:r>
    </w:p>
    <w:p w14:paraId="1892B8C0" w14:textId="77777777" w:rsidR="00F723DA" w:rsidRPr="00623A2B" w:rsidRDefault="00F723DA" w:rsidP="00F723DA">
      <w:pPr>
        <w:autoSpaceDE w:val="0"/>
        <w:autoSpaceDN w:val="0"/>
        <w:adjustRightInd w:val="0"/>
        <w:rPr>
          <w:rFonts w:ascii="Times New Roman" w:eastAsia="Calibri" w:hAnsi="Times New Roman"/>
          <w:szCs w:val="22"/>
          <w:lang w:val="fr-FR" w:eastAsia="es-MX"/>
        </w:rPr>
      </w:pPr>
    </w:p>
    <w:p w14:paraId="4FC6696D" w14:textId="77777777" w:rsidR="00F723DA" w:rsidRPr="00623A2B" w:rsidRDefault="00F723DA" w:rsidP="00F723DA">
      <w:pPr>
        <w:suppressAutoHyphens/>
        <w:ind w:firstLine="706"/>
        <w:contextualSpacing/>
        <w:rPr>
          <w:rFonts w:ascii="Times New Roman" w:hAnsi="Times New Roman"/>
          <w:szCs w:val="22"/>
          <w:lang w:val="fr-FR"/>
        </w:rPr>
      </w:pPr>
      <w:r w:rsidRPr="00623A2B">
        <w:rPr>
          <w:rFonts w:ascii="Times New Roman" w:hAnsi="Times New Roman"/>
          <w:szCs w:val="22"/>
          <w:lang w:val="fr-FR"/>
        </w:rPr>
        <w:t>3.</w:t>
      </w:r>
      <w:r w:rsidRPr="00623A2B">
        <w:rPr>
          <w:rFonts w:ascii="Times New Roman" w:hAnsi="Times New Roman"/>
          <w:szCs w:val="22"/>
          <w:lang w:val="fr-FR"/>
        </w:rPr>
        <w:tab/>
        <w:t>D’exhorter le Groupe de travail chargé d’examiner les rapports nationaux évoqués dans le Protocole de San Salvador à continuer et à renforcer la formation et l’assistance technique fournies aux États parties au Protocole de San Salvador, lorsqu’ils en font la demande, dans le processus d’élaboration des rapports nationaux et dans le suivi de ses observations, et d’exhorter les États à échanger leurs bonnes pratiques en la matière et à envisager les propositions innovantes existantes au titre de l’application des recommandations sur le Protocole de San Salvador.</w:t>
      </w:r>
    </w:p>
    <w:p w14:paraId="09C765F9" w14:textId="77777777" w:rsidR="00F723DA" w:rsidRPr="00623A2B" w:rsidRDefault="00F723DA" w:rsidP="00F723DA">
      <w:pPr>
        <w:jc w:val="left"/>
        <w:rPr>
          <w:rFonts w:ascii="Times New Roman" w:hAnsi="Times New Roman"/>
          <w:szCs w:val="22"/>
          <w:lang w:val="fr-FR"/>
        </w:rPr>
      </w:pPr>
    </w:p>
    <w:p w14:paraId="419FC019" w14:textId="77777777" w:rsidR="00F723DA" w:rsidRPr="00623A2B" w:rsidRDefault="00F723DA" w:rsidP="00EE7518">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547"/>
        <w:contextualSpacing w:val="0"/>
        <w:jc w:val="left"/>
        <w:rPr>
          <w:rFonts w:ascii="Times New Roman" w:hAnsi="Times New Roman"/>
          <w:szCs w:val="22"/>
          <w:u w:val="single"/>
        </w:rPr>
      </w:pPr>
      <w:proofErr w:type="spellStart"/>
      <w:r w:rsidRPr="00623A2B">
        <w:rPr>
          <w:rFonts w:ascii="Times New Roman" w:hAnsi="Times New Roman"/>
          <w:szCs w:val="22"/>
          <w:u w:val="single"/>
        </w:rPr>
        <w:t>Droits</w:t>
      </w:r>
      <w:proofErr w:type="spellEnd"/>
      <w:r w:rsidRPr="00623A2B">
        <w:rPr>
          <w:rFonts w:ascii="Times New Roman" w:hAnsi="Times New Roman"/>
          <w:szCs w:val="22"/>
          <w:u w:val="single"/>
        </w:rPr>
        <w:t xml:space="preserve"> </w:t>
      </w:r>
      <w:proofErr w:type="spellStart"/>
      <w:r w:rsidRPr="00623A2B">
        <w:rPr>
          <w:rFonts w:ascii="Times New Roman" w:hAnsi="Times New Roman"/>
          <w:szCs w:val="22"/>
          <w:u w:val="single"/>
        </w:rPr>
        <w:t>humains</w:t>
      </w:r>
      <w:proofErr w:type="spellEnd"/>
      <w:r w:rsidRPr="00623A2B">
        <w:rPr>
          <w:rFonts w:ascii="Times New Roman" w:hAnsi="Times New Roman"/>
          <w:szCs w:val="22"/>
          <w:u w:val="single"/>
        </w:rPr>
        <w:t xml:space="preserve"> des </w:t>
      </w:r>
      <w:proofErr w:type="spellStart"/>
      <w:r w:rsidRPr="00623A2B">
        <w:rPr>
          <w:rFonts w:ascii="Times New Roman" w:hAnsi="Times New Roman"/>
          <w:szCs w:val="22"/>
          <w:u w:val="single"/>
        </w:rPr>
        <w:t>personnes</w:t>
      </w:r>
      <w:proofErr w:type="spellEnd"/>
      <w:r w:rsidRPr="00623A2B">
        <w:rPr>
          <w:rFonts w:ascii="Times New Roman" w:hAnsi="Times New Roman"/>
          <w:szCs w:val="22"/>
          <w:u w:val="single"/>
        </w:rPr>
        <w:t xml:space="preserve"> </w:t>
      </w:r>
      <w:proofErr w:type="spellStart"/>
      <w:r w:rsidRPr="00623A2B">
        <w:rPr>
          <w:rFonts w:ascii="Times New Roman" w:hAnsi="Times New Roman"/>
          <w:szCs w:val="22"/>
          <w:u w:val="single"/>
        </w:rPr>
        <w:t>âgées</w:t>
      </w:r>
      <w:proofErr w:type="spellEnd"/>
    </w:p>
    <w:p w14:paraId="2899533A" w14:textId="77777777" w:rsidR="00F723DA" w:rsidRPr="00623A2B" w:rsidRDefault="00F723DA" w:rsidP="00F723DA">
      <w:pPr>
        <w:rPr>
          <w:rFonts w:ascii="Times New Roman" w:hAnsi="Times New Roman"/>
          <w:szCs w:val="22"/>
          <w:lang w:val="fr-FR" w:eastAsia="es-MX"/>
        </w:rPr>
      </w:pPr>
    </w:p>
    <w:p w14:paraId="1D1AB13D" w14:textId="77777777" w:rsidR="00F723DA" w:rsidRPr="00623A2B" w:rsidRDefault="00F723DA" w:rsidP="00F723DA">
      <w:pPr>
        <w:ind w:firstLine="706"/>
        <w:rPr>
          <w:rFonts w:ascii="Times New Roman" w:eastAsia="Calibri" w:hAnsi="Times New Roman"/>
          <w:szCs w:val="22"/>
          <w:lang w:val="fr-FR"/>
        </w:rPr>
      </w:pPr>
      <w:r w:rsidRPr="00623A2B">
        <w:rPr>
          <w:rFonts w:ascii="Times New Roman" w:eastAsia="Calibri" w:hAnsi="Times New Roman"/>
          <w:szCs w:val="22"/>
          <w:lang w:val="fr-FR"/>
        </w:rPr>
        <w:t>PRÉOCCUPÉE par le fait que, dans le contexte de l'urgence sanitaire provoquée par la pandémie de COVID-19, les personnes âgées ont été particulièrement touchées et ont fait l’objet de discrimination en raison de leur âge en matière de prestation de services de santé, et reconnaissant que les personnes âgées ont le droit à la vie et à la dignité dans la vieillesse comme énoncé à l'article 6 de la Convention interaméricaine sur la protection des droits humains des personnes âgées, ainsi que le droit de jouir du plus haut niveau de bien-être physique, mental et social, sans aucun type de discrimination, comme établi à l'article 19 de cet instrument auquel huit États membres sont devenus des États parties,</w:t>
      </w:r>
    </w:p>
    <w:p w14:paraId="240E2A7B" w14:textId="77777777" w:rsidR="00F723DA" w:rsidRPr="00623A2B" w:rsidRDefault="00F723DA" w:rsidP="00F723DA">
      <w:pPr>
        <w:rPr>
          <w:rFonts w:ascii="Times New Roman" w:eastAsia="Calibri" w:hAnsi="Times New Roman"/>
          <w:szCs w:val="22"/>
          <w:lang w:val="fr-FR"/>
        </w:rPr>
      </w:pPr>
    </w:p>
    <w:p w14:paraId="4E8088CC" w14:textId="77777777" w:rsidR="00F723DA" w:rsidRPr="00623A2B" w:rsidRDefault="00F723DA" w:rsidP="00547C55">
      <w:pPr>
        <w:widowControl/>
        <w:ind w:firstLine="706"/>
        <w:rPr>
          <w:rFonts w:ascii="Times New Roman" w:hAnsi="Times New Roman"/>
          <w:szCs w:val="22"/>
          <w:lang w:val="fr-FR"/>
        </w:rPr>
      </w:pPr>
      <w:r w:rsidRPr="00623A2B">
        <w:rPr>
          <w:rFonts w:ascii="Times New Roman" w:eastAsia="Calibri" w:hAnsi="Times New Roman"/>
          <w:szCs w:val="22"/>
          <w:lang w:val="fr-FR"/>
        </w:rPr>
        <w:t xml:space="preserve">Que dans ce contexte, et compte tenu de notre engagement à travailler dans le cadre de la Décennie des Nations Unies pour le vieillissement en bonne santé (2021-2030), en lançant une action concertée, </w:t>
      </w:r>
      <w:proofErr w:type="spellStart"/>
      <w:r w:rsidRPr="00623A2B">
        <w:rPr>
          <w:rFonts w:ascii="Times New Roman" w:eastAsia="Calibri" w:hAnsi="Times New Roman"/>
          <w:szCs w:val="22"/>
          <w:lang w:val="fr-FR"/>
        </w:rPr>
        <w:t>catalysatrice</w:t>
      </w:r>
      <w:proofErr w:type="spellEnd"/>
      <w:r w:rsidRPr="00623A2B">
        <w:rPr>
          <w:rFonts w:ascii="Times New Roman" w:eastAsia="Calibri" w:hAnsi="Times New Roman"/>
          <w:szCs w:val="22"/>
          <w:lang w:val="fr-FR"/>
        </w:rPr>
        <w:t xml:space="preserve"> et collective entre les gouvernements, la société civile, les agences internationales, les institutions universitaires, les médias et le secteur privé afin d'améliorer la vie des personnes âgées, de leurs familles et des communautés vivant dans la région des Amériques, de même que les conséquences mises à jour par la pandémie de COVID-19,</w:t>
      </w:r>
    </w:p>
    <w:p w14:paraId="340CEB54" w14:textId="77777777" w:rsidR="00F723DA" w:rsidRPr="00623A2B" w:rsidRDefault="00F723DA" w:rsidP="00F723DA">
      <w:pPr>
        <w:rPr>
          <w:rFonts w:ascii="Times New Roman" w:eastAsia="Calibri" w:hAnsi="Times New Roman"/>
          <w:szCs w:val="22"/>
          <w:lang w:val="fr-FR"/>
        </w:rPr>
      </w:pPr>
    </w:p>
    <w:p w14:paraId="6EACBA99" w14:textId="77777777" w:rsidR="00F723DA" w:rsidRPr="00623A2B" w:rsidRDefault="00F723DA" w:rsidP="00F723DA">
      <w:pPr>
        <w:ind w:firstLine="706"/>
        <w:rPr>
          <w:rFonts w:ascii="Times New Roman" w:eastAsia="Calibri" w:hAnsi="Times New Roman"/>
          <w:szCs w:val="22"/>
          <w:lang w:val="fr-FR"/>
        </w:rPr>
      </w:pPr>
      <w:r w:rsidRPr="00623A2B">
        <w:rPr>
          <w:rFonts w:ascii="Times New Roman" w:eastAsia="Calibri" w:hAnsi="Times New Roman"/>
          <w:szCs w:val="22"/>
          <w:lang w:val="fr-FR"/>
        </w:rPr>
        <w:t>GARDANT À L'ESPRIT que la discrimination de genre, ainsi que d'autres formes de discrimination, aggravent l'impact de la pandémie actuelle et a donc des incidences négatives sur la vie des femmes âgées, augmente les risques d'exclusion et les expose à un risque plus élevé d'infection par la COVID-19,</w:t>
      </w:r>
    </w:p>
    <w:p w14:paraId="737F6B8D" w14:textId="77777777" w:rsidR="00F723DA" w:rsidRPr="00623A2B" w:rsidRDefault="00F723DA" w:rsidP="00F723DA">
      <w:pPr>
        <w:rPr>
          <w:rFonts w:ascii="Times New Roman" w:eastAsia="Calibri" w:hAnsi="Times New Roman"/>
          <w:szCs w:val="22"/>
          <w:lang w:val="fr-FR"/>
        </w:rPr>
      </w:pPr>
    </w:p>
    <w:p w14:paraId="7A4DF6AE" w14:textId="77777777" w:rsidR="00F723DA" w:rsidRPr="00623A2B" w:rsidRDefault="00F723DA" w:rsidP="00F723DA">
      <w:pPr>
        <w:rPr>
          <w:rFonts w:ascii="Times New Roman" w:eastAsia="Calibri" w:hAnsi="Times New Roman"/>
          <w:szCs w:val="22"/>
          <w:lang w:val="fr-FR"/>
        </w:rPr>
      </w:pPr>
      <w:r w:rsidRPr="00623A2B">
        <w:rPr>
          <w:rFonts w:ascii="Times New Roman" w:eastAsia="Calibri" w:hAnsi="Times New Roman"/>
          <w:szCs w:val="22"/>
          <w:lang w:val="fr-FR"/>
        </w:rPr>
        <w:lastRenderedPageBreak/>
        <w:t xml:space="preserve">DÉCIDE : </w:t>
      </w:r>
    </w:p>
    <w:p w14:paraId="1BFD7829" w14:textId="77777777" w:rsidR="00F723DA" w:rsidRPr="00623A2B" w:rsidRDefault="00F723DA" w:rsidP="00F723DA">
      <w:pPr>
        <w:rPr>
          <w:rFonts w:ascii="Times New Roman" w:eastAsia="Calibri" w:hAnsi="Times New Roman"/>
          <w:szCs w:val="22"/>
          <w:lang w:val="fr-FR" w:eastAsia="es-MX"/>
        </w:rPr>
      </w:pPr>
    </w:p>
    <w:p w14:paraId="65F7759D" w14:textId="77777777" w:rsidR="00F723DA" w:rsidRPr="00623A2B" w:rsidRDefault="00F723DA" w:rsidP="00F723DA">
      <w:pPr>
        <w:autoSpaceDE w:val="0"/>
        <w:autoSpaceDN w:val="0"/>
        <w:adjustRightInd w:val="0"/>
        <w:ind w:firstLine="706"/>
        <w:rPr>
          <w:rFonts w:ascii="Times New Roman" w:eastAsia="Calibri" w:hAnsi="Times New Roman"/>
          <w:szCs w:val="22"/>
          <w:lang w:val="fr-FR" w:eastAsia="es-MX"/>
        </w:rPr>
      </w:pPr>
      <w:r w:rsidRPr="00623A2B">
        <w:rPr>
          <w:rFonts w:ascii="Times New Roman" w:eastAsia="Calibri" w:hAnsi="Times New Roman"/>
          <w:szCs w:val="22"/>
          <w:lang w:val="fr-FR"/>
        </w:rPr>
        <w:t>1.</w:t>
      </w:r>
      <w:r w:rsidRPr="00623A2B">
        <w:rPr>
          <w:rFonts w:ascii="Times New Roman" w:eastAsia="Calibri" w:hAnsi="Times New Roman"/>
          <w:szCs w:val="22"/>
          <w:lang w:val="fr-FR"/>
        </w:rPr>
        <w:tab/>
      </w:r>
      <w:r w:rsidRPr="00623A2B">
        <w:rPr>
          <w:rFonts w:ascii="Times New Roman" w:hAnsi="Times New Roman"/>
          <w:szCs w:val="22"/>
          <w:lang w:val="fr-FR"/>
        </w:rPr>
        <w:t>D’encourager les États à réaliser les efforts nécessaires pour protéger les droits humains des personnes âgées compte tenu de la pandémie actuelle de COVID-19, qui a exacerbé leur situation de vulnérabilité constatée, notamment les abus physiques et psychologiques, l'isolement et les difficultés d'accès aux soins prioritaires.</w:t>
      </w:r>
    </w:p>
    <w:p w14:paraId="6167F521" w14:textId="77777777" w:rsidR="00F723DA" w:rsidRPr="00623A2B" w:rsidRDefault="00F723DA" w:rsidP="00F723DA">
      <w:pPr>
        <w:rPr>
          <w:rFonts w:ascii="Times New Roman" w:eastAsia="Calibri" w:hAnsi="Times New Roman"/>
          <w:szCs w:val="22"/>
          <w:lang w:val="fr-FR"/>
        </w:rPr>
      </w:pPr>
    </w:p>
    <w:p w14:paraId="6C33DECF" w14:textId="77777777" w:rsidR="00F723DA" w:rsidRPr="00623A2B" w:rsidRDefault="00F723DA" w:rsidP="00F723DA">
      <w:pPr>
        <w:ind w:firstLine="706"/>
        <w:rPr>
          <w:rFonts w:ascii="Times New Roman" w:eastAsia="Calibri" w:hAnsi="Times New Roman"/>
          <w:szCs w:val="22"/>
          <w:lang w:val="fr-FR"/>
        </w:rPr>
      </w:pPr>
      <w:r w:rsidRPr="00623A2B">
        <w:rPr>
          <w:rFonts w:ascii="Times New Roman" w:eastAsia="Calibri" w:hAnsi="Times New Roman"/>
          <w:szCs w:val="22"/>
          <w:lang w:val="fr-FR"/>
        </w:rPr>
        <w:t>2.</w:t>
      </w:r>
      <w:r w:rsidRPr="00623A2B">
        <w:rPr>
          <w:rFonts w:ascii="Times New Roman" w:eastAsia="Calibri" w:hAnsi="Times New Roman"/>
          <w:szCs w:val="22"/>
          <w:lang w:val="fr-FR"/>
        </w:rPr>
        <w:tab/>
        <w:t>D’inviter instamment les États membres, en utilisant une approche fondée sur les droits de la personne et le genre, à donner la priorité aux personnes âgées et à les prendre en compte dans les efforts de santé publique visant à prévenir ou contrer la COVID-19, y compris des plans de vaccination, tout en leur fournissant des informations adéquates et précises à leur sujet.</w:t>
      </w:r>
    </w:p>
    <w:p w14:paraId="1CF793A7" w14:textId="77777777" w:rsidR="00F723DA" w:rsidRPr="00623A2B" w:rsidRDefault="00F723DA" w:rsidP="00F723DA">
      <w:pPr>
        <w:rPr>
          <w:rFonts w:ascii="Times New Roman" w:eastAsia="Calibri" w:hAnsi="Times New Roman"/>
          <w:szCs w:val="22"/>
          <w:lang w:val="fr-FR" w:eastAsia="es-MX"/>
        </w:rPr>
      </w:pPr>
    </w:p>
    <w:p w14:paraId="60E8293C" w14:textId="77777777" w:rsidR="00F723DA" w:rsidRPr="00623A2B" w:rsidRDefault="00F723DA" w:rsidP="00F723DA">
      <w:pPr>
        <w:ind w:firstLine="706"/>
        <w:rPr>
          <w:rFonts w:ascii="Times New Roman" w:eastAsia="Calibri" w:hAnsi="Times New Roman"/>
          <w:szCs w:val="22"/>
          <w:lang w:val="fr-FR"/>
        </w:rPr>
      </w:pPr>
      <w:r w:rsidRPr="00623A2B">
        <w:rPr>
          <w:rFonts w:ascii="Times New Roman" w:eastAsia="Calibri" w:hAnsi="Times New Roman"/>
          <w:szCs w:val="22"/>
          <w:lang w:val="fr-FR"/>
        </w:rPr>
        <w:t>3.</w:t>
      </w:r>
      <w:r w:rsidRPr="00623A2B">
        <w:rPr>
          <w:rFonts w:ascii="Times New Roman" w:eastAsia="Calibri" w:hAnsi="Times New Roman"/>
          <w:szCs w:val="22"/>
          <w:lang w:val="fr-FR"/>
        </w:rPr>
        <w:tab/>
        <w:t>D’encourager les États membres à garantir des soins préférentiels et l'accès universel, équitable et opportun à des services complets de santé de qualité, fondés sur les soins primaires, en particulier ceux qui s’adressent aux personnes âgées en situation de vulnérabilité.</w:t>
      </w:r>
    </w:p>
    <w:p w14:paraId="4582CC25" w14:textId="77777777" w:rsidR="00F723DA" w:rsidRPr="00623A2B" w:rsidRDefault="00F723DA" w:rsidP="00F723DA">
      <w:pPr>
        <w:rPr>
          <w:rFonts w:ascii="Times New Roman" w:eastAsia="Calibri" w:hAnsi="Times New Roman"/>
          <w:szCs w:val="22"/>
          <w:lang w:val="fr-FR" w:eastAsia="es-MX"/>
        </w:rPr>
      </w:pPr>
    </w:p>
    <w:p w14:paraId="45DE901E" w14:textId="77777777" w:rsidR="00F723DA" w:rsidRPr="00623A2B" w:rsidRDefault="00F723DA" w:rsidP="00F723DA">
      <w:pPr>
        <w:autoSpaceDE w:val="0"/>
        <w:autoSpaceDN w:val="0"/>
        <w:adjustRightInd w:val="0"/>
        <w:ind w:firstLine="706"/>
        <w:rPr>
          <w:rFonts w:ascii="Times New Roman" w:hAnsi="Times New Roman"/>
          <w:b/>
          <w:bCs/>
          <w:szCs w:val="22"/>
          <w:lang w:val="fr-FR"/>
        </w:rPr>
      </w:pPr>
      <w:r w:rsidRPr="00623A2B">
        <w:rPr>
          <w:rFonts w:ascii="Times New Roman" w:eastAsia="Calibri" w:hAnsi="Times New Roman"/>
          <w:szCs w:val="22"/>
          <w:lang w:val="fr-FR" w:eastAsia="es-MX"/>
        </w:rPr>
        <w:t>4.</w:t>
      </w:r>
      <w:r w:rsidRPr="00623A2B">
        <w:rPr>
          <w:rFonts w:ascii="Times New Roman" w:eastAsia="Calibri" w:hAnsi="Times New Roman"/>
          <w:szCs w:val="22"/>
          <w:lang w:val="fr-FR" w:eastAsia="es-MX"/>
        </w:rPr>
        <w:tab/>
        <w:t>D’exhorter les États membres qui ne l’ont pas encore fait à envisager de signer ou de ratifier la Convention interaméricaine sur la protection des droits humains des personnes âgées, ou d’y adhérer</w:t>
      </w:r>
      <w:r w:rsidRPr="00623A2B">
        <w:rPr>
          <w:rFonts w:ascii="Times New Roman" w:eastAsia="Calibri" w:hAnsi="Times New Roman"/>
          <w:b/>
          <w:bCs/>
          <w:szCs w:val="22"/>
          <w:lang w:val="fr-FR" w:eastAsia="es-MX"/>
        </w:rPr>
        <w:t>,</w:t>
      </w:r>
      <w:r w:rsidRPr="00623A2B">
        <w:rPr>
          <w:rFonts w:ascii="Times New Roman" w:eastAsia="Calibri" w:hAnsi="Times New Roman"/>
          <w:szCs w:val="22"/>
          <w:lang w:val="fr-FR" w:eastAsia="es-MX"/>
        </w:rPr>
        <w:t xml:space="preserve"> selon le cas, sachant que la mise en fonctionnement du Comité d'experts requiert 10 États parties.</w:t>
      </w:r>
    </w:p>
    <w:p w14:paraId="064B9F3A" w14:textId="77777777" w:rsidR="00F723DA" w:rsidRPr="00623A2B" w:rsidRDefault="00F723DA" w:rsidP="00F723DA">
      <w:pPr>
        <w:rPr>
          <w:rFonts w:ascii="Times New Roman" w:hAnsi="Times New Roman"/>
          <w:szCs w:val="22"/>
          <w:lang w:val="fr-FR"/>
        </w:rPr>
      </w:pPr>
    </w:p>
    <w:p w14:paraId="1E281CC2" w14:textId="77777777" w:rsidR="00F723DA" w:rsidRPr="00623A2B" w:rsidRDefault="00F723DA" w:rsidP="00EE7518">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547"/>
        <w:contextualSpacing w:val="0"/>
        <w:jc w:val="left"/>
        <w:rPr>
          <w:rFonts w:ascii="Times New Roman" w:hAnsi="Times New Roman"/>
          <w:szCs w:val="22"/>
          <w:u w:val="single"/>
          <w:lang w:val="fr-FR"/>
        </w:rPr>
      </w:pPr>
      <w:r w:rsidRPr="00623A2B">
        <w:rPr>
          <w:rFonts w:ascii="Times New Roman" w:hAnsi="Times New Roman"/>
          <w:szCs w:val="22"/>
          <w:u w:val="single"/>
          <w:lang w:val="fr-FR"/>
        </w:rPr>
        <w:t>Élimination de l’apatridie dans les Amériques</w:t>
      </w:r>
    </w:p>
    <w:p w14:paraId="03E40A28" w14:textId="77777777" w:rsidR="00F723DA" w:rsidRPr="00623A2B" w:rsidRDefault="00F723DA" w:rsidP="00F723DA">
      <w:pPr>
        <w:pStyle w:val="Default"/>
        <w:jc w:val="both"/>
        <w:rPr>
          <w:rFonts w:eastAsia="Arial Unicode MS"/>
          <w:color w:val="auto"/>
          <w:sz w:val="22"/>
          <w:szCs w:val="22"/>
          <w:lang w:val="fr-FR"/>
        </w:rPr>
      </w:pPr>
    </w:p>
    <w:p w14:paraId="5E66658A" w14:textId="77777777" w:rsidR="00F723DA" w:rsidRPr="00623A2B" w:rsidRDefault="00F723DA" w:rsidP="00F723DA">
      <w:pPr>
        <w:autoSpaceDE w:val="0"/>
        <w:autoSpaceDN w:val="0"/>
        <w:adjustRightInd w:val="0"/>
        <w:ind w:firstLine="706"/>
        <w:rPr>
          <w:rFonts w:ascii="Times New Roman" w:eastAsia="Arial Unicode MS" w:hAnsi="Times New Roman"/>
          <w:szCs w:val="22"/>
          <w:lang w:val="fr-FR" w:eastAsia="es-MX"/>
        </w:rPr>
      </w:pPr>
      <w:r w:rsidRPr="00623A2B">
        <w:rPr>
          <w:rFonts w:ascii="Times New Roman" w:eastAsia="Calibri" w:hAnsi="Times New Roman"/>
          <w:szCs w:val="22"/>
          <w:lang w:val="fr-FR" w:eastAsia="es-MX"/>
        </w:rPr>
        <w:t>TENANT COMPTE de l'universalité du droit de toute personne à une nationalité, établi dans l'article 15 de la Déclaration universelle des droits de l'homme et dans divers instruments internationaux, et en particulier</w:t>
      </w:r>
      <w:r w:rsidRPr="00623A2B">
        <w:rPr>
          <w:rFonts w:ascii="Times New Roman" w:eastAsia="Calibri" w:hAnsi="Times New Roman"/>
          <w:b/>
          <w:bCs/>
          <w:szCs w:val="22"/>
          <w:lang w:val="fr-FR" w:eastAsia="es-MX"/>
        </w:rPr>
        <w:t xml:space="preserve"> </w:t>
      </w:r>
      <w:r w:rsidRPr="00623A2B">
        <w:rPr>
          <w:rFonts w:ascii="Times New Roman" w:eastAsia="Calibri" w:hAnsi="Times New Roman"/>
          <w:szCs w:val="22"/>
          <w:lang w:val="fr-FR" w:eastAsia="es-MX"/>
        </w:rPr>
        <w:t>de la reconnaissance de ce droit dans le continent américain aux termes de l'article XIX de la Déclaration américaine des droits et devoirs de l'homme et de l'article 20 de la Convention américaine relative aux droits de l'homme, et du fait que l'apatridie est un grave problème humanitaire, exacerbé par les effets de la crise sanitaire et qui</w:t>
      </w:r>
      <w:r w:rsidRPr="00623A2B">
        <w:rPr>
          <w:rFonts w:ascii="Times New Roman" w:eastAsia="Calibri" w:hAnsi="Times New Roman"/>
          <w:b/>
          <w:bCs/>
          <w:szCs w:val="22"/>
          <w:lang w:val="fr-FR" w:eastAsia="es-MX"/>
        </w:rPr>
        <w:t xml:space="preserve"> </w:t>
      </w:r>
      <w:r w:rsidRPr="00623A2B">
        <w:rPr>
          <w:rFonts w:ascii="Times New Roman" w:eastAsia="Calibri" w:hAnsi="Times New Roman"/>
          <w:szCs w:val="22"/>
          <w:lang w:val="fr-FR" w:eastAsia="es-MX"/>
        </w:rPr>
        <w:t>doit être éliminé,</w:t>
      </w:r>
    </w:p>
    <w:p w14:paraId="19524424" w14:textId="77777777" w:rsidR="00F723DA" w:rsidRPr="00623A2B" w:rsidRDefault="00F723DA" w:rsidP="00F723DA">
      <w:pPr>
        <w:autoSpaceDE w:val="0"/>
        <w:autoSpaceDN w:val="0"/>
        <w:adjustRightInd w:val="0"/>
        <w:rPr>
          <w:rFonts w:ascii="Times New Roman" w:eastAsia="Arial Unicode MS" w:hAnsi="Times New Roman"/>
          <w:szCs w:val="22"/>
          <w:lang w:val="fr-FR" w:eastAsia="es-MX"/>
        </w:rPr>
      </w:pPr>
    </w:p>
    <w:p w14:paraId="040CC6DD" w14:textId="77777777" w:rsidR="00F723DA" w:rsidRPr="00623A2B" w:rsidRDefault="00F723DA" w:rsidP="00F723DA">
      <w:pPr>
        <w:autoSpaceDE w:val="0"/>
        <w:autoSpaceDN w:val="0"/>
        <w:adjustRightInd w:val="0"/>
        <w:ind w:firstLine="706"/>
        <w:rPr>
          <w:rFonts w:ascii="Times New Roman" w:eastAsia="Arial Unicode MS" w:hAnsi="Times New Roman"/>
          <w:szCs w:val="22"/>
          <w:lang w:val="fr-FR" w:eastAsia="es-MX"/>
        </w:rPr>
      </w:pPr>
      <w:r w:rsidRPr="00623A2B">
        <w:rPr>
          <w:rFonts w:ascii="Times New Roman" w:eastAsia="Calibri" w:hAnsi="Times New Roman"/>
          <w:szCs w:val="22"/>
          <w:lang w:val="fr-FR" w:eastAsia="es-MX"/>
        </w:rPr>
        <w:t>SOULIGNANT l'importance du Plan d’action global visant à mettre fin à l’apatridie (2014-2024) et de l'engagement réaffirmé par les États de la région dans la Déclaration et le Plan d'action du Brésil de 2014 pour l'élimination de l'apatridie à l’horizon 2024, ainsi que les engagements adoptés dans le cadre du débat de haut niveau sur l'apatridie et du Forum mondial sur les réfugiés en 2019, de même que les importants progrès réalisés récemment dans la région en la matière, notamment l'adoption de cadres de protection des apatrides et la mise en place de procédures de détermination de l'apatridie dans 8 pays, l'adhésion de 12 pays à l'une ou aux deux conventions des Nations Unies sur l'apatridie, l'adoption de cadres juridiques et institutionnels facilitant la naturalisation des apatrides dans 6 pays ou l'élimination de la discrimination sexiste dans les lois sur la nationalité, entre autres avancées,</w:t>
      </w:r>
    </w:p>
    <w:p w14:paraId="7935BF15" w14:textId="77777777" w:rsidR="00F723DA" w:rsidRPr="00623A2B" w:rsidRDefault="00F723DA" w:rsidP="00F723DA">
      <w:pPr>
        <w:autoSpaceDE w:val="0"/>
        <w:autoSpaceDN w:val="0"/>
        <w:adjustRightInd w:val="0"/>
        <w:rPr>
          <w:rFonts w:ascii="Times New Roman" w:eastAsia="Arial Unicode MS" w:hAnsi="Times New Roman"/>
          <w:szCs w:val="22"/>
          <w:lang w:val="fr-FR" w:eastAsia="es-MX"/>
        </w:rPr>
      </w:pPr>
    </w:p>
    <w:p w14:paraId="1DF08EAE" w14:textId="06247476" w:rsidR="00F723DA" w:rsidRPr="00623A2B" w:rsidRDefault="00F723DA" w:rsidP="00F723DA">
      <w:pPr>
        <w:autoSpaceDE w:val="0"/>
        <w:autoSpaceDN w:val="0"/>
        <w:adjustRightInd w:val="0"/>
        <w:rPr>
          <w:rFonts w:ascii="Times New Roman" w:eastAsia="Arial Unicode MS" w:hAnsi="Times New Roman"/>
          <w:szCs w:val="22"/>
          <w:lang w:val="fr-FR" w:eastAsia="es-MX"/>
        </w:rPr>
      </w:pPr>
      <w:r w:rsidRPr="00623A2B">
        <w:rPr>
          <w:rFonts w:ascii="Times New Roman" w:eastAsia="Calibri" w:hAnsi="Times New Roman"/>
          <w:szCs w:val="22"/>
          <w:lang w:val="fr-FR" w:eastAsia="es-MX"/>
        </w:rPr>
        <w:t>DÉCIDE :</w:t>
      </w:r>
    </w:p>
    <w:p w14:paraId="309E5B0A" w14:textId="77777777" w:rsidR="00F723DA" w:rsidRPr="00623A2B" w:rsidRDefault="00F723DA" w:rsidP="00F723DA">
      <w:pPr>
        <w:autoSpaceDE w:val="0"/>
        <w:autoSpaceDN w:val="0"/>
        <w:adjustRightInd w:val="0"/>
        <w:rPr>
          <w:rFonts w:ascii="Times New Roman" w:eastAsia="Arial Unicode MS" w:hAnsi="Times New Roman"/>
          <w:szCs w:val="22"/>
          <w:lang w:val="fr-FR" w:eastAsia="es-MX"/>
        </w:rPr>
      </w:pPr>
    </w:p>
    <w:p w14:paraId="46176074" w14:textId="77777777" w:rsidR="00F723DA" w:rsidRPr="00623A2B" w:rsidRDefault="00F723DA" w:rsidP="00EE7518">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851"/>
        <w:rPr>
          <w:rFonts w:ascii="Times New Roman" w:eastAsia="Arial Unicode MS" w:hAnsi="Times New Roman"/>
          <w:szCs w:val="22"/>
          <w:lang w:val="fr-FR" w:eastAsia="es-MX"/>
        </w:rPr>
      </w:pPr>
      <w:r w:rsidRPr="00623A2B">
        <w:rPr>
          <w:rFonts w:ascii="Times New Roman" w:eastAsia="Calibri" w:hAnsi="Times New Roman"/>
          <w:szCs w:val="22"/>
          <w:lang w:val="fr-FR" w:eastAsia="es-MX"/>
        </w:rPr>
        <w:t>De réaffirmer l’engagement pris par les États membres en faveur de la prévention et de l’élimination de l’apatridie dans les Amériques et d’inviter les États membres à continuer leurs avancées liées aux interventions et stratégies du Plan d’action global visant à mettre fin à l’apatridie (2014-2024) et du Plan d’action du Brésil de 2014.</w:t>
      </w:r>
    </w:p>
    <w:p w14:paraId="09DC2978" w14:textId="77777777" w:rsidR="00F723DA" w:rsidRPr="00623A2B" w:rsidRDefault="00F723DA" w:rsidP="00F723DA">
      <w:pPr>
        <w:autoSpaceDE w:val="0"/>
        <w:autoSpaceDN w:val="0"/>
        <w:adjustRightInd w:val="0"/>
        <w:rPr>
          <w:rFonts w:ascii="Times New Roman" w:eastAsia="Arial Unicode MS" w:hAnsi="Times New Roman"/>
          <w:szCs w:val="22"/>
          <w:lang w:val="fr-FR" w:eastAsia="es-MX"/>
        </w:rPr>
      </w:pPr>
    </w:p>
    <w:p w14:paraId="5E2FA693" w14:textId="77777777" w:rsidR="00F723DA" w:rsidRPr="00623A2B" w:rsidRDefault="00F723DA" w:rsidP="00EE7518">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851"/>
        <w:rPr>
          <w:rFonts w:ascii="Times New Roman" w:eastAsia="Calibri" w:hAnsi="Times New Roman"/>
          <w:szCs w:val="22"/>
          <w:lang w:val="fr-FR" w:eastAsia="es-MX"/>
        </w:rPr>
      </w:pPr>
      <w:r w:rsidRPr="00623A2B">
        <w:rPr>
          <w:rFonts w:ascii="Times New Roman" w:eastAsia="Calibri" w:hAnsi="Times New Roman"/>
          <w:szCs w:val="22"/>
          <w:lang w:val="fr-FR" w:eastAsia="es-MX"/>
        </w:rPr>
        <w:lastRenderedPageBreak/>
        <w:t>D’inviter les États membres qui ne l'ont pas encore fait à envisager de ratifier les conventions des Nations Unies sur l'apatridie ou d'y adhérer, notamment lors de la cérémonie de commémoration de la Convention sur la réduction des cas d'apatridie qui s’est tenue en marge de l'Assemblée générale des Nations Unies en septembre 2021, et, simultanément, à adopter ou modifier leur législation nationale, le cas échéant, afin d'établir des procédures justes, efficaces et opportunes pour déterminer le statut d'apatride et de prévoir des facilités pour la naturalisation des apatrides conformément à leurs obligations au titre du droit international.</w:t>
      </w:r>
    </w:p>
    <w:p w14:paraId="65164844" w14:textId="77777777" w:rsidR="00F723DA" w:rsidRPr="00623A2B" w:rsidRDefault="00F723DA" w:rsidP="00F723DA">
      <w:pPr>
        <w:rPr>
          <w:rFonts w:ascii="Times New Roman" w:eastAsia="Arial Unicode MS" w:hAnsi="Times New Roman"/>
          <w:szCs w:val="22"/>
          <w:lang w:val="fr-FR"/>
        </w:rPr>
      </w:pPr>
    </w:p>
    <w:p w14:paraId="22DF4401" w14:textId="77777777" w:rsidR="00F723DA" w:rsidRPr="00623A2B" w:rsidRDefault="00F723DA" w:rsidP="00EE7518">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Calibri" w:hAnsi="Times New Roman"/>
          <w:szCs w:val="22"/>
          <w:lang w:val="fr-FR" w:eastAsia="es-MX"/>
        </w:rPr>
      </w:pPr>
      <w:r w:rsidRPr="00623A2B">
        <w:rPr>
          <w:rFonts w:ascii="Times New Roman" w:eastAsia="Calibri" w:hAnsi="Times New Roman"/>
          <w:szCs w:val="22"/>
          <w:lang w:val="fr-FR" w:eastAsia="es-MX"/>
        </w:rPr>
        <w:t>D’exhorter les États membres qui ne l'ont pas encore fait à éliminer la discrimination sexiste ou d’autre nature dans les lois sur la nationalité afin d’éliminer les pratiques discriminatoires et xénophobes contre les apatrides, à élaborer des garanties appropriées pour prévenir les cas d'apatridie, en particulier dans le cas des enfants, des adolescents et des groupes en situation de vulnérabilité, à promouvoir l'enregistrement universel des naissances en accroissant les efforts pour l’enregistrement des naissances survenues dans les zones frontalières, les territoires autochtones et les zones rurales d’accès difficile, à améliorer les données sur les populations apatrides et à résoudre les cas d'apatridie existants dans des délais raisonnables conformément à leurs engagements et obligations respectifs souscrits au niveau international en matière de droits, en particulier dans les situations découlant du déni et de la privation arbitraire de la nationalité.</w:t>
      </w:r>
    </w:p>
    <w:p w14:paraId="6A409208" w14:textId="77777777" w:rsidR="00F723DA" w:rsidRPr="00623A2B" w:rsidRDefault="00F723DA" w:rsidP="00F723DA">
      <w:pPr>
        <w:tabs>
          <w:tab w:val="center" w:pos="2880"/>
        </w:tabs>
        <w:ind w:right="-1289"/>
        <w:rPr>
          <w:rFonts w:ascii="Times New Roman" w:hAnsi="Times New Roman"/>
          <w:szCs w:val="22"/>
          <w:lang w:val="fr-FR"/>
        </w:rPr>
      </w:pPr>
    </w:p>
    <w:p w14:paraId="4A2F3B89" w14:textId="77777777" w:rsidR="00F723DA" w:rsidRPr="00623A2B" w:rsidRDefault="00F723DA" w:rsidP="00EE7518">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464"/>
        <w:contextualSpacing w:val="0"/>
        <w:jc w:val="left"/>
        <w:rPr>
          <w:rFonts w:ascii="Times New Roman" w:hAnsi="Times New Roman"/>
          <w:szCs w:val="22"/>
          <w:u w:val="single"/>
          <w:lang w:val="fr-FR"/>
        </w:rPr>
      </w:pPr>
      <w:r w:rsidRPr="00623A2B">
        <w:rPr>
          <w:rFonts w:ascii="Times New Roman" w:hAnsi="Times New Roman"/>
          <w:szCs w:val="22"/>
          <w:u w:val="single"/>
          <w:lang w:val="fr-FR"/>
        </w:rPr>
        <w:t>Situation des personnes d'ascendance africaine dans les Amériques et racisme</w:t>
      </w:r>
    </w:p>
    <w:p w14:paraId="110BCF90" w14:textId="77777777" w:rsidR="00F723DA" w:rsidRPr="00623A2B" w:rsidRDefault="00F723DA" w:rsidP="00F723DA">
      <w:pPr>
        <w:rPr>
          <w:rFonts w:ascii="Times New Roman" w:hAnsi="Times New Roman"/>
          <w:szCs w:val="22"/>
          <w:lang w:val="fr-FR"/>
        </w:rPr>
      </w:pPr>
    </w:p>
    <w:p w14:paraId="0D268428" w14:textId="77777777" w:rsidR="00F723DA" w:rsidRPr="00623A2B" w:rsidRDefault="00F723DA" w:rsidP="00F723DA">
      <w:pPr>
        <w:ind w:firstLine="720"/>
        <w:rPr>
          <w:rFonts w:ascii="Times New Roman" w:eastAsia="Calibri" w:hAnsi="Times New Roman"/>
          <w:szCs w:val="22"/>
          <w:lang w:val="fr-FR"/>
        </w:rPr>
      </w:pPr>
      <w:r w:rsidRPr="00623A2B">
        <w:rPr>
          <w:rFonts w:ascii="Times New Roman" w:eastAsia="Calibri" w:hAnsi="Times New Roman"/>
          <w:szCs w:val="22"/>
          <w:lang w:val="fr-FR"/>
        </w:rPr>
        <w:t xml:space="preserve">CONSIDÉRANT la résolution 75/314 portant création de l’Instance permanente pour les personnes d’ascendance africaine, de même que </w:t>
      </w:r>
      <w:proofErr w:type="gramStart"/>
      <w:r w:rsidRPr="00623A2B">
        <w:rPr>
          <w:rFonts w:ascii="Times New Roman" w:eastAsia="Calibri" w:hAnsi="Times New Roman"/>
          <w:szCs w:val="22"/>
          <w:lang w:val="fr-FR"/>
        </w:rPr>
        <w:t>la section ix</w:t>
      </w:r>
      <w:proofErr w:type="gramEnd"/>
      <w:r w:rsidRPr="00623A2B">
        <w:rPr>
          <w:rFonts w:ascii="Times New Roman" w:eastAsia="Calibri" w:hAnsi="Times New Roman"/>
          <w:szCs w:val="22"/>
          <w:lang w:val="fr-FR"/>
        </w:rPr>
        <w:t>., « Promotion de la Convention interaméricaine contre le racisme, la discrimination raciale et les formes connexes d’intolérance et de la lutte contre toutes les formes de discrimination » et la section xii., « Situation des personnes d’ascendance africaine dans le continent américain et racisme » de la résolution AG/RES. 2961 (L-O/20), « Promotion et protection des droits de la personne », la Convention interaméricaine contre le racisme, la discrimination raciale et les formes connexes d'intolérance, la Convention interaméricaine contre toutes les formes de discrimination et d'intolérance, la résolution AG/RES. 2824 (XLIV-O/14) concernant la Décennie internationale des personnes d’ascendance africaine, la résolution AG/RES. 2891 (XLVI-O/16) concernant le Plan d'action pour la Décennie des personnes d'ascendance africaine dans les Amériques (2016-2025), la résolution CP/RES. 1093 (2144/18) concernant la Semaine interaméricaine des personnes d'ascendance africaine, l’Engagement de San José, adopté le 18 octobre 2019 et les affirmations de la Commission interaméricaine des droits de l'homme et du Réseau interaméricain des hauts fonctionnaires chargés des politiques visant les populations d'ascendance africaine (RIAFRO) sur les impacts disproportionnés et différenciés que la population d'ascendance africaine a subis en raison de la pandémie de COVID-19,</w:t>
      </w:r>
    </w:p>
    <w:p w14:paraId="19A8B8E4" w14:textId="77777777" w:rsidR="00F723DA" w:rsidRPr="00623A2B" w:rsidRDefault="00F723DA" w:rsidP="00F723DA">
      <w:pPr>
        <w:rPr>
          <w:rFonts w:ascii="Times New Roman" w:eastAsia="Calibri" w:hAnsi="Times New Roman"/>
          <w:szCs w:val="22"/>
          <w:lang w:val="fr-FR"/>
        </w:rPr>
      </w:pPr>
    </w:p>
    <w:p w14:paraId="78C9CBCE" w14:textId="77777777" w:rsidR="00F723DA" w:rsidRPr="00623A2B" w:rsidRDefault="00F723DA" w:rsidP="00F723DA">
      <w:pPr>
        <w:rPr>
          <w:rFonts w:ascii="Times New Roman" w:eastAsia="Calibri" w:hAnsi="Times New Roman"/>
          <w:szCs w:val="22"/>
          <w:lang w:val="fr-FR"/>
        </w:rPr>
      </w:pPr>
      <w:r w:rsidRPr="00623A2B">
        <w:rPr>
          <w:rFonts w:ascii="Times New Roman" w:eastAsia="Calibri" w:hAnsi="Times New Roman"/>
          <w:szCs w:val="22"/>
          <w:lang w:val="fr-FR"/>
        </w:rPr>
        <w:tab/>
        <w:t>PRENANT EN COMPTE que l’année 2021 correspond à la célébration du 20</w:t>
      </w:r>
      <w:r w:rsidRPr="00623A2B">
        <w:rPr>
          <w:rFonts w:ascii="Times New Roman" w:eastAsia="Calibri" w:hAnsi="Times New Roman"/>
          <w:szCs w:val="22"/>
          <w:vertAlign w:val="superscript"/>
          <w:lang w:val="fr-FR"/>
        </w:rPr>
        <w:t>e</w:t>
      </w:r>
      <w:r w:rsidRPr="00623A2B">
        <w:rPr>
          <w:rFonts w:ascii="Times New Roman" w:eastAsia="Calibri" w:hAnsi="Times New Roman"/>
          <w:szCs w:val="22"/>
          <w:lang w:val="fr-FR"/>
        </w:rPr>
        <w:t xml:space="preserve"> anniversaire de l’adoption de la Déclaration et du Programme d’action de Durban,</w:t>
      </w:r>
    </w:p>
    <w:p w14:paraId="709C9AE3" w14:textId="77777777" w:rsidR="00F723DA" w:rsidRPr="00623A2B" w:rsidRDefault="00F723DA" w:rsidP="00F723DA">
      <w:pPr>
        <w:rPr>
          <w:rFonts w:ascii="Times New Roman" w:eastAsia="Calibri" w:hAnsi="Times New Roman"/>
          <w:szCs w:val="22"/>
          <w:lang w:val="fr-FR"/>
        </w:rPr>
      </w:pPr>
    </w:p>
    <w:p w14:paraId="42EEFCD0" w14:textId="77777777" w:rsidR="00F723DA" w:rsidRPr="00623A2B" w:rsidRDefault="00F723DA" w:rsidP="00F723DA">
      <w:pPr>
        <w:rPr>
          <w:rFonts w:ascii="Times New Roman" w:eastAsia="Calibri" w:hAnsi="Times New Roman"/>
          <w:szCs w:val="22"/>
          <w:lang w:val="fr-FR"/>
        </w:rPr>
      </w:pPr>
      <w:r w:rsidRPr="00623A2B">
        <w:rPr>
          <w:rFonts w:ascii="Times New Roman" w:eastAsia="Calibri" w:hAnsi="Times New Roman"/>
          <w:szCs w:val="22"/>
          <w:lang w:val="fr-FR"/>
        </w:rPr>
        <w:t>DÉCIDE :</w:t>
      </w:r>
    </w:p>
    <w:p w14:paraId="65658543" w14:textId="77777777" w:rsidR="00F723DA" w:rsidRPr="00623A2B" w:rsidRDefault="00F723DA" w:rsidP="00F723DA">
      <w:pPr>
        <w:rPr>
          <w:rFonts w:ascii="Times New Roman" w:eastAsia="Calibri" w:hAnsi="Times New Roman"/>
          <w:szCs w:val="22"/>
          <w:lang w:val="fr-FR"/>
        </w:rPr>
      </w:pPr>
    </w:p>
    <w:p w14:paraId="02B6430B" w14:textId="77777777" w:rsidR="00F723DA" w:rsidRPr="00623A2B" w:rsidRDefault="00F723DA" w:rsidP="00F723DA">
      <w:pPr>
        <w:ind w:firstLine="720"/>
        <w:rPr>
          <w:rFonts w:ascii="Times New Roman" w:eastAsia="Calibri" w:hAnsi="Times New Roman"/>
          <w:b/>
          <w:bCs/>
          <w:szCs w:val="22"/>
          <w:lang w:val="fr-FR"/>
        </w:rPr>
      </w:pPr>
      <w:r w:rsidRPr="00623A2B">
        <w:rPr>
          <w:rFonts w:ascii="Times New Roman" w:eastAsia="Calibri" w:hAnsi="Times New Roman"/>
          <w:szCs w:val="22"/>
          <w:lang w:val="fr-FR"/>
        </w:rPr>
        <w:t>1.</w:t>
      </w:r>
      <w:r w:rsidRPr="00623A2B">
        <w:rPr>
          <w:rFonts w:ascii="Times New Roman" w:eastAsia="Calibri" w:hAnsi="Times New Roman"/>
          <w:szCs w:val="22"/>
          <w:lang w:val="fr-FR"/>
        </w:rPr>
        <w:tab/>
        <w:t>D’inviter instamment les États membres à améliorer la collecte et le traitement des données statistiques désagrégées, en intégrant la perspective de genre, de l’âge</w:t>
      </w:r>
      <w:r w:rsidRPr="00623A2B">
        <w:rPr>
          <w:rFonts w:ascii="Times New Roman" w:eastAsia="Calibri" w:hAnsi="Times New Roman"/>
          <w:b/>
          <w:bCs/>
          <w:szCs w:val="22"/>
          <w:lang w:val="fr-FR"/>
        </w:rPr>
        <w:t xml:space="preserve"> </w:t>
      </w:r>
      <w:r w:rsidRPr="00623A2B">
        <w:rPr>
          <w:rFonts w:ascii="Times New Roman" w:eastAsia="Calibri" w:hAnsi="Times New Roman"/>
          <w:szCs w:val="22"/>
          <w:lang w:val="fr-FR"/>
        </w:rPr>
        <w:t>et la dimension d'intersectionnalité</w:t>
      </w:r>
      <w:r w:rsidRPr="00623A2B">
        <w:rPr>
          <w:rFonts w:ascii="Times New Roman" w:eastAsia="Calibri" w:hAnsi="Times New Roman"/>
          <w:b/>
          <w:bCs/>
          <w:szCs w:val="22"/>
          <w:lang w:val="fr-FR"/>
        </w:rPr>
        <w:t xml:space="preserve"> </w:t>
      </w:r>
      <w:r w:rsidRPr="00623A2B">
        <w:rPr>
          <w:rFonts w:ascii="Times New Roman" w:eastAsia="Calibri" w:hAnsi="Times New Roman"/>
          <w:szCs w:val="22"/>
          <w:lang w:val="fr-FR"/>
        </w:rPr>
        <w:t>dans l’élaboration et l’exécution des politiques publiques ciblées et globales qui s'attaquent aux graves inégalités en matière d'emploi, de santé, de logement, d’accès à la justice</w:t>
      </w:r>
      <w:r w:rsidRPr="00623A2B">
        <w:rPr>
          <w:rFonts w:ascii="Times New Roman" w:eastAsia="Calibri" w:hAnsi="Times New Roman"/>
          <w:b/>
          <w:bCs/>
          <w:szCs w:val="22"/>
          <w:lang w:val="fr-FR"/>
        </w:rPr>
        <w:t xml:space="preserve"> </w:t>
      </w:r>
      <w:r w:rsidRPr="00623A2B">
        <w:rPr>
          <w:rFonts w:ascii="Times New Roman" w:eastAsia="Calibri" w:hAnsi="Times New Roman"/>
          <w:szCs w:val="22"/>
          <w:lang w:val="fr-FR"/>
        </w:rPr>
        <w:t xml:space="preserve"> et d'éducation qui affectent les personnes d'ascendance africaine dans le but de faire face aux inégalités </w:t>
      </w:r>
      <w:r w:rsidRPr="00623A2B">
        <w:rPr>
          <w:rFonts w:ascii="Times New Roman" w:eastAsia="Calibri" w:hAnsi="Times New Roman"/>
          <w:szCs w:val="22"/>
          <w:lang w:val="fr-FR"/>
        </w:rPr>
        <w:lastRenderedPageBreak/>
        <w:t>associées et systémiques</w:t>
      </w:r>
      <w:r w:rsidRPr="00623A2B">
        <w:rPr>
          <w:rFonts w:ascii="Times New Roman" w:eastAsia="Calibri" w:hAnsi="Times New Roman"/>
          <w:b/>
          <w:bCs/>
          <w:szCs w:val="22"/>
          <w:lang w:val="fr-FR"/>
        </w:rPr>
        <w:t>,</w:t>
      </w:r>
      <w:r w:rsidRPr="00623A2B">
        <w:rPr>
          <w:rFonts w:ascii="Times New Roman" w:eastAsia="Calibri" w:hAnsi="Times New Roman"/>
          <w:szCs w:val="22"/>
          <w:lang w:val="fr-FR"/>
        </w:rPr>
        <w:t xml:space="preserve"> ainsi que les causes structurelles du racisme systémique, tout en gardant à l’esprit en particulier les défis économiques et sociaux qui s’annoncent dans le contexte </w:t>
      </w:r>
      <w:proofErr w:type="spellStart"/>
      <w:r w:rsidRPr="00623A2B">
        <w:rPr>
          <w:rFonts w:ascii="Times New Roman" w:eastAsia="Calibri" w:hAnsi="Times New Roman"/>
          <w:szCs w:val="22"/>
          <w:lang w:val="fr-FR"/>
        </w:rPr>
        <w:t>post-pandémie</w:t>
      </w:r>
      <w:proofErr w:type="spellEnd"/>
      <w:r w:rsidRPr="00623A2B">
        <w:rPr>
          <w:rFonts w:ascii="Times New Roman" w:eastAsia="Calibri" w:hAnsi="Times New Roman"/>
          <w:szCs w:val="22"/>
          <w:lang w:val="fr-FR"/>
        </w:rPr>
        <w:t xml:space="preserve"> et la nécessité de garantir des conditions de vie dignes ainsi que de promouvoir et de respecter les principes d’égalité et de non-discrimination. </w:t>
      </w:r>
    </w:p>
    <w:p w14:paraId="2536BF76" w14:textId="77777777" w:rsidR="00F723DA" w:rsidRPr="00623A2B" w:rsidRDefault="00F723DA" w:rsidP="00F723DA">
      <w:pPr>
        <w:rPr>
          <w:rFonts w:ascii="Times New Roman" w:eastAsia="Calibri" w:hAnsi="Times New Roman"/>
          <w:szCs w:val="22"/>
          <w:lang w:val="fr-FR"/>
        </w:rPr>
      </w:pPr>
    </w:p>
    <w:p w14:paraId="405BC9C4" w14:textId="77777777" w:rsidR="00F723DA" w:rsidRPr="00623A2B" w:rsidRDefault="00F723DA" w:rsidP="00F723DA">
      <w:pPr>
        <w:ind w:firstLine="720"/>
        <w:rPr>
          <w:rFonts w:ascii="Times New Roman" w:eastAsia="Calibri" w:hAnsi="Times New Roman"/>
          <w:szCs w:val="22"/>
          <w:lang w:val="fr-FR"/>
        </w:rPr>
      </w:pPr>
      <w:r w:rsidRPr="00623A2B">
        <w:rPr>
          <w:rFonts w:ascii="Times New Roman" w:eastAsia="Calibri" w:hAnsi="Times New Roman"/>
          <w:szCs w:val="22"/>
          <w:lang w:val="fr-FR"/>
        </w:rPr>
        <w:t>2.</w:t>
      </w:r>
      <w:r w:rsidRPr="00623A2B">
        <w:rPr>
          <w:rFonts w:ascii="Times New Roman" w:eastAsia="Calibri" w:hAnsi="Times New Roman"/>
          <w:szCs w:val="22"/>
          <w:lang w:val="fr-FR"/>
        </w:rPr>
        <w:tab/>
        <w:t>D’exhorter les États membres à continuer de respecter les cibles et les engagements énoncés dans le cadre du Plan d’action de la Décennie des personnes d'ascendance africaine dans les Amériques (2016-2025), en tenant compte du rapport régional sur la situation des personnes d'ascendance africaine et sur l'état d'avancement de la mise en œuvre du Plan, élaboré par le Département de l'inclusion sociale du Secrétariat à l'accès aux droits et à l'équité, en reconnaissant et en encourageant les contributions des peuples et des communautés d'ascendance africaine à la construction d'une société multiculturelle inclusive, qui respecte la diversité.</w:t>
      </w:r>
    </w:p>
    <w:p w14:paraId="1C584204" w14:textId="77777777" w:rsidR="00F723DA" w:rsidRPr="00623A2B" w:rsidRDefault="00F723DA" w:rsidP="00F723DA">
      <w:pPr>
        <w:rPr>
          <w:rFonts w:ascii="Times New Roman" w:eastAsia="Calibri" w:hAnsi="Times New Roman"/>
          <w:szCs w:val="22"/>
          <w:lang w:val="fr-FR"/>
        </w:rPr>
      </w:pPr>
    </w:p>
    <w:p w14:paraId="00E956D1" w14:textId="77777777" w:rsidR="00F723DA" w:rsidRPr="00623A2B" w:rsidRDefault="00F723DA" w:rsidP="00F723DA">
      <w:pPr>
        <w:ind w:firstLine="720"/>
        <w:rPr>
          <w:rFonts w:ascii="Times New Roman" w:hAnsi="Times New Roman"/>
          <w:szCs w:val="22"/>
          <w:lang w:val="fr-FR"/>
        </w:rPr>
      </w:pPr>
      <w:r w:rsidRPr="00623A2B">
        <w:rPr>
          <w:rFonts w:ascii="Times New Roman" w:eastAsia="Calibri" w:hAnsi="Times New Roman"/>
          <w:szCs w:val="22"/>
          <w:lang w:val="fr-FR"/>
        </w:rPr>
        <w:t>3.</w:t>
      </w:r>
      <w:r w:rsidRPr="00623A2B">
        <w:rPr>
          <w:rFonts w:ascii="Times New Roman" w:eastAsia="Calibri" w:hAnsi="Times New Roman"/>
          <w:szCs w:val="22"/>
          <w:lang w:val="fr-FR"/>
        </w:rPr>
        <w:tab/>
        <w:t>D’encourager les États membres à envisager de ratifier la Convention interaméricaine contre le racisme, la discrimination raciale et les formes connexes d’intolérance et/ou la Convention interaméricaine contre toutes les formes de discrimination et d’intolérance.</w:t>
      </w:r>
    </w:p>
    <w:p w14:paraId="12B44EB8" w14:textId="77777777" w:rsidR="00F723DA" w:rsidRPr="00623A2B" w:rsidRDefault="00F723DA" w:rsidP="00F723DA">
      <w:pPr>
        <w:rPr>
          <w:rFonts w:ascii="Times New Roman" w:eastAsia="Calibri" w:hAnsi="Times New Roman"/>
          <w:szCs w:val="22"/>
          <w:lang w:val="fr-FR"/>
        </w:rPr>
      </w:pPr>
    </w:p>
    <w:p w14:paraId="2A3CA490" w14:textId="77777777" w:rsidR="00F723DA" w:rsidRPr="00623A2B" w:rsidRDefault="00F723DA" w:rsidP="00F723DA">
      <w:pPr>
        <w:ind w:firstLine="720"/>
        <w:rPr>
          <w:rFonts w:ascii="Times New Roman" w:eastAsia="Calibri" w:hAnsi="Times New Roman"/>
          <w:szCs w:val="22"/>
          <w:lang w:val="fr-FR"/>
        </w:rPr>
      </w:pPr>
      <w:r w:rsidRPr="00623A2B">
        <w:rPr>
          <w:rFonts w:ascii="Times New Roman" w:eastAsia="Calibri" w:hAnsi="Times New Roman"/>
          <w:szCs w:val="22"/>
          <w:lang w:val="fr-FR"/>
        </w:rPr>
        <w:t>4.</w:t>
      </w:r>
      <w:r w:rsidRPr="00623A2B">
        <w:rPr>
          <w:rFonts w:ascii="Times New Roman" w:eastAsia="Calibri" w:hAnsi="Times New Roman"/>
          <w:szCs w:val="22"/>
          <w:lang w:val="fr-FR"/>
        </w:rPr>
        <w:tab/>
        <w:t>D’inviter les États membres qui ne l’ont pas encore fait à se joindre au Réseau interaméricain des hauts fonctionnaires chargés des politiques visant les populations d'ascendance africaine (RIAFRO).</w:t>
      </w:r>
    </w:p>
    <w:p w14:paraId="738204BC" w14:textId="77777777" w:rsidR="00F723DA" w:rsidRPr="00623A2B" w:rsidRDefault="00F723DA" w:rsidP="00F723DA">
      <w:pPr>
        <w:tabs>
          <w:tab w:val="center" w:pos="2880"/>
        </w:tabs>
        <w:ind w:right="-1289"/>
        <w:rPr>
          <w:rFonts w:ascii="Times New Roman" w:hAnsi="Times New Roman"/>
          <w:szCs w:val="22"/>
          <w:lang w:val="fr-FR"/>
        </w:rPr>
      </w:pPr>
    </w:p>
    <w:p w14:paraId="5DFC8F60" w14:textId="77777777" w:rsidR="00F723DA" w:rsidRPr="00623A2B" w:rsidRDefault="00F723DA" w:rsidP="00EE7518">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464"/>
        <w:contextualSpacing w:val="0"/>
        <w:jc w:val="left"/>
        <w:rPr>
          <w:rFonts w:ascii="Times New Roman" w:hAnsi="Times New Roman"/>
          <w:szCs w:val="22"/>
          <w:u w:val="single"/>
          <w:lang w:val="fr-FR"/>
        </w:rPr>
      </w:pPr>
      <w:r w:rsidRPr="00623A2B">
        <w:rPr>
          <w:rFonts w:ascii="Times New Roman" w:hAnsi="Times New Roman"/>
          <w:szCs w:val="22"/>
          <w:u w:val="single"/>
          <w:lang w:val="fr-FR"/>
        </w:rPr>
        <w:t>Promotion de la Convention interaméricaine contre le racisme, la discrimination raciale et les formes connexes d’intolérance et de la lutte contre toutes les formes de discrimination</w:t>
      </w:r>
    </w:p>
    <w:p w14:paraId="3D154DD6" w14:textId="77777777" w:rsidR="00F723DA" w:rsidRPr="00623A2B" w:rsidRDefault="00F723DA" w:rsidP="00F723DA">
      <w:pPr>
        <w:rPr>
          <w:rFonts w:ascii="Times New Roman" w:hAnsi="Times New Roman"/>
          <w:bCs/>
          <w:szCs w:val="22"/>
          <w:lang w:val="fr-FR"/>
        </w:rPr>
      </w:pPr>
    </w:p>
    <w:p w14:paraId="7557DD29" w14:textId="77777777" w:rsidR="00F723DA" w:rsidRPr="00623A2B" w:rsidRDefault="00F723DA" w:rsidP="00F723DA">
      <w:pPr>
        <w:ind w:firstLine="720"/>
        <w:rPr>
          <w:rFonts w:ascii="Times New Roman" w:hAnsi="Times New Roman"/>
          <w:szCs w:val="22"/>
          <w:lang w:val="fr-FR"/>
        </w:rPr>
      </w:pPr>
      <w:r w:rsidRPr="00623A2B">
        <w:rPr>
          <w:rFonts w:ascii="Times New Roman" w:hAnsi="Times New Roman"/>
          <w:szCs w:val="22"/>
          <w:lang w:val="fr-FR"/>
        </w:rPr>
        <w:t>RECONNAISSANT l'importance de ratifier la Convention interaméricaine contre le racisme, la discrimination raciale et les formes connexes d’intolérance,</w:t>
      </w:r>
    </w:p>
    <w:p w14:paraId="46CC669B" w14:textId="77777777" w:rsidR="00F723DA" w:rsidRPr="00623A2B" w:rsidRDefault="00F723DA" w:rsidP="00F723DA">
      <w:pPr>
        <w:rPr>
          <w:rFonts w:ascii="Times New Roman" w:hAnsi="Times New Roman"/>
          <w:szCs w:val="22"/>
          <w:lang w:val="fr-FR"/>
        </w:rPr>
      </w:pPr>
    </w:p>
    <w:p w14:paraId="2A8913C3" w14:textId="77777777" w:rsidR="00F723DA" w:rsidRPr="00623A2B" w:rsidRDefault="00F723DA" w:rsidP="00F723DA">
      <w:pPr>
        <w:rPr>
          <w:rFonts w:ascii="Times New Roman" w:hAnsi="Times New Roman"/>
          <w:szCs w:val="22"/>
          <w:lang w:val="fr-FR"/>
        </w:rPr>
      </w:pPr>
      <w:r w:rsidRPr="00623A2B">
        <w:rPr>
          <w:rFonts w:ascii="Times New Roman" w:hAnsi="Times New Roman"/>
          <w:szCs w:val="22"/>
          <w:lang w:val="fr-FR"/>
        </w:rPr>
        <w:t>DÉCIDE :</w:t>
      </w:r>
    </w:p>
    <w:p w14:paraId="67C7F64E" w14:textId="77777777" w:rsidR="00F723DA" w:rsidRPr="00623A2B" w:rsidRDefault="00F723DA" w:rsidP="00F723DA">
      <w:pPr>
        <w:rPr>
          <w:rFonts w:ascii="Times New Roman" w:hAnsi="Times New Roman"/>
          <w:szCs w:val="22"/>
          <w:lang w:val="fr-FR"/>
        </w:rPr>
      </w:pPr>
    </w:p>
    <w:p w14:paraId="7D40FFB3" w14:textId="77777777" w:rsidR="00F723DA" w:rsidRPr="00623A2B" w:rsidRDefault="00F723DA" w:rsidP="00F723DA">
      <w:pPr>
        <w:rPr>
          <w:rFonts w:ascii="Times New Roman" w:hAnsi="Times New Roman"/>
          <w:szCs w:val="22"/>
          <w:lang w:val="fr-FR"/>
        </w:rPr>
      </w:pPr>
      <w:r w:rsidRPr="00623A2B">
        <w:rPr>
          <w:rFonts w:ascii="Times New Roman" w:hAnsi="Times New Roman"/>
          <w:szCs w:val="22"/>
          <w:lang w:val="fr-FR"/>
        </w:rPr>
        <w:tab/>
        <w:t>1.</w:t>
      </w:r>
      <w:r w:rsidRPr="00623A2B">
        <w:rPr>
          <w:rFonts w:ascii="Times New Roman" w:hAnsi="Times New Roman"/>
          <w:szCs w:val="22"/>
          <w:lang w:val="fr-FR"/>
        </w:rPr>
        <w:tab/>
        <w:t>De demander à la CAJP d’organiser, dans les limites des ressources disponibles, une réunion de suivi visant à recueillir les apports des États membres pour lutter contre l'intolérance et la discrimination dans la région.</w:t>
      </w:r>
    </w:p>
    <w:p w14:paraId="419E6F69" w14:textId="77777777" w:rsidR="00F723DA" w:rsidRPr="00623A2B" w:rsidRDefault="00F723DA" w:rsidP="00F723DA">
      <w:pPr>
        <w:rPr>
          <w:rFonts w:ascii="Times New Roman" w:hAnsi="Times New Roman"/>
          <w:szCs w:val="22"/>
          <w:lang w:val="fr-FR"/>
        </w:rPr>
      </w:pPr>
    </w:p>
    <w:p w14:paraId="7624F2DF" w14:textId="77777777" w:rsidR="00F723DA" w:rsidRPr="00623A2B" w:rsidRDefault="00F723DA" w:rsidP="00F723DA">
      <w:pPr>
        <w:ind w:firstLine="720"/>
        <w:rPr>
          <w:rFonts w:ascii="Times New Roman" w:hAnsi="Times New Roman"/>
          <w:szCs w:val="22"/>
          <w:lang w:val="fr-FR"/>
        </w:rPr>
      </w:pPr>
      <w:r w:rsidRPr="00623A2B">
        <w:rPr>
          <w:rFonts w:ascii="Times New Roman" w:hAnsi="Times New Roman"/>
          <w:szCs w:val="22"/>
          <w:lang w:val="fr-FR"/>
        </w:rPr>
        <w:t>2.</w:t>
      </w:r>
      <w:r w:rsidRPr="00623A2B">
        <w:rPr>
          <w:rFonts w:ascii="Times New Roman" w:hAnsi="Times New Roman"/>
          <w:szCs w:val="22"/>
          <w:lang w:val="fr-FR"/>
        </w:rPr>
        <w:tab/>
        <w:t>D’inviter les États membres à envisager de signer et ratifier la Convention interaméricaine contre le racisme, la discrimination raciale et les formes connexes d’intolérance ainsi que la Convention interaméricaine contre toutes les formes de discrimination et d’intolérance ou d’y adhérer, en tenant compte du fait que ces deux instruments favorisent la coexistence de la diversité, qui s’entend comme un atout des sociétés démocratiques dans le continent américain.</w:t>
      </w:r>
    </w:p>
    <w:p w14:paraId="02864C27" w14:textId="77777777" w:rsidR="00F723DA" w:rsidRPr="00623A2B" w:rsidRDefault="00F723DA" w:rsidP="00F723DA">
      <w:pPr>
        <w:jc w:val="left"/>
        <w:rPr>
          <w:rFonts w:ascii="Times New Roman" w:hAnsi="Times New Roman"/>
          <w:b/>
          <w:bCs/>
          <w:szCs w:val="22"/>
          <w:lang w:val="fr-FR"/>
        </w:rPr>
      </w:pPr>
    </w:p>
    <w:p w14:paraId="75242073" w14:textId="419C1C80" w:rsidR="00F723DA" w:rsidRPr="00623A2B" w:rsidRDefault="00F723DA" w:rsidP="00EE7518">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464"/>
        <w:contextualSpacing w:val="0"/>
        <w:jc w:val="left"/>
        <w:rPr>
          <w:rFonts w:ascii="Times New Roman" w:hAnsi="Times New Roman"/>
          <w:szCs w:val="22"/>
          <w:u w:val="single"/>
          <w:lang w:val="fr-FR"/>
        </w:rPr>
      </w:pPr>
      <w:r w:rsidRPr="00623A2B">
        <w:rPr>
          <w:rFonts w:ascii="Times New Roman" w:hAnsi="Times New Roman"/>
          <w:szCs w:val="22"/>
          <w:u w:val="single"/>
          <w:lang w:val="fr-FR"/>
        </w:rPr>
        <w:t>Protection des droits de la personne face à la pandémie de COVID-19</w:t>
      </w:r>
    </w:p>
    <w:p w14:paraId="05FDC309" w14:textId="77777777" w:rsidR="00F723DA" w:rsidRPr="00623A2B" w:rsidRDefault="00F723DA" w:rsidP="00F723DA">
      <w:pPr>
        <w:ind w:hanging="90"/>
        <w:rPr>
          <w:rFonts w:ascii="Times New Roman" w:hAnsi="Times New Roman"/>
          <w:szCs w:val="22"/>
          <w:lang w:val="fr-FR"/>
        </w:rPr>
      </w:pPr>
    </w:p>
    <w:p w14:paraId="732FDFFF" w14:textId="77777777" w:rsidR="00F723DA" w:rsidRPr="00623A2B" w:rsidRDefault="00F723DA" w:rsidP="00F723DA">
      <w:pPr>
        <w:ind w:firstLine="720"/>
        <w:rPr>
          <w:rFonts w:ascii="Times New Roman" w:eastAsia="Arial" w:hAnsi="Times New Roman"/>
          <w:szCs w:val="22"/>
          <w:lang w:val="fr-FR"/>
        </w:rPr>
      </w:pPr>
      <w:r w:rsidRPr="00623A2B">
        <w:rPr>
          <w:rFonts w:ascii="Times New Roman" w:hAnsi="Times New Roman"/>
          <w:szCs w:val="22"/>
          <w:lang w:val="fr-FR"/>
        </w:rPr>
        <w:t>RAPPELANT les résolutions 1/2020, 4/2020 et 1/2021 de la Commission interaméricaine des droits de l’homme (CIDH) concernant des normes et recommandations visant à orienter les États membres au titre des mesures pour aborder et contenir la pandémie de COVID-19, et les lignes directrices relatives aux droits fondamentaux des personnes atteintes de la COVID-19, de même que les résolutions CP/RES. 1151 (2280/20) et CP/RES. 1165 (2312/21) du Conseil permanent, et soulignant que la santé</w:t>
      </w:r>
      <w:r w:rsidRPr="00623A2B">
        <w:rPr>
          <w:rFonts w:ascii="Times New Roman" w:hAnsi="Times New Roman"/>
          <w:b/>
          <w:bCs/>
          <w:szCs w:val="22"/>
          <w:lang w:val="fr-FR"/>
        </w:rPr>
        <w:t xml:space="preserve"> </w:t>
      </w:r>
      <w:r w:rsidRPr="00623A2B">
        <w:rPr>
          <w:rFonts w:ascii="Times New Roman" w:hAnsi="Times New Roman"/>
          <w:szCs w:val="22"/>
          <w:lang w:val="fr-FR"/>
        </w:rPr>
        <w:t xml:space="preserve">est un bien public qui doit être protégé par tous les États dans des conditions d’égalité et de non-discrimination, et considérant que la pandémie de COVID-19 a produit des effets </w:t>
      </w:r>
      <w:r w:rsidRPr="00623A2B">
        <w:rPr>
          <w:rFonts w:ascii="Times New Roman" w:hAnsi="Times New Roman"/>
          <w:szCs w:val="22"/>
          <w:lang w:val="fr-FR"/>
        </w:rPr>
        <w:lastRenderedPageBreak/>
        <w:t xml:space="preserve">défavorables, différenciés et intersectionnels </w:t>
      </w:r>
      <w:r w:rsidRPr="00623A2B">
        <w:rPr>
          <w:rFonts w:ascii="Times New Roman" w:hAnsi="Times New Roman"/>
          <w:szCs w:val="22"/>
          <w:lang w:val="fr-CA"/>
        </w:rPr>
        <w:t xml:space="preserve">et a approfondi les écarts qui existaient déjà </w:t>
      </w:r>
      <w:r w:rsidRPr="00623A2B">
        <w:rPr>
          <w:rFonts w:ascii="Times New Roman" w:hAnsi="Times New Roman"/>
          <w:szCs w:val="22"/>
          <w:lang w:val="fr-FR"/>
        </w:rPr>
        <w:t xml:space="preserve">en matière de réalisation des droits fondamentaux pour toutes les couches de la population, en particulier les personnes et membres de groupes en situation de vulnérabilité particulière et/ou victimes de discrimination de par l’histoire,  </w:t>
      </w:r>
    </w:p>
    <w:p w14:paraId="0EB12E87" w14:textId="77777777" w:rsidR="00F723DA" w:rsidRPr="00623A2B" w:rsidRDefault="00F723DA" w:rsidP="00F723DA">
      <w:pPr>
        <w:rPr>
          <w:rFonts w:ascii="Times New Roman" w:hAnsi="Times New Roman"/>
          <w:szCs w:val="22"/>
          <w:lang w:val="fr-FR"/>
        </w:rPr>
      </w:pPr>
    </w:p>
    <w:p w14:paraId="3E52B24E" w14:textId="77777777" w:rsidR="00F723DA" w:rsidRPr="00623A2B" w:rsidRDefault="00F723DA" w:rsidP="00F723DA">
      <w:pPr>
        <w:rPr>
          <w:rFonts w:ascii="Times New Roman" w:hAnsi="Times New Roman"/>
          <w:szCs w:val="22"/>
          <w:lang w:val="fr-FR"/>
        </w:rPr>
      </w:pPr>
      <w:r w:rsidRPr="00623A2B">
        <w:rPr>
          <w:rFonts w:ascii="Times New Roman" w:hAnsi="Times New Roman"/>
          <w:szCs w:val="22"/>
          <w:lang w:val="fr-FR"/>
        </w:rPr>
        <w:t>DÉCIDE :</w:t>
      </w:r>
    </w:p>
    <w:p w14:paraId="058F3C32" w14:textId="77777777" w:rsidR="00F723DA" w:rsidRPr="00623A2B" w:rsidRDefault="00F723DA" w:rsidP="00F723DA">
      <w:pPr>
        <w:rPr>
          <w:rFonts w:ascii="Times New Roman" w:eastAsia="Arial" w:hAnsi="Times New Roman"/>
          <w:bCs/>
          <w:szCs w:val="22"/>
          <w:lang w:val="fr-FR"/>
        </w:rPr>
      </w:pPr>
    </w:p>
    <w:p w14:paraId="6305062E" w14:textId="77777777" w:rsidR="00F723DA" w:rsidRPr="00623A2B" w:rsidRDefault="00F723DA" w:rsidP="00F723DA">
      <w:pPr>
        <w:ind w:firstLine="720"/>
        <w:rPr>
          <w:rFonts w:ascii="Times New Roman" w:hAnsi="Times New Roman"/>
          <w:szCs w:val="22"/>
          <w:lang w:val="fr-FR"/>
        </w:rPr>
      </w:pPr>
      <w:r w:rsidRPr="00623A2B">
        <w:rPr>
          <w:rFonts w:ascii="Times New Roman" w:hAnsi="Times New Roman"/>
          <w:szCs w:val="22"/>
          <w:lang w:val="fr-FR"/>
        </w:rPr>
        <w:t>1.</w:t>
      </w:r>
      <w:r w:rsidRPr="00623A2B">
        <w:rPr>
          <w:rFonts w:ascii="Times New Roman" w:hAnsi="Times New Roman"/>
          <w:szCs w:val="22"/>
          <w:lang w:val="fr-FR"/>
        </w:rPr>
        <w:tab/>
        <w:t xml:space="preserve">D’inclure au nombre des mesures destinées à promouvoir la jouissance des droits et la préservation de la santé la perspective de la parité hommes-femmes pour faire face à la pandémie et à ses conséquences, en portant une attention différenciée aux personnes et membres de groupes en situation de vulnérabilité particulière et/ou victimes de discrimination </w:t>
      </w:r>
      <w:proofErr w:type="gramStart"/>
      <w:r w:rsidRPr="00623A2B">
        <w:rPr>
          <w:rFonts w:ascii="Times New Roman" w:hAnsi="Times New Roman"/>
          <w:szCs w:val="22"/>
          <w:lang w:val="fr-FR"/>
        </w:rPr>
        <w:t>de par</w:t>
      </w:r>
      <w:proofErr w:type="gramEnd"/>
      <w:r w:rsidRPr="00623A2B">
        <w:rPr>
          <w:rFonts w:ascii="Times New Roman" w:hAnsi="Times New Roman"/>
          <w:szCs w:val="22"/>
          <w:lang w:val="fr-FR"/>
        </w:rPr>
        <w:t xml:space="preserve"> l’histoire.</w:t>
      </w:r>
    </w:p>
    <w:p w14:paraId="52CAFF82" w14:textId="77777777" w:rsidR="00F723DA" w:rsidRPr="00623A2B" w:rsidRDefault="00F723DA" w:rsidP="00F723DA">
      <w:pPr>
        <w:rPr>
          <w:rFonts w:ascii="Times New Roman" w:eastAsia="Arial" w:hAnsi="Times New Roman"/>
          <w:szCs w:val="22"/>
          <w:lang w:val="fr-FR"/>
        </w:rPr>
      </w:pPr>
    </w:p>
    <w:p w14:paraId="50B8EE2D" w14:textId="77777777" w:rsidR="00F723DA" w:rsidRPr="00623A2B" w:rsidRDefault="00F723DA" w:rsidP="00F723DA">
      <w:pPr>
        <w:ind w:firstLine="720"/>
        <w:rPr>
          <w:rFonts w:ascii="Times New Roman" w:eastAsia="Calibri" w:hAnsi="Times New Roman"/>
          <w:szCs w:val="22"/>
          <w:lang w:val="fr-FR"/>
        </w:rPr>
      </w:pPr>
      <w:r w:rsidRPr="00623A2B">
        <w:rPr>
          <w:rFonts w:ascii="Times New Roman" w:hAnsi="Times New Roman"/>
          <w:szCs w:val="22"/>
          <w:lang w:val="fr-FR"/>
        </w:rPr>
        <w:t>2.</w:t>
      </w:r>
      <w:r w:rsidRPr="00623A2B">
        <w:rPr>
          <w:rFonts w:ascii="Times New Roman" w:hAnsi="Times New Roman"/>
          <w:szCs w:val="22"/>
          <w:lang w:val="fr-FR"/>
        </w:rPr>
        <w:tab/>
        <w:t>De promouvoir et de protéger la jouissance et l’exercice des droits humains et le droit de jouir du meilleur état de santé physique et mentale, y compris celle des personnes atteintes de la COVID-19, d’une manière cohérente avec les principes d’égalité et de non-discrimination.</w:t>
      </w:r>
    </w:p>
    <w:p w14:paraId="619606EB" w14:textId="77777777" w:rsidR="00F723DA" w:rsidRPr="00623A2B" w:rsidRDefault="00F723DA" w:rsidP="00F723DA">
      <w:pPr>
        <w:rPr>
          <w:rFonts w:ascii="Times New Roman" w:eastAsia="Arial" w:hAnsi="Times New Roman"/>
          <w:szCs w:val="22"/>
          <w:lang w:val="fr-FR"/>
        </w:rPr>
      </w:pPr>
    </w:p>
    <w:p w14:paraId="539445A7" w14:textId="77777777" w:rsidR="00F723DA" w:rsidRPr="00623A2B" w:rsidRDefault="00F723DA" w:rsidP="00F723DA">
      <w:pPr>
        <w:ind w:firstLine="720"/>
        <w:rPr>
          <w:rFonts w:ascii="Times New Roman" w:hAnsi="Times New Roman"/>
          <w:szCs w:val="22"/>
          <w:lang w:val="fr-FR"/>
        </w:rPr>
      </w:pPr>
      <w:r w:rsidRPr="00623A2B">
        <w:rPr>
          <w:rFonts w:ascii="Times New Roman" w:hAnsi="Times New Roman"/>
          <w:szCs w:val="22"/>
          <w:lang w:val="fr-FR"/>
        </w:rPr>
        <w:t>3.</w:t>
      </w:r>
      <w:r w:rsidRPr="00623A2B">
        <w:rPr>
          <w:rFonts w:ascii="Times New Roman" w:hAnsi="Times New Roman"/>
          <w:szCs w:val="22"/>
          <w:lang w:val="fr-FR"/>
        </w:rPr>
        <w:tab/>
        <w:t>De promouvoir les échanges techniques et de coopération à l’échelle régionale favorisant les bonnes pratiques des États relatives aux mesures adoptées dans le contexte de la pandémie qui tiennent compte de l'approche fondée sur les droits de l'homme</w:t>
      </w:r>
      <w:r w:rsidRPr="00623A2B">
        <w:rPr>
          <w:rFonts w:ascii="Times New Roman" w:hAnsi="Times New Roman"/>
          <w:szCs w:val="22"/>
          <w:lang w:val="fr-CA"/>
        </w:rPr>
        <w:t xml:space="preserve"> ainsi que la </w:t>
      </w:r>
      <w:r w:rsidRPr="00623A2B">
        <w:rPr>
          <w:rFonts w:ascii="Times New Roman" w:hAnsi="Times New Roman"/>
          <w:szCs w:val="22"/>
          <w:lang w:val="fr-FR"/>
        </w:rPr>
        <w:t>perspective de la parité hommes-femmes afin d’améliorer la réponse épidémiologique de façon effective et humaine, en assurant et en promouvant l’accessibilité et le caractère abordable, de façon participative, transparente, libre de discrimination et avec la plus large couverture possible au niveau géographique, des médicaments, traitements, vaccins, autres technologies sanitaires, biens de qualité, services, informations et connaissances pour les soins à visée préventive, curative, palliative, de rééducation ou la prise en charge des personnes atteintes de la COVID-19.</w:t>
      </w:r>
    </w:p>
    <w:p w14:paraId="7A41012A" w14:textId="77777777" w:rsidR="00F723DA" w:rsidRPr="00623A2B" w:rsidRDefault="00F723DA" w:rsidP="00F723DA">
      <w:pPr>
        <w:jc w:val="left"/>
        <w:rPr>
          <w:rFonts w:ascii="Times New Roman" w:hAnsi="Times New Roman"/>
          <w:szCs w:val="22"/>
          <w:lang w:val="fr-FR"/>
        </w:rPr>
      </w:pPr>
    </w:p>
    <w:p w14:paraId="2AD69EDF" w14:textId="0BFDCF6B" w:rsidR="00F723DA" w:rsidRPr="00623A2B" w:rsidRDefault="00F723DA" w:rsidP="00EE7518">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554"/>
        <w:contextualSpacing w:val="0"/>
        <w:jc w:val="left"/>
        <w:rPr>
          <w:rFonts w:ascii="Times New Roman" w:hAnsi="Times New Roman"/>
          <w:szCs w:val="22"/>
          <w:u w:val="single"/>
          <w:lang w:val="fr-FR"/>
        </w:rPr>
      </w:pPr>
      <w:r w:rsidRPr="00623A2B">
        <w:rPr>
          <w:rFonts w:ascii="Times New Roman" w:hAnsi="Times New Roman"/>
          <w:szCs w:val="22"/>
          <w:u w:val="single"/>
          <w:lang w:val="fr-FR"/>
        </w:rPr>
        <w:t>Droits des personnes privées de liberté</w:t>
      </w:r>
      <w:r w:rsidRPr="00623A2B">
        <w:rPr>
          <w:rFonts w:ascii="Times New Roman" w:hAnsi="Times New Roman"/>
          <w:lang w:val="fr-FR"/>
        </w:rPr>
        <w:t xml:space="preserve"> </w:t>
      </w:r>
      <w:r w:rsidRPr="00623A2B">
        <w:rPr>
          <w:rStyle w:val="FootnoteReference"/>
          <w:rFonts w:ascii="Times New Roman" w:hAnsi="Times New Roman"/>
          <w:u w:val="single"/>
          <w:vertAlign w:val="superscript"/>
        </w:rPr>
        <w:footnoteReference w:id="92"/>
      </w:r>
      <w:r w:rsidRPr="00623A2B">
        <w:rPr>
          <w:rFonts w:ascii="Times New Roman" w:hAnsi="Times New Roman"/>
          <w:vertAlign w:val="superscript"/>
          <w:lang w:val="fr-FR"/>
        </w:rPr>
        <w:t>/</w:t>
      </w:r>
    </w:p>
    <w:p w14:paraId="0699992C" w14:textId="77777777" w:rsidR="00F723DA" w:rsidRPr="00623A2B" w:rsidRDefault="00F723DA" w:rsidP="00F723DA">
      <w:pPr>
        <w:rPr>
          <w:rFonts w:ascii="Times New Roman" w:hAnsi="Times New Roman"/>
          <w:szCs w:val="22"/>
          <w:lang w:val="fr-FR"/>
        </w:rPr>
      </w:pPr>
    </w:p>
    <w:p w14:paraId="4D95DD63" w14:textId="77777777" w:rsidR="00F723DA" w:rsidRPr="00623A2B" w:rsidRDefault="00F723DA" w:rsidP="00F723DA">
      <w:pPr>
        <w:ind w:firstLine="720"/>
        <w:rPr>
          <w:rFonts w:ascii="Times New Roman" w:eastAsia="Calibri" w:hAnsi="Times New Roman"/>
          <w:szCs w:val="22"/>
          <w:lang w:val="fr-FR"/>
        </w:rPr>
      </w:pPr>
      <w:r w:rsidRPr="00623A2B">
        <w:rPr>
          <w:rFonts w:ascii="Times New Roman" w:eastAsia="Calibri" w:hAnsi="Times New Roman"/>
          <w:szCs w:val="22"/>
          <w:lang w:val="fr-FR"/>
        </w:rPr>
        <w:t>RAPPELANT toutes les résolutions précédemment adoptées relatives aux droits des personnes privées de liberté, ainsi que les rapports publiés par la CIDH sur les droits fondamentaux des personnes privées de liberté, et reconnaissant l'engagement des États membres de l'OEA à promouvoir et à protéger les droits fondamentaux des personnes qui ont été privées de liberté, tels qu'établis dans les instruments internationaux et les traités relatifs aux droits de la personne en la matière et de portée générale,</w:t>
      </w:r>
    </w:p>
    <w:p w14:paraId="72C2496C" w14:textId="77777777" w:rsidR="00C11C10" w:rsidRPr="00623A2B" w:rsidRDefault="00F723DA" w:rsidP="00F723DA">
      <w:pPr>
        <w:rPr>
          <w:rFonts w:ascii="Times New Roman" w:eastAsia="Calibri" w:hAnsi="Times New Roman"/>
          <w:szCs w:val="22"/>
          <w:lang w:val="fr-FR"/>
        </w:rPr>
      </w:pPr>
      <w:r w:rsidRPr="00623A2B">
        <w:rPr>
          <w:rFonts w:ascii="Times New Roman" w:eastAsia="Calibri" w:hAnsi="Times New Roman"/>
          <w:szCs w:val="22"/>
          <w:lang w:val="fr-FR"/>
        </w:rPr>
        <w:tab/>
      </w:r>
    </w:p>
    <w:p w14:paraId="03FBF202" w14:textId="1C2F4CB7" w:rsidR="00F723DA" w:rsidRPr="00623A2B" w:rsidRDefault="00C11C10" w:rsidP="00F723DA">
      <w:pPr>
        <w:rPr>
          <w:rFonts w:ascii="Times New Roman" w:eastAsia="Calibri" w:hAnsi="Times New Roman"/>
          <w:szCs w:val="22"/>
          <w:lang w:val="fr-FR"/>
        </w:rPr>
      </w:pPr>
      <w:r w:rsidRPr="00623A2B">
        <w:rPr>
          <w:rFonts w:ascii="Times New Roman" w:eastAsia="Calibri" w:hAnsi="Times New Roman"/>
          <w:szCs w:val="22"/>
          <w:lang w:val="fr-FR"/>
        </w:rPr>
        <w:tab/>
      </w:r>
      <w:r w:rsidR="00F723DA" w:rsidRPr="00623A2B">
        <w:rPr>
          <w:rFonts w:ascii="Times New Roman" w:eastAsia="Calibri" w:hAnsi="Times New Roman"/>
          <w:szCs w:val="22"/>
          <w:lang w:val="fr-FR"/>
        </w:rPr>
        <w:t>PRENANT EN COMPTE la situation de vulnérabilité particulière des personnes privées de liberté dans le contexte de la pandémie de COVID-19 et de la nécessité de disposer de mesures qui garantissent le respect de leurs droits fondamentaux au sein des institutions destinées à la privation de liberté, particulièrement au sein du système pénitentiaire et carcéral dans la région,</w:t>
      </w:r>
    </w:p>
    <w:p w14:paraId="737FF597" w14:textId="77777777" w:rsidR="00F723DA" w:rsidRPr="00623A2B" w:rsidRDefault="00F723DA" w:rsidP="00F723DA">
      <w:pPr>
        <w:rPr>
          <w:rFonts w:ascii="Times New Roman" w:eastAsia="Calibri" w:hAnsi="Times New Roman"/>
          <w:szCs w:val="22"/>
          <w:lang w:val="fr-FR"/>
        </w:rPr>
      </w:pPr>
    </w:p>
    <w:p w14:paraId="0EFD8AE9" w14:textId="77777777" w:rsidR="00F723DA" w:rsidRPr="00623A2B" w:rsidRDefault="00F723DA" w:rsidP="00F723DA">
      <w:pPr>
        <w:rPr>
          <w:rFonts w:ascii="Times New Roman" w:eastAsia="Calibri" w:hAnsi="Times New Roman"/>
          <w:szCs w:val="22"/>
          <w:lang w:val="fr-FR"/>
        </w:rPr>
      </w:pPr>
      <w:r w:rsidRPr="00623A2B">
        <w:rPr>
          <w:rFonts w:ascii="Times New Roman" w:eastAsia="Calibri" w:hAnsi="Times New Roman"/>
          <w:szCs w:val="22"/>
          <w:lang w:val="fr-FR"/>
        </w:rPr>
        <w:t>DÉCIDE :</w:t>
      </w:r>
    </w:p>
    <w:p w14:paraId="2FC6B33C" w14:textId="77777777" w:rsidR="00F723DA" w:rsidRPr="00623A2B" w:rsidRDefault="00F723DA" w:rsidP="00F723DA">
      <w:pPr>
        <w:rPr>
          <w:rFonts w:ascii="Times New Roman" w:eastAsia="Calibri" w:hAnsi="Times New Roman"/>
          <w:szCs w:val="22"/>
          <w:lang w:val="fr-FR"/>
        </w:rPr>
      </w:pPr>
    </w:p>
    <w:p w14:paraId="74D6CD2D" w14:textId="77777777" w:rsidR="00F723DA" w:rsidRPr="00623A2B" w:rsidRDefault="00F723DA" w:rsidP="00F723DA">
      <w:pPr>
        <w:ind w:firstLine="720"/>
        <w:rPr>
          <w:rFonts w:ascii="Times New Roman" w:eastAsia="Calibri" w:hAnsi="Times New Roman"/>
          <w:szCs w:val="22"/>
          <w:lang w:val="fr-FR"/>
        </w:rPr>
      </w:pPr>
      <w:r w:rsidRPr="00623A2B">
        <w:rPr>
          <w:rFonts w:ascii="Times New Roman" w:eastAsia="Calibri" w:hAnsi="Times New Roman"/>
          <w:szCs w:val="22"/>
          <w:lang w:val="fr-FR"/>
        </w:rPr>
        <w:t>1.</w:t>
      </w:r>
      <w:r w:rsidRPr="00623A2B">
        <w:rPr>
          <w:rFonts w:ascii="Times New Roman" w:eastAsia="Calibri" w:hAnsi="Times New Roman"/>
          <w:szCs w:val="22"/>
          <w:lang w:val="fr-FR"/>
        </w:rPr>
        <w:tab/>
        <w:t>De réaffirmer les obligations internationales des États membres de respecter, de garantir, de promouvoir et de protéger les droits fondamentaux des personnes privées de liberté, en accordant une attention particulière aux personnes condamnées à mort, avec une approche globale et différenciée et une perspective de genre, de droits de la personne et d’interculturalité</w:t>
      </w:r>
      <w:r w:rsidRPr="00623A2B">
        <w:rPr>
          <w:rFonts w:ascii="Times New Roman" w:eastAsia="Calibri" w:hAnsi="Times New Roman"/>
          <w:b/>
          <w:bCs/>
          <w:szCs w:val="22"/>
          <w:lang w:val="fr-FR"/>
        </w:rPr>
        <w:t xml:space="preserve">, </w:t>
      </w:r>
      <w:r w:rsidRPr="00623A2B">
        <w:rPr>
          <w:rFonts w:ascii="Times New Roman" w:eastAsia="Calibri" w:hAnsi="Times New Roman"/>
          <w:szCs w:val="22"/>
          <w:lang w:val="fr-FR"/>
        </w:rPr>
        <w:t xml:space="preserve">fondée sur le traitement digne de la personne et le principe d'égalité et de non-discrimination, y compris pour les </w:t>
      </w:r>
      <w:r w:rsidRPr="00623A2B">
        <w:rPr>
          <w:rFonts w:ascii="Times New Roman" w:eastAsia="Calibri" w:hAnsi="Times New Roman"/>
          <w:szCs w:val="22"/>
          <w:lang w:val="fr-FR"/>
        </w:rPr>
        <w:lastRenderedPageBreak/>
        <w:t>personnes appartenant à des groupes en situation de vulnérabilité ou ayant fait l’objet de discrimination à travers l’histoire.</w:t>
      </w:r>
    </w:p>
    <w:p w14:paraId="6F8A2304" w14:textId="77777777" w:rsidR="00F723DA" w:rsidRPr="00623A2B" w:rsidRDefault="00F723DA" w:rsidP="00F723DA">
      <w:pPr>
        <w:rPr>
          <w:rFonts w:ascii="Times New Roman" w:eastAsia="Calibri" w:hAnsi="Times New Roman"/>
          <w:szCs w:val="22"/>
          <w:lang w:val="fr-FR"/>
        </w:rPr>
      </w:pPr>
    </w:p>
    <w:p w14:paraId="216E5168" w14:textId="77777777" w:rsidR="00F723DA" w:rsidRPr="00623A2B" w:rsidRDefault="00F723DA" w:rsidP="00F723DA">
      <w:pPr>
        <w:ind w:firstLine="720"/>
        <w:rPr>
          <w:rFonts w:ascii="Times New Roman" w:eastAsia="Calibri" w:hAnsi="Times New Roman"/>
          <w:szCs w:val="22"/>
          <w:lang w:val="fr-FR"/>
        </w:rPr>
      </w:pPr>
      <w:r w:rsidRPr="00623A2B">
        <w:rPr>
          <w:rFonts w:ascii="Times New Roman" w:eastAsia="Calibri" w:hAnsi="Times New Roman"/>
          <w:szCs w:val="22"/>
          <w:lang w:val="fr-FR"/>
        </w:rPr>
        <w:t>2.</w:t>
      </w:r>
      <w:r w:rsidRPr="00623A2B">
        <w:rPr>
          <w:rFonts w:ascii="Times New Roman" w:eastAsia="Calibri" w:hAnsi="Times New Roman"/>
          <w:szCs w:val="22"/>
          <w:lang w:val="fr-FR"/>
        </w:rPr>
        <w:tab/>
        <w:t xml:space="preserve">D’exhorter les États membres à continuer d’améliorer leur cadre juridique, institutionnel et de politique publique afin de garantir que les conditions de détention soient compatibles avec la dignité humaine, à envisager d’inclure, par disposition légale, une série de mesures alternatives ou de substitution à la privation de liberté, dont la mise en application tienne compte des normes reconnues en la matière au plan international, selon le cas, en appliquant une approche soucieuse du genre ainsi que d'autres approches différenciées qui s'adressent aux groupes en situation de vulnérabilité, et à envisager la participation de la société et de la famille au titre de leur application. </w:t>
      </w:r>
    </w:p>
    <w:p w14:paraId="2035CD7D" w14:textId="77777777" w:rsidR="00F723DA" w:rsidRPr="00623A2B" w:rsidRDefault="00F723DA" w:rsidP="00F723DA">
      <w:pPr>
        <w:rPr>
          <w:rFonts w:ascii="Times New Roman" w:eastAsia="Calibri" w:hAnsi="Times New Roman"/>
          <w:szCs w:val="22"/>
          <w:lang w:val="fr-FR"/>
        </w:rPr>
      </w:pPr>
    </w:p>
    <w:p w14:paraId="4B18EB8F" w14:textId="77777777" w:rsidR="00F723DA" w:rsidRPr="00623A2B" w:rsidRDefault="00F723DA" w:rsidP="00F723DA">
      <w:pPr>
        <w:ind w:firstLine="720"/>
        <w:rPr>
          <w:rFonts w:ascii="Times New Roman" w:eastAsia="Calibri" w:hAnsi="Times New Roman"/>
          <w:szCs w:val="22"/>
          <w:lang w:val="fr-FR"/>
        </w:rPr>
      </w:pPr>
      <w:r w:rsidRPr="00623A2B">
        <w:rPr>
          <w:rFonts w:ascii="Times New Roman" w:eastAsia="Calibri" w:hAnsi="Times New Roman"/>
          <w:szCs w:val="22"/>
          <w:lang w:val="fr-FR"/>
        </w:rPr>
        <w:t>3.</w:t>
      </w:r>
      <w:r w:rsidRPr="00623A2B">
        <w:rPr>
          <w:rFonts w:ascii="Times New Roman" w:eastAsia="Calibri" w:hAnsi="Times New Roman"/>
          <w:szCs w:val="22"/>
          <w:lang w:val="fr-FR"/>
        </w:rPr>
        <w:tab/>
        <w:t>D’appeler les États membres à renforcer et à orienter leurs cadres juridiques, réglementaires et de politique publique vers l'éradication de la torture, des traitements ou peines cruels, inhumains ou dégradants, et à garantir dans cette mesure la protection des libertés et droits humains fondamentaux des personnes privées de liberté.</w:t>
      </w:r>
    </w:p>
    <w:p w14:paraId="16119ACD" w14:textId="77777777" w:rsidR="00F723DA" w:rsidRPr="00623A2B" w:rsidRDefault="00F723DA" w:rsidP="00F723DA">
      <w:pPr>
        <w:rPr>
          <w:rFonts w:ascii="Times New Roman" w:eastAsia="Calibri" w:hAnsi="Times New Roman"/>
          <w:szCs w:val="22"/>
          <w:lang w:val="fr-FR"/>
        </w:rPr>
      </w:pPr>
    </w:p>
    <w:p w14:paraId="3C6C79BF" w14:textId="77777777" w:rsidR="00F723DA" w:rsidRPr="00623A2B" w:rsidRDefault="00F723DA" w:rsidP="00F723DA">
      <w:pPr>
        <w:ind w:firstLine="720"/>
        <w:rPr>
          <w:rFonts w:ascii="Times New Roman" w:eastAsia="Calibri" w:hAnsi="Times New Roman"/>
          <w:szCs w:val="22"/>
          <w:lang w:val="fr-FR"/>
        </w:rPr>
      </w:pPr>
      <w:r w:rsidRPr="00623A2B">
        <w:rPr>
          <w:rFonts w:ascii="Times New Roman" w:eastAsia="Calibri" w:hAnsi="Times New Roman"/>
          <w:szCs w:val="22"/>
          <w:lang w:val="fr-FR"/>
        </w:rPr>
        <w:t>4.</w:t>
      </w:r>
      <w:r w:rsidRPr="00623A2B">
        <w:rPr>
          <w:rFonts w:ascii="Times New Roman" w:eastAsia="Calibri" w:hAnsi="Times New Roman"/>
          <w:szCs w:val="22"/>
          <w:lang w:val="fr-FR"/>
        </w:rPr>
        <w:tab/>
        <w:t>D’encourager les États membres, la CIDH et le Bureau du Rapporteur pour les droits des personnes privées de liberté à poursuivre le dialogue sur les bonnes pratiques en matière de politiques carcérales et pénitentiaires et de politiques dans les institutions psychiatriques, en particulier sur les stratégies et interventions propres à assurer le respect, la garantie et la protection des droits des personnes privées de liberté.</w:t>
      </w:r>
    </w:p>
    <w:p w14:paraId="288774F9" w14:textId="77777777" w:rsidR="00F723DA" w:rsidRPr="00623A2B" w:rsidRDefault="00F723DA" w:rsidP="00F723DA">
      <w:pPr>
        <w:rPr>
          <w:rFonts w:ascii="Times New Roman" w:eastAsia="Calibri" w:hAnsi="Times New Roman"/>
          <w:szCs w:val="22"/>
          <w:lang w:val="fr-FR"/>
        </w:rPr>
      </w:pPr>
    </w:p>
    <w:p w14:paraId="6F9F2D1A" w14:textId="77777777" w:rsidR="00F723DA" w:rsidRPr="00623A2B" w:rsidRDefault="00F723DA" w:rsidP="00F723DA">
      <w:pPr>
        <w:ind w:firstLine="720"/>
        <w:rPr>
          <w:rFonts w:ascii="Times New Roman" w:eastAsia="Calibri" w:hAnsi="Times New Roman"/>
          <w:szCs w:val="22"/>
          <w:lang w:val="fr-FR"/>
        </w:rPr>
      </w:pPr>
      <w:r w:rsidRPr="00623A2B">
        <w:rPr>
          <w:rFonts w:ascii="Times New Roman" w:eastAsia="Calibri" w:hAnsi="Times New Roman"/>
          <w:szCs w:val="22"/>
          <w:lang w:val="fr-FR"/>
        </w:rPr>
        <w:t>5.</w:t>
      </w:r>
      <w:r w:rsidRPr="00623A2B">
        <w:rPr>
          <w:rFonts w:ascii="Times New Roman" w:eastAsia="Calibri" w:hAnsi="Times New Roman"/>
          <w:szCs w:val="22"/>
          <w:lang w:val="fr-FR"/>
        </w:rPr>
        <w:tab/>
        <w:t>D’encourager les différents États à coopérer sur le plan international avec les efforts déployés par le Comité international de la Croix-Rouge (CICR), le Sous-comité pour la prévention de la torture des Nations Unies et les mécanismes nationaux de prévention de la torture dans le cadre de leurs compétences en contribuant à l’élaboration, à la promotion, à l’examen et à l’adoption d’initiatives nationales et régionales pour répondre aux besoins des personnes privées de liberté dans les divers pays où ces organismes interviennent.</w:t>
      </w:r>
    </w:p>
    <w:p w14:paraId="48922493" w14:textId="77777777" w:rsidR="00F723DA" w:rsidRPr="00623A2B" w:rsidRDefault="00F723DA" w:rsidP="00F723DA">
      <w:pPr>
        <w:rPr>
          <w:rFonts w:ascii="Times New Roman" w:hAnsi="Times New Roman"/>
          <w:szCs w:val="22"/>
          <w:lang w:val="fr-FR"/>
        </w:rPr>
      </w:pPr>
    </w:p>
    <w:p w14:paraId="2991E50F" w14:textId="77777777" w:rsidR="00F723DA" w:rsidRPr="00623A2B" w:rsidRDefault="00F723DA" w:rsidP="00EE7518">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554"/>
        <w:contextualSpacing w:val="0"/>
        <w:jc w:val="left"/>
        <w:rPr>
          <w:rFonts w:ascii="Times New Roman" w:hAnsi="Times New Roman"/>
          <w:szCs w:val="22"/>
          <w:u w:val="single"/>
          <w:lang w:val="fr-FR"/>
        </w:rPr>
      </w:pPr>
      <w:r w:rsidRPr="00623A2B">
        <w:rPr>
          <w:rFonts w:ascii="Times New Roman" w:hAnsi="Times New Roman"/>
          <w:szCs w:val="22"/>
          <w:u w:val="single"/>
          <w:lang w:val="fr-FR"/>
        </w:rPr>
        <w:t>Protection des demandeurs de la reconnaissance du statut de réfugié et des réfugiés dans les Amériques</w:t>
      </w:r>
      <w:r w:rsidRPr="00623A2B">
        <w:rPr>
          <w:rFonts w:ascii="Times New Roman" w:hAnsi="Times New Roman"/>
          <w:lang w:val="fr-FR"/>
        </w:rPr>
        <w:t xml:space="preserve"> </w:t>
      </w:r>
      <w:r w:rsidRPr="00623A2B">
        <w:rPr>
          <w:rStyle w:val="FootnoteReference"/>
          <w:rFonts w:ascii="Times New Roman" w:hAnsi="Times New Roman"/>
          <w:u w:val="single"/>
          <w:vertAlign w:val="superscript"/>
        </w:rPr>
        <w:footnoteReference w:id="93"/>
      </w:r>
      <w:r w:rsidRPr="00623A2B">
        <w:rPr>
          <w:rFonts w:ascii="Times New Roman" w:hAnsi="Times New Roman"/>
          <w:vertAlign w:val="superscript"/>
          <w:lang w:val="fr-FR"/>
        </w:rPr>
        <w:t>/</w:t>
      </w:r>
    </w:p>
    <w:p w14:paraId="5D0D3921" w14:textId="77777777" w:rsidR="00F723DA" w:rsidRPr="00623A2B" w:rsidRDefault="00F723DA" w:rsidP="00F723DA">
      <w:pPr>
        <w:suppressAutoHyphens/>
        <w:autoSpaceDE w:val="0"/>
        <w:autoSpaceDN w:val="0"/>
        <w:adjustRightInd w:val="0"/>
        <w:textAlignment w:val="baseline"/>
        <w:rPr>
          <w:rFonts w:ascii="Times New Roman" w:hAnsi="Times New Roman"/>
          <w:szCs w:val="22"/>
          <w:lang w:val="fr-FR"/>
        </w:rPr>
      </w:pPr>
      <w:bookmarkStart w:id="77" w:name="_Hlk74304978"/>
    </w:p>
    <w:p w14:paraId="5F55882B" w14:textId="77777777" w:rsidR="00F723DA" w:rsidRPr="00623A2B" w:rsidRDefault="00F723DA" w:rsidP="00F723DA">
      <w:pPr>
        <w:suppressAutoHyphens/>
        <w:autoSpaceDE w:val="0"/>
        <w:autoSpaceDN w:val="0"/>
        <w:adjustRightInd w:val="0"/>
        <w:ind w:firstLine="720"/>
        <w:textAlignment w:val="baseline"/>
        <w:rPr>
          <w:rFonts w:ascii="Times New Roman" w:eastAsia="Calibri" w:hAnsi="Times New Roman"/>
          <w:szCs w:val="22"/>
          <w:lang w:val="fr-FR"/>
        </w:rPr>
      </w:pPr>
      <w:r w:rsidRPr="00623A2B">
        <w:rPr>
          <w:rFonts w:ascii="Times New Roman" w:eastAsia="Calibri" w:hAnsi="Times New Roman"/>
          <w:szCs w:val="22"/>
          <w:lang w:val="fr-FR"/>
        </w:rPr>
        <w:t xml:space="preserve">SOULIGNANT l’importance du Plan d’action du Brésil : « Une feuille de route visant à renforcer la protection et promouvoir des solutions durables pour les réfugiés, personnes déplacées et apatrides en Amérique latine et aux Caraïbes dans un cadre de coopération et de solidarité », adopté le 3 décembre 2014 en tant que cadre stratégique pour la protection des demandeurs de la reconnaissance du statut de réfugié, des réfugiés, des personnes déplacées et des apatrides pour l’Amérique latine et les Caraïbes, </w:t>
      </w:r>
    </w:p>
    <w:p w14:paraId="6F55CA03" w14:textId="77777777" w:rsidR="00F723DA" w:rsidRPr="00623A2B" w:rsidRDefault="00F723DA" w:rsidP="00F723DA">
      <w:pPr>
        <w:suppressAutoHyphens/>
        <w:autoSpaceDE w:val="0"/>
        <w:autoSpaceDN w:val="0"/>
        <w:adjustRightInd w:val="0"/>
        <w:textAlignment w:val="baseline"/>
        <w:rPr>
          <w:rFonts w:ascii="Times New Roman" w:eastAsia="Calibri" w:hAnsi="Times New Roman"/>
          <w:szCs w:val="22"/>
          <w:lang w:val="fr-FR"/>
        </w:rPr>
      </w:pPr>
    </w:p>
    <w:p w14:paraId="4933C09D" w14:textId="77777777" w:rsidR="00F723DA" w:rsidRPr="00623A2B" w:rsidRDefault="00F723DA" w:rsidP="00F723DA">
      <w:pPr>
        <w:autoSpaceDE w:val="0"/>
        <w:autoSpaceDN w:val="0"/>
        <w:adjustRightInd w:val="0"/>
        <w:ind w:firstLine="720"/>
        <w:rPr>
          <w:rFonts w:ascii="Times New Roman" w:hAnsi="Times New Roman"/>
          <w:szCs w:val="22"/>
          <w:lang w:val="fr-FR"/>
        </w:rPr>
      </w:pPr>
      <w:r w:rsidRPr="00623A2B">
        <w:rPr>
          <w:rFonts w:ascii="Times New Roman" w:eastAsia="Calibri" w:hAnsi="Times New Roman"/>
          <w:szCs w:val="22"/>
          <w:lang w:val="fr-FR"/>
        </w:rPr>
        <w:t>SOULIGNANT ÉGALEMENT l'importance du Pacte mondial sur les réfugiés, des travaux du Groupe d'appui aux capacités d'asile et du suivi des engagements pris par différents États membres de l'Organisation lors du premier Forum mondial sur les réfugiés, lequel s'est tenu à Genève en décembre 2019, en particulier concernant le renforcement des capacités d'asile et de protection, le partage des responsabilités et les solutions durables,</w:t>
      </w:r>
    </w:p>
    <w:p w14:paraId="617113AF" w14:textId="77777777" w:rsidR="00F723DA" w:rsidRPr="00623A2B" w:rsidRDefault="00F723DA" w:rsidP="00F723DA">
      <w:pPr>
        <w:suppressAutoHyphens/>
        <w:autoSpaceDE w:val="0"/>
        <w:autoSpaceDN w:val="0"/>
        <w:adjustRightInd w:val="0"/>
        <w:textAlignment w:val="baseline"/>
        <w:rPr>
          <w:rFonts w:ascii="Times New Roman" w:eastAsia="Calibri" w:hAnsi="Times New Roman"/>
          <w:szCs w:val="22"/>
          <w:lang w:val="fr-FR" w:eastAsia="es-MX"/>
        </w:rPr>
      </w:pPr>
    </w:p>
    <w:p w14:paraId="4A0D19CF" w14:textId="77777777" w:rsidR="00F723DA" w:rsidRPr="00623A2B" w:rsidRDefault="00F723DA" w:rsidP="00F723DA">
      <w:pPr>
        <w:suppressAutoHyphens/>
        <w:autoSpaceDE w:val="0"/>
        <w:autoSpaceDN w:val="0"/>
        <w:adjustRightInd w:val="0"/>
        <w:textAlignment w:val="baseline"/>
        <w:rPr>
          <w:rFonts w:ascii="Times New Roman" w:eastAsia="Calibri" w:hAnsi="Times New Roman"/>
          <w:szCs w:val="22"/>
          <w:lang w:val="fr-FR"/>
        </w:rPr>
      </w:pPr>
      <w:r w:rsidRPr="00623A2B">
        <w:rPr>
          <w:rFonts w:ascii="Times New Roman" w:eastAsia="Calibri" w:hAnsi="Times New Roman"/>
          <w:szCs w:val="22"/>
          <w:lang w:val="fr-FR"/>
        </w:rPr>
        <w:tab/>
        <w:t xml:space="preserve">RAPPELANT les résolutions AG/RES. 2928 (XLVIII-O/18), AG/RES. 2941 (XLIX-O/19) et AG/RES. 2961 (L-O/20) en ce qui concerne le Cadre intégral régional pour la protection et les solutions </w:t>
      </w:r>
      <w:r w:rsidRPr="00623A2B">
        <w:rPr>
          <w:rFonts w:ascii="Times New Roman" w:eastAsia="Calibri" w:hAnsi="Times New Roman"/>
          <w:szCs w:val="22"/>
          <w:lang w:val="fr-FR"/>
        </w:rPr>
        <w:lastRenderedPageBreak/>
        <w:t>(MIRPS), un mécanisme qui contribue aux initiatives générées au niveau multilatéral pour le dialogue et la coopération sur la question des personnes demandant le statut de réfugié, des réfugiés, des rapatriés ayant besoin de protection et des personnes déplacées, comprenant le Belize, le Costa Rica, El Salvador, le Guatemala, le Honduras, le Mexique et le Panama,</w:t>
      </w:r>
    </w:p>
    <w:p w14:paraId="73A3EFFD" w14:textId="77777777" w:rsidR="00F723DA" w:rsidRPr="00623A2B" w:rsidRDefault="00F723DA" w:rsidP="00F723DA">
      <w:pPr>
        <w:suppressAutoHyphens/>
        <w:autoSpaceDE w:val="0"/>
        <w:autoSpaceDN w:val="0"/>
        <w:adjustRightInd w:val="0"/>
        <w:textAlignment w:val="baseline"/>
        <w:rPr>
          <w:rFonts w:ascii="Times New Roman" w:eastAsia="Calibri" w:hAnsi="Times New Roman"/>
          <w:szCs w:val="22"/>
          <w:lang w:val="fr-FR" w:eastAsia="es-MX"/>
        </w:rPr>
      </w:pPr>
    </w:p>
    <w:p w14:paraId="733ABC49" w14:textId="77777777" w:rsidR="00F723DA" w:rsidRPr="00623A2B" w:rsidRDefault="00F723DA" w:rsidP="00F723DA">
      <w:pPr>
        <w:suppressAutoHyphens/>
        <w:autoSpaceDE w:val="0"/>
        <w:autoSpaceDN w:val="0"/>
        <w:adjustRightInd w:val="0"/>
        <w:ind w:firstLine="720"/>
        <w:textAlignment w:val="baseline"/>
        <w:rPr>
          <w:rFonts w:ascii="Times New Roman" w:eastAsia="Calibri" w:hAnsi="Times New Roman"/>
          <w:szCs w:val="22"/>
          <w:lang w:val="fr-FR"/>
        </w:rPr>
      </w:pPr>
      <w:r w:rsidRPr="00623A2B">
        <w:rPr>
          <w:rFonts w:ascii="Times New Roman" w:eastAsia="Calibri" w:hAnsi="Times New Roman"/>
          <w:szCs w:val="22"/>
          <w:lang w:val="fr-FR"/>
        </w:rPr>
        <w:t>SOULIGNANT que la région continue de faire face à des situations humanitaires complexes et à des déplacements forcés sans précédent, que plus de 2 millions de personnes avaient des demandes de reconnaissance du statut de réfugié en attente à la fin de 2020, et que la situation humanitaire s'est aggravée dans plusieurs pays, y compris en raison de la pandémie de COVID-19,</w:t>
      </w:r>
    </w:p>
    <w:p w14:paraId="2F5634A2" w14:textId="77777777" w:rsidR="00F723DA" w:rsidRPr="00623A2B" w:rsidRDefault="00F723DA" w:rsidP="00F723DA">
      <w:pPr>
        <w:suppressAutoHyphens/>
        <w:autoSpaceDE w:val="0"/>
        <w:autoSpaceDN w:val="0"/>
        <w:adjustRightInd w:val="0"/>
        <w:textAlignment w:val="baseline"/>
        <w:rPr>
          <w:rFonts w:ascii="Times New Roman" w:eastAsia="Calibri" w:hAnsi="Times New Roman"/>
          <w:szCs w:val="22"/>
          <w:lang w:val="fr-FR"/>
        </w:rPr>
      </w:pPr>
    </w:p>
    <w:p w14:paraId="192DE4EC" w14:textId="77777777" w:rsidR="00F723DA" w:rsidRPr="00623A2B" w:rsidRDefault="00F723DA" w:rsidP="00F723DA">
      <w:pPr>
        <w:suppressAutoHyphens/>
        <w:autoSpaceDE w:val="0"/>
        <w:autoSpaceDN w:val="0"/>
        <w:adjustRightInd w:val="0"/>
        <w:ind w:firstLine="720"/>
        <w:textAlignment w:val="baseline"/>
        <w:rPr>
          <w:rFonts w:ascii="Times New Roman" w:eastAsia="Calibri" w:hAnsi="Times New Roman"/>
          <w:szCs w:val="22"/>
          <w:lang w:val="fr-FR"/>
        </w:rPr>
      </w:pPr>
      <w:r w:rsidRPr="00623A2B">
        <w:rPr>
          <w:rFonts w:ascii="Times New Roman" w:eastAsia="Calibri" w:hAnsi="Times New Roman"/>
          <w:szCs w:val="22"/>
          <w:lang w:val="fr-FR"/>
        </w:rPr>
        <w:t xml:space="preserve">SOULIGNANT ÉGALEMENT les progrès réalisés par plusieurs pays de la région en matière de protection des réfugiés et des demandeurs du statut de réfugié tels que la mise en place de procédures d'octroi du statut de réfugié </w:t>
      </w:r>
      <w:r w:rsidRPr="00623A2B">
        <w:rPr>
          <w:rFonts w:ascii="Times New Roman" w:eastAsia="Calibri" w:hAnsi="Times New Roman"/>
          <w:i/>
          <w:iCs/>
          <w:szCs w:val="22"/>
          <w:lang w:val="fr-FR"/>
        </w:rPr>
        <w:t>prima facie</w:t>
      </w:r>
      <w:r w:rsidRPr="00623A2B">
        <w:rPr>
          <w:rFonts w:ascii="Times New Roman" w:eastAsia="Calibri" w:hAnsi="Times New Roman"/>
          <w:szCs w:val="22"/>
          <w:lang w:val="fr-FR"/>
        </w:rPr>
        <w:t>, de régimes de protection temporaire, de protection complémentaire et de procédures différenciées, entre autres,</w:t>
      </w:r>
    </w:p>
    <w:p w14:paraId="10B402CF" w14:textId="77777777" w:rsidR="00F723DA" w:rsidRPr="00623A2B" w:rsidRDefault="00F723DA" w:rsidP="00F723DA">
      <w:pPr>
        <w:suppressAutoHyphens/>
        <w:autoSpaceDE w:val="0"/>
        <w:autoSpaceDN w:val="0"/>
        <w:adjustRightInd w:val="0"/>
        <w:textAlignment w:val="baseline"/>
        <w:rPr>
          <w:rFonts w:ascii="Times New Roman" w:eastAsia="Calibri" w:hAnsi="Times New Roman"/>
          <w:szCs w:val="22"/>
          <w:lang w:val="fr-FR"/>
        </w:rPr>
      </w:pPr>
    </w:p>
    <w:p w14:paraId="64DC8734" w14:textId="77777777" w:rsidR="00F723DA" w:rsidRPr="00623A2B" w:rsidRDefault="00F723DA" w:rsidP="00F723DA">
      <w:pPr>
        <w:suppressAutoHyphens/>
        <w:autoSpaceDE w:val="0"/>
        <w:autoSpaceDN w:val="0"/>
        <w:adjustRightInd w:val="0"/>
        <w:textAlignment w:val="baseline"/>
        <w:rPr>
          <w:rFonts w:ascii="Times New Roman" w:eastAsia="Calibri" w:hAnsi="Times New Roman"/>
          <w:szCs w:val="22"/>
          <w:lang w:val="fr-FR"/>
        </w:rPr>
      </w:pPr>
      <w:r w:rsidRPr="00623A2B">
        <w:rPr>
          <w:rFonts w:ascii="Times New Roman" w:eastAsia="Calibri" w:hAnsi="Times New Roman"/>
          <w:szCs w:val="22"/>
          <w:lang w:val="fr-FR"/>
        </w:rPr>
        <w:t>DÉCIDE :</w:t>
      </w:r>
    </w:p>
    <w:p w14:paraId="7B3BC515" w14:textId="77777777" w:rsidR="00F723DA" w:rsidRPr="00623A2B" w:rsidRDefault="00F723DA" w:rsidP="00F723DA">
      <w:pPr>
        <w:suppressAutoHyphens/>
        <w:autoSpaceDE w:val="0"/>
        <w:autoSpaceDN w:val="0"/>
        <w:adjustRightInd w:val="0"/>
        <w:textAlignment w:val="baseline"/>
        <w:rPr>
          <w:rFonts w:ascii="Times New Roman" w:eastAsia="Calibri" w:hAnsi="Times New Roman"/>
          <w:szCs w:val="22"/>
          <w:lang w:val="fr-FR" w:eastAsia="es-MX"/>
        </w:rPr>
      </w:pPr>
    </w:p>
    <w:p w14:paraId="3F04A5BF" w14:textId="77777777" w:rsidR="00F723DA" w:rsidRPr="00623A2B" w:rsidRDefault="00F723DA" w:rsidP="00F723DA">
      <w:pPr>
        <w:suppressAutoHyphens/>
        <w:autoSpaceDE w:val="0"/>
        <w:autoSpaceDN w:val="0"/>
        <w:adjustRightInd w:val="0"/>
        <w:ind w:firstLine="708"/>
        <w:textAlignment w:val="baseline"/>
        <w:rPr>
          <w:rFonts w:ascii="Times New Roman" w:eastAsia="Calibri" w:hAnsi="Times New Roman"/>
          <w:szCs w:val="22"/>
          <w:lang w:val="fr-FR"/>
        </w:rPr>
      </w:pPr>
      <w:r w:rsidRPr="00623A2B">
        <w:rPr>
          <w:rFonts w:ascii="Times New Roman" w:eastAsia="Calibri" w:hAnsi="Times New Roman"/>
          <w:szCs w:val="22"/>
          <w:lang w:val="fr-FR"/>
        </w:rPr>
        <w:t xml:space="preserve">1. </w:t>
      </w:r>
      <w:r w:rsidRPr="00623A2B">
        <w:rPr>
          <w:rFonts w:ascii="Times New Roman" w:eastAsia="Calibri" w:hAnsi="Times New Roman"/>
          <w:szCs w:val="22"/>
          <w:lang w:val="fr-FR"/>
        </w:rPr>
        <w:tab/>
        <w:t xml:space="preserve">D’exhorter les États membres à poursuivre la mise en œuvre des programmes et des axes thématiques du Plan d'action du Brésil et, avec le soutien du Haut-Commissariat des Nations Unies pour les réfugiés (HCR) et du Groupe d'appui à la capacité d'asile, le cas échéant, à continuer de renforcer leurs capacités nationales en la matière afin de mieux répondre à l'afflux massif de personnes ayant besoin d'une protection internationale, dans la limite des ressources disponibles, tout en invitant les États membres concernés à mettre en œuvre les engagements présentés lors du premier Forum mondial sur les réfugiés et à faire rapport sur les progrès réalisés lors de la première réunion de hauts fonctionnaires qui se tiendra les 14 et 15 décembre 2021 à Genève (Suisse), laquelle permettra d’identifier les </w:t>
      </w:r>
      <w:r w:rsidRPr="00623A2B">
        <w:rPr>
          <w:rFonts w:ascii="Times New Roman" w:eastAsia="Calibri" w:hAnsi="Times New Roman"/>
          <w:szCs w:val="22"/>
          <w:shd w:val="clear" w:color="auto" w:fill="FFFFFF"/>
          <w:lang w:val="fr-FR"/>
        </w:rPr>
        <w:t xml:space="preserve">progrès, les défis et les situations où un soutien et un engagement supplémentaires sont nécessaires </w:t>
      </w:r>
      <w:r w:rsidRPr="00623A2B">
        <w:rPr>
          <w:rFonts w:ascii="Times New Roman" w:eastAsia="Calibri" w:hAnsi="Times New Roman"/>
          <w:szCs w:val="22"/>
          <w:lang w:val="fr-FR"/>
        </w:rPr>
        <w:t>pour atteindre les objectifs du Pacte mondial sur les réfugiés.</w:t>
      </w:r>
    </w:p>
    <w:p w14:paraId="3057789D" w14:textId="77777777" w:rsidR="00F723DA" w:rsidRPr="00623A2B" w:rsidRDefault="00F723DA" w:rsidP="00F723DA">
      <w:pPr>
        <w:suppressAutoHyphens/>
        <w:autoSpaceDE w:val="0"/>
        <w:autoSpaceDN w:val="0"/>
        <w:adjustRightInd w:val="0"/>
        <w:textAlignment w:val="baseline"/>
        <w:rPr>
          <w:rFonts w:ascii="Times New Roman" w:eastAsia="Calibri" w:hAnsi="Times New Roman"/>
          <w:szCs w:val="22"/>
          <w:lang w:val="fr-FR" w:eastAsia="es-MX"/>
        </w:rPr>
      </w:pPr>
    </w:p>
    <w:p w14:paraId="26BAEBEA" w14:textId="77777777" w:rsidR="00F723DA" w:rsidRPr="00623A2B" w:rsidRDefault="00F723DA" w:rsidP="00F723DA">
      <w:pPr>
        <w:suppressAutoHyphens/>
        <w:autoSpaceDE w:val="0"/>
        <w:autoSpaceDN w:val="0"/>
        <w:adjustRightInd w:val="0"/>
        <w:ind w:firstLine="720"/>
        <w:textAlignment w:val="baseline"/>
        <w:rPr>
          <w:rFonts w:ascii="Times New Roman" w:eastAsia="Calibri" w:hAnsi="Times New Roman"/>
          <w:szCs w:val="22"/>
          <w:lang w:val="fr-FR"/>
        </w:rPr>
      </w:pPr>
      <w:r w:rsidRPr="00623A2B">
        <w:rPr>
          <w:rFonts w:ascii="Times New Roman" w:eastAsia="Calibri" w:hAnsi="Times New Roman"/>
          <w:szCs w:val="22"/>
          <w:lang w:val="fr-FR"/>
        </w:rPr>
        <w:t xml:space="preserve">2. </w:t>
      </w:r>
      <w:r w:rsidRPr="00623A2B">
        <w:rPr>
          <w:rFonts w:ascii="Times New Roman" w:eastAsia="Calibri" w:hAnsi="Times New Roman"/>
          <w:szCs w:val="22"/>
          <w:lang w:val="fr-FR"/>
        </w:rPr>
        <w:tab/>
        <w:t>De recommander aux États membres intéressés de continuer à mettre au point les pratiques optimales en matière de détermination du statut de réfugié, fondées sur l'optimisation des mécanismes d'identification des besoins de protection internationale, en fonction du profil de la personne, de ses risques et de ses vulnérabilités ; le renforcement des systèmes d'identification et de renvoi des cas aux commissions nationales des réfugiés (CONARE) – ou à des organismes équivalents ; le développement d'outils d'enregistrement biométrique; la gestion informatisée des demandes ; la mise en place de systèmes de triage et de procédures de détermination du statut de réfugié accélérées, simplifiées, fusionnées et spéciales, ou fondées sur la présomption d'inclusion et la détermination du groupe, selon le cas, conformément aux législations nationales en permettant la réalisation, dans tous les cas, d’une analyse du statut de réfugié, au cas par cas; ainsi que la promotion de l'identité numérique et de l'interopérabilité entre les systèmes nationaux de détermination du statut de réfugié et les systèmes nationaux d'identification et de protection.</w:t>
      </w:r>
    </w:p>
    <w:p w14:paraId="6BF9316B" w14:textId="77777777" w:rsidR="00F723DA" w:rsidRPr="00623A2B" w:rsidRDefault="00F723DA" w:rsidP="00F723DA">
      <w:pPr>
        <w:suppressAutoHyphens/>
        <w:autoSpaceDE w:val="0"/>
        <w:autoSpaceDN w:val="0"/>
        <w:adjustRightInd w:val="0"/>
        <w:textAlignment w:val="baseline"/>
        <w:rPr>
          <w:rFonts w:ascii="Times New Roman" w:eastAsia="Calibri" w:hAnsi="Times New Roman"/>
          <w:szCs w:val="22"/>
          <w:lang w:val="fr-FR" w:eastAsia="es-MX"/>
        </w:rPr>
      </w:pPr>
    </w:p>
    <w:p w14:paraId="51E9C5AA" w14:textId="77777777" w:rsidR="00F723DA" w:rsidRPr="00623A2B" w:rsidRDefault="00F723DA" w:rsidP="0015168F">
      <w:pPr>
        <w:widowControl/>
        <w:suppressAutoHyphens/>
        <w:autoSpaceDE w:val="0"/>
        <w:autoSpaceDN w:val="0"/>
        <w:adjustRightInd w:val="0"/>
        <w:ind w:firstLine="720"/>
        <w:textAlignment w:val="baseline"/>
        <w:rPr>
          <w:rFonts w:ascii="Times New Roman" w:eastAsia="Calibri" w:hAnsi="Times New Roman"/>
          <w:szCs w:val="22"/>
          <w:lang w:val="fr-FR"/>
        </w:rPr>
      </w:pPr>
      <w:r w:rsidRPr="00623A2B">
        <w:rPr>
          <w:rFonts w:ascii="Times New Roman" w:eastAsia="Calibri" w:hAnsi="Times New Roman"/>
          <w:szCs w:val="22"/>
          <w:lang w:val="fr-FR"/>
        </w:rPr>
        <w:t>3.</w:t>
      </w:r>
      <w:r w:rsidRPr="00623A2B">
        <w:rPr>
          <w:rFonts w:ascii="Times New Roman" w:eastAsia="Calibri" w:hAnsi="Times New Roman"/>
          <w:szCs w:val="22"/>
          <w:lang w:val="fr-FR"/>
        </w:rPr>
        <w:tab/>
        <w:t xml:space="preserve">De remercier le HCR et la communauté internationale pour leur concours technique et financier et de les appeler à continuer de soutenir la conception, le financement et la mise en œuvre de projets nationaux visant à renforcer les systèmes nationaux de détermination du statut de réfugié dans les pays intéressés, ainsi que leurs initiatives régionales sur la formation et l'échange de fonctionnaires des CONARE, l'identification de profils de personnes à risque grâce aux informations sur les pays d'origine, l'échange de bonnes pratiques des pays au moyen d’une plateforme numérique régionale et </w:t>
      </w:r>
      <w:r w:rsidRPr="00623A2B">
        <w:rPr>
          <w:rFonts w:ascii="Times New Roman" w:eastAsia="Calibri" w:hAnsi="Times New Roman"/>
          <w:szCs w:val="22"/>
          <w:lang w:val="fr-FR"/>
        </w:rPr>
        <w:lastRenderedPageBreak/>
        <w:t>la diffusion d'un modèle régional de détermination du statut de réfugié, toutes ces initiatives devant prendre en compte les différentes réalités et conjonctures propres à chaque pays.</w:t>
      </w:r>
    </w:p>
    <w:p w14:paraId="1050E4E6" w14:textId="77777777" w:rsidR="00F723DA" w:rsidRPr="00623A2B" w:rsidRDefault="00F723DA" w:rsidP="0015168F">
      <w:pPr>
        <w:widowControl/>
        <w:suppressAutoHyphens/>
        <w:autoSpaceDE w:val="0"/>
        <w:autoSpaceDN w:val="0"/>
        <w:adjustRightInd w:val="0"/>
        <w:ind w:firstLine="720"/>
        <w:textAlignment w:val="baseline"/>
        <w:rPr>
          <w:rFonts w:ascii="Times New Roman" w:eastAsia="Calibri" w:hAnsi="Times New Roman"/>
          <w:szCs w:val="22"/>
          <w:lang w:val="fr-FR"/>
        </w:rPr>
      </w:pPr>
    </w:p>
    <w:p w14:paraId="0A6A12BD" w14:textId="77777777" w:rsidR="00F723DA" w:rsidRPr="00623A2B" w:rsidRDefault="00F723DA" w:rsidP="00F723DA">
      <w:pPr>
        <w:suppressAutoHyphens/>
        <w:autoSpaceDE w:val="0"/>
        <w:autoSpaceDN w:val="0"/>
        <w:adjustRightInd w:val="0"/>
        <w:ind w:firstLine="720"/>
        <w:textAlignment w:val="baseline"/>
        <w:rPr>
          <w:rFonts w:ascii="Times New Roman" w:eastAsia="Calibri" w:hAnsi="Times New Roman"/>
          <w:szCs w:val="22"/>
          <w:lang w:val="fr-FR"/>
        </w:rPr>
      </w:pPr>
      <w:r w:rsidRPr="00623A2B">
        <w:rPr>
          <w:rFonts w:ascii="Times New Roman" w:eastAsia="Calibri" w:hAnsi="Times New Roman"/>
          <w:szCs w:val="22"/>
          <w:lang w:val="fr-FR"/>
        </w:rPr>
        <w:t xml:space="preserve">4. </w:t>
      </w:r>
      <w:r w:rsidRPr="00623A2B">
        <w:rPr>
          <w:rFonts w:ascii="Times New Roman" w:eastAsia="Calibri" w:hAnsi="Times New Roman"/>
          <w:szCs w:val="22"/>
          <w:lang w:val="fr-FR"/>
        </w:rPr>
        <w:tab/>
        <w:t>D’exhorter tous les États à continuer de respecter le droit international des réfugiés, en particulier le principe de non-refoulement, ainsi qu’à continuer de respecter leurs obligations et engagements internationaux dans leurs opérations frontalières, de réaffirmer l'importance fondamentale de la Convention de 1951 relative au statut des réfugiés et de son Protocole de 1967, et de recommander, le cas échéant, l'application de la définition régionale du réfugié contenue dans la Déclaration de Carthagène sur les réfugiés (1984) pour répondre aux besoins de protection internationale identifiés dans les différents pays de la région, et de prendre en compte les avis consultatifs OC-21/14 et OC-25/18 de la Cour interaméricaine des droits de l'homme, conformément au droit interne et aux obligations internationales en matière de droits de la personne qui leur sont applicables. De souligner également la complémentarité du statut de réfugié avec d'autres statuts de protection adoptés dans la région, tels que la protection complémentaire ou la protection temporaire, ainsi qu'avec les statuts de migration ou les processus de régularisation qui impliquent des dispositions de séjour légal avec des garanties de protection appropriées pour les migrants.</w:t>
      </w:r>
    </w:p>
    <w:p w14:paraId="225DA591" w14:textId="77777777" w:rsidR="00F723DA" w:rsidRPr="00623A2B" w:rsidRDefault="00F723DA" w:rsidP="00F723DA">
      <w:pPr>
        <w:suppressAutoHyphens/>
        <w:autoSpaceDE w:val="0"/>
        <w:autoSpaceDN w:val="0"/>
        <w:adjustRightInd w:val="0"/>
        <w:textAlignment w:val="baseline"/>
        <w:rPr>
          <w:rFonts w:ascii="Times New Roman" w:eastAsia="Calibri" w:hAnsi="Times New Roman"/>
          <w:szCs w:val="22"/>
          <w:lang w:val="fr-FR" w:eastAsia="es-MX"/>
        </w:rPr>
      </w:pPr>
    </w:p>
    <w:p w14:paraId="7DA57B65" w14:textId="77777777" w:rsidR="00F723DA" w:rsidRPr="00623A2B" w:rsidRDefault="00F723DA" w:rsidP="00F723DA">
      <w:pPr>
        <w:suppressAutoHyphens/>
        <w:autoSpaceDE w:val="0"/>
        <w:autoSpaceDN w:val="0"/>
        <w:adjustRightInd w:val="0"/>
        <w:ind w:firstLine="720"/>
        <w:textAlignment w:val="baseline"/>
        <w:rPr>
          <w:rFonts w:ascii="Times New Roman" w:eastAsia="Calibri" w:hAnsi="Times New Roman"/>
          <w:szCs w:val="22"/>
          <w:lang w:val="fr-FR" w:eastAsia="es-MX"/>
        </w:rPr>
      </w:pPr>
      <w:r w:rsidRPr="00623A2B">
        <w:rPr>
          <w:rFonts w:ascii="Times New Roman" w:eastAsia="Calibri" w:hAnsi="Times New Roman"/>
          <w:szCs w:val="22"/>
          <w:lang w:val="fr-FR"/>
        </w:rPr>
        <w:t>5.</w:t>
      </w:r>
      <w:r w:rsidRPr="00623A2B">
        <w:rPr>
          <w:rFonts w:ascii="Times New Roman" w:eastAsia="Calibri" w:hAnsi="Times New Roman"/>
          <w:szCs w:val="22"/>
          <w:lang w:val="fr-FR"/>
        </w:rPr>
        <w:tab/>
        <w:t>De réitérer aux États membres la nécessité de</w:t>
      </w:r>
      <w:r w:rsidRPr="00623A2B">
        <w:rPr>
          <w:rFonts w:ascii="Times New Roman" w:eastAsia="Calibri" w:hAnsi="Times New Roman"/>
          <w:lang w:val="fr-FR"/>
        </w:rPr>
        <w:t xml:space="preserve"> traiter les réfugiés, les demandeurs </w:t>
      </w:r>
      <w:r w:rsidRPr="00623A2B">
        <w:rPr>
          <w:rFonts w:ascii="Times New Roman" w:eastAsia="Calibri" w:hAnsi="Times New Roman"/>
          <w:szCs w:val="22"/>
          <w:lang w:val="fr-FR"/>
        </w:rPr>
        <w:t>du statut de réfugiés</w:t>
      </w:r>
      <w:r w:rsidRPr="00623A2B">
        <w:rPr>
          <w:rFonts w:ascii="Times New Roman" w:eastAsia="Calibri" w:hAnsi="Times New Roman"/>
          <w:lang w:val="fr-FR"/>
        </w:rPr>
        <w:t xml:space="preserve">, les migrants et les apatrides avec dignité et </w:t>
      </w:r>
      <w:r w:rsidRPr="00623A2B">
        <w:rPr>
          <w:rFonts w:ascii="Times New Roman" w:eastAsia="Calibri" w:hAnsi="Times New Roman"/>
          <w:szCs w:val="22"/>
          <w:lang w:val="fr-FR"/>
        </w:rPr>
        <w:t>de fournir une assistance humanitaire avec le soutien, entre autres, des acteurs internationaux, du secteur privé et des institutions financières pour épauler l'adoption de mesures de protection, y compris de mesures tenant compte de la parité hommes-femmes, ainsi que pour promouvoir l'inclusion dans les systèmes nationaux et la recherche de solutions durables pour les personnes ayant besoin d'une protection internationale, en particulier celles dont la vulnérabilité et la situation de risque ont augmenté depuis la COVID-19.</w:t>
      </w:r>
    </w:p>
    <w:p w14:paraId="507BDC15" w14:textId="77777777" w:rsidR="00F723DA" w:rsidRPr="00623A2B" w:rsidRDefault="00F723DA" w:rsidP="00F723DA">
      <w:pPr>
        <w:suppressAutoHyphens/>
        <w:autoSpaceDE w:val="0"/>
        <w:autoSpaceDN w:val="0"/>
        <w:adjustRightInd w:val="0"/>
        <w:textAlignment w:val="baseline"/>
        <w:rPr>
          <w:rFonts w:ascii="Times New Roman" w:eastAsia="Calibri" w:hAnsi="Times New Roman"/>
          <w:szCs w:val="22"/>
          <w:lang w:val="fr-FR" w:eastAsia="es-MX"/>
        </w:rPr>
      </w:pPr>
    </w:p>
    <w:p w14:paraId="3AB6FE5A" w14:textId="77777777" w:rsidR="00F723DA" w:rsidRPr="00623A2B" w:rsidRDefault="00F723DA" w:rsidP="00F723DA">
      <w:pPr>
        <w:suppressAutoHyphens/>
        <w:autoSpaceDE w:val="0"/>
        <w:autoSpaceDN w:val="0"/>
        <w:adjustRightInd w:val="0"/>
        <w:ind w:firstLine="720"/>
        <w:textAlignment w:val="baseline"/>
        <w:rPr>
          <w:rFonts w:ascii="Times New Roman" w:eastAsia="Calibri" w:hAnsi="Times New Roman"/>
          <w:szCs w:val="22"/>
          <w:lang w:val="fr-FR"/>
        </w:rPr>
      </w:pPr>
      <w:r w:rsidRPr="00623A2B">
        <w:rPr>
          <w:rFonts w:ascii="Times New Roman" w:eastAsia="Calibri" w:hAnsi="Times New Roman"/>
          <w:szCs w:val="22"/>
          <w:lang w:val="fr-FR"/>
        </w:rPr>
        <w:t>6.</w:t>
      </w:r>
      <w:r w:rsidRPr="00623A2B">
        <w:rPr>
          <w:rFonts w:ascii="Times New Roman" w:eastAsia="Calibri" w:hAnsi="Times New Roman"/>
          <w:szCs w:val="22"/>
          <w:lang w:val="fr-FR"/>
        </w:rPr>
        <w:tab/>
        <w:t>De reconnaître les efforts continus des États qui composent le Cadre intégral régional pour la protection et les solutions (MIRPS) afin de répondre aux besoins des demandeurs du statut de réfugié, des réfugiés, des rapatriés ayant des besoins de protection et des personnes déplacées, en particulier face à la crise de la COVID-19, aux impacts des catastrophes naturelles et au changement climatique, avec la collaboration du Secrétariat général de l'OEA, par le biais du Département de l'inclusion sociale, et du Haut-Commissariat des Nations Unies pour les réfugiés.</w:t>
      </w:r>
    </w:p>
    <w:p w14:paraId="19488BAE" w14:textId="77777777" w:rsidR="00F723DA" w:rsidRPr="00623A2B" w:rsidRDefault="00F723DA" w:rsidP="00F723DA">
      <w:pPr>
        <w:suppressAutoHyphens/>
        <w:autoSpaceDE w:val="0"/>
        <w:autoSpaceDN w:val="0"/>
        <w:adjustRightInd w:val="0"/>
        <w:textAlignment w:val="baseline"/>
        <w:rPr>
          <w:rFonts w:ascii="Times New Roman" w:eastAsia="Calibri" w:hAnsi="Times New Roman"/>
          <w:szCs w:val="22"/>
          <w:lang w:val="fr-FR" w:eastAsia="es-MX"/>
        </w:rPr>
      </w:pPr>
    </w:p>
    <w:p w14:paraId="0F23428B" w14:textId="77777777" w:rsidR="00F723DA" w:rsidRPr="00623A2B" w:rsidRDefault="00F723DA" w:rsidP="00F723DA">
      <w:pPr>
        <w:suppressAutoHyphens/>
        <w:autoSpaceDE w:val="0"/>
        <w:autoSpaceDN w:val="0"/>
        <w:adjustRightInd w:val="0"/>
        <w:ind w:firstLine="720"/>
        <w:textAlignment w:val="baseline"/>
        <w:rPr>
          <w:rFonts w:ascii="Times New Roman" w:eastAsia="Calibri" w:hAnsi="Times New Roman"/>
          <w:szCs w:val="22"/>
          <w:lang w:val="fr-FR"/>
        </w:rPr>
      </w:pPr>
      <w:r w:rsidRPr="00623A2B">
        <w:rPr>
          <w:rFonts w:ascii="Times New Roman" w:eastAsia="Calibri" w:hAnsi="Times New Roman"/>
          <w:szCs w:val="22"/>
          <w:lang w:val="fr-FR"/>
        </w:rPr>
        <w:t>7.</w:t>
      </w:r>
      <w:r w:rsidRPr="00623A2B">
        <w:rPr>
          <w:rFonts w:ascii="Times New Roman" w:eastAsia="Calibri" w:hAnsi="Times New Roman"/>
          <w:szCs w:val="22"/>
          <w:lang w:val="fr-FR"/>
        </w:rPr>
        <w:tab/>
        <w:t>De souligner les contributions apportées par la plateforme d'appui du MIRPS aux fins de mobilisation de l’aide financière et technique. De souligner également le soutien politique nécessaire pour favoriser la continuité, la prévisibilité et la durabilité des engagements pris et des objectifs nationaux et régionaux des pays au bénéfice de la protection et de la recherche de solutions pour ces personnes. De reconnaitre dans ce sens que l</w:t>
      </w:r>
      <w:proofErr w:type="gramStart"/>
      <w:r w:rsidRPr="00623A2B">
        <w:rPr>
          <w:rFonts w:ascii="Times New Roman" w:eastAsia="Calibri" w:hAnsi="Times New Roman"/>
          <w:szCs w:val="22"/>
          <w:lang w:val="fr-FR"/>
        </w:rPr>
        <w:t>’«</w:t>
      </w:r>
      <w:proofErr w:type="gramEnd"/>
      <w:r w:rsidRPr="00623A2B">
        <w:rPr>
          <w:rFonts w:ascii="Times New Roman" w:eastAsia="Calibri" w:hAnsi="Times New Roman"/>
          <w:szCs w:val="22"/>
          <w:lang w:val="fr-FR"/>
        </w:rPr>
        <w:t xml:space="preserve"> Événement de solidarité envers les personnes déplacées de force et les communautés qui les accueillent dans la région de l'Amérique centrale et du Mexique », qui s'est tenu le 10 juin 2021 et a été organisé par l'Espagne, le Guatemala et le Costa Rica, a été un effort très positif qui devrait être reproduit.</w:t>
      </w:r>
    </w:p>
    <w:p w14:paraId="56BC880A" w14:textId="77777777" w:rsidR="00F723DA" w:rsidRPr="00623A2B" w:rsidRDefault="00F723DA" w:rsidP="00F723DA">
      <w:pPr>
        <w:suppressAutoHyphens/>
        <w:autoSpaceDE w:val="0"/>
        <w:autoSpaceDN w:val="0"/>
        <w:adjustRightInd w:val="0"/>
        <w:textAlignment w:val="baseline"/>
        <w:rPr>
          <w:rFonts w:ascii="Times New Roman" w:eastAsia="Calibri" w:hAnsi="Times New Roman"/>
          <w:szCs w:val="22"/>
          <w:lang w:val="fr-FR" w:eastAsia="es-MX"/>
        </w:rPr>
      </w:pPr>
    </w:p>
    <w:p w14:paraId="19BBD4A8" w14:textId="77777777" w:rsidR="00F723DA" w:rsidRPr="00623A2B" w:rsidRDefault="00F723DA" w:rsidP="00F723DA">
      <w:pPr>
        <w:suppressAutoHyphens/>
        <w:autoSpaceDE w:val="0"/>
        <w:autoSpaceDN w:val="0"/>
        <w:adjustRightInd w:val="0"/>
        <w:ind w:firstLine="720"/>
        <w:textAlignment w:val="baseline"/>
        <w:rPr>
          <w:rFonts w:ascii="Times New Roman" w:eastAsia="Calibri" w:hAnsi="Times New Roman"/>
          <w:szCs w:val="22"/>
          <w:lang w:val="fr-FR"/>
        </w:rPr>
      </w:pPr>
      <w:r w:rsidRPr="00623A2B">
        <w:rPr>
          <w:rFonts w:ascii="Times New Roman" w:eastAsia="Calibri" w:hAnsi="Times New Roman"/>
          <w:szCs w:val="22"/>
          <w:lang w:val="fr-FR"/>
        </w:rPr>
        <w:t>8.</w:t>
      </w:r>
      <w:r w:rsidRPr="00623A2B">
        <w:rPr>
          <w:rFonts w:ascii="Times New Roman" w:eastAsia="Calibri" w:hAnsi="Times New Roman"/>
          <w:szCs w:val="22"/>
          <w:lang w:val="fr-FR"/>
        </w:rPr>
        <w:tab/>
        <w:t>D'exhorter les États membres, les observateurs permanents et d’autres bailleurs à verser des contributions volontaires au Fonds du MIRPS en vue d’appuyer les initiatives visant à accroître et à renforcer ses activités ainsi que les mécanismes de coopération régionale à l’appui de la mise en œuvre du Pacte mondial sur les réfugiés.</w:t>
      </w:r>
      <w:bookmarkEnd w:id="77"/>
    </w:p>
    <w:p w14:paraId="20FCA317" w14:textId="77777777" w:rsidR="00307190" w:rsidRPr="00623A2B" w:rsidRDefault="00307190" w:rsidP="00F723DA">
      <w:pPr>
        <w:jc w:val="left"/>
        <w:rPr>
          <w:rFonts w:ascii="Times New Roman" w:hAnsi="Times New Roman"/>
          <w:szCs w:val="22"/>
          <w:lang w:val="fr-FR"/>
        </w:rPr>
      </w:pPr>
    </w:p>
    <w:p w14:paraId="24C6ADE4" w14:textId="77777777" w:rsidR="00F723DA" w:rsidRPr="00623A2B" w:rsidRDefault="00F723DA" w:rsidP="00EE7518">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554"/>
        <w:contextualSpacing w:val="0"/>
        <w:jc w:val="left"/>
        <w:rPr>
          <w:rFonts w:ascii="Times New Roman" w:hAnsi="Times New Roman"/>
          <w:szCs w:val="22"/>
          <w:u w:val="single"/>
          <w:lang w:val="fr-FR"/>
        </w:rPr>
      </w:pPr>
      <w:r w:rsidRPr="00623A2B">
        <w:rPr>
          <w:rFonts w:ascii="Times New Roman" w:hAnsi="Times New Roman"/>
          <w:szCs w:val="22"/>
          <w:u w:val="single"/>
          <w:lang w:val="fr-FR"/>
        </w:rPr>
        <w:lastRenderedPageBreak/>
        <w:t>Renforcement de la Commission interaméricaine des femmes en vue de la promotion de la parité hommes-femmes et des droits des femmes</w:t>
      </w:r>
      <w:r w:rsidRPr="00623A2B">
        <w:rPr>
          <w:rFonts w:ascii="Times New Roman" w:hAnsi="Times New Roman"/>
          <w:szCs w:val="22"/>
          <w:lang w:val="fr-FR"/>
        </w:rPr>
        <w:t xml:space="preserve"> </w:t>
      </w:r>
      <w:r w:rsidRPr="00623A2B">
        <w:rPr>
          <w:rFonts w:ascii="Times New Roman" w:hAnsi="Times New Roman"/>
          <w:szCs w:val="22"/>
          <w:u w:val="single"/>
          <w:vertAlign w:val="superscript"/>
          <w:lang w:val="fr-CA"/>
        </w:rPr>
        <w:footnoteReference w:id="94"/>
      </w:r>
      <w:r w:rsidRPr="00623A2B">
        <w:rPr>
          <w:rFonts w:ascii="Times New Roman" w:hAnsi="Times New Roman"/>
          <w:szCs w:val="22"/>
          <w:u w:val="single"/>
          <w:vertAlign w:val="superscript"/>
          <w:lang w:val="fr-FR"/>
        </w:rPr>
        <w:t>/</w:t>
      </w:r>
      <w:r w:rsidRPr="00623A2B">
        <w:rPr>
          <w:rStyle w:val="FootnoteReference"/>
          <w:rFonts w:ascii="Times New Roman" w:hAnsi="Times New Roman"/>
          <w:u w:val="single"/>
          <w:vertAlign w:val="superscript"/>
        </w:rPr>
        <w:footnoteReference w:id="95"/>
      </w:r>
      <w:r w:rsidRPr="00623A2B">
        <w:rPr>
          <w:rFonts w:ascii="Times New Roman" w:hAnsi="Times New Roman"/>
          <w:u w:val="single"/>
          <w:vertAlign w:val="superscript"/>
          <w:lang w:val="fr-FR"/>
        </w:rPr>
        <w:t>/</w:t>
      </w:r>
    </w:p>
    <w:p w14:paraId="7509BEDE" w14:textId="77777777" w:rsidR="00F723DA" w:rsidRPr="00623A2B" w:rsidRDefault="00F723DA" w:rsidP="00F723DA">
      <w:pPr>
        <w:rPr>
          <w:rFonts w:ascii="Times New Roman" w:hAnsi="Times New Roman"/>
          <w:szCs w:val="22"/>
          <w:lang w:val="fr-FR"/>
        </w:rPr>
      </w:pPr>
    </w:p>
    <w:p w14:paraId="11EC4FF3" w14:textId="77777777" w:rsidR="00F723DA" w:rsidRPr="00623A2B" w:rsidRDefault="00F723DA" w:rsidP="00F723DA">
      <w:pPr>
        <w:ind w:firstLine="706"/>
        <w:rPr>
          <w:rFonts w:ascii="Times New Roman" w:eastAsia="Calibri" w:hAnsi="Times New Roman"/>
          <w:strike/>
          <w:szCs w:val="22"/>
          <w:lang w:val="fr-FR"/>
        </w:rPr>
      </w:pPr>
      <w:r w:rsidRPr="00623A2B">
        <w:rPr>
          <w:rFonts w:ascii="Times New Roman" w:eastAsia="Calibri" w:hAnsi="Times New Roman"/>
          <w:szCs w:val="22"/>
          <w:lang w:val="fr-FR"/>
        </w:rPr>
        <w:t xml:space="preserve">RAPPELANT </w:t>
      </w:r>
      <w:proofErr w:type="gramStart"/>
      <w:r w:rsidRPr="00623A2B">
        <w:rPr>
          <w:rFonts w:ascii="Times New Roman" w:eastAsia="Calibri" w:hAnsi="Times New Roman"/>
          <w:szCs w:val="22"/>
          <w:lang w:val="fr-FR"/>
        </w:rPr>
        <w:t>la section xx</w:t>
      </w:r>
      <w:proofErr w:type="gramEnd"/>
      <w:r w:rsidRPr="00623A2B">
        <w:rPr>
          <w:rFonts w:ascii="Times New Roman" w:eastAsia="Calibri" w:hAnsi="Times New Roman"/>
          <w:szCs w:val="22"/>
          <w:lang w:val="fr-FR"/>
        </w:rPr>
        <w:t xml:space="preserve">. </w:t>
      </w:r>
      <w:proofErr w:type="gramStart"/>
      <w:r w:rsidRPr="00623A2B">
        <w:rPr>
          <w:rFonts w:ascii="Times New Roman" w:eastAsia="Calibri" w:hAnsi="Times New Roman"/>
          <w:szCs w:val="22"/>
          <w:lang w:val="fr-FR"/>
        </w:rPr>
        <w:t>de</w:t>
      </w:r>
      <w:proofErr w:type="gramEnd"/>
      <w:r w:rsidRPr="00623A2B">
        <w:rPr>
          <w:rFonts w:ascii="Times New Roman" w:eastAsia="Calibri" w:hAnsi="Times New Roman"/>
          <w:szCs w:val="22"/>
          <w:lang w:val="fr-FR"/>
        </w:rPr>
        <w:t xml:space="preserve"> la résolution AG/RES. 2961 (L-O/20) et l’importance de la Déclaration de Santo Domingo sur l’égalité et l’autonomie dans l’exercice des droits politiques des femmes pour le renforcement de la démocratie, la Déclaration de Lima sur l’égalité et l’autonomie dans l’exercice des droits économiques des femmes, la résolution CP/RES. 1149/20 (2278/20), le Programme interaméricain de promotion des droits humains de la femme, de l’équité ainsi que de la parité hommes-femmes (PIA) ainsi que le programme triennal de travail 2019-2022,</w:t>
      </w:r>
    </w:p>
    <w:p w14:paraId="31C3D626" w14:textId="77777777" w:rsidR="00F723DA" w:rsidRPr="00623A2B" w:rsidRDefault="00F723DA" w:rsidP="00F723DA">
      <w:pPr>
        <w:rPr>
          <w:rFonts w:ascii="Times New Roman" w:eastAsia="Calibri" w:hAnsi="Times New Roman"/>
          <w:szCs w:val="22"/>
          <w:lang w:val="fr-FR"/>
        </w:rPr>
      </w:pPr>
    </w:p>
    <w:p w14:paraId="40FB4479" w14:textId="77777777" w:rsidR="00F723DA" w:rsidRPr="00623A2B" w:rsidRDefault="00F723DA" w:rsidP="00F723DA">
      <w:pPr>
        <w:ind w:firstLine="706"/>
        <w:rPr>
          <w:rFonts w:ascii="Times New Roman" w:eastAsia="Calibri" w:hAnsi="Times New Roman"/>
          <w:strike/>
          <w:szCs w:val="22"/>
          <w:lang w:val="fr-FR"/>
        </w:rPr>
      </w:pPr>
      <w:r w:rsidRPr="00623A2B">
        <w:rPr>
          <w:rFonts w:ascii="Times New Roman" w:eastAsia="Calibri" w:hAnsi="Times New Roman"/>
          <w:szCs w:val="22"/>
          <w:lang w:val="fr-FR"/>
        </w:rPr>
        <w:t>RECONNAISSANT que la pandémie de COVID-19 a exacerbé les écarts préexistants, montrant un impact différencié pour des raisons de genre et des situations socioéconomiques, ce qui exige une approche globale, axée sur le genre et le cycle de vie, qui comprenne l’interconnexion de formes multiples de discrimination, d’exclusion et d’inégalité, tout en respectant et en valorisant la pleine diversité des situations et des conditions que vivent les femmes et qui prenne en compte les facteurs sociaux, économiques, environnementaux, géographiques, ethniques et culturels afin d’assurer l'élimination des inégalités persistantes,</w:t>
      </w:r>
    </w:p>
    <w:p w14:paraId="3DC1F1F1" w14:textId="77777777" w:rsidR="0015168F" w:rsidRDefault="0015168F" w:rsidP="00F723DA">
      <w:pPr>
        <w:ind w:firstLine="706"/>
        <w:rPr>
          <w:rFonts w:ascii="Times New Roman" w:eastAsia="Calibri" w:hAnsi="Times New Roman"/>
          <w:szCs w:val="22"/>
          <w:lang w:val="fr-FR"/>
        </w:rPr>
      </w:pPr>
    </w:p>
    <w:p w14:paraId="52A0A5F8" w14:textId="35454702" w:rsidR="00F723DA" w:rsidRPr="00623A2B" w:rsidRDefault="00F723DA" w:rsidP="00F723DA">
      <w:pPr>
        <w:ind w:firstLine="706"/>
        <w:rPr>
          <w:rFonts w:ascii="Times New Roman" w:hAnsi="Times New Roman"/>
          <w:szCs w:val="22"/>
          <w:lang w:val="fr-FR"/>
        </w:rPr>
      </w:pPr>
      <w:r w:rsidRPr="00623A2B">
        <w:rPr>
          <w:rFonts w:ascii="Times New Roman" w:eastAsia="Calibri" w:hAnsi="Times New Roman"/>
          <w:szCs w:val="22"/>
          <w:lang w:val="fr-FR"/>
        </w:rPr>
        <w:t>RECONNAISSANT ÉGALEMENT que la réalisation des droits des femmes et de la parité hommes-femmes, tant dans la législation que dans la pratique, exige l</w:t>
      </w:r>
      <w:r w:rsidRPr="00623A2B">
        <w:rPr>
          <w:rFonts w:ascii="Times New Roman" w:eastAsia="Calibri" w:hAnsi="Times New Roman"/>
          <w:szCs w:val="22"/>
          <w:lang w:val="fr-CA"/>
        </w:rPr>
        <w:t xml:space="preserve">’élimination </w:t>
      </w:r>
      <w:r w:rsidRPr="00623A2B">
        <w:rPr>
          <w:rFonts w:ascii="Times New Roman" w:eastAsia="Calibri" w:hAnsi="Times New Roman"/>
          <w:szCs w:val="22"/>
          <w:lang w:val="fr-FR"/>
        </w:rPr>
        <w:t>de tous les obstacles qui entravent l’accès des femmes aux services de santé et à l’éducation, la promotion de la prévention, du traitement et de l’élimination de la violence à l’égard de toutes les femmes et des filles, de même que l’affectation éventuelle de ressources humaines et financières aux niveaux national, régional et local en vue d’une application effective des politiques, plans et normes,</w:t>
      </w:r>
    </w:p>
    <w:p w14:paraId="780BF5D5" w14:textId="77777777" w:rsidR="00F723DA" w:rsidRPr="00623A2B" w:rsidRDefault="00F723DA" w:rsidP="00F723DA">
      <w:pPr>
        <w:rPr>
          <w:rFonts w:ascii="Times New Roman" w:eastAsia="Calibri" w:hAnsi="Times New Roman"/>
          <w:strike/>
          <w:szCs w:val="22"/>
          <w:lang w:val="fr-FR"/>
        </w:rPr>
      </w:pPr>
    </w:p>
    <w:p w14:paraId="7DE2DBF2" w14:textId="77777777" w:rsidR="00F723DA" w:rsidRPr="00623A2B" w:rsidRDefault="00F723DA" w:rsidP="00F723DA">
      <w:pPr>
        <w:rPr>
          <w:rFonts w:ascii="Times New Roman" w:eastAsia="Calibri" w:hAnsi="Times New Roman"/>
          <w:szCs w:val="22"/>
          <w:lang w:val="fr-CA"/>
        </w:rPr>
      </w:pPr>
      <w:r w:rsidRPr="00623A2B">
        <w:rPr>
          <w:rFonts w:ascii="Times New Roman" w:eastAsia="Calibri" w:hAnsi="Times New Roman"/>
          <w:szCs w:val="22"/>
          <w:lang w:val="fr-FR"/>
        </w:rPr>
        <w:tab/>
        <w:t>PRENANT NOTE des travaux réalisés par la Commission interaméricaine des femmes en relation avec les divers besoins des femmes face à la COVID-19 ; prenant également compte des publications suivantes : « COVID dans la vie des femmes : Motifs pour reconnaitre les impacts différenciés » ; « La violence contre les femmes face aux mesures visant à réduire le taux de contamination à la COVID-19 », « COVID dans la vie des femmes : Urgence mondiale des soins » et « COVID-19 dans la vie des femmes : les soins comme investissement »  à titre de référence éventuelle pour les États en ce qui a trait à la gestion et l’atténuation de la crise et la conception de politiques publiques et de mesures de récupération post-COVID</w:t>
      </w:r>
      <w:r w:rsidRPr="00623A2B">
        <w:rPr>
          <w:rFonts w:ascii="Times New Roman" w:hAnsi="Times New Roman"/>
          <w:szCs w:val="22"/>
          <w:lang w:val="fr-FR"/>
        </w:rPr>
        <w:t>,</w:t>
      </w:r>
    </w:p>
    <w:p w14:paraId="031CBE97" w14:textId="77777777" w:rsidR="00F723DA" w:rsidRPr="00623A2B" w:rsidRDefault="00F723DA" w:rsidP="00F723DA">
      <w:pPr>
        <w:rPr>
          <w:rFonts w:ascii="Times New Roman" w:eastAsia="Calibri" w:hAnsi="Times New Roman"/>
          <w:strike/>
          <w:szCs w:val="22"/>
          <w:lang w:val="fr-FR"/>
        </w:rPr>
      </w:pPr>
    </w:p>
    <w:p w14:paraId="00C85B16" w14:textId="68E2BF35" w:rsidR="00F723DA" w:rsidRPr="00623A2B" w:rsidRDefault="00F723DA" w:rsidP="00F723DA">
      <w:pPr>
        <w:rPr>
          <w:rFonts w:ascii="Times New Roman" w:eastAsia="Calibri" w:hAnsi="Times New Roman"/>
          <w:szCs w:val="22"/>
          <w:lang w:val="fr-FR"/>
        </w:rPr>
      </w:pPr>
      <w:r w:rsidRPr="00623A2B">
        <w:rPr>
          <w:rFonts w:ascii="Times New Roman" w:eastAsia="Calibri" w:hAnsi="Times New Roman"/>
          <w:szCs w:val="22"/>
          <w:lang w:val="fr-FR"/>
        </w:rPr>
        <w:t xml:space="preserve">DÉCIDE : </w:t>
      </w:r>
    </w:p>
    <w:p w14:paraId="215AFF43" w14:textId="77777777" w:rsidR="00F723DA" w:rsidRPr="00623A2B" w:rsidRDefault="00F723DA" w:rsidP="00F723DA">
      <w:pPr>
        <w:rPr>
          <w:rFonts w:ascii="Times New Roman" w:eastAsia="Calibri" w:hAnsi="Times New Roman"/>
          <w:szCs w:val="22"/>
          <w:lang w:val="fr-FR"/>
        </w:rPr>
      </w:pPr>
    </w:p>
    <w:p w14:paraId="3AFF7484" w14:textId="4B213100" w:rsidR="00F723DA" w:rsidRPr="00623A2B" w:rsidRDefault="00F723DA" w:rsidP="00F723DA">
      <w:pPr>
        <w:ind w:firstLine="720"/>
        <w:rPr>
          <w:rFonts w:ascii="Times New Roman" w:eastAsia="Calibri" w:hAnsi="Times New Roman"/>
          <w:szCs w:val="22"/>
          <w:lang w:val="fr-FR"/>
        </w:rPr>
      </w:pPr>
      <w:r w:rsidRPr="00623A2B">
        <w:rPr>
          <w:rFonts w:ascii="Times New Roman" w:eastAsia="Calibri" w:hAnsi="Times New Roman"/>
          <w:szCs w:val="22"/>
          <w:lang w:val="fr-FR"/>
        </w:rPr>
        <w:t>1.</w:t>
      </w:r>
      <w:r w:rsidRPr="00623A2B">
        <w:rPr>
          <w:rFonts w:ascii="Times New Roman" w:eastAsia="Calibri" w:hAnsi="Times New Roman"/>
          <w:szCs w:val="22"/>
          <w:lang w:val="fr-FR"/>
        </w:rPr>
        <w:tab/>
        <w:t>De soutenir le travail de la Commission interaméricaine des femmes (CIM) afin que, dans l'exercice des fonctions décrites dans son Statut, elle puisse, en fonction des ressources disponibles, formuler aux États membres des recommandations conformément au Système intégré d'indicateurs des droits humains de la femme afin d’atteindre les ODD, en particulier l'ODD 5 et toutes ses cibles</w:t>
      </w:r>
      <w:r w:rsidRPr="00623A2B">
        <w:rPr>
          <w:rFonts w:ascii="Times New Roman" w:eastAsia="Calibri" w:hAnsi="Times New Roman"/>
          <w:b/>
          <w:bCs/>
          <w:szCs w:val="22"/>
          <w:lang w:val="fr-FR"/>
        </w:rPr>
        <w:t>,</w:t>
      </w:r>
      <w:r w:rsidRPr="00623A2B">
        <w:rPr>
          <w:rFonts w:ascii="Times New Roman" w:eastAsia="Calibri" w:hAnsi="Times New Roman"/>
          <w:szCs w:val="22"/>
          <w:lang w:val="fr-FR"/>
        </w:rPr>
        <w:t xml:space="preserve"> axés sur la réalisation de l'égalité des sexes et l'autonomisation de toutes les femmes et des filles</w:t>
      </w:r>
      <w:r w:rsidRPr="00623A2B">
        <w:rPr>
          <w:rFonts w:ascii="Times New Roman" w:eastAsia="Calibri" w:hAnsi="Times New Roman"/>
          <w:b/>
          <w:bCs/>
          <w:szCs w:val="22"/>
          <w:lang w:val="fr-FR"/>
        </w:rPr>
        <w:t xml:space="preserve"> </w:t>
      </w:r>
      <w:r w:rsidRPr="00623A2B">
        <w:rPr>
          <w:rFonts w:ascii="Times New Roman" w:eastAsia="Calibri" w:hAnsi="Times New Roman"/>
          <w:szCs w:val="22"/>
          <w:lang w:val="fr-FR"/>
        </w:rPr>
        <w:t>selon une approche comprenant l’interconnexion de formes multiples de discrimination, d’exclusion et d’inégalité, tout en respectant et en valorisant la diversité intégrale des situations et conditions dans lesquelles elles se trouvent.</w:t>
      </w:r>
    </w:p>
    <w:p w14:paraId="7525C813" w14:textId="77777777" w:rsidR="00F723DA" w:rsidRPr="00623A2B" w:rsidRDefault="00F723DA" w:rsidP="00F723DA">
      <w:pPr>
        <w:ind w:firstLine="720"/>
        <w:contextualSpacing/>
        <w:rPr>
          <w:rFonts w:ascii="Times New Roman" w:hAnsi="Times New Roman"/>
          <w:szCs w:val="22"/>
          <w:lang w:val="fr-FR"/>
        </w:rPr>
      </w:pPr>
      <w:r w:rsidRPr="00623A2B">
        <w:rPr>
          <w:rFonts w:ascii="Times New Roman" w:hAnsi="Times New Roman"/>
          <w:szCs w:val="22"/>
          <w:lang w:val="fr-FR"/>
        </w:rPr>
        <w:lastRenderedPageBreak/>
        <w:t>2.</w:t>
      </w:r>
      <w:r w:rsidRPr="00623A2B">
        <w:rPr>
          <w:rFonts w:ascii="Times New Roman" w:hAnsi="Times New Roman"/>
          <w:szCs w:val="22"/>
          <w:lang w:val="fr-FR"/>
        </w:rPr>
        <w:tab/>
        <w:t xml:space="preserve">De reconnaitre la nécessité d’œuvrer en vue de l’élimination  de toutes les formes de violence basée sur le genre et la discrimination, d’assurer un accès universel aux services de santé mentale, sexuelle et reproductive, et d’assurer la participation pleine et effective des femmes ainsi que l’égalité des possibilités de direction à tous les niveaux de décision de la vie politique, économique et publique de toutes les femmes, en respectant et en valorisant la pleine diversité de situations et de conditions dans lesquelles elles se trouvent. </w:t>
      </w:r>
    </w:p>
    <w:p w14:paraId="45797A70" w14:textId="77777777" w:rsidR="00F723DA" w:rsidRPr="00623A2B" w:rsidRDefault="00F723DA" w:rsidP="00F723DA">
      <w:pPr>
        <w:contextualSpacing/>
        <w:rPr>
          <w:rFonts w:ascii="Times New Roman" w:eastAsia="Calibri" w:hAnsi="Times New Roman"/>
          <w:szCs w:val="22"/>
          <w:lang w:val="fr-FR"/>
        </w:rPr>
      </w:pPr>
    </w:p>
    <w:p w14:paraId="605AE623" w14:textId="77777777" w:rsidR="00F723DA" w:rsidRPr="00623A2B" w:rsidRDefault="00F723DA" w:rsidP="00F723DA">
      <w:pPr>
        <w:ind w:firstLine="720"/>
        <w:contextualSpacing/>
        <w:rPr>
          <w:rFonts w:ascii="Times New Roman" w:eastAsia="Calibri" w:hAnsi="Times New Roman"/>
          <w:szCs w:val="22"/>
          <w:lang w:val="fr-FR"/>
        </w:rPr>
      </w:pPr>
      <w:r w:rsidRPr="00623A2B">
        <w:rPr>
          <w:rFonts w:ascii="Times New Roman" w:eastAsia="Calibri" w:hAnsi="Times New Roman"/>
          <w:szCs w:val="22"/>
          <w:lang w:val="fr-FR"/>
        </w:rPr>
        <w:t>3.</w:t>
      </w:r>
      <w:r w:rsidRPr="00623A2B">
        <w:rPr>
          <w:rFonts w:ascii="Times New Roman" w:eastAsia="Calibri" w:hAnsi="Times New Roman"/>
          <w:szCs w:val="22"/>
          <w:lang w:val="fr-FR"/>
        </w:rPr>
        <w:tab/>
        <w:t>D’inviter instamment la CIM, dans le cadre de ses objectifs et des ressources disponibles, à analyser les lacunes existantes, qui ont été exacerbées dans le contexte de la situation d’urgence sanitaire causée par la COVID-19, afin de proposer des mesures et/ou des stratégies pour traiter des questions telles que la reconnaissance du travail non rémunéré, du travail domestique et des soins, ainsi que la promotion de la coresponsabilité sociale et le renforcement des services de protection sociale et la promotion d’une vie exempte de violence domestique et de violence sexiste, afin de progresser vers l'égalité, l'autonomisation, l'autonomie et la réalisation intégrale de l'autonomie de toutes les femmes en respectant et en valorisant la pleine diversité des situations et conditions dans lesquelles elles vivent.</w:t>
      </w:r>
    </w:p>
    <w:p w14:paraId="1A3BC98C" w14:textId="77777777" w:rsidR="00F723DA" w:rsidRPr="00623A2B" w:rsidRDefault="00F723DA" w:rsidP="00F723DA">
      <w:pPr>
        <w:contextualSpacing/>
        <w:rPr>
          <w:rFonts w:ascii="Times New Roman" w:eastAsia="Calibri" w:hAnsi="Times New Roman"/>
          <w:szCs w:val="22"/>
          <w:lang w:val="fr-FR"/>
        </w:rPr>
      </w:pPr>
    </w:p>
    <w:p w14:paraId="02AFCADE" w14:textId="77777777" w:rsidR="00F723DA" w:rsidRPr="00623A2B" w:rsidRDefault="00F723DA" w:rsidP="00F723DA">
      <w:pPr>
        <w:ind w:firstLine="720"/>
        <w:contextualSpacing/>
        <w:rPr>
          <w:rFonts w:ascii="Times New Roman" w:eastAsia="Calibri" w:hAnsi="Times New Roman"/>
          <w:szCs w:val="22"/>
          <w:lang w:val="fr-FR"/>
        </w:rPr>
      </w:pPr>
      <w:r w:rsidRPr="00623A2B">
        <w:rPr>
          <w:rFonts w:ascii="Times New Roman" w:eastAsia="Calibri" w:hAnsi="Times New Roman"/>
          <w:szCs w:val="22"/>
          <w:lang w:val="fr-FR"/>
        </w:rPr>
        <w:t>4.</w:t>
      </w:r>
      <w:r w:rsidRPr="00623A2B">
        <w:rPr>
          <w:rFonts w:ascii="Times New Roman" w:eastAsia="Calibri" w:hAnsi="Times New Roman"/>
          <w:szCs w:val="22"/>
          <w:lang w:val="fr-FR"/>
        </w:rPr>
        <w:tab/>
        <w:t xml:space="preserve">De demander à la CIM d'approfondir l'intégration de la perspective de genre par l'identification de nouveaux secteurs et alliances de travail et la protection et le renforcement des Mécanismes nationaux de promotion de la femme en tant que principes directeurs des politiques nationales d'égalité, ainsi que le renforcement du Programme interaméricain de promotion des droits humains de la femme, de l'équité ainsi que de la  parité hommes-femmes (PIA) dans toutes les activités de l'OEA, y compris la participation égale des femmes aux postes de décision de l'Organisation. </w:t>
      </w:r>
    </w:p>
    <w:p w14:paraId="2D06534F" w14:textId="77777777" w:rsidR="00F723DA" w:rsidRPr="00623A2B" w:rsidRDefault="00F723DA" w:rsidP="00F723DA">
      <w:pPr>
        <w:contextualSpacing/>
        <w:rPr>
          <w:rFonts w:ascii="Times New Roman" w:hAnsi="Times New Roman"/>
          <w:szCs w:val="22"/>
          <w:lang w:val="fr-FR"/>
        </w:rPr>
      </w:pPr>
    </w:p>
    <w:p w14:paraId="66B6BB11" w14:textId="77777777" w:rsidR="00F723DA" w:rsidRPr="00623A2B" w:rsidRDefault="00F723DA" w:rsidP="00F723DA">
      <w:pPr>
        <w:ind w:firstLine="720"/>
        <w:contextualSpacing/>
        <w:rPr>
          <w:rFonts w:ascii="Times New Roman" w:eastAsia="Calibri" w:hAnsi="Times New Roman"/>
          <w:szCs w:val="22"/>
          <w:lang w:val="fr-FR"/>
        </w:rPr>
      </w:pPr>
      <w:r w:rsidRPr="00623A2B">
        <w:rPr>
          <w:rFonts w:ascii="Times New Roman" w:eastAsia="Calibri" w:hAnsi="Times New Roman"/>
          <w:szCs w:val="22"/>
          <w:lang w:val="fr-FR"/>
        </w:rPr>
        <w:t>5.</w:t>
      </w:r>
      <w:r w:rsidRPr="00623A2B">
        <w:rPr>
          <w:rFonts w:ascii="Times New Roman" w:eastAsia="Calibri" w:hAnsi="Times New Roman"/>
          <w:szCs w:val="22"/>
          <w:lang w:val="fr-FR"/>
        </w:rPr>
        <w:tab/>
        <w:t>De demander au Secrétariat exécutif de la CIM de coordonner, en fonction des ressources disponibles, des réunions périodiques avec les missions permanentes près l'OEA afin d'établir un espace d'échange d'informations avec la Commission sur les activités menées pour atteindre et promouvoir l'égalité de genre et les droits humains des femmes et des filles dans la région.</w:t>
      </w:r>
    </w:p>
    <w:p w14:paraId="0B3362F4" w14:textId="77777777" w:rsidR="00F723DA" w:rsidRPr="00623A2B" w:rsidRDefault="00F723DA" w:rsidP="00F723DA">
      <w:pPr>
        <w:jc w:val="left"/>
        <w:rPr>
          <w:rFonts w:ascii="Times New Roman" w:hAnsi="Times New Roman"/>
          <w:b/>
          <w:bCs/>
          <w:szCs w:val="22"/>
          <w:highlight w:val="lightGray"/>
          <w:lang w:val="fr-FR" w:eastAsia="es-ES"/>
        </w:rPr>
      </w:pPr>
    </w:p>
    <w:p w14:paraId="4D67F412" w14:textId="77777777" w:rsidR="00F723DA" w:rsidRPr="00623A2B" w:rsidRDefault="00F723DA" w:rsidP="00EE7518">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374"/>
        <w:contextualSpacing w:val="0"/>
        <w:jc w:val="left"/>
        <w:rPr>
          <w:rFonts w:ascii="Times New Roman" w:hAnsi="Times New Roman"/>
          <w:szCs w:val="22"/>
          <w:u w:val="single"/>
          <w:lang w:val="fr-FR"/>
        </w:rPr>
      </w:pPr>
      <w:r w:rsidRPr="00623A2B">
        <w:rPr>
          <w:rFonts w:ascii="Times New Roman" w:hAnsi="Times New Roman"/>
          <w:szCs w:val="22"/>
          <w:u w:val="single"/>
          <w:lang w:val="fr-FR"/>
        </w:rPr>
        <w:t>Renforcement du Mécanisme de suivi de la mise en œuvre de la Convention de Belém do Pará (MESECVI)</w:t>
      </w:r>
      <w:r w:rsidRPr="00623A2B">
        <w:rPr>
          <w:rFonts w:ascii="Times New Roman" w:hAnsi="Times New Roman"/>
          <w:szCs w:val="22"/>
          <w:lang w:val="fr-CA"/>
        </w:rPr>
        <w:t xml:space="preserve"> </w:t>
      </w:r>
      <w:r w:rsidRPr="00623A2B">
        <w:rPr>
          <w:rFonts w:ascii="Times New Roman" w:hAnsi="Times New Roman"/>
          <w:szCs w:val="22"/>
          <w:u w:val="single"/>
          <w:vertAlign w:val="superscript"/>
          <w:lang w:val="fr-CA"/>
        </w:rPr>
        <w:footnoteReference w:id="96"/>
      </w:r>
      <w:r w:rsidRPr="00623A2B">
        <w:rPr>
          <w:rFonts w:ascii="Times New Roman" w:hAnsi="Times New Roman"/>
          <w:szCs w:val="22"/>
          <w:u w:val="single"/>
          <w:vertAlign w:val="superscript"/>
          <w:lang w:val="fr-FR"/>
        </w:rPr>
        <w:t>/</w:t>
      </w:r>
    </w:p>
    <w:p w14:paraId="280B30AE" w14:textId="77777777" w:rsidR="00F723DA" w:rsidRPr="00623A2B" w:rsidRDefault="00F723DA" w:rsidP="00F723DA">
      <w:pPr>
        <w:pStyle w:val="Standard"/>
        <w:ind w:left="-90"/>
        <w:jc w:val="both"/>
        <w:rPr>
          <w:rFonts w:ascii="Times New Roman" w:hAnsi="Times New Roman"/>
          <w:sz w:val="22"/>
          <w:szCs w:val="22"/>
          <w:lang w:val="fr-FR"/>
        </w:rPr>
      </w:pPr>
    </w:p>
    <w:p w14:paraId="50574A64" w14:textId="77777777" w:rsidR="00F723DA" w:rsidRPr="00623A2B" w:rsidRDefault="00F723DA" w:rsidP="00F723DA">
      <w:pPr>
        <w:ind w:firstLine="706"/>
        <w:rPr>
          <w:rFonts w:ascii="Times New Roman" w:hAnsi="Times New Roman"/>
          <w:szCs w:val="22"/>
          <w:lang w:val="fr-FR"/>
        </w:rPr>
      </w:pPr>
      <w:r w:rsidRPr="00623A2B">
        <w:rPr>
          <w:rFonts w:ascii="Times New Roman" w:hAnsi="Times New Roman"/>
          <w:szCs w:val="22"/>
          <w:lang w:val="fr-FR"/>
        </w:rPr>
        <w:t xml:space="preserve">RAPPELANT </w:t>
      </w:r>
      <w:proofErr w:type="gramStart"/>
      <w:r w:rsidRPr="00623A2B">
        <w:rPr>
          <w:rFonts w:ascii="Times New Roman" w:hAnsi="Times New Roman"/>
          <w:szCs w:val="22"/>
          <w:lang w:val="fr-FR"/>
        </w:rPr>
        <w:t>la section xxi</w:t>
      </w:r>
      <w:proofErr w:type="gramEnd"/>
      <w:r w:rsidRPr="00623A2B">
        <w:rPr>
          <w:rFonts w:ascii="Times New Roman" w:hAnsi="Times New Roman"/>
          <w:szCs w:val="22"/>
          <w:lang w:val="fr-FR"/>
        </w:rPr>
        <w:t xml:space="preserve">. </w:t>
      </w:r>
      <w:proofErr w:type="gramStart"/>
      <w:r w:rsidRPr="00623A2B">
        <w:rPr>
          <w:rFonts w:ascii="Times New Roman" w:hAnsi="Times New Roman"/>
          <w:szCs w:val="22"/>
          <w:lang w:val="fr-FR"/>
        </w:rPr>
        <w:t>de</w:t>
      </w:r>
      <w:proofErr w:type="gramEnd"/>
      <w:r w:rsidRPr="00623A2B">
        <w:rPr>
          <w:rFonts w:ascii="Times New Roman" w:hAnsi="Times New Roman"/>
          <w:szCs w:val="22"/>
          <w:lang w:val="fr-FR"/>
        </w:rPr>
        <w:t xml:space="preserve"> la résolution AG/RES. 2961 (L-O/20), les obligations découlant de la Convention interaméricaine pour la prévention, la sanction et l'élimination de la violence contre la femme (Convention de Belém do Pará), les objectifs du Mécanisme de suivi de la mise en œuvre de la Convention de Belém do Pará (MESECVI), son Plan stratégique 2018-2023, de même que les décisions résultant de la Huitième Conférence des États parties à la Convention de Belém do Pará (MESECVI-VIII/doc.134/20 </w:t>
      </w:r>
      <w:proofErr w:type="spellStart"/>
      <w:r w:rsidRPr="00623A2B">
        <w:rPr>
          <w:rFonts w:ascii="Times New Roman" w:hAnsi="Times New Roman"/>
          <w:szCs w:val="22"/>
          <w:lang w:val="fr-FR"/>
        </w:rPr>
        <w:t>rev</w:t>
      </w:r>
      <w:proofErr w:type="spellEnd"/>
      <w:r w:rsidRPr="00623A2B">
        <w:rPr>
          <w:rFonts w:ascii="Times New Roman" w:hAnsi="Times New Roman"/>
          <w:szCs w:val="22"/>
          <w:lang w:val="fr-FR"/>
        </w:rPr>
        <w:t>. 2) et de la Dix-septième Réunion du Comité d'expertes du MESECVI (MESECVI/CEVI/doc.261/20),</w:t>
      </w:r>
    </w:p>
    <w:p w14:paraId="3FCDCD99" w14:textId="77777777" w:rsidR="00F723DA" w:rsidRPr="00623A2B" w:rsidRDefault="00F723DA" w:rsidP="00F723DA">
      <w:pPr>
        <w:rPr>
          <w:rFonts w:ascii="Times New Roman" w:hAnsi="Times New Roman"/>
          <w:szCs w:val="22"/>
          <w:lang w:val="fr-FR"/>
        </w:rPr>
      </w:pPr>
    </w:p>
    <w:p w14:paraId="5555364E" w14:textId="77777777" w:rsidR="00F723DA" w:rsidRPr="00623A2B" w:rsidRDefault="00F723DA" w:rsidP="00F723DA">
      <w:pPr>
        <w:ind w:firstLine="706"/>
        <w:rPr>
          <w:rFonts w:ascii="Times New Roman" w:hAnsi="Times New Roman"/>
          <w:szCs w:val="22"/>
          <w:lang w:val="fr-FR"/>
        </w:rPr>
      </w:pPr>
      <w:r w:rsidRPr="00623A2B">
        <w:rPr>
          <w:rFonts w:ascii="Times New Roman" w:hAnsi="Times New Roman"/>
          <w:szCs w:val="22"/>
          <w:lang w:val="fr-FR"/>
        </w:rPr>
        <w:t>SOULIGNANT sa préoccupation face à l'augmentation exacerbée des violences physiques, psychologiques, sexuelles et sexistes à l'encontre des femmes et des filles dans le contexte de la pandémie de COVID-19,</w:t>
      </w:r>
    </w:p>
    <w:p w14:paraId="4111325E" w14:textId="77777777" w:rsidR="00F723DA" w:rsidRPr="00623A2B" w:rsidRDefault="00F723DA" w:rsidP="00F723DA">
      <w:pPr>
        <w:rPr>
          <w:rFonts w:ascii="Times New Roman" w:hAnsi="Times New Roman"/>
          <w:szCs w:val="22"/>
          <w:lang w:val="fr-FR"/>
        </w:rPr>
      </w:pPr>
    </w:p>
    <w:p w14:paraId="47A011EC" w14:textId="77777777" w:rsidR="0015168F" w:rsidRDefault="0015168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Pr>
          <w:rFonts w:ascii="Times New Roman" w:hAnsi="Times New Roman"/>
          <w:szCs w:val="22"/>
          <w:lang w:val="fr-FR"/>
        </w:rPr>
        <w:br w:type="page"/>
      </w:r>
    </w:p>
    <w:p w14:paraId="06F19257" w14:textId="06B0CC73" w:rsidR="00F723DA" w:rsidRPr="00623A2B" w:rsidRDefault="00F723DA" w:rsidP="00F723DA">
      <w:pPr>
        <w:rPr>
          <w:rFonts w:ascii="Times New Roman" w:eastAsia="Calibri" w:hAnsi="Times New Roman"/>
          <w:szCs w:val="22"/>
          <w:lang w:val="fr-FR"/>
        </w:rPr>
      </w:pPr>
      <w:r w:rsidRPr="00623A2B">
        <w:rPr>
          <w:rFonts w:ascii="Times New Roman" w:hAnsi="Times New Roman"/>
          <w:szCs w:val="22"/>
          <w:lang w:val="fr-FR"/>
        </w:rPr>
        <w:lastRenderedPageBreak/>
        <w:t xml:space="preserve">DÉCIDE : </w:t>
      </w:r>
    </w:p>
    <w:p w14:paraId="7C87C80D" w14:textId="77777777" w:rsidR="00F723DA" w:rsidRPr="00623A2B" w:rsidRDefault="00F723DA" w:rsidP="00F723DA">
      <w:pPr>
        <w:rPr>
          <w:rFonts w:ascii="Times New Roman" w:hAnsi="Times New Roman"/>
          <w:szCs w:val="22"/>
          <w:lang w:val="fr-FR"/>
        </w:rPr>
      </w:pPr>
    </w:p>
    <w:p w14:paraId="0012A0A0" w14:textId="77777777" w:rsidR="00F723DA" w:rsidRPr="00623A2B" w:rsidRDefault="00F723DA" w:rsidP="00EE7518">
      <w:pPr>
        <w:widowControl/>
        <w:numPr>
          <w:ilvl w:val="0"/>
          <w:numId w:val="6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rPr>
      </w:pPr>
      <w:r w:rsidRPr="00623A2B">
        <w:rPr>
          <w:rFonts w:ascii="Times New Roman" w:hAnsi="Times New Roman"/>
          <w:szCs w:val="22"/>
          <w:lang w:val="fr-FR"/>
        </w:rPr>
        <w:t>De réitérer l'engagement des États parties à l'égard des travaux du Mécanisme de suivi de la mise en œuvre de la Convention de Belém do Pará (MESECVI) et de ses objectifs et de demander instamment au mécanisme, en fonction des ressources disponibles, de produire des données et des informations pertinentes, ventilées par sexe et par âge ainsi que d’autres paramètres d’importance sur l'ampleur et la portée des multiples formes de violence sexuelle et sexiste et de discrimination à l'égard des femmes et des filles, dans ses différentes manifestations, et à partir d'une approche comprenant l’interconnexion des formes multiples de discrimination, d’exclusion et d’inégalité, pour faciliter la coopération technique avec tous les secteurs afin de parvenir à l'égalité de genre et au plein accès et à la pleine jouissance des droits humains pour toutes les femmes et filles et les adolescentes.</w:t>
      </w:r>
    </w:p>
    <w:p w14:paraId="65A8BE04" w14:textId="77777777" w:rsidR="00F723DA" w:rsidRPr="00623A2B" w:rsidRDefault="00F723DA" w:rsidP="00F723DA">
      <w:pPr>
        <w:contextualSpacing/>
        <w:rPr>
          <w:rFonts w:ascii="Times New Roman" w:hAnsi="Times New Roman"/>
          <w:szCs w:val="22"/>
          <w:lang w:val="fr-FR"/>
        </w:rPr>
      </w:pPr>
    </w:p>
    <w:p w14:paraId="158E7985" w14:textId="77777777" w:rsidR="00F723DA" w:rsidRPr="00623A2B" w:rsidRDefault="00F723DA" w:rsidP="00EE7518">
      <w:pPr>
        <w:widowControl/>
        <w:numPr>
          <w:ilvl w:val="0"/>
          <w:numId w:val="6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rPr>
      </w:pPr>
      <w:r w:rsidRPr="00623A2B">
        <w:rPr>
          <w:rFonts w:ascii="Times New Roman" w:hAnsi="Times New Roman"/>
          <w:szCs w:val="22"/>
          <w:lang w:val="fr-FR"/>
        </w:rPr>
        <w:t>D’exhorter le MESECVI à analyser la mise en œuvre des recommandations du troisième cycle d'évaluation multilatérale et de promouvoir la participation des États parties au quatrième cycle d'évaluation multilatérale du MESECVI, en fournissant des données et des informations conformément aux indicateurs transmis par le Comité d'expertes.</w:t>
      </w:r>
    </w:p>
    <w:p w14:paraId="15D8B12B" w14:textId="77777777" w:rsidR="00F723DA" w:rsidRPr="00623A2B" w:rsidRDefault="00F723DA" w:rsidP="00F723DA">
      <w:pPr>
        <w:contextualSpacing/>
        <w:rPr>
          <w:rFonts w:ascii="Times New Roman" w:hAnsi="Times New Roman"/>
          <w:szCs w:val="22"/>
          <w:lang w:val="fr-FR"/>
        </w:rPr>
      </w:pPr>
    </w:p>
    <w:p w14:paraId="35118DE5" w14:textId="77777777" w:rsidR="00F723DA" w:rsidRPr="00623A2B" w:rsidRDefault="00F723DA" w:rsidP="00EE7518">
      <w:pPr>
        <w:widowControl/>
        <w:numPr>
          <w:ilvl w:val="0"/>
          <w:numId w:val="6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fr-FR"/>
        </w:rPr>
      </w:pPr>
      <w:r w:rsidRPr="00623A2B">
        <w:rPr>
          <w:rFonts w:ascii="Times New Roman" w:hAnsi="Times New Roman"/>
          <w:szCs w:val="22"/>
          <w:lang w:val="fr-FR"/>
        </w:rPr>
        <w:t xml:space="preserve">De charger le MESECVI de réaliser une analyse, en fonction des ressources disponibles, afin de générer un dialogue, des données et des stratégies sur la violence sexiste, y compris, mais sans s'y limiter, la violence physique, psychologique et sexuelle à l'encontre des filles et des adolescentes </w:t>
      </w:r>
      <w:r w:rsidRPr="00623A2B">
        <w:rPr>
          <w:rFonts w:ascii="Times New Roman" w:eastAsia="Calibri" w:hAnsi="Times New Roman"/>
          <w:szCs w:val="22"/>
          <w:lang w:val="fr-FR"/>
        </w:rPr>
        <w:t>en respectant et en valorisant la pleine diversité des situations et conditions dans lesquelles elles vivent</w:t>
      </w:r>
      <w:r w:rsidRPr="00623A2B">
        <w:rPr>
          <w:rFonts w:ascii="Times New Roman" w:hAnsi="Times New Roman"/>
          <w:szCs w:val="22"/>
          <w:lang w:val="fr-FR"/>
        </w:rPr>
        <w:t xml:space="preserve"> dans le contexte de la pandémie de COVID-19 et ses effets éventuels sur des problèmes tels que, entre autres, la grossesse chez les filles et les adolescentes et identifier des stratégies, y compris en ce qui concerne les services de santé sexuelle et reproductive. </w:t>
      </w:r>
    </w:p>
    <w:p w14:paraId="7D7D6AC5" w14:textId="77777777" w:rsidR="00F723DA" w:rsidRPr="00623A2B" w:rsidRDefault="00F723DA" w:rsidP="00F723DA">
      <w:pPr>
        <w:shd w:val="clear" w:color="auto" w:fill="FFFFFF"/>
        <w:rPr>
          <w:rFonts w:ascii="Times New Roman" w:hAnsi="Times New Roman"/>
          <w:szCs w:val="22"/>
          <w:lang w:val="fr-FR"/>
        </w:rPr>
      </w:pPr>
    </w:p>
    <w:p w14:paraId="4F760CF0" w14:textId="77777777" w:rsidR="00F723DA" w:rsidRPr="00623A2B" w:rsidRDefault="00F723DA" w:rsidP="00EE7518">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374"/>
        <w:contextualSpacing w:val="0"/>
        <w:jc w:val="left"/>
        <w:rPr>
          <w:rFonts w:ascii="Times New Roman" w:hAnsi="Times New Roman"/>
          <w:szCs w:val="22"/>
          <w:u w:val="single"/>
          <w:lang w:val="fr-FR"/>
        </w:rPr>
      </w:pPr>
      <w:r w:rsidRPr="00623A2B">
        <w:rPr>
          <w:rFonts w:ascii="Times New Roman" w:hAnsi="Times New Roman"/>
          <w:szCs w:val="22"/>
          <w:u w:val="single"/>
          <w:lang w:val="fr-FR"/>
        </w:rPr>
        <w:t>Programme d’action de la Décennie des Amériques pour les droits et la dignité des personnes handicapées 2016-2026 et soutien au Comité pour l’élimination de toutes les formes de discrimination contre les personnes handicapées</w:t>
      </w:r>
    </w:p>
    <w:p w14:paraId="7EDB3950" w14:textId="77777777" w:rsidR="00F723DA" w:rsidRPr="00623A2B" w:rsidRDefault="00F723DA" w:rsidP="00F723DA">
      <w:pPr>
        <w:shd w:val="clear" w:color="auto" w:fill="FFFFFF"/>
        <w:rPr>
          <w:rFonts w:ascii="Times New Roman" w:eastAsia="Arial" w:hAnsi="Times New Roman"/>
          <w:szCs w:val="22"/>
          <w:lang w:val="fr-FR"/>
        </w:rPr>
      </w:pPr>
    </w:p>
    <w:p w14:paraId="3B32A202" w14:textId="77777777"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t xml:space="preserve">RAPPELANT les engagements pris dans la Convention interaméricaine sur l’élimination de toutes les formes de discrimination contre les personnes handicapées (CIADDIS) et le Programme d’action de la Décennie des Amériques pour les droits et la dignité des personnes handicapées (PAD), l'importance de commémorer la Journée internationale des personnes handicapées, la Journée internationale du syndrome de Down, la Journée mondiale de sensibilisation à l'autisme et toutes les dates qui rendent visible le devoir de protéger et de promouvoir les droits des personnes handicapées, y compris ceux des groupes en situation de vulnérabilité, spécialement face à des situations de violence fondée sur le genre, </w:t>
      </w:r>
    </w:p>
    <w:p w14:paraId="207DE897" w14:textId="77777777" w:rsidR="00F723DA" w:rsidRPr="00623A2B" w:rsidRDefault="00F723DA" w:rsidP="00F723DA">
      <w:pPr>
        <w:shd w:val="clear" w:color="auto" w:fill="FFFFFF"/>
        <w:rPr>
          <w:rFonts w:ascii="Times New Roman" w:eastAsia="Arial" w:hAnsi="Times New Roman"/>
          <w:strike/>
          <w:szCs w:val="22"/>
          <w:lang w:val="fr-FR"/>
        </w:rPr>
      </w:pPr>
    </w:p>
    <w:p w14:paraId="1950B5BC" w14:textId="02A6E688"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t>RECONNAISSANT que la nature de certains handicaps peut exposer les personnes à un risque accru d'infection et que les effets de la pandémie de COVID-19 ont aggravé la situation de vulnérabilité des personnes handicapées, exacerbant les obstacles préexistants à leur accès égal aux services publics essentiels, leur accès à la santé et aux soins de santé, à l'éducation, à l'emploi, aux technologies de l’information et des télécommunications, à la protection sociale et aux droits auxquels toute personne peut prétendre sans discrimination d'aucune sorte,</w:t>
      </w:r>
    </w:p>
    <w:p w14:paraId="4858AEB6" w14:textId="77777777" w:rsidR="00F723DA" w:rsidRPr="00623A2B" w:rsidRDefault="00F723DA" w:rsidP="00F723DA">
      <w:pPr>
        <w:shd w:val="clear" w:color="auto" w:fill="FFFFFF"/>
        <w:rPr>
          <w:rFonts w:ascii="Times New Roman" w:eastAsia="Arial" w:hAnsi="Times New Roman"/>
          <w:szCs w:val="22"/>
          <w:lang w:val="fr-FR"/>
        </w:rPr>
      </w:pPr>
    </w:p>
    <w:p w14:paraId="3BC6302E" w14:textId="77777777" w:rsidR="0015168F" w:rsidRDefault="0015168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Pr>
          <w:rFonts w:ascii="Times New Roman" w:hAnsi="Times New Roman"/>
          <w:szCs w:val="22"/>
          <w:lang w:val="fr-FR"/>
        </w:rPr>
        <w:br w:type="page"/>
      </w:r>
    </w:p>
    <w:p w14:paraId="02FFE601" w14:textId="62DC62C6" w:rsidR="00F723DA" w:rsidRPr="00623A2B" w:rsidRDefault="00F723DA" w:rsidP="00F723DA">
      <w:pPr>
        <w:shd w:val="clear" w:color="auto" w:fill="FFFFFF"/>
        <w:rPr>
          <w:rFonts w:ascii="Times New Roman" w:eastAsia="Arial" w:hAnsi="Times New Roman"/>
          <w:szCs w:val="22"/>
          <w:lang w:val="fr-FR"/>
        </w:rPr>
      </w:pPr>
      <w:r w:rsidRPr="00623A2B">
        <w:rPr>
          <w:rFonts w:ascii="Times New Roman" w:hAnsi="Times New Roman"/>
          <w:szCs w:val="22"/>
          <w:lang w:val="fr-FR"/>
        </w:rPr>
        <w:lastRenderedPageBreak/>
        <w:t>DÉCIDE :</w:t>
      </w:r>
    </w:p>
    <w:p w14:paraId="2E27552F" w14:textId="77777777" w:rsidR="00F723DA" w:rsidRPr="00623A2B" w:rsidRDefault="00F723DA" w:rsidP="00F723DA">
      <w:pPr>
        <w:shd w:val="clear" w:color="auto" w:fill="FFFFFF"/>
        <w:rPr>
          <w:rFonts w:ascii="Times New Roman" w:eastAsia="Arial" w:hAnsi="Times New Roman"/>
          <w:szCs w:val="22"/>
          <w:lang w:val="fr-FR"/>
        </w:rPr>
      </w:pPr>
    </w:p>
    <w:p w14:paraId="35FBB4FC" w14:textId="77777777" w:rsidR="00F723DA" w:rsidRPr="00623A2B" w:rsidRDefault="00F723DA" w:rsidP="00EE7518">
      <w:pPr>
        <w:pStyle w:val="ListParagraph"/>
        <w:widowControl/>
        <w:numPr>
          <w:ilvl w:val="0"/>
          <w:numId w:val="68"/>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eastAsia="Arial" w:hAnsi="Times New Roman"/>
          <w:szCs w:val="22"/>
          <w:lang w:val="fr-FR"/>
        </w:rPr>
      </w:pPr>
      <w:r w:rsidRPr="00623A2B">
        <w:rPr>
          <w:rFonts w:ascii="Times New Roman" w:hAnsi="Times New Roman"/>
          <w:szCs w:val="22"/>
          <w:lang w:val="fr-FR"/>
        </w:rPr>
        <w:t>D’inviter instamment les États membres à lutter contre la discrimination structurelle à l'égard des personnes handicapées dans le contexte de la pandémie de COVID-19 et à adopter des mesures obéissant à une approche en conformité avec les obligations internationales en matière de droits de la personne, qui répondent à leurs besoins spécifiques dans les réponses actuelles, ainsi que dans la préparation à d'éventuelles urgences sanitaires avec des actions de protection envers les personnes handicapées, afin qu'elles puissent exercer leurs droits sur un pied d'égalité et sans discrimination, y compris des mesures visant à garantir des conditions d'accessibilité permettant l'exercice du télétravail et des mesures visant à garantir leur sécurité et leur protection dans les situations de risque ou d'urgence, en particulier pour les personnes handicapées qui appartiennent également à d'autres groupes en situation de vulnérabilité, en particulier dans les situations de violence sexiste et des mesures visant à garantir leur accès au plus haut niveau de santé possible sans discrimination pour des raisons liées à un handicap ainsi qu'aux informations accessibles nécessaires à la prévention et au traitement de la contagion, entre autres.</w:t>
      </w:r>
    </w:p>
    <w:p w14:paraId="145AE7EA" w14:textId="77777777" w:rsidR="00F723DA" w:rsidRPr="00623A2B" w:rsidRDefault="00F723DA" w:rsidP="00F723DA">
      <w:pPr>
        <w:shd w:val="clear" w:color="auto" w:fill="FFFFFF"/>
        <w:rPr>
          <w:rFonts w:ascii="Times New Roman" w:eastAsia="Arial" w:hAnsi="Times New Roman"/>
          <w:szCs w:val="22"/>
          <w:lang w:val="fr-FR"/>
        </w:rPr>
      </w:pPr>
    </w:p>
    <w:p w14:paraId="7E7FB09B" w14:textId="77777777" w:rsidR="00F723DA" w:rsidRPr="00623A2B" w:rsidRDefault="00F723DA" w:rsidP="00EE7518">
      <w:pPr>
        <w:pStyle w:val="ListParagraph"/>
        <w:widowControl/>
        <w:numPr>
          <w:ilvl w:val="0"/>
          <w:numId w:val="68"/>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szCs w:val="22"/>
          <w:lang w:val="fr-FR"/>
        </w:rPr>
      </w:pPr>
      <w:r w:rsidRPr="00623A2B">
        <w:rPr>
          <w:rFonts w:ascii="Times New Roman" w:hAnsi="Times New Roman"/>
          <w:szCs w:val="22"/>
          <w:lang w:val="fr-FR"/>
        </w:rPr>
        <w:t>D’encourager les États membres de l'OEA qui ne sont pas parties à la CIADDIS à envisager d'adhérer à cette convention afin d'intensifier les efforts régionaux en matière d'inclusion et de non-discrimination des personnes handicapées et à tenir compte des conclusions du CEDDIS sur les progrès et les défis constatés dans la région en matière d'inclusion des personnes handicapées après l'achèvement du cycle d'évaluation du troisième rapport national sur la mise en œuvre de la CIADDIS et du PAD, et d’encourager les États membres qui sont parties à la CIADDIS à mettre en œuvre les recommandations émises par le CEDDIS dans ses évaluations par domaines d'action et à verser des contributions volontaires au Fonds spécifique pour soutenir le fonctionnement du Comité et de son Secrétariat et au Fonds spécifique pour le Groupe mixte chargé de soutenir la mise en œuvre du PAD.</w:t>
      </w:r>
    </w:p>
    <w:p w14:paraId="03A717C8" w14:textId="77777777" w:rsidR="00F723DA" w:rsidRPr="00623A2B" w:rsidRDefault="00F723DA" w:rsidP="00F723DA">
      <w:pPr>
        <w:shd w:val="clear" w:color="auto" w:fill="FFFFFF"/>
        <w:rPr>
          <w:rFonts w:ascii="Times New Roman" w:eastAsia="Arial" w:hAnsi="Times New Roman"/>
          <w:szCs w:val="22"/>
          <w:lang w:val="fr-FR"/>
        </w:rPr>
      </w:pPr>
    </w:p>
    <w:p w14:paraId="3C4815AB" w14:textId="77777777" w:rsidR="00F723DA" w:rsidRPr="00623A2B" w:rsidRDefault="00F723DA" w:rsidP="00EE7518">
      <w:pPr>
        <w:pStyle w:val="ListParagraph"/>
        <w:widowControl/>
        <w:numPr>
          <w:ilvl w:val="0"/>
          <w:numId w:val="68"/>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szCs w:val="22"/>
          <w:lang w:val="fr-FR"/>
        </w:rPr>
      </w:pPr>
      <w:r w:rsidRPr="00623A2B">
        <w:rPr>
          <w:rFonts w:ascii="Times New Roman" w:hAnsi="Times New Roman"/>
          <w:szCs w:val="22"/>
          <w:lang w:val="fr-FR"/>
        </w:rPr>
        <w:t>De mettre en relief le travail du Groupe des pays amis des personnes handicapées de l'OEA, de saluer l'arrivée de nouveaux États membres et d’encourager d'autres pays à se joindre à ses travaux.</w:t>
      </w:r>
    </w:p>
    <w:p w14:paraId="34741BEF" w14:textId="77777777" w:rsidR="00F723DA" w:rsidRPr="00623A2B" w:rsidRDefault="00F723DA" w:rsidP="00F723DA">
      <w:pPr>
        <w:shd w:val="clear" w:color="auto" w:fill="FFFFFF"/>
        <w:rPr>
          <w:rFonts w:ascii="Times New Roman" w:eastAsia="Calibri" w:hAnsi="Times New Roman"/>
          <w:szCs w:val="22"/>
          <w:lang w:val="fr-FR"/>
        </w:rPr>
      </w:pPr>
    </w:p>
    <w:p w14:paraId="65607F5B" w14:textId="77777777" w:rsidR="00F723DA" w:rsidRPr="00623A2B" w:rsidRDefault="00F723DA" w:rsidP="00EE7518">
      <w:pPr>
        <w:pStyle w:val="ListParagraph"/>
        <w:widowControl/>
        <w:numPr>
          <w:ilvl w:val="0"/>
          <w:numId w:val="68"/>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szCs w:val="22"/>
          <w:lang w:val="fr-FR"/>
        </w:rPr>
      </w:pPr>
      <w:r w:rsidRPr="00623A2B">
        <w:rPr>
          <w:rFonts w:ascii="Times New Roman" w:hAnsi="Times New Roman"/>
          <w:szCs w:val="22"/>
          <w:lang w:val="fr-FR"/>
        </w:rPr>
        <w:t>De charger le Département de l'inclusion sociale de réaliser, en sa qualité de secrétariat technique du CEDDIS et du service de promotion des programmes, de l'inclusion sociale des personnes handicapées, en fonction des ressources disponibles, et agissant en coordination avec les États membres et avec l'appui du Secrétariat général, des initiatives visant à diffuser et à promouvoir les droits de ce groupe et sa pleine participation dans tous les domaines de la société, avec la collaboration des personnes handicapées ou d'autres acteurs.</w:t>
      </w:r>
    </w:p>
    <w:p w14:paraId="4202B69A" w14:textId="77777777" w:rsidR="00F723DA" w:rsidRPr="00623A2B" w:rsidRDefault="00F723DA" w:rsidP="00F723DA">
      <w:pPr>
        <w:shd w:val="clear" w:color="auto" w:fill="FFFFFF"/>
        <w:rPr>
          <w:rFonts w:ascii="Times New Roman" w:hAnsi="Times New Roman"/>
          <w:szCs w:val="22"/>
          <w:lang w:val="fr-FR"/>
        </w:rPr>
      </w:pPr>
    </w:p>
    <w:p w14:paraId="7D24050A" w14:textId="179FDEA3" w:rsidR="00F723DA" w:rsidRPr="00623A2B" w:rsidRDefault="00F723DA" w:rsidP="00EE7518">
      <w:pPr>
        <w:pStyle w:val="ListParagraph"/>
        <w:widowControl/>
        <w:numPr>
          <w:ilvl w:val="0"/>
          <w:numId w:val="68"/>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szCs w:val="22"/>
          <w:lang w:val="fr-FR"/>
        </w:rPr>
      </w:pPr>
      <w:r w:rsidRPr="00623A2B">
        <w:rPr>
          <w:rFonts w:ascii="Times New Roman" w:hAnsi="Times New Roman"/>
          <w:szCs w:val="22"/>
          <w:lang w:val="fr-FR"/>
        </w:rPr>
        <w:t>D’exhorter le Secrétariat général à mettre en œuvre les mesures nécessaires pour rendre transversale l’inclusion de toutes les personnes handicapées tant au sein de l'Organisation que dans le cadre de ses actions, en conformité avec les obligations internationales en matière de droits de la personne et en veillant à la participation pleine et effective des organisations de personnes handicapées à ce processus, et à commémorer la Journée internationale des personnes handicapées, célébrée chaque année le 3 décembre, par des actions qui contribuent à la pleine reconnaissance, à la visibilité, à l'exercice et à la jouissance de leurs droits.</w:t>
      </w:r>
    </w:p>
    <w:p w14:paraId="69E23B54" w14:textId="77777777" w:rsidR="00F723DA" w:rsidRPr="00623A2B" w:rsidRDefault="00F723DA" w:rsidP="00F723DA">
      <w:pPr>
        <w:tabs>
          <w:tab w:val="center" w:pos="2880"/>
        </w:tabs>
        <w:ind w:right="-360"/>
        <w:rPr>
          <w:rFonts w:ascii="Times New Roman" w:hAnsi="Times New Roman"/>
          <w:szCs w:val="22"/>
          <w:lang w:val="fr-FR"/>
        </w:rPr>
      </w:pPr>
    </w:p>
    <w:p w14:paraId="6D0F859A" w14:textId="77777777" w:rsidR="0015168F" w:rsidRDefault="0015168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lang w:val="fr-FR"/>
        </w:rPr>
      </w:pPr>
      <w:r>
        <w:rPr>
          <w:rFonts w:ascii="Times New Roman" w:hAnsi="Times New Roman"/>
          <w:szCs w:val="22"/>
          <w:u w:val="single"/>
          <w:lang w:val="fr-FR"/>
        </w:rPr>
        <w:br w:type="page"/>
      </w:r>
    </w:p>
    <w:p w14:paraId="2C941596" w14:textId="3D331DEB" w:rsidR="00F723DA" w:rsidRPr="00623A2B" w:rsidRDefault="00F723DA" w:rsidP="00307190">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464"/>
        <w:contextualSpacing w:val="0"/>
        <w:jc w:val="left"/>
        <w:rPr>
          <w:rFonts w:ascii="Times New Roman" w:hAnsi="Times New Roman"/>
          <w:szCs w:val="22"/>
          <w:u w:val="single"/>
          <w:lang w:val="fr-FR"/>
        </w:rPr>
      </w:pPr>
      <w:r w:rsidRPr="00623A2B">
        <w:rPr>
          <w:rFonts w:ascii="Times New Roman" w:hAnsi="Times New Roman"/>
          <w:szCs w:val="22"/>
          <w:u w:val="single"/>
          <w:lang w:val="fr-FR"/>
        </w:rPr>
        <w:lastRenderedPageBreak/>
        <w:t>Droits de la personne et environnement</w:t>
      </w:r>
      <w:r w:rsidRPr="00623A2B">
        <w:rPr>
          <w:rFonts w:ascii="Times New Roman" w:hAnsi="Times New Roman"/>
          <w:lang w:val="fr-FR"/>
        </w:rPr>
        <w:t xml:space="preserve"> </w:t>
      </w:r>
      <w:r w:rsidRPr="00623A2B">
        <w:rPr>
          <w:rFonts w:ascii="Times New Roman" w:hAnsi="Times New Roman"/>
          <w:u w:val="single"/>
          <w:vertAlign w:val="superscript"/>
        </w:rPr>
        <w:footnoteReference w:id="97"/>
      </w:r>
      <w:r w:rsidRPr="00623A2B">
        <w:rPr>
          <w:rFonts w:ascii="Times New Roman" w:hAnsi="Times New Roman"/>
          <w:szCs w:val="22"/>
          <w:u w:val="single"/>
          <w:vertAlign w:val="superscript"/>
          <w:lang w:val="fr-FR"/>
        </w:rPr>
        <w:t>/</w:t>
      </w:r>
    </w:p>
    <w:p w14:paraId="480CF495" w14:textId="77777777" w:rsidR="00F723DA" w:rsidRPr="00623A2B" w:rsidRDefault="00F723DA" w:rsidP="00F723DA">
      <w:pPr>
        <w:rPr>
          <w:rFonts w:ascii="Times New Roman" w:hAnsi="Times New Roman"/>
          <w:szCs w:val="22"/>
          <w:lang w:val="fr-FR"/>
        </w:rPr>
      </w:pPr>
    </w:p>
    <w:p w14:paraId="340FD0D8" w14:textId="77777777" w:rsidR="00F723DA" w:rsidRPr="00623A2B" w:rsidRDefault="00F723DA" w:rsidP="00F723DA">
      <w:pPr>
        <w:rPr>
          <w:rFonts w:ascii="Times New Roman" w:hAnsi="Times New Roman"/>
          <w:szCs w:val="22"/>
          <w:lang w:val="fr-FR"/>
        </w:rPr>
      </w:pPr>
      <w:r w:rsidRPr="00623A2B">
        <w:rPr>
          <w:rFonts w:ascii="Times New Roman" w:hAnsi="Times New Roman"/>
          <w:szCs w:val="22"/>
          <w:lang w:val="fr-FR"/>
        </w:rPr>
        <w:t>DÉCIDE :</w:t>
      </w:r>
    </w:p>
    <w:p w14:paraId="5DCBCAB4" w14:textId="77777777" w:rsidR="00F723DA" w:rsidRPr="00623A2B" w:rsidRDefault="00F723DA" w:rsidP="00F723DA">
      <w:pPr>
        <w:rPr>
          <w:rFonts w:ascii="Times New Roman" w:hAnsi="Times New Roman"/>
          <w:szCs w:val="22"/>
          <w:lang w:val="fr-FR"/>
        </w:rPr>
      </w:pPr>
    </w:p>
    <w:p w14:paraId="6E2C4C3B" w14:textId="77777777" w:rsidR="00F723DA" w:rsidRPr="00623A2B" w:rsidRDefault="00F723DA" w:rsidP="00EE7518">
      <w:pPr>
        <w:pStyle w:val="ListParagraph"/>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bCs/>
          <w:iCs/>
          <w:szCs w:val="22"/>
          <w:lang w:val="fr-FR"/>
        </w:rPr>
      </w:pPr>
      <w:r w:rsidRPr="00623A2B">
        <w:rPr>
          <w:rFonts w:ascii="Times New Roman" w:hAnsi="Times New Roman"/>
          <w:szCs w:val="22"/>
          <w:lang w:val="fr-FR"/>
        </w:rPr>
        <w:t>De renouveler les mandats énoncés dans la section xiv., « Droits de la personne et environnement » de la résolution AG/RES. 2961 (L-O/20) afin que ce thème soit examiné au cours du premier semestre de 2022.</w:t>
      </w:r>
      <w:r w:rsidRPr="00623A2B">
        <w:rPr>
          <w:rStyle w:val="FootnoteReference"/>
          <w:rFonts w:ascii="Times New Roman" w:hAnsi="Times New Roman"/>
          <w:szCs w:val="22"/>
          <w:u w:val="single"/>
          <w:vertAlign w:val="superscript"/>
          <w:lang w:val="fr-FR"/>
        </w:rPr>
        <w:footnoteReference w:id="98"/>
      </w:r>
      <w:r w:rsidRPr="00623A2B">
        <w:rPr>
          <w:rFonts w:ascii="Times New Roman" w:hAnsi="Times New Roman"/>
          <w:szCs w:val="22"/>
          <w:vertAlign w:val="superscript"/>
          <w:lang w:val="fr-FR"/>
        </w:rPr>
        <w:t>/</w:t>
      </w:r>
    </w:p>
    <w:p w14:paraId="34756267" w14:textId="77777777" w:rsidR="00F723DA" w:rsidRPr="00623A2B" w:rsidRDefault="00F723DA" w:rsidP="00F723DA">
      <w:pPr>
        <w:jc w:val="left"/>
        <w:rPr>
          <w:rFonts w:ascii="Times New Roman" w:hAnsi="Times New Roman"/>
          <w:b/>
          <w:bCs/>
          <w:szCs w:val="22"/>
          <w:highlight w:val="lightGray"/>
          <w:lang w:val="fr-FR" w:eastAsia="es-ES"/>
        </w:rPr>
      </w:pPr>
    </w:p>
    <w:p w14:paraId="164CE3B6" w14:textId="77777777" w:rsidR="00F723DA" w:rsidRPr="00623A2B" w:rsidRDefault="00F723DA" w:rsidP="00EE7518">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374"/>
        <w:contextualSpacing w:val="0"/>
        <w:jc w:val="left"/>
        <w:rPr>
          <w:rFonts w:ascii="Times New Roman" w:hAnsi="Times New Roman"/>
          <w:szCs w:val="22"/>
          <w:u w:val="single"/>
          <w:lang w:val="fr-FR"/>
        </w:rPr>
      </w:pPr>
      <w:r w:rsidRPr="00623A2B">
        <w:rPr>
          <w:rFonts w:ascii="Times New Roman" w:hAnsi="Times New Roman"/>
          <w:szCs w:val="22"/>
          <w:u w:val="single"/>
          <w:lang w:val="fr-FR"/>
        </w:rPr>
        <w:t>Droits de la personne et prévention de la discrimination et de la violence contre les personnes LGBTI</w:t>
      </w:r>
      <w:r w:rsidRPr="00623A2B">
        <w:rPr>
          <w:rFonts w:ascii="Times New Roman" w:hAnsi="Times New Roman"/>
          <w:lang w:val="fr-FR"/>
        </w:rPr>
        <w:t xml:space="preserve"> </w:t>
      </w:r>
      <w:r w:rsidRPr="00623A2B">
        <w:rPr>
          <w:rFonts w:ascii="Times New Roman" w:hAnsi="Times New Roman"/>
          <w:szCs w:val="22"/>
          <w:u w:val="single"/>
          <w:vertAlign w:val="superscript"/>
          <w:lang w:val="fr-CA"/>
        </w:rPr>
        <w:footnoteReference w:id="99"/>
      </w:r>
      <w:r w:rsidRPr="00623A2B">
        <w:rPr>
          <w:rFonts w:ascii="Times New Roman" w:hAnsi="Times New Roman"/>
          <w:szCs w:val="22"/>
          <w:u w:val="single"/>
          <w:vertAlign w:val="superscript"/>
          <w:lang w:val="fr-FR"/>
        </w:rPr>
        <w:t xml:space="preserve">/ </w:t>
      </w:r>
      <w:bookmarkStart w:id="78" w:name="_Hlk87459394"/>
      <w:r w:rsidRPr="00623A2B">
        <w:rPr>
          <w:rFonts w:ascii="Times New Roman" w:hAnsi="Times New Roman"/>
          <w:szCs w:val="22"/>
          <w:u w:val="single"/>
          <w:vertAlign w:val="superscript"/>
          <w:lang w:val="fr-CA"/>
        </w:rPr>
        <w:footnoteReference w:id="100"/>
      </w:r>
      <w:r w:rsidRPr="00623A2B">
        <w:rPr>
          <w:rFonts w:ascii="Times New Roman" w:hAnsi="Times New Roman"/>
          <w:szCs w:val="22"/>
          <w:u w:val="single"/>
          <w:vertAlign w:val="superscript"/>
          <w:lang w:val="fr-FR"/>
        </w:rPr>
        <w:t>/</w:t>
      </w:r>
      <w:bookmarkEnd w:id="78"/>
      <w:r w:rsidRPr="00623A2B">
        <w:rPr>
          <w:rFonts w:ascii="Times New Roman" w:hAnsi="Times New Roman"/>
          <w:szCs w:val="22"/>
          <w:u w:val="single"/>
          <w:vertAlign w:val="superscript"/>
          <w:lang w:val="fr-FR"/>
        </w:rPr>
        <w:t xml:space="preserve"> </w:t>
      </w:r>
      <w:r w:rsidRPr="00623A2B">
        <w:rPr>
          <w:rFonts w:ascii="Times New Roman" w:hAnsi="Times New Roman"/>
          <w:szCs w:val="22"/>
          <w:u w:val="single"/>
          <w:vertAlign w:val="superscript"/>
          <w:lang w:val="fr-CA"/>
        </w:rPr>
        <w:footnoteReference w:id="101"/>
      </w:r>
      <w:r w:rsidRPr="00623A2B">
        <w:rPr>
          <w:rFonts w:ascii="Times New Roman" w:hAnsi="Times New Roman"/>
          <w:szCs w:val="22"/>
          <w:u w:val="single"/>
          <w:vertAlign w:val="superscript"/>
          <w:lang w:val="fr-FR"/>
        </w:rPr>
        <w:t>/</w:t>
      </w:r>
      <w:r w:rsidRPr="00623A2B">
        <w:rPr>
          <w:rStyle w:val="FootnoteReference"/>
          <w:rFonts w:ascii="Times New Roman" w:hAnsi="Times New Roman"/>
          <w:u w:val="single"/>
          <w:vertAlign w:val="superscript"/>
        </w:rPr>
        <w:footnoteReference w:id="102"/>
      </w:r>
      <w:r w:rsidRPr="00623A2B">
        <w:rPr>
          <w:rFonts w:ascii="Times New Roman" w:hAnsi="Times New Roman"/>
          <w:u w:val="single"/>
          <w:vertAlign w:val="superscript"/>
          <w:lang w:val="fr-FR"/>
        </w:rPr>
        <w:t>/</w:t>
      </w:r>
      <w:r w:rsidRPr="00623A2B">
        <w:rPr>
          <w:rStyle w:val="FootnoteReference"/>
          <w:rFonts w:ascii="Times New Roman" w:hAnsi="Times New Roman"/>
          <w:u w:val="single"/>
          <w:vertAlign w:val="superscript"/>
        </w:rPr>
        <w:footnoteReference w:id="103"/>
      </w:r>
      <w:r w:rsidRPr="00623A2B">
        <w:rPr>
          <w:rFonts w:ascii="Times New Roman" w:hAnsi="Times New Roman"/>
          <w:u w:val="single"/>
          <w:vertAlign w:val="superscript"/>
          <w:lang w:val="fr-FR"/>
        </w:rPr>
        <w:t>/</w:t>
      </w:r>
      <w:r w:rsidRPr="00623A2B">
        <w:rPr>
          <w:rStyle w:val="FootnoteReference"/>
          <w:rFonts w:ascii="Times New Roman" w:hAnsi="Times New Roman"/>
          <w:u w:val="single"/>
          <w:vertAlign w:val="superscript"/>
        </w:rPr>
        <w:footnoteReference w:id="104"/>
      </w:r>
      <w:r w:rsidRPr="00623A2B">
        <w:rPr>
          <w:rFonts w:ascii="Times New Roman" w:hAnsi="Times New Roman"/>
          <w:u w:val="single"/>
          <w:vertAlign w:val="superscript"/>
          <w:lang w:val="fr-FR"/>
        </w:rPr>
        <w:t>/</w:t>
      </w:r>
      <w:r w:rsidRPr="00623A2B">
        <w:rPr>
          <w:rStyle w:val="FootnoteReference"/>
          <w:rFonts w:ascii="Times New Roman" w:hAnsi="Times New Roman"/>
          <w:u w:val="single"/>
          <w:vertAlign w:val="superscript"/>
        </w:rPr>
        <w:footnoteReference w:id="105"/>
      </w:r>
      <w:r w:rsidRPr="00623A2B">
        <w:rPr>
          <w:rFonts w:ascii="Times New Roman" w:hAnsi="Times New Roman"/>
          <w:vertAlign w:val="superscript"/>
          <w:lang w:val="fr-FR"/>
        </w:rPr>
        <w:t>/</w:t>
      </w:r>
      <w:r w:rsidRPr="00623A2B">
        <w:rPr>
          <w:rStyle w:val="FootnoteReference"/>
          <w:rFonts w:ascii="Times New Roman" w:hAnsi="Times New Roman"/>
          <w:u w:val="single"/>
          <w:vertAlign w:val="superscript"/>
        </w:rPr>
        <w:footnoteReference w:id="106"/>
      </w:r>
      <w:r w:rsidRPr="00623A2B">
        <w:rPr>
          <w:rFonts w:ascii="Times New Roman" w:hAnsi="Times New Roman"/>
          <w:vertAlign w:val="superscript"/>
          <w:lang w:val="fr-FR"/>
        </w:rPr>
        <w:t>/</w:t>
      </w:r>
    </w:p>
    <w:p w14:paraId="1EC86BE0" w14:textId="77777777" w:rsidR="00F723DA" w:rsidRPr="00623A2B" w:rsidRDefault="00F723DA" w:rsidP="00F723DA">
      <w:pPr>
        <w:shd w:val="clear" w:color="auto" w:fill="FFFFFF"/>
        <w:rPr>
          <w:rFonts w:ascii="Times New Roman" w:eastAsia="Arial" w:hAnsi="Times New Roman"/>
          <w:szCs w:val="22"/>
          <w:lang w:val="fr-CA"/>
        </w:rPr>
      </w:pPr>
    </w:p>
    <w:p w14:paraId="09DF310B" w14:textId="77777777" w:rsidR="00F723DA" w:rsidRPr="00623A2B" w:rsidRDefault="00F723DA" w:rsidP="00F723DA">
      <w:pPr>
        <w:shd w:val="clear" w:color="auto" w:fill="FFFFFF"/>
        <w:ind w:firstLine="706"/>
        <w:rPr>
          <w:rFonts w:ascii="Times New Roman" w:eastAsia="Arial" w:hAnsi="Times New Roman"/>
          <w:strike/>
          <w:szCs w:val="22"/>
          <w:lang w:val="fr-FR"/>
        </w:rPr>
      </w:pPr>
      <w:r w:rsidRPr="00623A2B">
        <w:rPr>
          <w:rFonts w:ascii="Times New Roman" w:hAnsi="Times New Roman"/>
          <w:szCs w:val="22"/>
          <w:lang w:val="fr-FR"/>
        </w:rPr>
        <w:t xml:space="preserve">RECONNAISSANT les efforts déployés par les États membres dans la lutte contre la violence et la discrimination à l’égard de tous les groupes en situation de vulnérabilité conformément à leurs obligations internationales en matière de droits de la personne et dans le cadre des plans de développement ainsi que des politiques publiques de chaque État, </w:t>
      </w:r>
    </w:p>
    <w:p w14:paraId="52691D1B" w14:textId="77777777" w:rsidR="00F723DA" w:rsidRPr="00623A2B" w:rsidRDefault="00F723DA" w:rsidP="00F723DA">
      <w:pPr>
        <w:shd w:val="clear" w:color="auto" w:fill="FFFFFF"/>
        <w:rPr>
          <w:rFonts w:ascii="Times New Roman" w:eastAsia="Arial" w:hAnsi="Times New Roman"/>
          <w:szCs w:val="22"/>
          <w:lang w:val="fr-FR"/>
        </w:rPr>
      </w:pPr>
    </w:p>
    <w:p w14:paraId="258E71CC" w14:textId="77777777" w:rsidR="00F723DA" w:rsidRPr="00623A2B" w:rsidRDefault="00F723DA" w:rsidP="00F723DA">
      <w:pPr>
        <w:shd w:val="clear" w:color="auto" w:fill="FFFFFF"/>
        <w:ind w:firstLine="706"/>
        <w:rPr>
          <w:rFonts w:ascii="Times New Roman" w:eastAsia="Arial" w:hAnsi="Times New Roman"/>
          <w:strike/>
          <w:szCs w:val="22"/>
          <w:lang w:val="fr-FR"/>
        </w:rPr>
      </w:pPr>
      <w:r w:rsidRPr="00623A2B">
        <w:rPr>
          <w:rFonts w:ascii="Times New Roman" w:hAnsi="Times New Roman"/>
          <w:szCs w:val="22"/>
          <w:lang w:val="fr-FR"/>
        </w:rPr>
        <w:t xml:space="preserve">PRENANT EN COMPTE que malgré ces efforts, les lesbiennes, gays, bisexuels, transgenres et intersexes (LGBTI) et de genre divers restent l’objet de violence et de pratiques médicales dégradantes, y compris dans certains pays de la région les thérapies de conversion, ainsi que de la discrimination, en raison de leur orientation sexuelle, de leur identité et/ou de leur expression de genre et caractéristiques sexuelles, </w:t>
      </w:r>
    </w:p>
    <w:p w14:paraId="64B0628B" w14:textId="77777777" w:rsidR="00F723DA" w:rsidRPr="00623A2B" w:rsidRDefault="00F723DA" w:rsidP="00F723DA">
      <w:pPr>
        <w:shd w:val="clear" w:color="auto" w:fill="FFFFFF"/>
        <w:rPr>
          <w:rFonts w:ascii="Times New Roman" w:eastAsia="Arial" w:hAnsi="Times New Roman"/>
          <w:szCs w:val="22"/>
          <w:lang w:val="fr-FR"/>
        </w:rPr>
      </w:pPr>
    </w:p>
    <w:p w14:paraId="5DC15A9E" w14:textId="69440321"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t xml:space="preserve">RECONNAISSANT que les personnes transgenres, et en particulier les femmes transgenres, se trouvent dans une situation particulièrement vulnérable en raison de la combinaison de plusieurs facteurs tels que les préjugés, l’exclusion, la discrimination et la violence dans les sphères publique et privée, </w:t>
      </w:r>
    </w:p>
    <w:p w14:paraId="5DBE3D5B" w14:textId="77777777" w:rsidR="00F723DA" w:rsidRPr="00623A2B" w:rsidRDefault="00F723DA" w:rsidP="00F723DA">
      <w:pPr>
        <w:shd w:val="clear" w:color="auto" w:fill="FFFFFF"/>
        <w:rPr>
          <w:rFonts w:ascii="Times New Roman" w:eastAsia="Arial" w:hAnsi="Times New Roman"/>
          <w:szCs w:val="22"/>
          <w:lang w:val="fr-FR"/>
        </w:rPr>
      </w:pPr>
    </w:p>
    <w:p w14:paraId="6644C3B8" w14:textId="77777777" w:rsidR="00F723DA" w:rsidRPr="00623A2B" w:rsidRDefault="00F723DA" w:rsidP="00F723DA">
      <w:pPr>
        <w:shd w:val="clear" w:color="auto" w:fill="FFFFFF"/>
        <w:ind w:firstLine="706"/>
        <w:rPr>
          <w:rFonts w:ascii="Times New Roman" w:eastAsia="Arial" w:hAnsi="Times New Roman"/>
          <w:strike/>
          <w:szCs w:val="22"/>
          <w:lang w:val="fr-FR"/>
        </w:rPr>
      </w:pPr>
      <w:r w:rsidRPr="00623A2B">
        <w:rPr>
          <w:rFonts w:ascii="Times New Roman" w:hAnsi="Times New Roman"/>
          <w:szCs w:val="22"/>
          <w:lang w:val="fr-FR"/>
        </w:rPr>
        <w:t xml:space="preserve">CONSIDÉRANT avec une préoccupation particulière que la violence à l’égard des enfants et des adolescents se manifeste tant dans la sphère publique que privée, pour diverses raisons, notamment du fait de la discrimination fondée sur l’orientation sexuelle et l’identité et/ou l’expression de genre ainsi que les caractéristiques sexuelles, </w:t>
      </w:r>
    </w:p>
    <w:p w14:paraId="06483CF3" w14:textId="77777777"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lastRenderedPageBreak/>
        <w:t>CONSIDÉRANT ÉGALEMENT que si la pandémie causée par la COVID-19 a touché tout le monde, sa propagation et ses conséquences, ainsi que les mesures prises pour combattre celles-ci, touchent différemment des groupes spécifiques tels que les personnes LGBTI,</w:t>
      </w:r>
    </w:p>
    <w:p w14:paraId="1C56D9DF" w14:textId="77777777" w:rsidR="00F723DA" w:rsidRPr="00623A2B" w:rsidRDefault="00F723DA" w:rsidP="00F723DA">
      <w:pPr>
        <w:shd w:val="clear" w:color="auto" w:fill="FFFFFF"/>
        <w:rPr>
          <w:rFonts w:ascii="Times New Roman" w:eastAsia="Arial" w:hAnsi="Times New Roman"/>
          <w:szCs w:val="22"/>
          <w:lang w:val="fr-FR"/>
        </w:rPr>
      </w:pPr>
    </w:p>
    <w:p w14:paraId="4AF0FE34" w14:textId="77777777" w:rsidR="00F723DA" w:rsidRPr="00623A2B" w:rsidRDefault="00F723DA" w:rsidP="00F723DA">
      <w:pPr>
        <w:shd w:val="clear" w:color="auto" w:fill="FFFFFF"/>
        <w:ind w:firstLine="706"/>
        <w:rPr>
          <w:rFonts w:ascii="Times New Roman" w:eastAsia="Arial" w:hAnsi="Times New Roman"/>
          <w:strike/>
          <w:szCs w:val="22"/>
          <w:lang w:val="fr-FR"/>
        </w:rPr>
      </w:pPr>
      <w:r w:rsidRPr="00623A2B">
        <w:rPr>
          <w:rFonts w:ascii="Times New Roman" w:hAnsi="Times New Roman"/>
          <w:szCs w:val="22"/>
          <w:lang w:val="fr-FR"/>
        </w:rPr>
        <w:t xml:space="preserve">NOTANT que les violations et abus particuliers des droits de la personne dont sont couramment victimes les personnes intersexes peuvent impliquer des interventions chirurgicales irréversibles visant l’attribution de sexe et la modification des organes génitaux, sans consentement éclairé, la stérilisation non consentie, la soumission excessive et/ou coercitive à des examens médicaux, des photographies et l’exposition des organes génitaux, le manque d’accès aux informations médicales et aux dossiers cliniques, les retards dans l’enregistrement des naissances et le refus de services de santé ou d’assurance-maladie, entre autres, </w:t>
      </w:r>
    </w:p>
    <w:p w14:paraId="1A54E197" w14:textId="77777777" w:rsidR="00F723DA" w:rsidRPr="00623A2B" w:rsidRDefault="00F723DA" w:rsidP="00F723DA">
      <w:pPr>
        <w:shd w:val="clear" w:color="auto" w:fill="FFFFFF"/>
        <w:rPr>
          <w:rFonts w:ascii="Times New Roman" w:eastAsia="Arial" w:hAnsi="Times New Roman"/>
          <w:szCs w:val="22"/>
          <w:lang w:val="fr-FR"/>
        </w:rPr>
      </w:pPr>
    </w:p>
    <w:p w14:paraId="455F2962" w14:textId="77777777"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t xml:space="preserve">NOTANT ÉGALEMENT le travail et les contributions du Bureau du Rapporteur de la CIDH sur les droits des personnes LGBTI, en particulier les rapports « Violence contre les personnes lesbiennes, gays, bisexuelles, transgenres et intersexes dans les Amériques », de novembre 2015 et « Progrès et défis vers la reconnaissance des droits des personnes LGBTI dans les Amériques », de décembre 2018, ainsi que du Groupe de travail chargé d’examiner les rapports nationaux évoqués dans le Protocole de San Salvador et du Département de l’inclusion sociale du Secrétariat à l’accès aux droits et à l’équité, </w:t>
      </w:r>
    </w:p>
    <w:p w14:paraId="6EC37209" w14:textId="77777777" w:rsidR="00F723DA" w:rsidRPr="00623A2B" w:rsidRDefault="00F723DA" w:rsidP="00F723DA">
      <w:pPr>
        <w:shd w:val="clear" w:color="auto" w:fill="FFFFFF"/>
        <w:rPr>
          <w:rFonts w:ascii="Times New Roman" w:eastAsia="Arial" w:hAnsi="Times New Roman"/>
          <w:szCs w:val="22"/>
          <w:lang w:val="fr-FR"/>
        </w:rPr>
      </w:pPr>
    </w:p>
    <w:p w14:paraId="5AFAB084" w14:textId="77777777" w:rsidR="00F723DA" w:rsidRPr="00623A2B" w:rsidRDefault="00F723DA" w:rsidP="00F723DA">
      <w:pPr>
        <w:shd w:val="clear" w:color="auto" w:fill="FFFFFF"/>
        <w:ind w:firstLine="706"/>
        <w:rPr>
          <w:rFonts w:ascii="Times New Roman" w:eastAsia="Arial" w:hAnsi="Times New Roman"/>
          <w:strike/>
          <w:szCs w:val="22"/>
          <w:lang w:val="fr-FR"/>
        </w:rPr>
      </w:pPr>
      <w:r w:rsidRPr="00623A2B">
        <w:rPr>
          <w:rFonts w:ascii="Times New Roman" w:hAnsi="Times New Roman"/>
          <w:szCs w:val="22"/>
          <w:lang w:val="fr-FR"/>
        </w:rPr>
        <w:t xml:space="preserve">RÉAFFIRMANT la faculté qu’ont les États membres d’exécuter leurs politiques nationales conformément aux principes définis dans leurs constitutions respectives et au droit international relatif aux droits de la personne universellement reconnus, </w:t>
      </w:r>
    </w:p>
    <w:p w14:paraId="5E528B7F" w14:textId="77777777" w:rsidR="00F723DA" w:rsidRPr="00623A2B" w:rsidRDefault="00F723DA" w:rsidP="00F723DA">
      <w:pPr>
        <w:shd w:val="clear" w:color="auto" w:fill="FFFFFF"/>
        <w:rPr>
          <w:rFonts w:ascii="Times New Roman" w:eastAsia="Arial" w:hAnsi="Times New Roman"/>
          <w:szCs w:val="22"/>
          <w:lang w:val="fr-FR"/>
        </w:rPr>
      </w:pPr>
    </w:p>
    <w:p w14:paraId="1FBE7549" w14:textId="77777777" w:rsidR="00F723DA" w:rsidRPr="00623A2B" w:rsidRDefault="00F723DA" w:rsidP="00F723DA">
      <w:pPr>
        <w:shd w:val="clear" w:color="auto" w:fill="FFFFFF"/>
        <w:rPr>
          <w:rFonts w:ascii="Times New Roman" w:eastAsia="Arial" w:hAnsi="Times New Roman"/>
          <w:szCs w:val="22"/>
          <w:lang w:val="fr-FR"/>
        </w:rPr>
      </w:pPr>
      <w:r w:rsidRPr="00623A2B">
        <w:rPr>
          <w:rFonts w:ascii="Times New Roman" w:hAnsi="Times New Roman"/>
          <w:szCs w:val="22"/>
          <w:lang w:val="fr-FR"/>
        </w:rPr>
        <w:t xml:space="preserve">DÉCIDE : </w:t>
      </w:r>
    </w:p>
    <w:p w14:paraId="68A62571" w14:textId="77777777" w:rsidR="00F723DA" w:rsidRPr="00623A2B" w:rsidRDefault="00F723DA" w:rsidP="00F723DA">
      <w:pPr>
        <w:shd w:val="clear" w:color="auto" w:fill="FFFFFF"/>
        <w:rPr>
          <w:rFonts w:ascii="Times New Roman" w:eastAsia="Arial" w:hAnsi="Times New Roman"/>
          <w:szCs w:val="22"/>
          <w:lang w:val="fr-FR"/>
        </w:rPr>
      </w:pPr>
    </w:p>
    <w:p w14:paraId="48F75B88" w14:textId="77777777" w:rsidR="00F723DA" w:rsidRPr="00623A2B" w:rsidRDefault="00F723DA" w:rsidP="00F723DA">
      <w:pPr>
        <w:shd w:val="clear" w:color="auto" w:fill="FFFFFF"/>
        <w:ind w:firstLine="720"/>
        <w:rPr>
          <w:rFonts w:ascii="Times New Roman" w:eastAsia="Arial" w:hAnsi="Times New Roman"/>
          <w:szCs w:val="22"/>
          <w:lang w:val="fr-FR"/>
        </w:rPr>
      </w:pPr>
      <w:r w:rsidRPr="00623A2B">
        <w:rPr>
          <w:rFonts w:ascii="Times New Roman" w:hAnsi="Times New Roman"/>
          <w:szCs w:val="22"/>
          <w:lang w:val="fr-FR"/>
        </w:rPr>
        <w:t>1.</w:t>
      </w:r>
      <w:r w:rsidRPr="00623A2B">
        <w:rPr>
          <w:rFonts w:ascii="Times New Roman" w:hAnsi="Times New Roman"/>
          <w:szCs w:val="22"/>
          <w:lang w:val="fr-FR"/>
        </w:rPr>
        <w:tab/>
        <w:t>De condamner, conformément au droit international et à la Convention américaine relative aux droits de l’homme lorsqu’elle est applicable, les violations et abus des droits fondamentaux impliquant la discrimination, les discours et les manifestations de haine, l’incitation et les actes de violence motivés par des préjugés à l’endroit de personnes du fait de leur orientation sexuelle, de leur identité et/ou expression de genre ou de leurs caractéristiques sexuelles qui se produisent dans le continent américain, ainsi que la discrimination médicale et les pratiques médicales dégradantes.</w:t>
      </w:r>
    </w:p>
    <w:p w14:paraId="547F576F" w14:textId="77777777" w:rsidR="00F723DA" w:rsidRPr="00623A2B" w:rsidRDefault="00F723DA" w:rsidP="00F723DA">
      <w:pPr>
        <w:shd w:val="clear" w:color="auto" w:fill="FFFFFF"/>
        <w:rPr>
          <w:rFonts w:ascii="Times New Roman" w:eastAsia="Arial" w:hAnsi="Times New Roman"/>
          <w:szCs w:val="22"/>
          <w:lang w:val="fr-FR"/>
        </w:rPr>
      </w:pPr>
    </w:p>
    <w:p w14:paraId="344A0DCC" w14:textId="77777777"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t>2.</w:t>
      </w:r>
      <w:r w:rsidRPr="00623A2B">
        <w:rPr>
          <w:rFonts w:ascii="Times New Roman" w:hAnsi="Times New Roman"/>
          <w:szCs w:val="22"/>
          <w:lang w:val="fr-FR"/>
        </w:rPr>
        <w:tab/>
        <w:t>D’exhorter les États membres à continuer de renforcer leurs institutions et leurs politiques publiques pour éliminer les obstacles auxquels font face les personnes lesbiennes, gays, bisexuels, transgenres et intersexes (LGBTI) dans la jouissance des droits de la personne et des libertés fondamentales et à adopter des mesures visant à prévenir les actes de violence et de discrimination contre les personnes en fonction de leur orientation sexuelle, leur identité et/ou expression de genre ou leurs caractéristiques sexuelles, à enquêter sur ces actes, à en déterminer les responsables, à punir et</w:t>
      </w:r>
      <w:r w:rsidRPr="00623A2B">
        <w:rPr>
          <w:rFonts w:ascii="Times New Roman" w:hAnsi="Times New Roman"/>
          <w:b/>
          <w:bCs/>
          <w:szCs w:val="22"/>
          <w:lang w:val="fr-FR"/>
        </w:rPr>
        <w:t xml:space="preserve"> </w:t>
      </w:r>
      <w:r w:rsidRPr="00623A2B">
        <w:rPr>
          <w:rFonts w:ascii="Times New Roman" w:hAnsi="Times New Roman"/>
          <w:szCs w:val="22"/>
          <w:lang w:val="fr-FR"/>
        </w:rPr>
        <w:t>éliminer</w:t>
      </w:r>
      <w:r w:rsidRPr="00623A2B">
        <w:rPr>
          <w:rFonts w:ascii="Times New Roman" w:hAnsi="Times New Roman"/>
          <w:b/>
          <w:bCs/>
          <w:szCs w:val="22"/>
          <w:lang w:val="fr-FR"/>
        </w:rPr>
        <w:t xml:space="preserve"> </w:t>
      </w:r>
      <w:r w:rsidRPr="00623A2B">
        <w:rPr>
          <w:rFonts w:ascii="Times New Roman" w:hAnsi="Times New Roman"/>
          <w:szCs w:val="22"/>
          <w:lang w:val="fr-FR"/>
        </w:rPr>
        <w:t>ces actes, et à assurer que les victimes de violence et de discrimination ont accès à la justice dans des conditions d’égalité.</w:t>
      </w:r>
    </w:p>
    <w:p w14:paraId="18002819" w14:textId="77777777" w:rsidR="00F723DA" w:rsidRPr="00623A2B" w:rsidRDefault="00F723DA" w:rsidP="00F723DA">
      <w:pPr>
        <w:shd w:val="clear" w:color="auto" w:fill="FFFFFF"/>
        <w:rPr>
          <w:rFonts w:ascii="Times New Roman" w:eastAsia="Arial" w:hAnsi="Times New Roman"/>
          <w:szCs w:val="22"/>
          <w:lang w:val="fr-FR"/>
        </w:rPr>
      </w:pPr>
    </w:p>
    <w:p w14:paraId="590F0A84" w14:textId="77777777"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t>3.</w:t>
      </w:r>
      <w:r w:rsidRPr="00623A2B">
        <w:rPr>
          <w:rFonts w:ascii="Times New Roman" w:hAnsi="Times New Roman"/>
          <w:szCs w:val="22"/>
          <w:lang w:val="fr-FR"/>
        </w:rPr>
        <w:tab/>
        <w:t>D’inviter instamment les États membres à prendre des mesures urgentes pour promouvoir la pleine jouissance de tous les droits des personnes LGBTI, y compris l’égalité devant la loi, ainsi qu’à mettre en place, le cas échéant, des mécanismes institutionnels pour le soutien de leurs familles, en tenant compte du contexte de la pandémie et en garantissant l'accès, sans discrimination, à des services de santé équitables, fournis en temps voulu, et de qualité.</w:t>
      </w:r>
    </w:p>
    <w:p w14:paraId="31135613" w14:textId="77777777" w:rsidR="00F723DA" w:rsidRPr="00623A2B" w:rsidRDefault="00F723DA" w:rsidP="00F723DA">
      <w:pPr>
        <w:shd w:val="clear" w:color="auto" w:fill="FFFFFF"/>
        <w:rPr>
          <w:rFonts w:ascii="Times New Roman" w:eastAsia="Arial" w:hAnsi="Times New Roman"/>
          <w:szCs w:val="22"/>
          <w:lang w:val="fr-FR"/>
        </w:rPr>
      </w:pPr>
    </w:p>
    <w:p w14:paraId="4DD9F4DD" w14:textId="77777777"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lastRenderedPageBreak/>
        <w:t>4.</w:t>
      </w:r>
      <w:r w:rsidRPr="00623A2B">
        <w:rPr>
          <w:rFonts w:ascii="Times New Roman" w:hAnsi="Times New Roman"/>
          <w:szCs w:val="22"/>
          <w:lang w:val="fr-FR"/>
        </w:rPr>
        <w:tab/>
        <w:t xml:space="preserve">D’inviter instamment les États membres à adopter des mesures visant à inclure les personnes LGBTI dans le développement économique et garantir leur égalité d'accès au marché du travail. </w:t>
      </w:r>
    </w:p>
    <w:p w14:paraId="3D939395" w14:textId="77777777" w:rsidR="00F723DA" w:rsidRPr="00623A2B" w:rsidRDefault="00F723DA" w:rsidP="00F723DA">
      <w:pPr>
        <w:shd w:val="clear" w:color="auto" w:fill="FFFFFF"/>
        <w:rPr>
          <w:rFonts w:ascii="Times New Roman" w:eastAsia="Arial" w:hAnsi="Times New Roman"/>
          <w:szCs w:val="22"/>
          <w:lang w:val="fr-FR"/>
        </w:rPr>
      </w:pPr>
    </w:p>
    <w:p w14:paraId="6191980A" w14:textId="77777777" w:rsidR="00F723DA" w:rsidRPr="00623A2B" w:rsidRDefault="00F723DA" w:rsidP="00F31260">
      <w:pPr>
        <w:widowControl/>
        <w:shd w:val="clear" w:color="auto" w:fill="FFFFFF"/>
        <w:ind w:firstLine="706"/>
        <w:rPr>
          <w:rFonts w:ascii="Times New Roman" w:eastAsia="Arial" w:hAnsi="Times New Roman"/>
          <w:szCs w:val="22"/>
          <w:lang w:val="fr-FR"/>
        </w:rPr>
      </w:pPr>
      <w:r w:rsidRPr="00623A2B">
        <w:rPr>
          <w:rFonts w:ascii="Times New Roman" w:hAnsi="Times New Roman"/>
          <w:szCs w:val="22"/>
          <w:lang w:val="fr-FR"/>
        </w:rPr>
        <w:t>5.</w:t>
      </w:r>
      <w:r w:rsidRPr="00623A2B">
        <w:rPr>
          <w:rFonts w:ascii="Times New Roman" w:hAnsi="Times New Roman"/>
          <w:szCs w:val="22"/>
          <w:lang w:val="fr-FR"/>
        </w:rPr>
        <w:tab/>
        <w:t xml:space="preserve">D’inviter instamment les États membres à adopter des mesures qui assurent une protection efficace aux personnes intersexes et à mettre en place des politiques et des procédures, le cas échéant, pour garantir que les pratiques médicales touchant les personnes intersexes respectent les droits de la personne. </w:t>
      </w:r>
    </w:p>
    <w:p w14:paraId="29829A77" w14:textId="77777777" w:rsidR="00F723DA" w:rsidRPr="00623A2B" w:rsidRDefault="00F723DA" w:rsidP="00F723DA">
      <w:pPr>
        <w:shd w:val="clear" w:color="auto" w:fill="FFFFFF"/>
        <w:rPr>
          <w:rFonts w:ascii="Times New Roman" w:eastAsia="Arial" w:hAnsi="Times New Roman"/>
          <w:szCs w:val="22"/>
          <w:lang w:val="fr-FR"/>
        </w:rPr>
      </w:pPr>
    </w:p>
    <w:p w14:paraId="126C911D" w14:textId="77777777"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t>6.</w:t>
      </w:r>
      <w:r w:rsidRPr="00623A2B">
        <w:rPr>
          <w:rFonts w:ascii="Times New Roman" w:hAnsi="Times New Roman"/>
          <w:szCs w:val="22"/>
          <w:lang w:val="fr-FR"/>
        </w:rPr>
        <w:tab/>
        <w:t xml:space="preserve">De charger le Conseil permanent d’organiser, dans les limites des ressources disponibles et en coordination avec le Secrétariat à l’accès aux droits et à l’équité, une séance extraordinaire consacrée aux droits de la personne et à la prévention de la discrimination et de la violence contre les personnes LGBTI dans les Amériques, en accordant une attention particulière, compte tenu de la pandémie, à l’accès à la santé et à la situation des personnes transgenres et de genre divers. </w:t>
      </w:r>
    </w:p>
    <w:p w14:paraId="6A07BCC1" w14:textId="77777777" w:rsidR="00F723DA" w:rsidRPr="00623A2B" w:rsidRDefault="00F723DA" w:rsidP="00F723DA">
      <w:pPr>
        <w:shd w:val="clear" w:color="auto" w:fill="FFFFFF"/>
        <w:rPr>
          <w:rFonts w:ascii="Times New Roman" w:eastAsia="Arial" w:hAnsi="Times New Roman"/>
          <w:szCs w:val="22"/>
          <w:lang w:val="fr-FR"/>
        </w:rPr>
      </w:pPr>
    </w:p>
    <w:p w14:paraId="45E1334C" w14:textId="77777777" w:rsidR="00F723DA" w:rsidRPr="00623A2B" w:rsidRDefault="00F723DA" w:rsidP="00F723DA">
      <w:pPr>
        <w:shd w:val="clear" w:color="auto" w:fill="FFFFFF"/>
        <w:ind w:firstLine="706"/>
        <w:rPr>
          <w:rFonts w:ascii="Times New Roman" w:hAnsi="Times New Roman"/>
          <w:szCs w:val="22"/>
          <w:lang w:val="fr-FR"/>
        </w:rPr>
      </w:pPr>
      <w:r w:rsidRPr="00623A2B">
        <w:rPr>
          <w:rFonts w:ascii="Times New Roman" w:hAnsi="Times New Roman"/>
          <w:szCs w:val="22"/>
          <w:lang w:val="fr-FR"/>
        </w:rPr>
        <w:t>7.</w:t>
      </w:r>
      <w:r w:rsidRPr="00623A2B">
        <w:rPr>
          <w:rFonts w:ascii="Times New Roman" w:hAnsi="Times New Roman"/>
          <w:szCs w:val="22"/>
          <w:lang w:val="fr-FR"/>
        </w:rPr>
        <w:tab/>
        <w:t>De demander à la CIDH de présenter, en fonction des ressources disponibles, un suivi sur le rapport « Violence contre les personnes lesbiennes, gays, bisexuelles, transgenres et intersexes dans les Amériques », de 2015 et, en collaboration avec d’autres organismes et entités tels que l’Organisation panaméricaine de la santé ; de lui demander également de faire rapport sur la discrimination médicale et les pratiques médicales dégradantes, notamment en ce qui concerne les personnes intersexes et de faire rapport également sur la situation des identités de genre dans la région.</w:t>
      </w:r>
    </w:p>
    <w:p w14:paraId="6B79B5C3" w14:textId="77777777" w:rsidR="00F723DA" w:rsidRPr="00623A2B" w:rsidRDefault="00F723DA" w:rsidP="00F723DA">
      <w:pPr>
        <w:shd w:val="clear" w:color="auto" w:fill="FFFFFF"/>
        <w:ind w:firstLine="706"/>
        <w:rPr>
          <w:rFonts w:ascii="Times New Roman" w:hAnsi="Times New Roman"/>
          <w:szCs w:val="22"/>
          <w:lang w:val="fr-FR"/>
        </w:rPr>
      </w:pPr>
    </w:p>
    <w:p w14:paraId="373EDACC" w14:textId="77777777" w:rsidR="00F723DA" w:rsidRPr="00623A2B" w:rsidRDefault="00F723DA" w:rsidP="00EE7518">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374"/>
        <w:contextualSpacing w:val="0"/>
        <w:jc w:val="left"/>
        <w:rPr>
          <w:rFonts w:ascii="Times New Roman" w:hAnsi="Times New Roman"/>
          <w:szCs w:val="22"/>
          <w:u w:val="single"/>
          <w:lang w:val="fr-FR"/>
        </w:rPr>
      </w:pPr>
      <w:r w:rsidRPr="00623A2B">
        <w:rPr>
          <w:rFonts w:ascii="Times New Roman" w:hAnsi="Times New Roman"/>
          <w:szCs w:val="22"/>
          <w:u w:val="single"/>
          <w:lang w:val="fr-FR"/>
        </w:rPr>
        <w:t>Observations et recommandations relatives aux rapports annuels 2020 de la Commission interaméricaine des droits de l’homme et de la Cour interaméricaine des droits de l'homme</w:t>
      </w:r>
      <w:r w:rsidRPr="00623A2B">
        <w:rPr>
          <w:rFonts w:ascii="Times New Roman" w:hAnsi="Times New Roman"/>
          <w:szCs w:val="22"/>
          <w:lang w:val="fr-FR"/>
        </w:rPr>
        <w:t xml:space="preserve"> </w:t>
      </w:r>
      <w:r w:rsidRPr="00623A2B">
        <w:rPr>
          <w:rFonts w:ascii="Times New Roman" w:hAnsi="Times New Roman"/>
          <w:szCs w:val="22"/>
          <w:u w:val="single"/>
          <w:vertAlign w:val="superscript"/>
          <w:lang w:val="fr-CA"/>
        </w:rPr>
        <w:footnoteReference w:id="107"/>
      </w:r>
      <w:r w:rsidRPr="00623A2B">
        <w:rPr>
          <w:rFonts w:ascii="Times New Roman" w:hAnsi="Times New Roman"/>
          <w:szCs w:val="22"/>
          <w:u w:val="single"/>
          <w:vertAlign w:val="superscript"/>
          <w:lang w:val="fr-FR"/>
        </w:rPr>
        <w:t>/</w:t>
      </w:r>
    </w:p>
    <w:p w14:paraId="015C9FC0" w14:textId="77777777" w:rsidR="00F723DA" w:rsidRPr="00623A2B" w:rsidRDefault="00F723DA" w:rsidP="00F723DA">
      <w:pPr>
        <w:shd w:val="clear" w:color="auto" w:fill="FFFFFF"/>
        <w:rPr>
          <w:rFonts w:ascii="Times New Roman" w:eastAsia="Arial" w:hAnsi="Times New Roman"/>
          <w:szCs w:val="22"/>
          <w:lang w:val="fr-FR"/>
        </w:rPr>
      </w:pPr>
    </w:p>
    <w:p w14:paraId="596941D8" w14:textId="77777777" w:rsidR="00F723DA" w:rsidRPr="00623A2B" w:rsidRDefault="00F723DA" w:rsidP="00F723DA">
      <w:pPr>
        <w:shd w:val="clear" w:color="auto" w:fill="FFFFFF"/>
        <w:ind w:firstLine="706"/>
        <w:rPr>
          <w:rFonts w:ascii="Times New Roman" w:eastAsia="Arial" w:hAnsi="Times New Roman"/>
          <w:strike/>
          <w:szCs w:val="22"/>
          <w:lang w:val="fr-FR"/>
        </w:rPr>
      </w:pPr>
      <w:r w:rsidRPr="00623A2B">
        <w:rPr>
          <w:rFonts w:ascii="Times New Roman" w:hAnsi="Times New Roman"/>
          <w:szCs w:val="22"/>
          <w:lang w:val="fr-FR"/>
        </w:rPr>
        <w:t>RECONNAISSANT le travail de la CIDH et de la Cour interaméricaine des droits de l’homme dans l’accomplissement de leurs fonctions en matière de promotion du respect, de la défense et de la protection des droits de la personne en vertu de leurs attributions face aux situations de violations des droits de la personne, à la lumière des principes de subsidiarité et de complémentarité,</w:t>
      </w:r>
    </w:p>
    <w:p w14:paraId="360FE50B" w14:textId="77777777" w:rsidR="00F723DA" w:rsidRPr="00623A2B" w:rsidRDefault="00F723DA" w:rsidP="00F723DA">
      <w:pPr>
        <w:shd w:val="clear" w:color="auto" w:fill="FFFFFF"/>
        <w:rPr>
          <w:rFonts w:ascii="Times New Roman" w:eastAsia="Arial" w:hAnsi="Times New Roman"/>
          <w:szCs w:val="22"/>
          <w:lang w:val="fr-FR"/>
        </w:rPr>
      </w:pPr>
    </w:p>
    <w:p w14:paraId="1AD2B9AE" w14:textId="77777777" w:rsidR="00F723DA" w:rsidRPr="00623A2B" w:rsidRDefault="00F723DA" w:rsidP="00F723DA">
      <w:pPr>
        <w:shd w:val="clear" w:color="auto" w:fill="FFFFFF"/>
        <w:rPr>
          <w:rFonts w:ascii="Times New Roman" w:eastAsia="Arial" w:hAnsi="Times New Roman"/>
          <w:szCs w:val="22"/>
          <w:lang w:val="fr-FR"/>
        </w:rPr>
      </w:pPr>
      <w:r w:rsidRPr="00623A2B">
        <w:rPr>
          <w:rFonts w:ascii="Times New Roman" w:hAnsi="Times New Roman"/>
          <w:szCs w:val="22"/>
          <w:lang w:val="fr-FR"/>
        </w:rPr>
        <w:t>DÉCIDE :</w:t>
      </w:r>
    </w:p>
    <w:p w14:paraId="212A0428" w14:textId="77777777" w:rsidR="00F723DA" w:rsidRPr="00623A2B" w:rsidRDefault="00F723DA" w:rsidP="00F723DA">
      <w:pPr>
        <w:shd w:val="clear" w:color="auto" w:fill="FFFFFF"/>
        <w:rPr>
          <w:rFonts w:ascii="Times New Roman" w:eastAsia="Arial" w:hAnsi="Times New Roman"/>
          <w:szCs w:val="22"/>
          <w:lang w:val="fr-FR"/>
        </w:rPr>
      </w:pPr>
    </w:p>
    <w:p w14:paraId="63EE31FE" w14:textId="77777777" w:rsidR="00F723DA" w:rsidRPr="00623A2B" w:rsidRDefault="00F723DA" w:rsidP="00EE7518">
      <w:pPr>
        <w:pStyle w:val="ListParagraph"/>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firstLine="720"/>
        <w:contextualSpacing w:val="0"/>
        <w:rPr>
          <w:rFonts w:ascii="Times New Roman" w:eastAsia="Arial" w:hAnsi="Times New Roman"/>
          <w:lang w:val="fr-FR"/>
        </w:rPr>
      </w:pPr>
      <w:r w:rsidRPr="00623A2B">
        <w:rPr>
          <w:rFonts w:ascii="Times New Roman" w:hAnsi="Times New Roman"/>
          <w:szCs w:val="22"/>
          <w:lang w:val="fr-FR"/>
        </w:rPr>
        <w:t>De réaffirmer l’engagement des États membres envers le système interaméricain de protection des droits de la personne.</w:t>
      </w:r>
    </w:p>
    <w:p w14:paraId="6F600CF3" w14:textId="77777777" w:rsidR="00F723DA" w:rsidRPr="00623A2B" w:rsidRDefault="00F723DA" w:rsidP="00EE7518">
      <w:pPr>
        <w:pStyle w:val="ListParagraph"/>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firstLine="720"/>
        <w:contextualSpacing w:val="0"/>
        <w:rPr>
          <w:rFonts w:ascii="Times New Roman" w:eastAsia="Arial" w:hAnsi="Times New Roman"/>
          <w:lang w:val="fr-FR"/>
        </w:rPr>
      </w:pPr>
      <w:r w:rsidRPr="00623A2B">
        <w:rPr>
          <w:rFonts w:ascii="Times New Roman" w:hAnsi="Times New Roman"/>
          <w:szCs w:val="22"/>
          <w:lang w:val="fr-FR"/>
        </w:rPr>
        <w:t>De demander instamment aux États membres qui ne l’ont pas encore fait d’envisager de signer ou de ratifier tous les instruments interaméricains de droits de la personne ou d’y adhérer, selon le cas, en particulier la Convention américaine relative aux droits de l’homme.</w:t>
      </w:r>
    </w:p>
    <w:p w14:paraId="52DDAA15" w14:textId="77777777" w:rsidR="00F723DA" w:rsidRPr="00623A2B" w:rsidRDefault="00F723DA" w:rsidP="00F723DA">
      <w:pPr>
        <w:snapToGrid w:val="0"/>
        <w:rPr>
          <w:rFonts w:ascii="Times New Roman" w:eastAsia="Arial" w:hAnsi="Times New Roman"/>
          <w:lang w:val="fr-FR"/>
        </w:rPr>
      </w:pPr>
    </w:p>
    <w:p w14:paraId="1CD2BF5F" w14:textId="77777777" w:rsidR="00F723DA" w:rsidRPr="00623A2B" w:rsidRDefault="00F723DA" w:rsidP="00EE7518">
      <w:pPr>
        <w:pStyle w:val="ListParagraph"/>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firstLine="720"/>
        <w:contextualSpacing w:val="0"/>
        <w:rPr>
          <w:rFonts w:ascii="Times New Roman" w:hAnsi="Times New Roman"/>
          <w:snapToGrid w:val="0"/>
          <w:szCs w:val="22"/>
          <w:lang w:val="fr-FR" w:eastAsia="es-ES_tradnl"/>
        </w:rPr>
      </w:pPr>
      <w:r w:rsidRPr="00623A2B">
        <w:rPr>
          <w:rFonts w:ascii="Times New Roman" w:hAnsi="Times New Roman"/>
          <w:snapToGrid w:val="0"/>
          <w:szCs w:val="22"/>
          <w:lang w:val="fr-FR" w:eastAsia="es-ES_tradnl"/>
        </w:rPr>
        <w:t>De réaffirmer l'importance pour l'Organisation de maintenir une affection de crédits budgétaires durable qui permette à la Commission interaméricaine des droits de l'homme et à la Cour interaméricaine des droits de l'homme de s'acquitter de tous leurs mandats et de poursuivre leurs travaux.</w:t>
      </w:r>
    </w:p>
    <w:p w14:paraId="6907E7D3" w14:textId="77777777" w:rsidR="00307190" w:rsidRPr="00623A2B" w:rsidRDefault="00307190" w:rsidP="00F723DA">
      <w:pPr>
        <w:jc w:val="left"/>
        <w:rPr>
          <w:rFonts w:ascii="Times New Roman" w:hAnsi="Times New Roman"/>
          <w:b/>
          <w:bCs/>
          <w:szCs w:val="22"/>
          <w:lang w:val="fr-FR"/>
        </w:rPr>
      </w:pPr>
    </w:p>
    <w:p w14:paraId="30F87728" w14:textId="77777777" w:rsidR="00F723DA" w:rsidRPr="00623A2B" w:rsidRDefault="00F723DA" w:rsidP="00EE7518">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284"/>
        <w:contextualSpacing w:val="0"/>
        <w:jc w:val="left"/>
        <w:rPr>
          <w:rFonts w:ascii="Times New Roman" w:hAnsi="Times New Roman"/>
          <w:szCs w:val="22"/>
          <w:u w:val="single"/>
          <w:lang w:val="fr-FR"/>
        </w:rPr>
      </w:pPr>
      <w:r w:rsidRPr="00623A2B">
        <w:rPr>
          <w:rFonts w:ascii="Times New Roman" w:hAnsi="Times New Roman"/>
          <w:szCs w:val="22"/>
          <w:u w:val="single"/>
          <w:lang w:val="fr-FR"/>
        </w:rPr>
        <w:lastRenderedPageBreak/>
        <w:t>Renforcement du suivi des recommandations issues de la Commission interaméricaine des droits de l'homme</w:t>
      </w:r>
    </w:p>
    <w:p w14:paraId="46FFFD44" w14:textId="77777777" w:rsidR="00F723DA" w:rsidRPr="00623A2B" w:rsidRDefault="00F723DA" w:rsidP="00F723DA">
      <w:pPr>
        <w:shd w:val="clear" w:color="auto" w:fill="FFFFFF"/>
        <w:rPr>
          <w:rFonts w:ascii="Times New Roman" w:eastAsia="Arial" w:hAnsi="Times New Roman"/>
          <w:szCs w:val="22"/>
          <w:lang w:val="fr-FR"/>
        </w:rPr>
      </w:pPr>
    </w:p>
    <w:p w14:paraId="65A3FB55" w14:textId="77777777"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t>PRENANT EN CONSIDÉRATION que, à l’heure actuelle, le programme international en matière de droits de la personne nécessite un dialogue sur les mécanismes appelés à orienter les États membres dans la promotion de politiques et de mesures tendant à promouvoir la validité des droits de la personne dans le continent américain,</w:t>
      </w:r>
    </w:p>
    <w:p w14:paraId="5EEDDFB7" w14:textId="77777777" w:rsidR="00F723DA" w:rsidRPr="00623A2B" w:rsidRDefault="00F723DA" w:rsidP="00F723DA">
      <w:pPr>
        <w:shd w:val="clear" w:color="auto" w:fill="FFFFFF"/>
        <w:rPr>
          <w:rFonts w:ascii="Times New Roman" w:eastAsia="Arial" w:hAnsi="Times New Roman"/>
          <w:szCs w:val="22"/>
          <w:lang w:val="fr-FR"/>
        </w:rPr>
      </w:pPr>
    </w:p>
    <w:p w14:paraId="66AC68A3" w14:textId="77777777"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t>PRENANT EN CONSIDÉRATION ÉGALEMENT que, le 10 juin 2020, en coopération avec le Paraguay, la CIDH a mis à la disposition du public le Système interaméricain de suivi des recommandations (SIMORE interaméricain), qui consiste en un outil informatique en ligne, lequel recueille les recommandations formulées par la CIDH à travers ses différents mécanismes et grâce auquel elle permet un canal d'échange et de réception d'informations sur le suivi de celles-ci,</w:t>
      </w:r>
    </w:p>
    <w:p w14:paraId="7F372A66" w14:textId="77777777" w:rsidR="00F723DA" w:rsidRPr="00623A2B" w:rsidRDefault="00F723DA" w:rsidP="00F723DA">
      <w:pPr>
        <w:shd w:val="clear" w:color="auto" w:fill="FFFFFF"/>
        <w:rPr>
          <w:rFonts w:ascii="Times New Roman" w:eastAsia="Arial" w:hAnsi="Times New Roman"/>
          <w:szCs w:val="22"/>
          <w:lang w:val="fr-FR"/>
        </w:rPr>
      </w:pPr>
    </w:p>
    <w:p w14:paraId="02628E8F" w14:textId="77777777"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t xml:space="preserve">NOTANT que, le 2 juillet 2021, la CIDH a mis en marche l'Observatoire d'impact de la Commission interaméricaine des droits de l'homme, </w:t>
      </w:r>
    </w:p>
    <w:p w14:paraId="1A03AF09" w14:textId="77777777" w:rsidR="00F723DA" w:rsidRPr="00623A2B" w:rsidRDefault="00F723DA" w:rsidP="00F723DA">
      <w:pPr>
        <w:shd w:val="clear" w:color="auto" w:fill="FFFFFF"/>
        <w:rPr>
          <w:rFonts w:ascii="Times New Roman" w:eastAsia="Arial" w:hAnsi="Times New Roman"/>
          <w:szCs w:val="22"/>
          <w:lang w:val="fr-FR"/>
        </w:rPr>
      </w:pPr>
    </w:p>
    <w:p w14:paraId="1A5EB0C2" w14:textId="77777777" w:rsidR="00F723DA" w:rsidRPr="00623A2B" w:rsidRDefault="00F723DA" w:rsidP="00F723DA">
      <w:pPr>
        <w:shd w:val="clear" w:color="auto" w:fill="FFFFFF"/>
        <w:rPr>
          <w:rFonts w:ascii="Times New Roman" w:eastAsia="Arial" w:hAnsi="Times New Roman"/>
          <w:szCs w:val="22"/>
          <w:lang w:val="fr-FR"/>
        </w:rPr>
      </w:pPr>
      <w:r w:rsidRPr="00623A2B">
        <w:rPr>
          <w:rFonts w:ascii="Times New Roman" w:hAnsi="Times New Roman"/>
          <w:szCs w:val="22"/>
          <w:lang w:val="fr-FR"/>
        </w:rPr>
        <w:t>DÉCIDE :</w:t>
      </w:r>
    </w:p>
    <w:p w14:paraId="3DAFCDB4" w14:textId="77777777" w:rsidR="00F723DA" w:rsidRPr="00623A2B" w:rsidRDefault="00F723DA" w:rsidP="00F723DA">
      <w:pPr>
        <w:shd w:val="clear" w:color="auto" w:fill="FFFFFF"/>
        <w:rPr>
          <w:rFonts w:ascii="Times New Roman" w:eastAsia="Arial" w:hAnsi="Times New Roman"/>
          <w:szCs w:val="22"/>
          <w:lang w:val="fr-FR"/>
        </w:rPr>
      </w:pPr>
    </w:p>
    <w:p w14:paraId="1C735A52" w14:textId="77777777" w:rsidR="00F723DA" w:rsidRPr="00623A2B" w:rsidRDefault="00F723DA" w:rsidP="00F723DA">
      <w:pPr>
        <w:shd w:val="clear" w:color="auto" w:fill="FFFFFF"/>
        <w:ind w:firstLine="706"/>
        <w:rPr>
          <w:rFonts w:ascii="Times New Roman" w:eastAsia="Arial" w:hAnsi="Times New Roman"/>
          <w:szCs w:val="22"/>
          <w:lang w:val="fr-CA"/>
        </w:rPr>
      </w:pPr>
      <w:r w:rsidRPr="00623A2B">
        <w:rPr>
          <w:rFonts w:ascii="Times New Roman" w:hAnsi="Times New Roman"/>
          <w:szCs w:val="22"/>
          <w:lang w:val="fr-FR"/>
        </w:rPr>
        <w:t>1.</w:t>
      </w:r>
      <w:r w:rsidRPr="00623A2B">
        <w:rPr>
          <w:rFonts w:ascii="Times New Roman" w:hAnsi="Times New Roman"/>
          <w:szCs w:val="22"/>
          <w:lang w:val="fr-FR"/>
        </w:rPr>
        <w:tab/>
        <w:t>De prendre note de l'élan entrepris par la CIDH, en coopération avec quelques États membres, pour mettre en œuvre le Système interaméricain de suivi des recommandations (SIMORE interaméricain) et l'Observatoire de l'impact de la CIDH mettre en relief l’importance du dialogue avec les États parties concernant les recommandations de la CIDH, dans le cadre de ses attributions.</w:t>
      </w:r>
    </w:p>
    <w:p w14:paraId="105CACCC" w14:textId="77777777" w:rsidR="00F723DA" w:rsidRPr="00623A2B" w:rsidRDefault="00F723DA" w:rsidP="00F723DA">
      <w:pPr>
        <w:shd w:val="clear" w:color="auto" w:fill="FFFFFF"/>
        <w:rPr>
          <w:rFonts w:ascii="Times New Roman" w:eastAsia="Arial" w:hAnsi="Times New Roman"/>
          <w:szCs w:val="22"/>
          <w:lang w:val="fr-FR"/>
        </w:rPr>
      </w:pPr>
    </w:p>
    <w:p w14:paraId="4E5DB9A4" w14:textId="77777777"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t>2.</w:t>
      </w:r>
      <w:r w:rsidRPr="00623A2B">
        <w:rPr>
          <w:rFonts w:ascii="Times New Roman" w:hAnsi="Times New Roman"/>
          <w:szCs w:val="22"/>
          <w:lang w:val="fr-FR"/>
        </w:rPr>
        <w:tab/>
        <w:t>D’inviter la CIDH à entamer un dialogue de manière coordonnée avec les États membres pour contribuer de manière engagée à l'échange d'informations et de bonnes pratiques qui rendent viable la conception de stratégies, de plans et de programmes dans ce domaine, dans la mesure de leurs capacités nationales.</w:t>
      </w:r>
    </w:p>
    <w:p w14:paraId="7CA7B6DF" w14:textId="77777777" w:rsidR="00F723DA" w:rsidRPr="00623A2B" w:rsidRDefault="00F723DA" w:rsidP="00F723DA">
      <w:pPr>
        <w:shd w:val="clear" w:color="auto" w:fill="FFFFFF"/>
        <w:rPr>
          <w:rFonts w:ascii="Times New Roman" w:eastAsia="Arial" w:hAnsi="Times New Roman"/>
          <w:szCs w:val="22"/>
          <w:lang w:val="fr-FR"/>
        </w:rPr>
      </w:pPr>
    </w:p>
    <w:p w14:paraId="491F713D" w14:textId="77777777"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t>3.</w:t>
      </w:r>
      <w:r w:rsidRPr="00623A2B">
        <w:rPr>
          <w:rFonts w:ascii="Times New Roman" w:hAnsi="Times New Roman"/>
          <w:szCs w:val="22"/>
          <w:lang w:val="fr-FR"/>
        </w:rPr>
        <w:tab/>
        <w:t>D’encourager les États membres et les autres acteurs intéressés à ouvrir des comptes dans le SIMORE interaméricain et à publier des informations concernant le suivi</w:t>
      </w:r>
      <w:r w:rsidRPr="00623A2B">
        <w:rPr>
          <w:rFonts w:ascii="Times New Roman" w:hAnsi="Times New Roman"/>
          <w:b/>
          <w:bCs/>
          <w:szCs w:val="22"/>
          <w:lang w:val="fr-FR"/>
        </w:rPr>
        <w:t xml:space="preserve"> </w:t>
      </w:r>
      <w:r w:rsidRPr="00623A2B">
        <w:rPr>
          <w:rFonts w:ascii="Times New Roman" w:hAnsi="Times New Roman"/>
          <w:szCs w:val="22"/>
          <w:lang w:val="fr-FR"/>
        </w:rPr>
        <w:t>des recommandations ainsi qu'à utiliser l'Observatoire de l'impact de la CIDH.</w:t>
      </w:r>
    </w:p>
    <w:p w14:paraId="5647FE1C" w14:textId="77777777" w:rsidR="00F723DA" w:rsidRPr="00623A2B" w:rsidRDefault="00F723DA" w:rsidP="00F723DA">
      <w:pPr>
        <w:tabs>
          <w:tab w:val="center" w:pos="2880"/>
        </w:tabs>
        <w:ind w:right="-1289"/>
        <w:rPr>
          <w:rFonts w:ascii="Times New Roman" w:hAnsi="Times New Roman"/>
          <w:szCs w:val="22"/>
          <w:lang w:val="fr-FR"/>
        </w:rPr>
      </w:pPr>
    </w:p>
    <w:p w14:paraId="22EC66EB" w14:textId="089731B6" w:rsidR="00F723DA" w:rsidRPr="00623A2B" w:rsidRDefault="00F723DA" w:rsidP="00EE7518">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284"/>
        <w:contextualSpacing w:val="0"/>
        <w:jc w:val="left"/>
        <w:rPr>
          <w:rFonts w:ascii="Times New Roman" w:hAnsi="Times New Roman"/>
          <w:szCs w:val="22"/>
          <w:u w:val="single"/>
          <w:lang w:val="fr-FR"/>
        </w:rPr>
      </w:pPr>
      <w:r w:rsidRPr="00623A2B">
        <w:rPr>
          <w:rFonts w:ascii="Times New Roman" w:hAnsi="Times New Roman"/>
          <w:szCs w:val="22"/>
          <w:u w:val="single"/>
          <w:lang w:val="fr-FR"/>
        </w:rPr>
        <w:t>Suivi de la mise en œuvre de la Déclaration américaine sur les droits des peuples autochtones et du Plan d’action relatif à la Déclaration américaine sur les droits des peuples autochtones (2017-2021)</w:t>
      </w:r>
      <w:r w:rsidRPr="00623A2B">
        <w:rPr>
          <w:rFonts w:ascii="Times New Roman" w:hAnsi="Times New Roman"/>
          <w:lang w:val="fr-FR"/>
        </w:rPr>
        <w:t xml:space="preserve"> </w:t>
      </w:r>
      <w:r w:rsidRPr="00623A2B">
        <w:rPr>
          <w:rFonts w:ascii="Times New Roman" w:hAnsi="Times New Roman"/>
          <w:u w:val="single"/>
          <w:vertAlign w:val="superscript"/>
        </w:rPr>
        <w:footnoteReference w:id="108"/>
      </w:r>
      <w:r w:rsidRPr="00623A2B">
        <w:rPr>
          <w:rFonts w:ascii="Times New Roman" w:hAnsi="Times New Roman"/>
          <w:szCs w:val="22"/>
          <w:vertAlign w:val="superscript"/>
          <w:lang w:val="fr-FR"/>
        </w:rPr>
        <w:t>/</w:t>
      </w:r>
    </w:p>
    <w:p w14:paraId="62350AAE" w14:textId="77777777" w:rsidR="00F723DA" w:rsidRPr="00623A2B" w:rsidRDefault="00F723DA" w:rsidP="00F723DA">
      <w:pPr>
        <w:shd w:val="clear" w:color="auto" w:fill="FFFFFF"/>
        <w:rPr>
          <w:rFonts w:ascii="Times New Roman" w:eastAsia="Arial" w:hAnsi="Times New Roman"/>
          <w:szCs w:val="22"/>
          <w:lang w:val="fr-CA"/>
        </w:rPr>
      </w:pPr>
    </w:p>
    <w:p w14:paraId="27E78FBA" w14:textId="77777777"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t>GARDANT PRÉSENTS À L’ESPRIT la Déclaration américaine sur les droits des peuples autochtones et le Plan d’action relatif à la Déclaration américaine sur les droits des peuples autochtones (2017-2021) ; la résolution AG/RES. 2898 (XLVII-O/17), « 2019 Année internationale des langues autochtones » et la résolution AG/RES. 2934 (XLIX-O/19), « Participation effective des populations autochtones et des personnes d’ascendance africaine aux activités de l’OEA », de même que la résolution 74/135 du 18 décembre 2019 adoptée par l’Assemblée générale des Nations Unies, qui proclame la période 2022-2032 Décennie internationale des langues autochtones afin d’attirer l’attention sur la grave perte de ces langues et sur l’urgente nécessité de les préserver, de les revitaliser et de les promouvoir et de prendre des mesures urgentes aux niveaux national et international,</w:t>
      </w:r>
    </w:p>
    <w:p w14:paraId="7981963A" w14:textId="53F1CD5B"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lastRenderedPageBreak/>
        <w:t>SALUANT la réalisation des Semaines interaméricaines des peuples autochtones,</w:t>
      </w:r>
    </w:p>
    <w:p w14:paraId="7B6D3018" w14:textId="77777777" w:rsidR="00F723DA" w:rsidRPr="00623A2B" w:rsidRDefault="00F723DA" w:rsidP="00F723DA">
      <w:pPr>
        <w:shd w:val="clear" w:color="auto" w:fill="FFFFFF"/>
        <w:rPr>
          <w:rFonts w:ascii="Times New Roman" w:eastAsia="Arial" w:hAnsi="Times New Roman"/>
          <w:szCs w:val="22"/>
          <w:lang w:val="fr-FR"/>
        </w:rPr>
      </w:pPr>
    </w:p>
    <w:p w14:paraId="26DB00D5" w14:textId="77777777" w:rsidR="00F723DA" w:rsidRPr="00623A2B" w:rsidRDefault="00F723DA" w:rsidP="00F723DA">
      <w:pPr>
        <w:shd w:val="clear" w:color="auto" w:fill="FFFFFF"/>
        <w:rPr>
          <w:rFonts w:ascii="Times New Roman" w:eastAsia="Arial" w:hAnsi="Times New Roman"/>
          <w:szCs w:val="22"/>
          <w:lang w:val="fr-FR"/>
        </w:rPr>
      </w:pPr>
      <w:r w:rsidRPr="00623A2B">
        <w:rPr>
          <w:rFonts w:ascii="Times New Roman" w:hAnsi="Times New Roman"/>
          <w:szCs w:val="22"/>
          <w:lang w:val="fr-FR"/>
        </w:rPr>
        <w:t>DÉCIDE :</w:t>
      </w:r>
    </w:p>
    <w:p w14:paraId="3ABBA573" w14:textId="77777777" w:rsidR="00F723DA" w:rsidRPr="00623A2B" w:rsidRDefault="00F723DA" w:rsidP="00F723DA">
      <w:pPr>
        <w:shd w:val="clear" w:color="auto" w:fill="FFFFFF"/>
        <w:rPr>
          <w:rFonts w:ascii="Times New Roman" w:eastAsia="Arial" w:hAnsi="Times New Roman"/>
          <w:szCs w:val="22"/>
          <w:lang w:val="fr-FR"/>
        </w:rPr>
      </w:pPr>
    </w:p>
    <w:p w14:paraId="4BC6FDD9" w14:textId="77777777"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t>1.</w:t>
      </w:r>
      <w:r w:rsidRPr="00623A2B">
        <w:rPr>
          <w:rFonts w:ascii="Times New Roman" w:hAnsi="Times New Roman"/>
          <w:szCs w:val="22"/>
          <w:lang w:val="fr-FR"/>
        </w:rPr>
        <w:tab/>
        <w:t xml:space="preserve">De demander instamment aux États membres, au Secrétariat général et aux institutions de l’OEA de prendre les mesures nécessaires pour la mise en œuvre de la Déclaration américaine sur les droits des peuples autochtones, du Plan d’action relatif à la Déclaration américaine sur les droits des peuples autochtones (2017-2021) et de la Décennie internationale des langues autochtones (2022-2032). </w:t>
      </w:r>
    </w:p>
    <w:p w14:paraId="2C055C34" w14:textId="77777777" w:rsidR="00F723DA" w:rsidRPr="00623A2B" w:rsidRDefault="00F723DA" w:rsidP="00F723DA">
      <w:pPr>
        <w:shd w:val="clear" w:color="auto" w:fill="FFFFFF"/>
        <w:rPr>
          <w:rFonts w:ascii="Times New Roman" w:eastAsia="Arial" w:hAnsi="Times New Roman"/>
          <w:szCs w:val="22"/>
          <w:lang w:val="fr-FR"/>
        </w:rPr>
      </w:pPr>
    </w:p>
    <w:p w14:paraId="64AEFFB8" w14:textId="77777777"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t>2.</w:t>
      </w:r>
      <w:r w:rsidRPr="00623A2B">
        <w:rPr>
          <w:rFonts w:ascii="Times New Roman" w:hAnsi="Times New Roman"/>
          <w:szCs w:val="22"/>
          <w:lang w:val="fr-FR"/>
        </w:rPr>
        <w:tab/>
        <w:t>De demander instamment aux États membres et aux observateurs permanents de contribuer au fonds spécifique de contributions volontaires visant à appuyer la mise en œuvre de la Déclaration américaine sur les droits des peuples autochtones et du Plan d’action relatif à la Déclaration américaine sur les droits des peuples autochtones (2017-2021).</w:t>
      </w:r>
    </w:p>
    <w:p w14:paraId="289524F7" w14:textId="77777777" w:rsidR="00F723DA" w:rsidRPr="00623A2B" w:rsidRDefault="00F723DA" w:rsidP="00F723DA">
      <w:pPr>
        <w:shd w:val="clear" w:color="auto" w:fill="FFFFFF"/>
        <w:rPr>
          <w:rFonts w:ascii="Times New Roman" w:eastAsia="Arial" w:hAnsi="Times New Roman"/>
          <w:szCs w:val="22"/>
          <w:lang w:val="fr-FR"/>
        </w:rPr>
      </w:pPr>
    </w:p>
    <w:p w14:paraId="7CB7D984" w14:textId="77777777"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t>3.</w:t>
      </w:r>
      <w:r w:rsidRPr="00623A2B">
        <w:rPr>
          <w:rFonts w:ascii="Times New Roman" w:hAnsi="Times New Roman"/>
          <w:szCs w:val="22"/>
          <w:lang w:val="fr-FR"/>
        </w:rPr>
        <w:tab/>
        <w:t>De charger de nouveau le Secrétariat général de tenir une rencontre des hautes autorités des États membres chargées des politiques pour les peuples autochtones, avec la participation pleine et effective de représentants de peuples autochtones des Amériques ainsi que d’autres institutions internationales et régionales, afin de favoriser les possibilités de dialogue sur les difficultés rencontrées en ce qui concerne les droits des peuples autochtones et d’examiner les options relatives au mandat, à la structure et aux coûts d’un éventuel mécanisme de suivi institutionnel de la Déclaration américaine sur les droits des peuples autochtones envisagé dans le plan d’action (2017-2021) y relatif.</w:t>
      </w:r>
    </w:p>
    <w:p w14:paraId="3420893A" w14:textId="77777777" w:rsidR="00F723DA" w:rsidRPr="00623A2B" w:rsidRDefault="00F723DA" w:rsidP="00F723DA">
      <w:pPr>
        <w:shd w:val="clear" w:color="auto" w:fill="FFFFFF"/>
        <w:rPr>
          <w:rFonts w:ascii="Times New Roman" w:eastAsia="Arial" w:hAnsi="Times New Roman"/>
          <w:szCs w:val="22"/>
          <w:lang w:val="fr-FR"/>
        </w:rPr>
      </w:pPr>
    </w:p>
    <w:p w14:paraId="5F3D3BAD" w14:textId="77777777"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t>4.</w:t>
      </w:r>
      <w:r w:rsidRPr="00623A2B">
        <w:rPr>
          <w:rFonts w:ascii="Times New Roman" w:hAnsi="Times New Roman"/>
          <w:szCs w:val="22"/>
          <w:lang w:val="fr-FR"/>
        </w:rPr>
        <w:tab/>
        <w:t>De reconduire le Plan d'action relatif à la Déclaration américaine sur les droits des peuples autochtones (2017-2021) pour une période supplémentaire (2022-2026) afin d'en assurer le suivi et la conformité, compte tenu des obstacles imposés par la pandémie de COVID-19.</w:t>
      </w:r>
    </w:p>
    <w:p w14:paraId="4B27523C" w14:textId="77777777" w:rsidR="00F723DA" w:rsidRPr="00623A2B" w:rsidRDefault="00F723DA" w:rsidP="00F723DA">
      <w:pPr>
        <w:shd w:val="clear" w:color="auto" w:fill="FFFFFF"/>
        <w:rPr>
          <w:rFonts w:ascii="Times New Roman" w:eastAsia="Arial" w:hAnsi="Times New Roman"/>
          <w:szCs w:val="22"/>
          <w:lang w:val="fr-FR"/>
        </w:rPr>
      </w:pPr>
    </w:p>
    <w:p w14:paraId="3E8AA156" w14:textId="77777777"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t>5.</w:t>
      </w:r>
      <w:r w:rsidRPr="00623A2B">
        <w:rPr>
          <w:rFonts w:ascii="Times New Roman" w:hAnsi="Times New Roman"/>
          <w:szCs w:val="22"/>
          <w:lang w:val="fr-FR"/>
        </w:rPr>
        <w:tab/>
        <w:t>De réaffirmer l’importance de la coordination et de la coopération entre les États membres pour continuer à soutenir la réalisation des activités de commémoration de la Semaine interaméricaine des peuples autochtones.</w:t>
      </w:r>
    </w:p>
    <w:p w14:paraId="675C3C67" w14:textId="77777777" w:rsidR="00F723DA" w:rsidRPr="00623A2B" w:rsidRDefault="00F723DA" w:rsidP="00F723DA">
      <w:pPr>
        <w:shd w:val="clear" w:color="auto" w:fill="FFFFFF"/>
        <w:rPr>
          <w:rFonts w:ascii="Times New Roman" w:eastAsia="Arial" w:hAnsi="Times New Roman"/>
          <w:szCs w:val="22"/>
          <w:lang w:val="fr-FR"/>
        </w:rPr>
      </w:pPr>
    </w:p>
    <w:p w14:paraId="5886254A" w14:textId="77777777" w:rsidR="00F723DA" w:rsidRPr="00623A2B" w:rsidRDefault="00F723DA" w:rsidP="00307190">
      <w:pPr>
        <w:widowControl/>
        <w:shd w:val="clear" w:color="auto" w:fill="FFFFFF"/>
        <w:ind w:firstLine="706"/>
        <w:rPr>
          <w:rFonts w:ascii="Times New Roman" w:eastAsia="Arial" w:hAnsi="Times New Roman"/>
          <w:szCs w:val="22"/>
          <w:lang w:val="fr-FR"/>
        </w:rPr>
      </w:pPr>
      <w:r w:rsidRPr="00623A2B">
        <w:rPr>
          <w:rFonts w:ascii="Times New Roman" w:hAnsi="Times New Roman"/>
          <w:szCs w:val="22"/>
          <w:lang w:val="fr-FR"/>
        </w:rPr>
        <w:t>6.</w:t>
      </w:r>
      <w:r w:rsidRPr="00623A2B">
        <w:rPr>
          <w:rFonts w:ascii="Times New Roman" w:hAnsi="Times New Roman"/>
          <w:szCs w:val="22"/>
          <w:lang w:val="fr-FR"/>
        </w:rPr>
        <w:tab/>
        <w:t>De promouvoir dans la région le plus haut niveau possible de protection des droits des peuples autochtones, y compris les femmes et les filles autochtones et le droit individuel et collectif de jouir du niveau le plus élevé possible de santé physique et mentale, et d’assurer l’accès, sans discrimination aucune, à tous les services, y compris les soins de santé. De même, de promouvoir des actions afin que les réponses inclusives et axées principalement sur les droits apportés à la pandémie de COVID-19 respectent et protègent les droits des peuples autochtones.</w:t>
      </w:r>
    </w:p>
    <w:p w14:paraId="2D517AF9" w14:textId="77777777" w:rsidR="00F723DA" w:rsidRPr="00623A2B" w:rsidRDefault="00F723DA" w:rsidP="00F723DA">
      <w:pPr>
        <w:shd w:val="clear" w:color="auto" w:fill="FFFFFF"/>
        <w:rPr>
          <w:rFonts w:ascii="Times New Roman" w:eastAsia="Arial" w:hAnsi="Times New Roman"/>
          <w:szCs w:val="22"/>
          <w:lang w:val="fr-FR"/>
        </w:rPr>
      </w:pPr>
    </w:p>
    <w:p w14:paraId="29E77C4C" w14:textId="77777777" w:rsidR="00F723DA" w:rsidRPr="00623A2B" w:rsidRDefault="00F723DA" w:rsidP="00F723DA">
      <w:pPr>
        <w:shd w:val="clear" w:color="auto" w:fill="FFFFFF"/>
        <w:ind w:firstLine="706"/>
        <w:rPr>
          <w:rFonts w:ascii="Times New Roman" w:hAnsi="Times New Roman"/>
          <w:szCs w:val="22"/>
          <w:lang w:val="fr-FR"/>
        </w:rPr>
      </w:pPr>
      <w:r w:rsidRPr="00623A2B">
        <w:rPr>
          <w:rFonts w:ascii="Times New Roman" w:hAnsi="Times New Roman"/>
          <w:szCs w:val="22"/>
          <w:lang w:val="fr-FR"/>
        </w:rPr>
        <w:t>7.</w:t>
      </w:r>
      <w:r w:rsidRPr="00623A2B">
        <w:rPr>
          <w:rFonts w:ascii="Times New Roman" w:hAnsi="Times New Roman"/>
          <w:szCs w:val="22"/>
          <w:lang w:val="fr-FR"/>
        </w:rPr>
        <w:tab/>
        <w:t>De promouvoir et de protéger les droits des peuples autochtones, dans le cadre des obligations internationales en matière de droits de la personne, face aux actions de la criminalité organisée susceptibles d’aggraver leur situation de vulnérabilité, surtout dans le contexte de la pandémie de COVID-19.</w:t>
      </w:r>
    </w:p>
    <w:p w14:paraId="30984148" w14:textId="77777777" w:rsidR="00F723DA" w:rsidRPr="00623A2B" w:rsidRDefault="00F723DA" w:rsidP="00F723DA">
      <w:pPr>
        <w:shd w:val="clear" w:color="auto" w:fill="FFFFFF"/>
        <w:ind w:firstLine="706"/>
        <w:rPr>
          <w:rFonts w:ascii="Times New Roman" w:eastAsia="Arial" w:hAnsi="Times New Roman"/>
          <w:szCs w:val="22"/>
          <w:lang w:val="fr-FR"/>
        </w:rPr>
      </w:pPr>
    </w:p>
    <w:p w14:paraId="70BB587C" w14:textId="77777777" w:rsidR="002F5AAC" w:rsidRDefault="002F5AA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lang w:val="fr-FR"/>
        </w:rPr>
      </w:pPr>
      <w:r>
        <w:rPr>
          <w:rFonts w:ascii="Times New Roman" w:hAnsi="Times New Roman"/>
          <w:szCs w:val="22"/>
          <w:u w:val="single"/>
          <w:lang w:val="fr-FR"/>
        </w:rPr>
        <w:br w:type="page"/>
      </w:r>
    </w:p>
    <w:p w14:paraId="03720917" w14:textId="0BA5BFCA" w:rsidR="00F723DA" w:rsidRPr="00623A2B" w:rsidRDefault="00F723DA" w:rsidP="00307190">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464"/>
        <w:contextualSpacing w:val="0"/>
        <w:jc w:val="left"/>
        <w:rPr>
          <w:rFonts w:ascii="Times New Roman" w:hAnsi="Times New Roman"/>
          <w:szCs w:val="22"/>
          <w:u w:val="single"/>
          <w:lang w:val="fr-FR"/>
        </w:rPr>
      </w:pPr>
      <w:r w:rsidRPr="00623A2B">
        <w:rPr>
          <w:rFonts w:ascii="Times New Roman" w:hAnsi="Times New Roman"/>
          <w:szCs w:val="22"/>
          <w:u w:val="single"/>
          <w:lang w:val="fr-FR"/>
        </w:rPr>
        <w:lastRenderedPageBreak/>
        <w:t>Enregistrement universel de l’état civil et droit à l’identité</w:t>
      </w:r>
      <w:r w:rsidRPr="00623A2B">
        <w:rPr>
          <w:rFonts w:ascii="Times New Roman" w:hAnsi="Times New Roman"/>
          <w:lang w:val="fr-FR"/>
        </w:rPr>
        <w:t xml:space="preserve"> </w:t>
      </w:r>
      <w:r w:rsidRPr="00623A2B">
        <w:rPr>
          <w:rFonts w:ascii="Times New Roman" w:hAnsi="Times New Roman"/>
          <w:u w:val="single"/>
          <w:vertAlign w:val="superscript"/>
        </w:rPr>
        <w:footnoteReference w:id="109"/>
      </w:r>
      <w:r w:rsidRPr="00623A2B">
        <w:rPr>
          <w:rFonts w:ascii="Times New Roman" w:hAnsi="Times New Roman"/>
          <w:szCs w:val="22"/>
          <w:vertAlign w:val="superscript"/>
          <w:lang w:val="fr-FR"/>
        </w:rPr>
        <w:t>/</w:t>
      </w:r>
    </w:p>
    <w:p w14:paraId="48D35CBF" w14:textId="77777777" w:rsidR="00F723DA" w:rsidRPr="00623A2B" w:rsidRDefault="00F723DA" w:rsidP="00F723DA">
      <w:pPr>
        <w:shd w:val="clear" w:color="auto" w:fill="FFFFFF"/>
        <w:ind w:firstLine="706"/>
        <w:rPr>
          <w:rFonts w:ascii="Times New Roman" w:eastAsia="Arial" w:hAnsi="Times New Roman"/>
          <w:szCs w:val="22"/>
          <w:lang w:val="fr-FR"/>
        </w:rPr>
      </w:pPr>
    </w:p>
    <w:p w14:paraId="6F99D75D" w14:textId="77777777"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t>CONSIDÉRANT que la reconnaissance de l’identité des personne</w:t>
      </w:r>
      <w:r w:rsidRPr="00623A2B">
        <w:rPr>
          <w:rFonts w:ascii="Times New Roman" w:hAnsi="Times New Roman"/>
          <w:b/>
          <w:bCs/>
          <w:szCs w:val="22"/>
          <w:lang w:val="fr-FR"/>
        </w:rPr>
        <w:t>s</w:t>
      </w:r>
      <w:r w:rsidRPr="00623A2B">
        <w:rPr>
          <w:rFonts w:ascii="Times New Roman" w:hAnsi="Times New Roman"/>
          <w:szCs w:val="22"/>
          <w:lang w:val="fr-FR"/>
        </w:rPr>
        <w:t xml:space="preserve"> facilite l’exercice d’autres droits tels que le droit au nom, à la nationalité, à l’inscription dans le registre des naissances, à l’établissement de relations familiales et à la reconnaissance d’une personne devant la loi, qui sont reconnus dans des instruments internationaux comme la Déclaration américaine des droits et devoirs de l’homme et la Convention américaine relative aux droits de la personne, et prenant en compte que les États membres ont souscrit l’engagement de redoubler d'efforts pour fournir à tout un chacun l’accès à l'identité juridique, notamment par l'enregistrement des naissances, afin d'atteindre la cible 16.9 du Programme de développement durable à l'horizon 2030, et de garantir l'identité juridique pour tous,</w:t>
      </w:r>
    </w:p>
    <w:p w14:paraId="7BE7EBAA" w14:textId="77777777" w:rsidR="00F723DA" w:rsidRPr="00623A2B" w:rsidRDefault="00F723DA" w:rsidP="00F723DA">
      <w:pPr>
        <w:shd w:val="clear" w:color="auto" w:fill="FFFFFF"/>
        <w:rPr>
          <w:rFonts w:ascii="Times New Roman" w:eastAsia="Arial" w:hAnsi="Times New Roman"/>
          <w:szCs w:val="22"/>
          <w:lang w:val="fr-FR"/>
        </w:rPr>
      </w:pPr>
    </w:p>
    <w:p w14:paraId="0B48D3B8" w14:textId="77777777" w:rsidR="00F723DA" w:rsidRPr="00623A2B" w:rsidRDefault="00F723DA" w:rsidP="00F723DA">
      <w:pPr>
        <w:shd w:val="clear" w:color="auto" w:fill="FFFFFF"/>
        <w:rPr>
          <w:rFonts w:ascii="Times New Roman" w:eastAsia="Arial" w:hAnsi="Times New Roman"/>
          <w:szCs w:val="22"/>
          <w:lang w:val="fr-FR"/>
        </w:rPr>
      </w:pPr>
      <w:r w:rsidRPr="00623A2B">
        <w:rPr>
          <w:rFonts w:ascii="Times New Roman" w:hAnsi="Times New Roman"/>
          <w:szCs w:val="22"/>
          <w:lang w:val="fr-FR"/>
        </w:rPr>
        <w:t>DÉCIDE :</w:t>
      </w:r>
    </w:p>
    <w:p w14:paraId="03EEF02C" w14:textId="77777777" w:rsidR="00F723DA" w:rsidRPr="00623A2B" w:rsidRDefault="00F723DA" w:rsidP="00F723DA">
      <w:pPr>
        <w:shd w:val="clear" w:color="auto" w:fill="FFFFFF"/>
        <w:rPr>
          <w:rFonts w:ascii="Times New Roman" w:eastAsia="Arial" w:hAnsi="Times New Roman"/>
          <w:szCs w:val="22"/>
          <w:lang w:val="fr-FR"/>
        </w:rPr>
      </w:pPr>
    </w:p>
    <w:p w14:paraId="00806F8D" w14:textId="77777777" w:rsidR="00F723DA" w:rsidRPr="00623A2B" w:rsidRDefault="00F723DA" w:rsidP="00F723DA">
      <w:pPr>
        <w:shd w:val="clear" w:color="auto" w:fill="FFFFFF"/>
        <w:ind w:firstLine="706"/>
        <w:rPr>
          <w:rFonts w:ascii="Times New Roman" w:eastAsia="Arial" w:hAnsi="Times New Roman"/>
          <w:szCs w:val="22"/>
          <w:lang w:val="fr-FR"/>
        </w:rPr>
      </w:pPr>
      <w:r w:rsidRPr="00623A2B">
        <w:rPr>
          <w:rFonts w:ascii="Times New Roman" w:hAnsi="Times New Roman"/>
          <w:szCs w:val="22"/>
          <w:lang w:val="fr-FR"/>
        </w:rPr>
        <w:t>1.</w:t>
      </w:r>
      <w:r w:rsidRPr="00623A2B">
        <w:rPr>
          <w:rFonts w:ascii="Times New Roman" w:hAnsi="Times New Roman"/>
          <w:szCs w:val="22"/>
          <w:lang w:val="fr-FR"/>
        </w:rPr>
        <w:tab/>
        <w:t>De charger le Secrétariat général de continuer, par le truchement de son Programme d’universalisation de l’identité civile dans les Amériques (PUICA) et du Conseil latino-américain et des Caraïbes pour l’enregistrement de l’état civil, l’identification et les statistiques de l’état civil (CLARCIEV), à offrir aux États membres qui en font la demande une assistance pour le renforcement de leurs systèmes d’enregistrement de l’état civil afin de promouvoir la protection et la garantie du droit à l’identité, de l’enregistrement universel des naissances, des décès et autres actes connexes de l’état civil et l’interconnexion entre les systèmes d’enregistrement et les systèmes d’identité nationale, pour garantir à tous une identité juridique, et ainsi renforcer la protection des droits de la personne, en particulier ceux des populations en situation de vulnérabilité, déplacées et/ou faisant l’objet de discrimination de par l’histoire, de même que prévenir et éliminer l’apatridie et permettre un accès universel et équitable aux services publics essentiels.</w:t>
      </w:r>
    </w:p>
    <w:p w14:paraId="5A44241A" w14:textId="77777777" w:rsidR="00F723DA" w:rsidRPr="00623A2B" w:rsidRDefault="00F723DA" w:rsidP="00F723DA">
      <w:pPr>
        <w:shd w:val="clear" w:color="auto" w:fill="FFFFFF"/>
        <w:rPr>
          <w:rFonts w:ascii="Times New Roman" w:eastAsia="Arial" w:hAnsi="Times New Roman"/>
          <w:szCs w:val="22"/>
          <w:lang w:val="fr-FR"/>
        </w:rPr>
      </w:pPr>
    </w:p>
    <w:p w14:paraId="0329D5E9" w14:textId="77777777" w:rsidR="00F723DA" w:rsidRPr="00623A2B" w:rsidRDefault="00F723DA" w:rsidP="00F723DA">
      <w:pPr>
        <w:ind w:firstLine="706"/>
        <w:rPr>
          <w:rFonts w:ascii="Times New Roman" w:hAnsi="Times New Roman"/>
          <w:b/>
          <w:bCs/>
          <w:szCs w:val="22"/>
          <w:lang w:val="fr-FR"/>
        </w:rPr>
      </w:pPr>
      <w:r w:rsidRPr="00623A2B">
        <w:rPr>
          <w:rFonts w:ascii="Times New Roman" w:hAnsi="Times New Roman"/>
          <w:szCs w:val="22"/>
          <w:lang w:val="fr-FR"/>
        </w:rPr>
        <w:t>2.</w:t>
      </w:r>
      <w:r w:rsidRPr="00623A2B">
        <w:rPr>
          <w:rFonts w:ascii="Times New Roman" w:hAnsi="Times New Roman"/>
          <w:szCs w:val="22"/>
          <w:lang w:val="fr-FR"/>
        </w:rPr>
        <w:tab/>
        <w:t>D’inviter instamment tous les États membres à promouvoir, en conformité avec leur législation nationale, l’accès pour tous aux documents d’identité au moyen de la mise en œuvre de systèmes effectifs et compatibles d’enregistrement de l’état civil, d’identification et de statistiques de l’état civil, notamment des procédures simplifiées, gratuites, accessibles à tous et non discriminatoires, qui respectent la diversité culturelle, en accordant une attention spéciale à la protection des données personnelles et en suivant une approche intégrale et différenciée, soucieuse de la perspective de genre, de l’âge et des droits.</w:t>
      </w:r>
    </w:p>
    <w:p w14:paraId="2D042453" w14:textId="77777777" w:rsidR="00307190" w:rsidRPr="00623A2B" w:rsidRDefault="00307190" w:rsidP="00F723DA">
      <w:pPr>
        <w:rPr>
          <w:rFonts w:ascii="Times New Roman" w:hAnsi="Times New Roman"/>
          <w:szCs w:val="22"/>
          <w:lang w:val="fr-FR"/>
        </w:rPr>
      </w:pPr>
    </w:p>
    <w:p w14:paraId="58779C94" w14:textId="77777777" w:rsidR="00F723DA" w:rsidRPr="00623A2B" w:rsidRDefault="00F723DA" w:rsidP="00EE7518">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374"/>
        <w:contextualSpacing w:val="0"/>
        <w:jc w:val="left"/>
        <w:rPr>
          <w:rFonts w:ascii="Times New Roman" w:hAnsi="Times New Roman"/>
          <w:szCs w:val="22"/>
          <w:u w:val="single"/>
          <w:lang w:val="fr-FR"/>
        </w:rPr>
      </w:pPr>
      <w:r w:rsidRPr="00623A2B">
        <w:rPr>
          <w:rFonts w:ascii="Times New Roman" w:hAnsi="Times New Roman"/>
          <w:szCs w:val="22"/>
          <w:u w:val="single"/>
          <w:lang w:val="fr-FR"/>
        </w:rPr>
        <w:t>Le pouvoir de l’inclusion et les avantages de la diversité</w:t>
      </w:r>
    </w:p>
    <w:p w14:paraId="7FBEBB65" w14:textId="77777777" w:rsidR="00F723DA" w:rsidRPr="00623A2B" w:rsidRDefault="00F723DA" w:rsidP="00F723DA">
      <w:pPr>
        <w:suppressAutoHyphens/>
        <w:autoSpaceDE w:val="0"/>
        <w:autoSpaceDN w:val="0"/>
        <w:adjustRightInd w:val="0"/>
        <w:textAlignment w:val="baseline"/>
        <w:rPr>
          <w:rFonts w:ascii="Times New Roman" w:hAnsi="Times New Roman"/>
          <w:szCs w:val="22"/>
          <w:lang w:val="fr-FR"/>
        </w:rPr>
      </w:pPr>
    </w:p>
    <w:p w14:paraId="53280588" w14:textId="77777777" w:rsidR="00F723DA" w:rsidRPr="00623A2B" w:rsidRDefault="00F723DA" w:rsidP="00F723DA">
      <w:pPr>
        <w:suppressAutoHyphens/>
        <w:autoSpaceDE w:val="0"/>
        <w:autoSpaceDN w:val="0"/>
        <w:adjustRightInd w:val="0"/>
        <w:ind w:firstLine="720"/>
        <w:textAlignment w:val="baseline"/>
        <w:rPr>
          <w:rFonts w:ascii="Times New Roman" w:hAnsi="Times New Roman"/>
          <w:szCs w:val="22"/>
          <w:lang w:val="fr-FR"/>
        </w:rPr>
      </w:pPr>
      <w:r w:rsidRPr="00623A2B">
        <w:rPr>
          <w:rFonts w:ascii="Times New Roman" w:hAnsi="Times New Roman"/>
          <w:szCs w:val="22"/>
          <w:lang w:val="fr-FR"/>
        </w:rPr>
        <w:t>RAPPELANT que tous les droits de la personne sont universels, indissociables, interdépendants et intimement liés et que chacun est en droit de jouir de ces droits sans distinction aucune, et que le principe de non-discrimination promeut l'exercice de ces droits sans discrimination d'aucune sorte,</w:t>
      </w:r>
    </w:p>
    <w:p w14:paraId="4169055A" w14:textId="77777777" w:rsidR="00F723DA" w:rsidRPr="00623A2B" w:rsidRDefault="00F723DA" w:rsidP="00F723DA">
      <w:pPr>
        <w:suppressAutoHyphens/>
        <w:autoSpaceDE w:val="0"/>
        <w:autoSpaceDN w:val="0"/>
        <w:adjustRightInd w:val="0"/>
        <w:textAlignment w:val="baseline"/>
        <w:rPr>
          <w:rFonts w:ascii="Times New Roman" w:hAnsi="Times New Roman"/>
          <w:szCs w:val="22"/>
          <w:lang w:val="fr-FR"/>
        </w:rPr>
      </w:pPr>
    </w:p>
    <w:p w14:paraId="74FF2A74" w14:textId="77777777" w:rsidR="00F723DA" w:rsidRPr="00623A2B" w:rsidRDefault="00F723DA" w:rsidP="00F723DA">
      <w:pPr>
        <w:suppressAutoHyphens/>
        <w:autoSpaceDE w:val="0"/>
        <w:autoSpaceDN w:val="0"/>
        <w:adjustRightInd w:val="0"/>
        <w:ind w:firstLine="720"/>
        <w:textAlignment w:val="baseline"/>
        <w:rPr>
          <w:rFonts w:ascii="Times New Roman" w:hAnsi="Times New Roman"/>
          <w:szCs w:val="22"/>
          <w:lang w:val="fr-FR"/>
        </w:rPr>
      </w:pPr>
      <w:r w:rsidRPr="00623A2B">
        <w:rPr>
          <w:rFonts w:ascii="Times New Roman" w:hAnsi="Times New Roman"/>
          <w:szCs w:val="22"/>
          <w:lang w:val="fr-FR"/>
        </w:rPr>
        <w:t>RAPPELANT ÉGALEMENT que tous les États des Amériques, par le biais de la Déclaration d'Asunción de 2014 : « Le développement assorti d'inclusion sociale », ont énoncé l'impératif de promouvoir des sociétés justes, équitables et inclusives,</w:t>
      </w:r>
    </w:p>
    <w:p w14:paraId="7C0C9F65" w14:textId="77777777" w:rsidR="00F723DA" w:rsidRPr="00623A2B" w:rsidRDefault="00F723DA" w:rsidP="00F723DA">
      <w:pPr>
        <w:suppressAutoHyphens/>
        <w:autoSpaceDE w:val="0"/>
        <w:autoSpaceDN w:val="0"/>
        <w:adjustRightInd w:val="0"/>
        <w:textAlignment w:val="baseline"/>
        <w:rPr>
          <w:rFonts w:ascii="Times New Roman" w:hAnsi="Times New Roman"/>
          <w:szCs w:val="22"/>
          <w:lang w:val="fr-FR"/>
        </w:rPr>
      </w:pPr>
    </w:p>
    <w:p w14:paraId="0B4BDE41" w14:textId="77777777" w:rsidR="00F723DA" w:rsidRPr="00623A2B" w:rsidRDefault="00F723DA" w:rsidP="00F723DA">
      <w:pPr>
        <w:suppressAutoHyphens/>
        <w:autoSpaceDE w:val="0"/>
        <w:autoSpaceDN w:val="0"/>
        <w:adjustRightInd w:val="0"/>
        <w:ind w:firstLine="720"/>
        <w:textAlignment w:val="baseline"/>
        <w:rPr>
          <w:rFonts w:ascii="Times New Roman" w:hAnsi="Times New Roman"/>
          <w:szCs w:val="22"/>
          <w:lang w:val="fr-FR"/>
        </w:rPr>
      </w:pPr>
      <w:r w:rsidRPr="00623A2B">
        <w:rPr>
          <w:rFonts w:ascii="Times New Roman" w:hAnsi="Times New Roman"/>
          <w:szCs w:val="22"/>
          <w:lang w:val="fr-FR"/>
        </w:rPr>
        <w:t xml:space="preserve">NOTANT que l'inclusion est un thème omniprésent et transversal parmi les objectifs de développement durable à l’horizon 2030 et y figure la promesse de « ne laisser personne de côté » et, </w:t>
      </w:r>
      <w:r w:rsidRPr="00623A2B">
        <w:rPr>
          <w:rFonts w:ascii="Times New Roman" w:hAnsi="Times New Roman"/>
          <w:szCs w:val="22"/>
          <w:lang w:val="fr-FR"/>
        </w:rPr>
        <w:lastRenderedPageBreak/>
        <w:t>en particulier, l'ODD 16 qui affirme la nécessité de promouvoir des sociétés pacifiques et inclusives dotées d’institutions efficaces, responsables et inclusives, et de faciliter l’accès à la justice pour tous,</w:t>
      </w:r>
    </w:p>
    <w:p w14:paraId="58C05F98" w14:textId="77777777" w:rsidR="002F5AAC" w:rsidRDefault="002F5AAC" w:rsidP="00F723DA">
      <w:pPr>
        <w:suppressAutoHyphens/>
        <w:autoSpaceDE w:val="0"/>
        <w:autoSpaceDN w:val="0"/>
        <w:adjustRightInd w:val="0"/>
        <w:ind w:firstLine="720"/>
        <w:textAlignment w:val="baseline"/>
        <w:rPr>
          <w:rFonts w:ascii="Times New Roman" w:hAnsi="Times New Roman"/>
          <w:szCs w:val="22"/>
          <w:lang w:val="fr-FR"/>
        </w:rPr>
      </w:pPr>
    </w:p>
    <w:p w14:paraId="4BF5CDB2" w14:textId="5B86ADA4" w:rsidR="00F723DA" w:rsidRPr="00623A2B" w:rsidRDefault="00F723DA" w:rsidP="00F723DA">
      <w:pPr>
        <w:suppressAutoHyphens/>
        <w:autoSpaceDE w:val="0"/>
        <w:autoSpaceDN w:val="0"/>
        <w:adjustRightInd w:val="0"/>
        <w:ind w:firstLine="720"/>
        <w:textAlignment w:val="baseline"/>
        <w:rPr>
          <w:rFonts w:ascii="Times New Roman" w:hAnsi="Times New Roman"/>
          <w:szCs w:val="22"/>
          <w:lang w:val="fr-FR"/>
        </w:rPr>
      </w:pPr>
      <w:r w:rsidRPr="00623A2B">
        <w:rPr>
          <w:rFonts w:ascii="Times New Roman" w:hAnsi="Times New Roman"/>
          <w:szCs w:val="22"/>
          <w:lang w:val="fr-FR"/>
        </w:rPr>
        <w:t>NOTANT AVEC ALARME qu'il continue d'y avoir des rapports provenant de toute la région concernant des actes et des expressions d'exclusion, de xénophobie, de racisme et de discrimination sous ses multiples formes,</w:t>
      </w:r>
    </w:p>
    <w:p w14:paraId="2FE11648" w14:textId="77777777" w:rsidR="00F723DA" w:rsidRPr="00623A2B" w:rsidRDefault="00F723DA" w:rsidP="00F723DA">
      <w:pPr>
        <w:suppressAutoHyphens/>
        <w:autoSpaceDE w:val="0"/>
        <w:autoSpaceDN w:val="0"/>
        <w:adjustRightInd w:val="0"/>
        <w:textAlignment w:val="baseline"/>
        <w:rPr>
          <w:rFonts w:ascii="Times New Roman" w:hAnsi="Times New Roman"/>
          <w:szCs w:val="22"/>
          <w:lang w:val="fr-FR"/>
        </w:rPr>
      </w:pPr>
    </w:p>
    <w:p w14:paraId="6920A238" w14:textId="77777777" w:rsidR="00F723DA" w:rsidRPr="00623A2B" w:rsidRDefault="00F723DA" w:rsidP="00F723DA">
      <w:pPr>
        <w:suppressAutoHyphens/>
        <w:autoSpaceDE w:val="0"/>
        <w:autoSpaceDN w:val="0"/>
        <w:adjustRightInd w:val="0"/>
        <w:ind w:firstLine="720"/>
        <w:textAlignment w:val="baseline"/>
        <w:rPr>
          <w:rFonts w:ascii="Times New Roman" w:hAnsi="Times New Roman"/>
          <w:szCs w:val="22"/>
          <w:lang w:val="fr-FR"/>
        </w:rPr>
      </w:pPr>
      <w:r w:rsidRPr="00623A2B">
        <w:rPr>
          <w:rFonts w:ascii="Times New Roman" w:hAnsi="Times New Roman"/>
          <w:szCs w:val="22"/>
          <w:lang w:val="fr-FR"/>
        </w:rPr>
        <w:t>RÉAFFIRMANT que la dignité intrinsèque et les droits égaux et inaliénables de tous les membres de la famille humaine sont le fondement de la liberté, de la justice et de la paix, et que l'inclusion sociale est une condition préalable essentielle à la pleine réalisation de la dignité humaine, du respect des droits de la personne, du développement durable et d'une paix durable dans nos sociétés démocratiques,</w:t>
      </w:r>
    </w:p>
    <w:p w14:paraId="23FC24EC" w14:textId="77777777" w:rsidR="00F723DA" w:rsidRPr="00623A2B" w:rsidRDefault="00F723DA" w:rsidP="00F723DA">
      <w:pPr>
        <w:suppressAutoHyphens/>
        <w:autoSpaceDE w:val="0"/>
        <w:autoSpaceDN w:val="0"/>
        <w:adjustRightInd w:val="0"/>
        <w:textAlignment w:val="baseline"/>
        <w:rPr>
          <w:rFonts w:ascii="Times New Roman" w:hAnsi="Times New Roman"/>
          <w:szCs w:val="22"/>
          <w:lang w:val="fr-FR"/>
        </w:rPr>
      </w:pPr>
    </w:p>
    <w:p w14:paraId="1B213EC3" w14:textId="77777777" w:rsidR="00F723DA" w:rsidRPr="00623A2B" w:rsidRDefault="00F723DA" w:rsidP="00F723DA">
      <w:pPr>
        <w:suppressAutoHyphens/>
        <w:autoSpaceDE w:val="0"/>
        <w:autoSpaceDN w:val="0"/>
        <w:adjustRightInd w:val="0"/>
        <w:ind w:firstLine="720"/>
        <w:textAlignment w:val="baseline"/>
        <w:rPr>
          <w:rFonts w:ascii="Times New Roman" w:hAnsi="Times New Roman"/>
          <w:szCs w:val="22"/>
          <w:lang w:val="fr-FR"/>
        </w:rPr>
      </w:pPr>
      <w:r w:rsidRPr="00623A2B">
        <w:rPr>
          <w:rFonts w:ascii="Times New Roman" w:hAnsi="Times New Roman"/>
          <w:szCs w:val="22"/>
          <w:lang w:val="fr-FR"/>
        </w:rPr>
        <w:t xml:space="preserve">SOULIGNANT AVEC SATISFACTION que le 8 avril 2021, la Commission des questions juridiques et politiques a tenu une réunion extraordinaire au cours de laquelle les États membres ont entendu des experts, partagé les leçons apprises et échangé des bonnes pratiques pour faire avancer les objectifs de la présente résolution concernant les bonnes pratiques observées par les gouvernements et les acteurs de la société civile pour promouvoir et soutenir une culture d’inclusion, </w:t>
      </w:r>
    </w:p>
    <w:p w14:paraId="65718E30" w14:textId="77777777" w:rsidR="00F723DA" w:rsidRPr="00623A2B" w:rsidRDefault="00F723DA" w:rsidP="00F723DA">
      <w:pPr>
        <w:suppressAutoHyphens/>
        <w:autoSpaceDE w:val="0"/>
        <w:autoSpaceDN w:val="0"/>
        <w:adjustRightInd w:val="0"/>
        <w:textAlignment w:val="baseline"/>
        <w:rPr>
          <w:rFonts w:ascii="Times New Roman" w:hAnsi="Times New Roman"/>
          <w:szCs w:val="22"/>
          <w:lang w:val="fr-FR"/>
        </w:rPr>
      </w:pPr>
    </w:p>
    <w:p w14:paraId="5068AEFD" w14:textId="77777777" w:rsidR="00F723DA" w:rsidRPr="00623A2B" w:rsidRDefault="00F723DA" w:rsidP="00F723DA">
      <w:pPr>
        <w:keepNext/>
        <w:suppressAutoHyphens/>
        <w:autoSpaceDE w:val="0"/>
        <w:autoSpaceDN w:val="0"/>
        <w:adjustRightInd w:val="0"/>
        <w:textAlignment w:val="baseline"/>
        <w:rPr>
          <w:rFonts w:ascii="Times New Roman" w:hAnsi="Times New Roman"/>
          <w:szCs w:val="22"/>
          <w:lang w:val="fr-FR"/>
        </w:rPr>
      </w:pPr>
      <w:r w:rsidRPr="00623A2B">
        <w:rPr>
          <w:rFonts w:ascii="Times New Roman" w:hAnsi="Times New Roman"/>
          <w:szCs w:val="22"/>
          <w:lang w:val="fr-FR"/>
        </w:rPr>
        <w:t>DÉCIDE :</w:t>
      </w:r>
    </w:p>
    <w:p w14:paraId="5B0DFACC" w14:textId="77777777" w:rsidR="00F723DA" w:rsidRPr="00623A2B" w:rsidRDefault="00F723DA" w:rsidP="00F723DA">
      <w:pPr>
        <w:keepNext/>
        <w:suppressAutoHyphens/>
        <w:autoSpaceDE w:val="0"/>
        <w:autoSpaceDN w:val="0"/>
        <w:adjustRightInd w:val="0"/>
        <w:textAlignment w:val="baseline"/>
        <w:rPr>
          <w:rFonts w:ascii="Times New Roman" w:hAnsi="Times New Roman"/>
          <w:szCs w:val="22"/>
          <w:lang w:val="fr-FR"/>
        </w:rPr>
      </w:pPr>
    </w:p>
    <w:p w14:paraId="425B4A9D" w14:textId="77777777" w:rsidR="00F723DA" w:rsidRPr="00623A2B" w:rsidRDefault="00F723DA" w:rsidP="00F723DA">
      <w:pPr>
        <w:suppressAutoHyphens/>
        <w:autoSpaceDE w:val="0"/>
        <w:autoSpaceDN w:val="0"/>
        <w:adjustRightInd w:val="0"/>
        <w:ind w:firstLine="720"/>
        <w:textAlignment w:val="baseline"/>
        <w:rPr>
          <w:rFonts w:ascii="Times New Roman" w:hAnsi="Times New Roman"/>
          <w:szCs w:val="22"/>
          <w:lang w:val="fr-FR"/>
        </w:rPr>
      </w:pPr>
      <w:r w:rsidRPr="00623A2B">
        <w:rPr>
          <w:rFonts w:ascii="Times New Roman" w:hAnsi="Times New Roman"/>
          <w:szCs w:val="22"/>
          <w:lang w:val="fr-FR"/>
        </w:rPr>
        <w:t>1.</w:t>
      </w:r>
      <w:r w:rsidRPr="00623A2B">
        <w:rPr>
          <w:rFonts w:ascii="Times New Roman" w:hAnsi="Times New Roman"/>
          <w:szCs w:val="22"/>
          <w:lang w:val="fr-FR"/>
        </w:rPr>
        <w:tab/>
        <w:t>De reconnaître l'inclusion comme étant la participation pleine et entière de toutes les personnes, sans discrimination d'aucune sorte, à la vie économique, sociale, culturelle, civique et politique.</w:t>
      </w:r>
    </w:p>
    <w:p w14:paraId="434A2F18" w14:textId="77777777" w:rsidR="00F723DA" w:rsidRPr="00623A2B" w:rsidRDefault="00F723DA" w:rsidP="00F723DA">
      <w:pPr>
        <w:suppressAutoHyphens/>
        <w:autoSpaceDE w:val="0"/>
        <w:autoSpaceDN w:val="0"/>
        <w:adjustRightInd w:val="0"/>
        <w:textAlignment w:val="baseline"/>
        <w:rPr>
          <w:rFonts w:ascii="Times New Roman" w:hAnsi="Times New Roman"/>
          <w:szCs w:val="22"/>
          <w:lang w:val="fr-FR"/>
        </w:rPr>
      </w:pPr>
    </w:p>
    <w:p w14:paraId="0FFD7F31" w14:textId="77777777" w:rsidR="00F723DA" w:rsidRPr="00623A2B" w:rsidRDefault="00F723DA" w:rsidP="00F723DA">
      <w:pPr>
        <w:suppressAutoHyphens/>
        <w:autoSpaceDE w:val="0"/>
        <w:autoSpaceDN w:val="0"/>
        <w:adjustRightInd w:val="0"/>
        <w:ind w:firstLine="720"/>
        <w:textAlignment w:val="baseline"/>
        <w:rPr>
          <w:rFonts w:ascii="Times New Roman" w:hAnsi="Times New Roman"/>
          <w:szCs w:val="22"/>
          <w:lang w:val="fr-FR"/>
        </w:rPr>
      </w:pPr>
      <w:r w:rsidRPr="00623A2B">
        <w:rPr>
          <w:rFonts w:ascii="Times New Roman" w:hAnsi="Times New Roman"/>
          <w:szCs w:val="22"/>
          <w:lang w:val="fr-FR"/>
        </w:rPr>
        <w:t>2.</w:t>
      </w:r>
      <w:r w:rsidRPr="00623A2B">
        <w:rPr>
          <w:rFonts w:ascii="Times New Roman" w:hAnsi="Times New Roman"/>
          <w:szCs w:val="22"/>
          <w:lang w:val="fr-FR"/>
        </w:rPr>
        <w:tab/>
        <w:t>De réaffirmer que l'inclusion est une condition essentielle à la pleine réalisation du potentiel unique de chaque personne et que les sociétés démocratiques inclusives valorisent et respectent la diversité comme une source de force et considèrent cette diversité comme étant bénéfique pour le progrès et le bien-être de leurs populations.</w:t>
      </w:r>
    </w:p>
    <w:p w14:paraId="0B053B9E" w14:textId="77777777" w:rsidR="00F723DA" w:rsidRPr="00623A2B" w:rsidRDefault="00F723DA" w:rsidP="00F723DA">
      <w:pPr>
        <w:suppressAutoHyphens/>
        <w:autoSpaceDE w:val="0"/>
        <w:autoSpaceDN w:val="0"/>
        <w:adjustRightInd w:val="0"/>
        <w:textAlignment w:val="baseline"/>
        <w:rPr>
          <w:rFonts w:ascii="Times New Roman" w:hAnsi="Times New Roman"/>
          <w:szCs w:val="22"/>
          <w:lang w:val="fr-FR"/>
        </w:rPr>
      </w:pPr>
    </w:p>
    <w:p w14:paraId="62CCD471" w14:textId="77777777" w:rsidR="00F723DA" w:rsidRPr="00623A2B" w:rsidRDefault="00F723DA" w:rsidP="00F723DA">
      <w:pPr>
        <w:suppressAutoHyphens/>
        <w:autoSpaceDE w:val="0"/>
        <w:autoSpaceDN w:val="0"/>
        <w:adjustRightInd w:val="0"/>
        <w:ind w:firstLine="720"/>
        <w:textAlignment w:val="baseline"/>
        <w:rPr>
          <w:rFonts w:ascii="Times New Roman" w:hAnsi="Times New Roman"/>
          <w:szCs w:val="22"/>
          <w:lang w:val="fr-FR"/>
        </w:rPr>
      </w:pPr>
      <w:r w:rsidRPr="00623A2B">
        <w:rPr>
          <w:rFonts w:ascii="Times New Roman" w:hAnsi="Times New Roman"/>
          <w:szCs w:val="22"/>
          <w:lang w:val="fr-FR"/>
        </w:rPr>
        <w:t xml:space="preserve">3. </w:t>
      </w:r>
      <w:r w:rsidRPr="00623A2B">
        <w:rPr>
          <w:rFonts w:ascii="Times New Roman" w:hAnsi="Times New Roman"/>
          <w:szCs w:val="22"/>
          <w:lang w:val="fr-FR"/>
        </w:rPr>
        <w:tab/>
        <w:t xml:space="preserve">D’inviter instamment les États membres à poursuivre leurs efforts pour édifier des sociétés plus inclusives en : </w:t>
      </w:r>
    </w:p>
    <w:p w14:paraId="66FEEE28" w14:textId="77777777" w:rsidR="00F723DA" w:rsidRPr="00623A2B" w:rsidRDefault="00F723DA" w:rsidP="00F723DA">
      <w:pPr>
        <w:suppressAutoHyphens/>
        <w:autoSpaceDE w:val="0"/>
        <w:autoSpaceDN w:val="0"/>
        <w:adjustRightInd w:val="0"/>
        <w:textAlignment w:val="baseline"/>
        <w:rPr>
          <w:rFonts w:ascii="Times New Roman" w:hAnsi="Times New Roman"/>
          <w:szCs w:val="22"/>
          <w:lang w:val="fr-FR"/>
        </w:rPr>
      </w:pPr>
    </w:p>
    <w:p w14:paraId="5D035F14" w14:textId="77777777" w:rsidR="00F723DA" w:rsidRPr="00623A2B" w:rsidRDefault="00F723DA" w:rsidP="00F723DA">
      <w:pPr>
        <w:suppressAutoHyphens/>
        <w:autoSpaceDE w:val="0"/>
        <w:autoSpaceDN w:val="0"/>
        <w:adjustRightInd w:val="0"/>
        <w:ind w:left="2160" w:hanging="734"/>
        <w:textAlignment w:val="baseline"/>
        <w:rPr>
          <w:rFonts w:ascii="Times New Roman" w:hAnsi="Times New Roman"/>
          <w:szCs w:val="22"/>
          <w:lang w:val="fr-FR"/>
        </w:rPr>
      </w:pPr>
      <w:r w:rsidRPr="00623A2B">
        <w:rPr>
          <w:rFonts w:ascii="Times New Roman" w:hAnsi="Times New Roman"/>
          <w:szCs w:val="22"/>
          <w:lang w:val="fr-FR"/>
        </w:rPr>
        <w:t xml:space="preserve">a) </w:t>
      </w:r>
      <w:r w:rsidRPr="00623A2B">
        <w:rPr>
          <w:rFonts w:ascii="Times New Roman" w:hAnsi="Times New Roman"/>
          <w:szCs w:val="22"/>
          <w:lang w:val="fr-FR"/>
        </w:rPr>
        <w:tab/>
        <w:t>adoptant, mettant en œuvre, maintenant et améliorant des législations, des politiques publiques, des programmes, des services et des institutions à caractère inclusif ;</w:t>
      </w:r>
    </w:p>
    <w:p w14:paraId="65636758" w14:textId="77777777" w:rsidR="00F723DA" w:rsidRPr="00623A2B" w:rsidRDefault="00F723DA" w:rsidP="00F723DA">
      <w:pPr>
        <w:suppressAutoHyphens/>
        <w:autoSpaceDE w:val="0"/>
        <w:autoSpaceDN w:val="0"/>
        <w:adjustRightInd w:val="0"/>
        <w:ind w:left="720" w:hanging="734"/>
        <w:textAlignment w:val="baseline"/>
        <w:rPr>
          <w:rFonts w:ascii="Times New Roman" w:hAnsi="Times New Roman"/>
          <w:szCs w:val="22"/>
          <w:lang w:val="fr-FR"/>
        </w:rPr>
      </w:pPr>
    </w:p>
    <w:p w14:paraId="31807615" w14:textId="77777777" w:rsidR="00F723DA" w:rsidRPr="00623A2B" w:rsidRDefault="00F723DA" w:rsidP="00F723DA">
      <w:pPr>
        <w:suppressAutoHyphens/>
        <w:autoSpaceDE w:val="0"/>
        <w:autoSpaceDN w:val="0"/>
        <w:adjustRightInd w:val="0"/>
        <w:ind w:left="2160" w:hanging="734"/>
        <w:textAlignment w:val="baseline"/>
        <w:rPr>
          <w:rFonts w:ascii="Times New Roman" w:hAnsi="Times New Roman"/>
          <w:szCs w:val="22"/>
          <w:lang w:val="fr-FR"/>
        </w:rPr>
      </w:pPr>
      <w:r w:rsidRPr="00623A2B">
        <w:rPr>
          <w:rFonts w:ascii="Times New Roman" w:hAnsi="Times New Roman"/>
          <w:szCs w:val="22"/>
          <w:lang w:val="fr-FR"/>
        </w:rPr>
        <w:t>b)</w:t>
      </w:r>
      <w:r w:rsidRPr="00623A2B">
        <w:rPr>
          <w:rFonts w:ascii="Times New Roman" w:hAnsi="Times New Roman"/>
          <w:szCs w:val="22"/>
          <w:lang w:val="fr-FR"/>
        </w:rPr>
        <w:tab/>
        <w:t xml:space="preserve">soutenant une culture d’inclusion qui favorise des initiatives de la société civile qui visent à aplanir les différences, privilégient la compréhension mutuelle et encouragent un plus grand respect de la diversité des origines, des perspectives et des identités. </w:t>
      </w:r>
    </w:p>
    <w:p w14:paraId="283ED8AD" w14:textId="77777777" w:rsidR="00F723DA" w:rsidRPr="00623A2B" w:rsidRDefault="00F723DA" w:rsidP="00F723DA">
      <w:pPr>
        <w:suppressAutoHyphens/>
        <w:autoSpaceDE w:val="0"/>
        <w:autoSpaceDN w:val="0"/>
        <w:adjustRightInd w:val="0"/>
        <w:textAlignment w:val="baseline"/>
        <w:rPr>
          <w:rFonts w:ascii="Times New Roman" w:hAnsi="Times New Roman"/>
          <w:szCs w:val="22"/>
          <w:lang w:val="fr-FR"/>
        </w:rPr>
      </w:pPr>
    </w:p>
    <w:p w14:paraId="0E0B1E8C" w14:textId="77777777" w:rsidR="00F723DA" w:rsidRPr="00623A2B" w:rsidRDefault="00F723DA" w:rsidP="00F31260">
      <w:pPr>
        <w:widowControl/>
        <w:suppressAutoHyphens/>
        <w:autoSpaceDE w:val="0"/>
        <w:autoSpaceDN w:val="0"/>
        <w:adjustRightInd w:val="0"/>
        <w:ind w:firstLine="720"/>
        <w:textAlignment w:val="baseline"/>
        <w:rPr>
          <w:rFonts w:ascii="Times New Roman" w:hAnsi="Times New Roman"/>
          <w:szCs w:val="22"/>
          <w:lang w:val="fr-FR"/>
        </w:rPr>
      </w:pPr>
      <w:r w:rsidRPr="00623A2B">
        <w:rPr>
          <w:rFonts w:ascii="Times New Roman" w:hAnsi="Times New Roman"/>
          <w:szCs w:val="22"/>
          <w:lang w:val="fr-FR"/>
        </w:rPr>
        <w:t>4.</w:t>
      </w:r>
      <w:r w:rsidRPr="00623A2B">
        <w:rPr>
          <w:rFonts w:ascii="Times New Roman" w:hAnsi="Times New Roman"/>
          <w:szCs w:val="22"/>
          <w:lang w:val="fr-FR"/>
        </w:rPr>
        <w:tab/>
        <w:t xml:space="preserve">D’appuyer l'inclusion en tant que principe fondateur de la démocratie, comprenant la participation pleine et entière de toutes les personnes à la vie civique et politique, y compris des éléments tels que par exemple des élections ouvertes, libres et équitables, des institutions publiques et l'élaboration de politiques inclusives et responsables, la représentation et la participation équitable de diverses  couches de la population à la politique et aux institutions publiques, dans les  espaces civiques sûrs, les médias libres et non censurés, tant hors ligne qu'en ligne, enfin, l'inclusion numérique, de la </w:t>
      </w:r>
      <w:r w:rsidRPr="00623A2B">
        <w:rPr>
          <w:rFonts w:ascii="Times New Roman" w:hAnsi="Times New Roman"/>
          <w:szCs w:val="22"/>
          <w:lang w:val="fr-FR"/>
        </w:rPr>
        <w:lastRenderedPageBreak/>
        <w:t>connectivité à l'internet à la culture numérique, nécessaire pour des citoyens démocrates informés et engagés.</w:t>
      </w:r>
    </w:p>
    <w:p w14:paraId="5B9F8F17" w14:textId="77777777" w:rsidR="00F723DA" w:rsidRPr="00623A2B" w:rsidRDefault="00F723DA" w:rsidP="00F723DA">
      <w:pPr>
        <w:suppressAutoHyphens/>
        <w:autoSpaceDE w:val="0"/>
        <w:autoSpaceDN w:val="0"/>
        <w:adjustRightInd w:val="0"/>
        <w:textAlignment w:val="baseline"/>
        <w:rPr>
          <w:rFonts w:ascii="Times New Roman" w:hAnsi="Times New Roman"/>
          <w:szCs w:val="22"/>
          <w:lang w:val="fr-FR"/>
        </w:rPr>
      </w:pPr>
    </w:p>
    <w:p w14:paraId="134141F8" w14:textId="77777777" w:rsidR="00F723DA" w:rsidRPr="00623A2B" w:rsidRDefault="00F723DA" w:rsidP="00F723DA">
      <w:pPr>
        <w:suppressAutoHyphens/>
        <w:autoSpaceDE w:val="0"/>
        <w:autoSpaceDN w:val="0"/>
        <w:adjustRightInd w:val="0"/>
        <w:ind w:firstLine="720"/>
        <w:textAlignment w:val="baseline"/>
        <w:rPr>
          <w:rFonts w:ascii="Times New Roman" w:hAnsi="Times New Roman"/>
          <w:szCs w:val="22"/>
          <w:lang w:val="fr-FR"/>
        </w:rPr>
      </w:pPr>
      <w:r w:rsidRPr="00623A2B">
        <w:rPr>
          <w:rFonts w:ascii="Times New Roman" w:hAnsi="Times New Roman"/>
          <w:szCs w:val="22"/>
          <w:lang w:val="fr-FR"/>
        </w:rPr>
        <w:t>5.</w:t>
      </w:r>
      <w:r w:rsidRPr="00623A2B">
        <w:rPr>
          <w:rFonts w:ascii="Times New Roman" w:hAnsi="Times New Roman"/>
          <w:szCs w:val="22"/>
          <w:lang w:val="fr-FR"/>
        </w:rPr>
        <w:tab/>
        <w:t>De demander à la Commission des questions juridiques et politiques d’organiser, dans les limites des ressources existantes et en coordination avec le Secrétariat à l’accès aux droits et à l’équité, une réunion extraordinaire qui permettra aux États membres de tenir des échanges sur les leçons apprises et les bonnes pratiques en vue d’atteindre les objectifs de la présente résolution, en accordant une attention particulière aux aspects énoncés sous le point 3.b., et de présenter les résultats de ladite réunion au Conseil permanent avant la tenue de la cinquante-deuxième session ordinaire de l’Assemblée générale.</w:t>
      </w:r>
    </w:p>
    <w:p w14:paraId="498C8E0D" w14:textId="77777777" w:rsidR="00F723DA" w:rsidRPr="00623A2B" w:rsidRDefault="00F723DA" w:rsidP="00F723DA">
      <w:pPr>
        <w:rPr>
          <w:rFonts w:ascii="Times New Roman" w:hAnsi="Times New Roman"/>
          <w:szCs w:val="22"/>
          <w:lang w:val="fr-FR"/>
        </w:rPr>
      </w:pPr>
    </w:p>
    <w:p w14:paraId="30326316" w14:textId="77777777" w:rsidR="00F723DA" w:rsidRPr="00623A2B" w:rsidRDefault="00F723DA" w:rsidP="00EE7518">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374"/>
        <w:contextualSpacing w:val="0"/>
        <w:jc w:val="left"/>
        <w:rPr>
          <w:rFonts w:ascii="Times New Roman" w:hAnsi="Times New Roman"/>
          <w:szCs w:val="22"/>
          <w:u w:val="single"/>
          <w:lang w:val="fr-FR"/>
        </w:rPr>
      </w:pPr>
      <w:r w:rsidRPr="00623A2B">
        <w:rPr>
          <w:rFonts w:ascii="Times New Roman" w:hAnsi="Times New Roman"/>
          <w:szCs w:val="22"/>
          <w:u w:val="single"/>
          <w:lang w:val="fr-FR"/>
        </w:rPr>
        <w:t>Promotion des droits à la liberté d’expression, de réunion pacifique et d’association dans les Amériques</w:t>
      </w:r>
    </w:p>
    <w:p w14:paraId="18101F15" w14:textId="77777777" w:rsidR="00F723DA" w:rsidRPr="00623A2B" w:rsidRDefault="00F723DA" w:rsidP="00F723DA">
      <w:pPr>
        <w:rPr>
          <w:rFonts w:ascii="Times New Roman" w:hAnsi="Times New Roman"/>
          <w:szCs w:val="22"/>
          <w:lang w:val="fr-FR" w:eastAsia="es-ES"/>
        </w:rPr>
      </w:pPr>
    </w:p>
    <w:p w14:paraId="3D85252C" w14:textId="77777777" w:rsidR="00F723DA" w:rsidRPr="00623A2B" w:rsidRDefault="00F723DA" w:rsidP="00F723DA">
      <w:pPr>
        <w:suppressAutoHyphens/>
        <w:autoSpaceDE w:val="0"/>
        <w:autoSpaceDN w:val="0"/>
        <w:adjustRightInd w:val="0"/>
        <w:ind w:firstLine="720"/>
        <w:textAlignment w:val="baseline"/>
        <w:rPr>
          <w:rFonts w:ascii="Times New Roman" w:hAnsi="Times New Roman"/>
          <w:szCs w:val="22"/>
          <w:lang w:val="fr-FR"/>
        </w:rPr>
      </w:pPr>
      <w:r w:rsidRPr="00623A2B">
        <w:rPr>
          <w:rFonts w:ascii="Times New Roman" w:hAnsi="Times New Roman"/>
          <w:szCs w:val="22"/>
          <w:lang w:val="fr-FR"/>
        </w:rPr>
        <w:t xml:space="preserve">L’ASSEMBLÉE GÉNÉRALE, </w:t>
      </w:r>
    </w:p>
    <w:p w14:paraId="37EFD9D5" w14:textId="77777777" w:rsidR="00F723DA" w:rsidRPr="00623A2B" w:rsidRDefault="00F723DA" w:rsidP="00F723DA">
      <w:pPr>
        <w:suppressAutoHyphens/>
        <w:autoSpaceDE w:val="0"/>
        <w:autoSpaceDN w:val="0"/>
        <w:adjustRightInd w:val="0"/>
        <w:textAlignment w:val="baseline"/>
        <w:rPr>
          <w:rFonts w:ascii="Times New Roman" w:hAnsi="Times New Roman"/>
          <w:szCs w:val="22"/>
          <w:lang w:val="fr-FR"/>
        </w:rPr>
      </w:pPr>
    </w:p>
    <w:p w14:paraId="078499D9" w14:textId="77777777" w:rsidR="00F723DA" w:rsidRPr="00623A2B" w:rsidRDefault="00F723DA" w:rsidP="00F723DA">
      <w:pPr>
        <w:suppressAutoHyphens/>
        <w:autoSpaceDE w:val="0"/>
        <w:autoSpaceDN w:val="0"/>
        <w:adjustRightInd w:val="0"/>
        <w:ind w:firstLine="720"/>
        <w:textAlignment w:val="baseline"/>
        <w:rPr>
          <w:rFonts w:ascii="Times New Roman" w:eastAsia="Calibri" w:hAnsi="Times New Roman"/>
          <w:szCs w:val="22"/>
          <w:lang w:val="fr-FR"/>
        </w:rPr>
      </w:pPr>
      <w:r w:rsidRPr="00623A2B">
        <w:rPr>
          <w:rFonts w:ascii="Times New Roman" w:eastAsia="Calibri" w:hAnsi="Times New Roman"/>
          <w:szCs w:val="22"/>
          <w:lang w:val="fr-FR"/>
        </w:rPr>
        <w:t>RAPPELANT la résolution AG/RES. 2928 (XLVIII-O/18), qui reconnaît les droits à la liberté de pensée et d’expression, y compris sur internet,</w:t>
      </w:r>
    </w:p>
    <w:p w14:paraId="050EC8AB" w14:textId="77777777" w:rsidR="00F723DA" w:rsidRPr="00623A2B" w:rsidRDefault="00F723DA" w:rsidP="00F723DA">
      <w:pPr>
        <w:suppressAutoHyphens/>
        <w:autoSpaceDE w:val="0"/>
        <w:autoSpaceDN w:val="0"/>
        <w:adjustRightInd w:val="0"/>
        <w:textAlignment w:val="baseline"/>
        <w:rPr>
          <w:rFonts w:ascii="Times New Roman" w:eastAsia="Calibri" w:hAnsi="Times New Roman"/>
          <w:szCs w:val="22"/>
          <w:lang w:val="fr-FR"/>
        </w:rPr>
      </w:pPr>
    </w:p>
    <w:p w14:paraId="2334E964" w14:textId="77777777" w:rsidR="00F723DA" w:rsidRPr="00623A2B" w:rsidRDefault="00F723DA" w:rsidP="00F723DA">
      <w:pPr>
        <w:suppressAutoHyphens/>
        <w:autoSpaceDE w:val="0"/>
        <w:autoSpaceDN w:val="0"/>
        <w:adjustRightInd w:val="0"/>
        <w:ind w:firstLine="720"/>
        <w:textAlignment w:val="baseline"/>
        <w:rPr>
          <w:rFonts w:ascii="Times New Roman" w:eastAsia="Calibri" w:hAnsi="Times New Roman"/>
          <w:szCs w:val="22"/>
          <w:lang w:val="fr-FR"/>
        </w:rPr>
      </w:pPr>
      <w:r w:rsidRPr="00623A2B">
        <w:rPr>
          <w:rFonts w:ascii="Times New Roman" w:eastAsia="Calibri" w:hAnsi="Times New Roman"/>
          <w:szCs w:val="22"/>
          <w:lang w:val="fr-FR"/>
        </w:rPr>
        <w:t>CONSIDÉRANT que l'exercice du droit à la liberté d'opinion et d'expression est l'une des pierres angulaires d'une société démocratique et qu'il remplit une fonction essentielle en rendant les partis et les dirigeants politiques responsables, en assurant un débat solide et ouvert sur les questions d'intérêt public et en préservant le droit des citoyens de recevoir des informations de sources diverses pour l'exercice de leurs droits politiques, et réaffirmant l'obligation des États de garantir la jouissance des droits de la personne,</w:t>
      </w:r>
    </w:p>
    <w:p w14:paraId="3FEA6DAE" w14:textId="77777777" w:rsidR="00F723DA" w:rsidRPr="00623A2B" w:rsidRDefault="00F723DA" w:rsidP="00F723DA">
      <w:pPr>
        <w:suppressAutoHyphens/>
        <w:autoSpaceDE w:val="0"/>
        <w:autoSpaceDN w:val="0"/>
        <w:adjustRightInd w:val="0"/>
        <w:textAlignment w:val="baseline"/>
        <w:rPr>
          <w:rFonts w:ascii="Times New Roman" w:eastAsia="Calibri" w:hAnsi="Times New Roman"/>
          <w:szCs w:val="22"/>
          <w:lang w:val="fr-FR"/>
        </w:rPr>
      </w:pPr>
    </w:p>
    <w:p w14:paraId="1F7E8993" w14:textId="77777777" w:rsidR="00F723DA" w:rsidRPr="00623A2B" w:rsidRDefault="00F723DA" w:rsidP="00F723DA">
      <w:pPr>
        <w:suppressAutoHyphens/>
        <w:autoSpaceDE w:val="0"/>
        <w:autoSpaceDN w:val="0"/>
        <w:adjustRightInd w:val="0"/>
        <w:ind w:firstLine="720"/>
        <w:textAlignment w:val="baseline"/>
        <w:rPr>
          <w:rFonts w:ascii="Times New Roman" w:eastAsia="Calibri" w:hAnsi="Times New Roman"/>
          <w:szCs w:val="22"/>
          <w:lang w:val="fr-FR"/>
        </w:rPr>
      </w:pPr>
      <w:r w:rsidRPr="00623A2B">
        <w:rPr>
          <w:rFonts w:ascii="Times New Roman" w:eastAsia="Calibri" w:hAnsi="Times New Roman"/>
          <w:szCs w:val="22"/>
          <w:lang w:val="fr-FR"/>
        </w:rPr>
        <w:t>PRÉOCCUPÉE par la présence de situations dans le continent américain qui, directement ou indirectement, empêchent ou entravent le travail de gouvernements, de particuliers, de groupes démocratiques indépendants ou d'organisations œuvrant en faveur de la promotion et de la protection, de la démocratie, des droits de la personne, des libertés fondamentales et de l’égalité de genre, entre autres, ainsi que par les récents événements survenus dans le continent américain ; prenant en compte que la COVID-19 pose des difficultés pour l’exercice des droits à la liberté de réunion,</w:t>
      </w:r>
    </w:p>
    <w:p w14:paraId="54708C51" w14:textId="77777777" w:rsidR="00F723DA" w:rsidRPr="00623A2B" w:rsidRDefault="00F723DA" w:rsidP="00F723DA">
      <w:pPr>
        <w:suppressAutoHyphens/>
        <w:autoSpaceDE w:val="0"/>
        <w:autoSpaceDN w:val="0"/>
        <w:adjustRightInd w:val="0"/>
        <w:textAlignment w:val="baseline"/>
        <w:rPr>
          <w:rFonts w:ascii="Times New Roman" w:eastAsia="Calibri" w:hAnsi="Times New Roman"/>
          <w:szCs w:val="22"/>
          <w:lang w:val="fr-FR"/>
        </w:rPr>
      </w:pPr>
    </w:p>
    <w:p w14:paraId="7CC3D6F0" w14:textId="77777777" w:rsidR="00F723DA" w:rsidRPr="00623A2B" w:rsidRDefault="00F723DA" w:rsidP="00307190">
      <w:pPr>
        <w:widowControl/>
        <w:suppressAutoHyphens/>
        <w:autoSpaceDE w:val="0"/>
        <w:autoSpaceDN w:val="0"/>
        <w:adjustRightInd w:val="0"/>
        <w:ind w:firstLine="720"/>
        <w:textAlignment w:val="baseline"/>
        <w:rPr>
          <w:rFonts w:ascii="Times New Roman" w:eastAsia="Calibri" w:hAnsi="Times New Roman"/>
          <w:szCs w:val="22"/>
          <w:lang w:val="fr-FR"/>
        </w:rPr>
      </w:pPr>
      <w:r w:rsidRPr="00623A2B">
        <w:rPr>
          <w:rFonts w:ascii="Times New Roman" w:eastAsia="Calibri" w:hAnsi="Times New Roman"/>
          <w:szCs w:val="22"/>
          <w:lang w:val="fr-FR"/>
        </w:rPr>
        <w:t>SOULIGNANT l’importance de l’accès à des sources d’information et idées diverses, ainsi que des possibilités de diffuser celles-ci, et soulignant que des médias divers devraient être présents dans une société démocratique,</w:t>
      </w:r>
    </w:p>
    <w:p w14:paraId="0019BB63" w14:textId="77777777" w:rsidR="00F723DA" w:rsidRPr="00623A2B" w:rsidRDefault="00F723DA" w:rsidP="00F723DA">
      <w:pPr>
        <w:suppressAutoHyphens/>
        <w:autoSpaceDE w:val="0"/>
        <w:autoSpaceDN w:val="0"/>
        <w:adjustRightInd w:val="0"/>
        <w:textAlignment w:val="baseline"/>
        <w:rPr>
          <w:rFonts w:ascii="Times New Roman" w:eastAsia="Calibri" w:hAnsi="Times New Roman"/>
          <w:szCs w:val="22"/>
          <w:lang w:val="fr-FR"/>
        </w:rPr>
      </w:pPr>
    </w:p>
    <w:p w14:paraId="763684BA" w14:textId="77777777" w:rsidR="00F723DA" w:rsidRPr="00623A2B" w:rsidRDefault="00F723DA" w:rsidP="00F723DA">
      <w:pPr>
        <w:suppressAutoHyphens/>
        <w:autoSpaceDE w:val="0"/>
        <w:autoSpaceDN w:val="0"/>
        <w:adjustRightInd w:val="0"/>
        <w:ind w:firstLine="720"/>
        <w:textAlignment w:val="baseline"/>
        <w:rPr>
          <w:rFonts w:ascii="Times New Roman" w:eastAsia="Calibri" w:hAnsi="Times New Roman"/>
          <w:szCs w:val="22"/>
          <w:lang w:val="fr-FR"/>
        </w:rPr>
      </w:pPr>
      <w:r w:rsidRPr="00623A2B">
        <w:rPr>
          <w:rFonts w:ascii="Times New Roman" w:eastAsia="Calibri" w:hAnsi="Times New Roman"/>
          <w:szCs w:val="22"/>
          <w:lang w:val="fr-FR"/>
        </w:rPr>
        <w:t>CONSIDÉRANT que l’internet est devenu un espace essentiel pour l’exercice de la liberté d’expression et a contribué à la diffusion immédiate d’informations, d’idées et d’opinions, et prenant en compte les difficultés que cela représente pour les droits de la personne,</w:t>
      </w:r>
    </w:p>
    <w:p w14:paraId="248EC384" w14:textId="77777777" w:rsidR="00F723DA" w:rsidRPr="00623A2B" w:rsidRDefault="00F723DA" w:rsidP="00F723DA">
      <w:pPr>
        <w:suppressAutoHyphens/>
        <w:autoSpaceDE w:val="0"/>
        <w:autoSpaceDN w:val="0"/>
        <w:adjustRightInd w:val="0"/>
        <w:textAlignment w:val="baseline"/>
        <w:rPr>
          <w:rFonts w:ascii="Times New Roman" w:eastAsia="Calibri" w:hAnsi="Times New Roman"/>
          <w:szCs w:val="22"/>
          <w:lang w:val="fr-FR"/>
        </w:rPr>
      </w:pPr>
    </w:p>
    <w:p w14:paraId="13EF6E74" w14:textId="77777777" w:rsidR="00F723DA" w:rsidRPr="00623A2B" w:rsidRDefault="00F723DA" w:rsidP="00F723DA">
      <w:pPr>
        <w:keepNext/>
        <w:suppressAutoHyphens/>
        <w:autoSpaceDE w:val="0"/>
        <w:autoSpaceDN w:val="0"/>
        <w:adjustRightInd w:val="0"/>
        <w:textAlignment w:val="baseline"/>
        <w:rPr>
          <w:rFonts w:ascii="Times New Roman" w:eastAsia="Calibri" w:hAnsi="Times New Roman"/>
          <w:szCs w:val="22"/>
          <w:lang w:val="fr-FR"/>
        </w:rPr>
      </w:pPr>
      <w:r w:rsidRPr="00623A2B">
        <w:rPr>
          <w:rFonts w:ascii="Times New Roman" w:eastAsia="Calibri" w:hAnsi="Times New Roman"/>
          <w:szCs w:val="22"/>
          <w:lang w:val="fr-FR"/>
        </w:rPr>
        <w:t xml:space="preserve">DÉCIDE : </w:t>
      </w:r>
    </w:p>
    <w:p w14:paraId="636D2743" w14:textId="77777777" w:rsidR="00F723DA" w:rsidRPr="00623A2B" w:rsidRDefault="00F723DA" w:rsidP="00F723DA">
      <w:pPr>
        <w:keepNext/>
        <w:suppressAutoHyphens/>
        <w:autoSpaceDE w:val="0"/>
        <w:autoSpaceDN w:val="0"/>
        <w:adjustRightInd w:val="0"/>
        <w:textAlignment w:val="baseline"/>
        <w:rPr>
          <w:rFonts w:ascii="Times New Roman" w:eastAsia="Calibri" w:hAnsi="Times New Roman"/>
          <w:szCs w:val="22"/>
          <w:lang w:val="fr-FR"/>
        </w:rPr>
      </w:pPr>
    </w:p>
    <w:p w14:paraId="6D882E59" w14:textId="114E37A1" w:rsidR="00F723DA" w:rsidRPr="00623A2B" w:rsidRDefault="00F723DA" w:rsidP="00F723DA">
      <w:pPr>
        <w:suppressAutoHyphens/>
        <w:autoSpaceDE w:val="0"/>
        <w:autoSpaceDN w:val="0"/>
        <w:adjustRightInd w:val="0"/>
        <w:ind w:firstLine="720"/>
        <w:textAlignment w:val="baseline"/>
        <w:rPr>
          <w:rFonts w:ascii="Times New Roman" w:eastAsia="Calibri" w:hAnsi="Times New Roman"/>
          <w:szCs w:val="22"/>
          <w:lang w:val="fr-FR"/>
        </w:rPr>
      </w:pPr>
      <w:r w:rsidRPr="00623A2B">
        <w:rPr>
          <w:rFonts w:ascii="Times New Roman" w:eastAsia="Calibri" w:hAnsi="Times New Roman"/>
          <w:szCs w:val="22"/>
          <w:lang w:val="fr-FR"/>
        </w:rPr>
        <w:t>1.</w:t>
      </w:r>
      <w:r w:rsidRPr="00623A2B">
        <w:rPr>
          <w:rFonts w:ascii="Times New Roman" w:eastAsia="Calibri" w:hAnsi="Times New Roman"/>
          <w:szCs w:val="22"/>
          <w:lang w:val="fr-FR"/>
        </w:rPr>
        <w:tab/>
        <w:t>D’exhorter les États membres à respecter et à protéger pleinement les droits de tous les individus à se réunir pacifiquement et à s'associer librement, et à prendre toutes les mesures nécessaires pour garantir que toute restriction au libre exercice des droits à la liberté de réunion pacifique et d'association, y compris sur l’internet</w:t>
      </w:r>
      <w:r w:rsidRPr="00623A2B">
        <w:rPr>
          <w:rFonts w:ascii="Times New Roman" w:eastAsia="Calibri" w:hAnsi="Times New Roman"/>
          <w:b/>
          <w:bCs/>
          <w:szCs w:val="22"/>
          <w:lang w:val="fr-FR"/>
        </w:rPr>
        <w:t>,</w:t>
      </w:r>
      <w:r w:rsidRPr="00623A2B">
        <w:rPr>
          <w:rFonts w:ascii="Times New Roman" w:eastAsia="Calibri" w:hAnsi="Times New Roman"/>
          <w:szCs w:val="22"/>
          <w:lang w:val="fr-FR"/>
        </w:rPr>
        <w:t xml:space="preserve"> est conforme au droit interne et aux obligations internationales découlant des</w:t>
      </w:r>
      <w:r w:rsidRPr="00623A2B">
        <w:rPr>
          <w:rFonts w:ascii="Times New Roman" w:eastAsia="Calibri" w:hAnsi="Times New Roman"/>
          <w:b/>
          <w:bCs/>
          <w:szCs w:val="22"/>
          <w:lang w:val="fr-FR"/>
        </w:rPr>
        <w:t xml:space="preserve"> </w:t>
      </w:r>
      <w:r w:rsidRPr="00623A2B">
        <w:rPr>
          <w:rFonts w:ascii="Times New Roman" w:eastAsia="Calibri" w:hAnsi="Times New Roman"/>
          <w:szCs w:val="22"/>
          <w:lang w:val="fr-FR"/>
        </w:rPr>
        <w:t>droits de la personne qui s’appliquent à leur cas.</w:t>
      </w:r>
    </w:p>
    <w:p w14:paraId="1C66F396" w14:textId="77777777" w:rsidR="00F723DA" w:rsidRPr="00623A2B" w:rsidRDefault="00F723DA" w:rsidP="00F723DA">
      <w:pPr>
        <w:suppressAutoHyphens/>
        <w:autoSpaceDE w:val="0"/>
        <w:autoSpaceDN w:val="0"/>
        <w:adjustRightInd w:val="0"/>
        <w:ind w:firstLine="720"/>
        <w:textAlignment w:val="baseline"/>
        <w:rPr>
          <w:rFonts w:ascii="Times New Roman" w:eastAsia="Calibri" w:hAnsi="Times New Roman"/>
          <w:szCs w:val="22"/>
          <w:lang w:val="fr-FR"/>
        </w:rPr>
      </w:pPr>
      <w:r w:rsidRPr="00623A2B">
        <w:rPr>
          <w:rFonts w:ascii="Times New Roman" w:eastAsia="Calibri" w:hAnsi="Times New Roman"/>
          <w:szCs w:val="22"/>
          <w:lang w:val="fr-FR"/>
        </w:rPr>
        <w:lastRenderedPageBreak/>
        <w:t>2.</w:t>
      </w:r>
      <w:r w:rsidRPr="00623A2B">
        <w:rPr>
          <w:rFonts w:ascii="Times New Roman" w:eastAsia="Calibri" w:hAnsi="Times New Roman"/>
          <w:szCs w:val="22"/>
          <w:lang w:val="fr-FR"/>
        </w:rPr>
        <w:tab/>
        <w:t>De demander à la CAJP de tenir une réunion extraordinaire, dans la limite des ressources disponibles, avant l'Assemblée générale de l’OEA en 2022 dans le but de tenir des échanges sur les enseignements tirés et les pratiques optimales entre les États membres en matière de droits à la liberté de réunion et d’association.</w:t>
      </w:r>
    </w:p>
    <w:p w14:paraId="349B80A8" w14:textId="77777777" w:rsidR="00F723DA" w:rsidRPr="00623A2B" w:rsidRDefault="00F723DA" w:rsidP="00F723DA">
      <w:pPr>
        <w:jc w:val="left"/>
        <w:rPr>
          <w:rFonts w:ascii="Times New Roman" w:hAnsi="Times New Roman"/>
          <w:b/>
          <w:bCs/>
          <w:szCs w:val="22"/>
          <w:lang w:val="fr-FR" w:eastAsia="es-ES"/>
        </w:rPr>
      </w:pPr>
    </w:p>
    <w:p w14:paraId="4CA38B97" w14:textId="77777777" w:rsidR="00F723DA" w:rsidRPr="00623A2B" w:rsidRDefault="00F723DA" w:rsidP="00EE7518">
      <w:pPr>
        <w:pStyle w:val="ListParagraph"/>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284"/>
        <w:contextualSpacing w:val="0"/>
        <w:jc w:val="left"/>
        <w:rPr>
          <w:rFonts w:ascii="Times New Roman" w:hAnsi="Times New Roman"/>
          <w:szCs w:val="22"/>
          <w:u w:val="single"/>
          <w:lang w:val="fr-FR"/>
        </w:rPr>
      </w:pPr>
      <w:r w:rsidRPr="00623A2B">
        <w:rPr>
          <w:rFonts w:ascii="Times New Roman" w:hAnsi="Times New Roman"/>
          <w:szCs w:val="22"/>
          <w:u w:val="single"/>
          <w:lang w:val="fr-FR"/>
        </w:rPr>
        <w:t>Droit à la liberté de conscience et de religion ou de croyance</w:t>
      </w:r>
    </w:p>
    <w:p w14:paraId="392F0289" w14:textId="77777777" w:rsidR="00F723DA" w:rsidRPr="00623A2B" w:rsidRDefault="00F723DA" w:rsidP="00F723DA">
      <w:pPr>
        <w:suppressAutoHyphens/>
        <w:autoSpaceDE w:val="0"/>
        <w:autoSpaceDN w:val="0"/>
        <w:adjustRightInd w:val="0"/>
        <w:textAlignment w:val="baseline"/>
        <w:rPr>
          <w:rFonts w:ascii="Times New Roman" w:hAnsi="Times New Roman"/>
          <w:szCs w:val="22"/>
          <w:lang w:val="fr-FR"/>
        </w:rPr>
      </w:pPr>
    </w:p>
    <w:p w14:paraId="5B812413" w14:textId="77777777" w:rsidR="00F723DA" w:rsidRPr="00623A2B" w:rsidRDefault="00F723DA" w:rsidP="00F723DA">
      <w:pPr>
        <w:suppressAutoHyphens/>
        <w:autoSpaceDE w:val="0"/>
        <w:autoSpaceDN w:val="0"/>
        <w:adjustRightInd w:val="0"/>
        <w:ind w:firstLine="720"/>
        <w:textAlignment w:val="baseline"/>
        <w:rPr>
          <w:rFonts w:ascii="Times New Roman" w:hAnsi="Times New Roman"/>
          <w:szCs w:val="22"/>
          <w:lang w:val="fr-FR"/>
        </w:rPr>
      </w:pPr>
      <w:r w:rsidRPr="00623A2B">
        <w:rPr>
          <w:rFonts w:ascii="Times New Roman" w:hAnsi="Times New Roman"/>
          <w:szCs w:val="22"/>
          <w:lang w:val="fr-FR"/>
        </w:rPr>
        <w:t>L’ASSEMBLÉE GÉNÉRALE,</w:t>
      </w:r>
    </w:p>
    <w:p w14:paraId="0451D2BC" w14:textId="77777777" w:rsidR="00F723DA" w:rsidRPr="00623A2B" w:rsidRDefault="00F723DA" w:rsidP="00F723DA">
      <w:pPr>
        <w:suppressAutoHyphens/>
        <w:autoSpaceDE w:val="0"/>
        <w:autoSpaceDN w:val="0"/>
        <w:adjustRightInd w:val="0"/>
        <w:textAlignment w:val="baseline"/>
        <w:rPr>
          <w:rFonts w:ascii="Times New Roman" w:hAnsi="Times New Roman"/>
          <w:szCs w:val="22"/>
          <w:lang w:val="fr-FR"/>
        </w:rPr>
      </w:pPr>
    </w:p>
    <w:p w14:paraId="520E2401" w14:textId="77777777" w:rsidR="00F723DA" w:rsidRPr="00623A2B" w:rsidRDefault="00F723DA" w:rsidP="00F723DA">
      <w:pPr>
        <w:suppressAutoHyphens/>
        <w:autoSpaceDE w:val="0"/>
        <w:autoSpaceDN w:val="0"/>
        <w:adjustRightInd w:val="0"/>
        <w:ind w:firstLine="720"/>
        <w:textAlignment w:val="baseline"/>
        <w:rPr>
          <w:rFonts w:ascii="Times New Roman" w:hAnsi="Times New Roman"/>
          <w:szCs w:val="22"/>
          <w:lang w:val="fr-FR"/>
        </w:rPr>
      </w:pPr>
      <w:r w:rsidRPr="00623A2B">
        <w:rPr>
          <w:rFonts w:ascii="Times New Roman" w:hAnsi="Times New Roman"/>
          <w:szCs w:val="22"/>
          <w:lang w:val="fr-FR"/>
        </w:rPr>
        <w:t xml:space="preserve">RAPPELANT </w:t>
      </w:r>
      <w:proofErr w:type="gramStart"/>
      <w:r w:rsidRPr="00623A2B">
        <w:rPr>
          <w:rFonts w:ascii="Times New Roman" w:hAnsi="Times New Roman"/>
          <w:szCs w:val="22"/>
          <w:lang w:val="fr-FR"/>
        </w:rPr>
        <w:t>la section xviii</w:t>
      </w:r>
      <w:proofErr w:type="gramEnd"/>
      <w:r w:rsidRPr="00623A2B">
        <w:rPr>
          <w:rFonts w:ascii="Times New Roman" w:hAnsi="Times New Roman"/>
          <w:szCs w:val="22"/>
          <w:lang w:val="fr-FR"/>
        </w:rPr>
        <w:t xml:space="preserve">. </w:t>
      </w:r>
      <w:proofErr w:type="gramStart"/>
      <w:r w:rsidRPr="00623A2B">
        <w:rPr>
          <w:rFonts w:ascii="Times New Roman" w:hAnsi="Times New Roman"/>
          <w:szCs w:val="22"/>
          <w:lang w:val="fr-FR"/>
        </w:rPr>
        <w:t>de</w:t>
      </w:r>
      <w:proofErr w:type="gramEnd"/>
      <w:r w:rsidRPr="00623A2B">
        <w:rPr>
          <w:rFonts w:ascii="Times New Roman" w:hAnsi="Times New Roman"/>
          <w:szCs w:val="22"/>
          <w:lang w:val="fr-FR"/>
        </w:rPr>
        <w:t xml:space="preserve"> la résolution AG/RES. 2941 (XLIX-O/2019) adoptée par consensus lors de la quarante-neuvième session ordinaire de l'Assemblée générale en juin 2019, et la section xi. </w:t>
      </w:r>
      <w:proofErr w:type="gramStart"/>
      <w:r w:rsidRPr="00623A2B">
        <w:rPr>
          <w:rFonts w:ascii="Times New Roman" w:hAnsi="Times New Roman"/>
          <w:szCs w:val="22"/>
          <w:lang w:val="fr-FR"/>
        </w:rPr>
        <w:t>de</w:t>
      </w:r>
      <w:proofErr w:type="gramEnd"/>
      <w:r w:rsidRPr="00623A2B">
        <w:rPr>
          <w:rFonts w:ascii="Times New Roman" w:hAnsi="Times New Roman"/>
          <w:szCs w:val="22"/>
          <w:lang w:val="fr-FR"/>
        </w:rPr>
        <w:t xml:space="preserve"> la résolution AG/RES. 2961 (L-O/20), adoptée également par consensus lors de la cinquantième session ordinaire de l'Assemblée générale en octobre 2020, </w:t>
      </w:r>
    </w:p>
    <w:p w14:paraId="03880C90" w14:textId="77777777" w:rsidR="00F723DA" w:rsidRPr="00623A2B" w:rsidRDefault="00F723DA" w:rsidP="00F723DA">
      <w:pPr>
        <w:suppressAutoHyphens/>
        <w:autoSpaceDE w:val="0"/>
        <w:autoSpaceDN w:val="0"/>
        <w:adjustRightInd w:val="0"/>
        <w:textAlignment w:val="baseline"/>
        <w:rPr>
          <w:rFonts w:ascii="Times New Roman" w:hAnsi="Times New Roman"/>
          <w:szCs w:val="22"/>
          <w:lang w:val="fr-FR"/>
        </w:rPr>
      </w:pPr>
    </w:p>
    <w:p w14:paraId="1556ADC2" w14:textId="77777777" w:rsidR="00F723DA" w:rsidRPr="00623A2B" w:rsidRDefault="00F723DA" w:rsidP="00F723DA">
      <w:pPr>
        <w:suppressAutoHyphens/>
        <w:autoSpaceDE w:val="0"/>
        <w:autoSpaceDN w:val="0"/>
        <w:adjustRightInd w:val="0"/>
        <w:textAlignment w:val="baseline"/>
        <w:rPr>
          <w:rFonts w:ascii="Times New Roman" w:eastAsia="Calibri" w:hAnsi="Times New Roman"/>
          <w:szCs w:val="22"/>
          <w:lang w:val="fr-FR"/>
        </w:rPr>
      </w:pPr>
      <w:r w:rsidRPr="00623A2B">
        <w:rPr>
          <w:rFonts w:ascii="Times New Roman" w:eastAsia="Calibri" w:hAnsi="Times New Roman"/>
          <w:szCs w:val="22"/>
          <w:lang w:val="fr-FR"/>
        </w:rPr>
        <w:t xml:space="preserve">DÉCIDE : </w:t>
      </w:r>
    </w:p>
    <w:p w14:paraId="39549CDB" w14:textId="77777777" w:rsidR="00F723DA" w:rsidRPr="00623A2B" w:rsidRDefault="00F723DA" w:rsidP="00F723DA">
      <w:pPr>
        <w:suppressAutoHyphens/>
        <w:autoSpaceDE w:val="0"/>
        <w:autoSpaceDN w:val="0"/>
        <w:adjustRightInd w:val="0"/>
        <w:textAlignment w:val="baseline"/>
        <w:rPr>
          <w:rFonts w:ascii="Times New Roman" w:hAnsi="Times New Roman"/>
          <w:szCs w:val="22"/>
          <w:lang w:val="fr-FR"/>
        </w:rPr>
      </w:pPr>
    </w:p>
    <w:p w14:paraId="7E124BEE" w14:textId="77777777" w:rsidR="00F723DA" w:rsidRPr="00623A2B" w:rsidRDefault="00F723DA" w:rsidP="00F723DA">
      <w:pPr>
        <w:suppressAutoHyphens/>
        <w:autoSpaceDE w:val="0"/>
        <w:autoSpaceDN w:val="0"/>
        <w:adjustRightInd w:val="0"/>
        <w:ind w:firstLine="720"/>
        <w:textAlignment w:val="baseline"/>
        <w:rPr>
          <w:rFonts w:ascii="Times New Roman" w:hAnsi="Times New Roman"/>
          <w:szCs w:val="22"/>
          <w:lang w:val="fr-FR"/>
        </w:rPr>
      </w:pPr>
      <w:r w:rsidRPr="00623A2B">
        <w:rPr>
          <w:rFonts w:ascii="Times New Roman" w:hAnsi="Times New Roman"/>
          <w:szCs w:val="22"/>
          <w:lang w:val="fr-FR"/>
        </w:rPr>
        <w:t>1.</w:t>
      </w:r>
      <w:r w:rsidRPr="00623A2B">
        <w:rPr>
          <w:rFonts w:ascii="Times New Roman" w:hAnsi="Times New Roman"/>
          <w:szCs w:val="22"/>
          <w:lang w:val="fr-FR"/>
        </w:rPr>
        <w:tab/>
        <w:t>De demander au Secrétariat général de continuer d’assurer le suivi des mandats contenus dans les résolutions AG/RES. 2941 (XLIX-O/19) et AG/RES. 2961 (L-O/20), d’organiser un dialogue régional sur le droit à la liberté de conscience et de religion ou de croyance, idéalement dans le cadre de de la Journée internationale de la liberté religieuse qui est célébrée le 27 octobre, avec les apports des États membres, de la Commission interaméricaine des droits de l’homme et d’autres acteurs religieux et de la société civile, afin de débattre des pratiques optimales, y compris la protection des lieux de culte ; et de demander à la CAJP d’organiser, dans la limite des ressources existantes, une réunion extraordinaire au cours de laquelle les États membres pourront continuer à discuter des enseignements tirés et à échanger les bonnes pratiques, et de présenter les résultats de cette réunion au Conseil permanent avant la prochaine session ordinaire de l’Assemblée générale.</w:t>
      </w:r>
    </w:p>
    <w:p w14:paraId="1EF7E984" w14:textId="77777777" w:rsidR="00F723DA" w:rsidRPr="00623A2B" w:rsidRDefault="00F723DA" w:rsidP="00F723DA">
      <w:pPr>
        <w:tabs>
          <w:tab w:val="center" w:pos="2880"/>
        </w:tabs>
        <w:ind w:right="-360"/>
        <w:rPr>
          <w:rFonts w:ascii="Times New Roman" w:hAnsi="Times New Roman"/>
          <w:szCs w:val="22"/>
          <w:lang w:val="fr-FR"/>
        </w:rPr>
      </w:pPr>
    </w:p>
    <w:p w14:paraId="27C630C4" w14:textId="77777777" w:rsidR="00F723DA" w:rsidRPr="00623A2B" w:rsidRDefault="00F723DA" w:rsidP="00F723DA">
      <w:pPr>
        <w:jc w:val="left"/>
        <w:rPr>
          <w:rFonts w:ascii="Times New Roman" w:hAnsi="Times New Roman"/>
          <w:szCs w:val="22"/>
          <w:lang w:val="fr-FR"/>
        </w:rPr>
      </w:pPr>
      <w:r w:rsidRPr="00623A2B">
        <w:rPr>
          <w:rFonts w:ascii="Times New Roman" w:hAnsi="Times New Roman"/>
          <w:szCs w:val="22"/>
          <w:lang w:val="fr-FR"/>
        </w:rPr>
        <w:br w:type="page"/>
      </w:r>
    </w:p>
    <w:p w14:paraId="79499170" w14:textId="77777777" w:rsidR="00F723DA" w:rsidRPr="00623A2B" w:rsidRDefault="00F723DA" w:rsidP="00F723DA">
      <w:pPr>
        <w:jc w:val="center"/>
        <w:rPr>
          <w:rFonts w:ascii="Times New Roman" w:hAnsi="Times New Roman"/>
          <w:sz w:val="20"/>
          <w:lang w:val="fr-FR"/>
        </w:rPr>
      </w:pPr>
      <w:r w:rsidRPr="00623A2B">
        <w:rPr>
          <w:rFonts w:ascii="Times New Roman" w:hAnsi="Times New Roman"/>
          <w:sz w:val="20"/>
          <w:lang w:val="fr-FR"/>
        </w:rPr>
        <w:lastRenderedPageBreak/>
        <w:t>NOTES DE BAS DE PAGE</w:t>
      </w:r>
    </w:p>
    <w:p w14:paraId="165D6569" w14:textId="77777777" w:rsidR="00F723DA" w:rsidRPr="00623A2B" w:rsidRDefault="00F723DA" w:rsidP="00F723DA">
      <w:pPr>
        <w:jc w:val="center"/>
        <w:rPr>
          <w:rFonts w:ascii="Times New Roman" w:hAnsi="Times New Roman"/>
          <w:sz w:val="20"/>
          <w:lang w:val="fr-FR"/>
        </w:rPr>
      </w:pPr>
    </w:p>
    <w:p w14:paraId="18081A08" w14:textId="77777777" w:rsidR="00F723DA" w:rsidRPr="00623A2B" w:rsidRDefault="00F723DA" w:rsidP="00F723DA">
      <w:pPr>
        <w:jc w:val="center"/>
        <w:rPr>
          <w:rFonts w:ascii="Times New Roman" w:hAnsi="Times New Roman"/>
          <w:sz w:val="20"/>
          <w:lang w:val="fr-FR"/>
        </w:rPr>
      </w:pPr>
    </w:p>
    <w:p w14:paraId="09DB50D1" w14:textId="77777777" w:rsidR="00F723DA" w:rsidRPr="00623A2B" w:rsidRDefault="00F723DA" w:rsidP="00F723DA">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1.</w:t>
      </w:r>
      <w:r w:rsidRPr="00623A2B">
        <w:rPr>
          <w:rFonts w:ascii="Times New Roman" w:hAnsi="Times New Roman"/>
          <w:sz w:val="20"/>
          <w:lang w:val="fr-FR"/>
        </w:rPr>
        <w:tab/>
        <w:t>… Cinquante-et-unième Session ordinaire de l’Assemblée générale de l’Organisation des États Américains (OEA), lesquelles constituent des actes contraires au droit international.</w:t>
      </w:r>
    </w:p>
    <w:p w14:paraId="3DB82656" w14:textId="77777777" w:rsidR="00F723DA" w:rsidRPr="00623A2B" w:rsidRDefault="00F723DA" w:rsidP="00F723DA">
      <w:pPr>
        <w:pStyle w:val="FootnoteText"/>
        <w:tabs>
          <w:tab w:val="clear" w:pos="360"/>
        </w:tabs>
        <w:ind w:left="0" w:firstLine="720"/>
        <w:rPr>
          <w:rFonts w:ascii="Times New Roman" w:hAnsi="Times New Roman"/>
          <w:sz w:val="20"/>
          <w:lang w:val="fr-FR"/>
        </w:rPr>
      </w:pPr>
    </w:p>
    <w:p w14:paraId="5CA384DC" w14:textId="77777777" w:rsidR="00F723DA" w:rsidRPr="00623A2B" w:rsidRDefault="00F723DA" w:rsidP="00F723DA">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082CE10A" w14:textId="77777777" w:rsidR="00F723DA" w:rsidRPr="00623A2B" w:rsidRDefault="00F723DA" w:rsidP="00F723DA">
      <w:pPr>
        <w:pStyle w:val="FootnoteText"/>
        <w:tabs>
          <w:tab w:val="clear" w:pos="360"/>
        </w:tabs>
        <w:ind w:left="0" w:firstLine="720"/>
        <w:rPr>
          <w:rFonts w:ascii="Times New Roman" w:hAnsi="Times New Roman"/>
          <w:sz w:val="20"/>
          <w:lang w:val="fr-FR"/>
        </w:rPr>
      </w:pPr>
    </w:p>
    <w:p w14:paraId="3CC1EC70" w14:textId="77777777" w:rsidR="00F723DA" w:rsidRPr="00623A2B" w:rsidRDefault="00F723DA" w:rsidP="00F723DA">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76985A2D" w14:textId="77777777" w:rsidR="00F723DA" w:rsidRPr="00623A2B" w:rsidRDefault="00F723DA" w:rsidP="00F723DA">
      <w:pPr>
        <w:pStyle w:val="FootnoteText"/>
        <w:tabs>
          <w:tab w:val="clear" w:pos="360"/>
        </w:tabs>
        <w:ind w:left="0" w:firstLine="720"/>
        <w:rPr>
          <w:rFonts w:ascii="Times New Roman" w:hAnsi="Times New Roman"/>
          <w:sz w:val="20"/>
          <w:lang w:val="fr-FR"/>
        </w:rPr>
      </w:pPr>
    </w:p>
    <w:p w14:paraId="4DC87A37" w14:textId="77777777" w:rsidR="00F723DA" w:rsidRPr="00623A2B" w:rsidRDefault="00F723DA" w:rsidP="00F723DA">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 xml:space="preserve">La reconnaissance d’un gouvernement est un acte souverain des États, et non des institutions internationales. L’OEA ne possède ni ne peut s’arroger des facultés de reconnaissance collective opposable à la qualité de </w:t>
      </w:r>
      <w:proofErr w:type="gramStart"/>
      <w:r w:rsidRPr="00623A2B">
        <w:rPr>
          <w:rFonts w:ascii="Times New Roman" w:hAnsi="Times New Roman"/>
          <w:sz w:val="20"/>
          <w:lang w:val="fr-FR"/>
        </w:rPr>
        <w:t>membre;</w:t>
      </w:r>
      <w:proofErr w:type="gramEnd"/>
      <w:r w:rsidRPr="00623A2B">
        <w:rPr>
          <w:rFonts w:ascii="Times New Roman" w:hAnsi="Times New Roman"/>
          <w:sz w:val="20"/>
          <w:lang w:val="fr-FR"/>
        </w:rPr>
        <w:t xml:space="preserve"> c’est pourquoi tout acte visant à atteindre cet objectif tombe en dehors de sa compétence et est matériellement nul.</w:t>
      </w:r>
    </w:p>
    <w:p w14:paraId="1F057237" w14:textId="77777777" w:rsidR="00F723DA" w:rsidRPr="00623A2B" w:rsidRDefault="00F723DA" w:rsidP="00F723DA">
      <w:pPr>
        <w:pStyle w:val="FootnoteText"/>
        <w:tabs>
          <w:tab w:val="clear" w:pos="360"/>
        </w:tabs>
        <w:ind w:left="0" w:firstLine="720"/>
        <w:rPr>
          <w:rFonts w:ascii="Times New Roman" w:hAnsi="Times New Roman"/>
          <w:sz w:val="20"/>
          <w:lang w:val="fr-FR"/>
        </w:rPr>
      </w:pPr>
    </w:p>
    <w:p w14:paraId="2EFB607A" w14:textId="77777777" w:rsidR="00F723DA" w:rsidRPr="00623A2B" w:rsidRDefault="00F723DA" w:rsidP="00F723DA">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7CB10082" w14:textId="77777777" w:rsidR="00F723DA" w:rsidRPr="00623A2B" w:rsidRDefault="00F723DA" w:rsidP="00F723DA">
      <w:pPr>
        <w:pStyle w:val="FootnoteText"/>
        <w:tabs>
          <w:tab w:val="clear" w:pos="360"/>
        </w:tabs>
        <w:ind w:left="0" w:firstLine="720"/>
        <w:rPr>
          <w:rFonts w:ascii="Times New Roman" w:hAnsi="Times New Roman"/>
          <w:sz w:val="20"/>
          <w:lang w:val="fr-FR"/>
        </w:rPr>
      </w:pPr>
    </w:p>
    <w:p w14:paraId="2D6D736A" w14:textId="77777777" w:rsidR="00F723DA" w:rsidRPr="00623A2B" w:rsidRDefault="00F723DA" w:rsidP="00F723DA">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5AF16A78" w14:textId="77777777" w:rsidR="00F723DA" w:rsidRPr="00623A2B" w:rsidRDefault="00F723DA" w:rsidP="00F723DA">
      <w:pPr>
        <w:pStyle w:val="FootnoteText"/>
        <w:tabs>
          <w:tab w:val="clear" w:pos="360"/>
        </w:tabs>
        <w:ind w:left="0" w:firstLine="720"/>
        <w:rPr>
          <w:rFonts w:ascii="Times New Roman" w:hAnsi="Times New Roman"/>
          <w:sz w:val="20"/>
          <w:lang w:val="fr-FR"/>
        </w:rPr>
      </w:pPr>
    </w:p>
    <w:p w14:paraId="7A8E69F0" w14:textId="77777777" w:rsidR="00F723DA" w:rsidRPr="00623A2B" w:rsidRDefault="00F723DA" w:rsidP="00F723DA">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44830F0D" w14:textId="77777777" w:rsidR="00F723DA" w:rsidRPr="00623A2B" w:rsidRDefault="00F723DA" w:rsidP="00F723DA">
      <w:pPr>
        <w:pStyle w:val="FootnoteText"/>
        <w:tabs>
          <w:tab w:val="clear" w:pos="360"/>
        </w:tabs>
        <w:ind w:left="0" w:firstLine="720"/>
        <w:rPr>
          <w:rFonts w:ascii="Times New Roman" w:hAnsi="Times New Roman"/>
          <w:sz w:val="20"/>
          <w:lang w:val="fr-FR"/>
        </w:rPr>
      </w:pPr>
    </w:p>
    <w:p w14:paraId="72E55118" w14:textId="77777777" w:rsidR="00F723DA" w:rsidRPr="00623A2B" w:rsidRDefault="00F723DA" w:rsidP="00F723DA">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2.</w:t>
      </w:r>
      <w:r w:rsidRPr="00623A2B">
        <w:rPr>
          <w:rFonts w:ascii="Times New Roman" w:hAnsi="Times New Roman"/>
          <w:sz w:val="20"/>
          <w:lang w:val="fr-FR"/>
        </w:rPr>
        <w:tab/>
        <w:t xml:space="preserve">… de personnes qui prétendent usurper la représentation légale de la République bolivarienne du Venezuela et du Gouvernement légitime du Président </w:t>
      </w:r>
      <w:proofErr w:type="spellStart"/>
      <w:r w:rsidRPr="00623A2B">
        <w:rPr>
          <w:rFonts w:ascii="Times New Roman" w:hAnsi="Times New Roman"/>
          <w:sz w:val="20"/>
          <w:lang w:val="fr-FR"/>
        </w:rPr>
        <w:t>Nicolás</w:t>
      </w:r>
      <w:proofErr w:type="spellEnd"/>
      <w:r w:rsidRPr="00623A2B">
        <w:rPr>
          <w:rFonts w:ascii="Times New Roman" w:hAnsi="Times New Roman"/>
          <w:sz w:val="20"/>
          <w:lang w:val="fr-FR"/>
        </w:rPr>
        <w:t xml:space="preserve"> </w:t>
      </w:r>
      <w:proofErr w:type="spellStart"/>
      <w:r w:rsidRPr="00623A2B">
        <w:rPr>
          <w:rFonts w:ascii="Times New Roman" w:hAnsi="Times New Roman"/>
          <w:sz w:val="20"/>
          <w:lang w:val="fr-FR"/>
        </w:rPr>
        <w:t>Maduro</w:t>
      </w:r>
      <w:proofErr w:type="spellEnd"/>
      <w:r w:rsidRPr="00623A2B">
        <w:rPr>
          <w:rFonts w:ascii="Times New Roman" w:hAnsi="Times New Roman"/>
          <w:sz w:val="20"/>
          <w:lang w:val="fr-FR"/>
        </w:rPr>
        <w:t xml:space="preserve"> Moros. Nous demandons que notre refus soit consigné dans tous les documents qui seront traités lors de la présente Cinquante-et-unième Session de l’Assemblée générale de l’OEA.</w:t>
      </w:r>
    </w:p>
    <w:p w14:paraId="6264EAB8" w14:textId="77777777" w:rsidR="00F723DA" w:rsidRPr="00623A2B" w:rsidRDefault="00F723DA" w:rsidP="00F723DA">
      <w:pPr>
        <w:pStyle w:val="FootnoteText"/>
        <w:tabs>
          <w:tab w:val="clear" w:pos="360"/>
        </w:tabs>
        <w:ind w:left="0" w:firstLine="720"/>
        <w:rPr>
          <w:rFonts w:ascii="Times New Roman" w:hAnsi="Times New Roman"/>
          <w:sz w:val="20"/>
          <w:lang w:val="fr-FR"/>
        </w:rPr>
      </w:pPr>
    </w:p>
    <w:p w14:paraId="548D8F5A" w14:textId="77777777" w:rsidR="00F723DA" w:rsidRPr="00623A2B" w:rsidRDefault="00F723DA" w:rsidP="00F723DA">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3.</w:t>
      </w:r>
      <w:r w:rsidRPr="00623A2B">
        <w:rPr>
          <w:rFonts w:ascii="Times New Roman" w:hAnsi="Times New Roman"/>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55C148DC" w14:textId="77777777" w:rsidR="00F723DA" w:rsidRPr="00623A2B" w:rsidRDefault="00F723DA" w:rsidP="00F723DA">
      <w:pPr>
        <w:pStyle w:val="FootnoteText"/>
        <w:tabs>
          <w:tab w:val="clear" w:pos="360"/>
        </w:tabs>
        <w:ind w:left="0" w:firstLine="720"/>
        <w:rPr>
          <w:rFonts w:ascii="Times New Roman" w:hAnsi="Times New Roman"/>
          <w:sz w:val="20"/>
          <w:lang w:val="fr-FR"/>
        </w:rPr>
      </w:pPr>
    </w:p>
    <w:p w14:paraId="7314FF9A" w14:textId="77777777" w:rsidR="00F723DA" w:rsidRPr="00623A2B" w:rsidRDefault="00F723DA" w:rsidP="00F723DA">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 xml:space="preserve">Antigua-et-Barbuda n'a pas soutenu la résolution CP/RES. 1124 (2217/19) du 9 avril 2019 qui visait à nommer M. Gustavo </w:t>
      </w:r>
      <w:proofErr w:type="spellStart"/>
      <w:r w:rsidRPr="00623A2B">
        <w:rPr>
          <w:rFonts w:ascii="Times New Roman" w:hAnsi="Times New Roman"/>
          <w:sz w:val="20"/>
          <w:lang w:val="fr-FR"/>
        </w:rPr>
        <w:t>Tarre</w:t>
      </w:r>
      <w:proofErr w:type="spellEnd"/>
      <w:r w:rsidRPr="00623A2B">
        <w:rPr>
          <w:rFonts w:ascii="Times New Roman" w:hAnsi="Times New Roman"/>
          <w:sz w:val="20"/>
          <w:lang w:val="fr-FR"/>
        </w:rPr>
        <w:t xml:space="preserve"> comme représentant de l'Assemblée nationale auprès de l'OEA et n'a pas accepté les </w:t>
      </w:r>
      <w:r w:rsidRPr="00623A2B">
        <w:rPr>
          <w:rFonts w:ascii="Times New Roman" w:hAnsi="Times New Roman"/>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079EB56E" w14:textId="77777777" w:rsidR="00F723DA" w:rsidRPr="00623A2B" w:rsidRDefault="00F723DA" w:rsidP="00F723DA">
      <w:pPr>
        <w:pStyle w:val="FootnoteText"/>
        <w:tabs>
          <w:tab w:val="clear" w:pos="360"/>
        </w:tabs>
        <w:ind w:left="0" w:firstLine="720"/>
        <w:rPr>
          <w:rFonts w:ascii="Times New Roman" w:hAnsi="Times New Roman"/>
          <w:sz w:val="20"/>
          <w:lang w:val="fr-FR"/>
        </w:rPr>
      </w:pPr>
    </w:p>
    <w:p w14:paraId="6EA2E173" w14:textId="77777777" w:rsidR="00F723DA" w:rsidRPr="00623A2B" w:rsidRDefault="00F723DA" w:rsidP="00F723DA">
      <w:pPr>
        <w:pStyle w:val="FootnoteText"/>
        <w:tabs>
          <w:tab w:val="clear" w:pos="360"/>
        </w:tabs>
        <w:ind w:left="0" w:firstLine="720"/>
        <w:rPr>
          <w:rFonts w:ascii="Times New Roman" w:hAnsi="Times New Roman"/>
          <w:sz w:val="20"/>
          <w:lang w:val="fr-FR"/>
        </w:rPr>
      </w:pPr>
      <w:r w:rsidRPr="00623A2B">
        <w:rPr>
          <w:rFonts w:ascii="Times New Roman" w:hAnsi="Times New Roman"/>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79AFE439" w14:textId="77777777" w:rsidR="00F723DA" w:rsidRPr="00623A2B" w:rsidRDefault="00F723DA" w:rsidP="00F723DA">
      <w:pPr>
        <w:ind w:firstLine="720"/>
        <w:rPr>
          <w:rFonts w:ascii="Times New Roman" w:hAnsi="Times New Roman"/>
          <w:position w:val="-1"/>
          <w:sz w:val="20"/>
          <w:lang w:val="fr-CA"/>
        </w:rPr>
      </w:pPr>
    </w:p>
    <w:p w14:paraId="6BD34AD4" w14:textId="77777777" w:rsidR="00F723DA" w:rsidRPr="00623A2B" w:rsidRDefault="00F723DA" w:rsidP="00F723DA">
      <w:pPr>
        <w:pStyle w:val="FootnoteText"/>
        <w:ind w:left="0" w:firstLine="720"/>
        <w:rPr>
          <w:rFonts w:ascii="Times New Roman" w:hAnsi="Times New Roman"/>
          <w:sz w:val="20"/>
          <w:lang w:val="fr-CA"/>
        </w:rPr>
      </w:pPr>
      <w:r w:rsidRPr="00623A2B">
        <w:rPr>
          <w:rFonts w:ascii="Times New Roman" w:hAnsi="Times New Roman"/>
          <w:sz w:val="20"/>
          <w:lang w:val="fr-FR"/>
        </w:rPr>
        <w:t>4.</w:t>
      </w:r>
      <w:r w:rsidRPr="00623A2B">
        <w:rPr>
          <w:rFonts w:ascii="Times New Roman" w:hAnsi="Times New Roman"/>
          <w:sz w:val="20"/>
          <w:lang w:val="fr-FR"/>
        </w:rPr>
        <w:tab/>
      </w:r>
      <w:r w:rsidRPr="00623A2B">
        <w:rPr>
          <w:rFonts w:ascii="Times New Roman" w:hAnsi="Times New Roman"/>
          <w:sz w:val="20"/>
          <w:lang w:val="fr-CA"/>
        </w:rPr>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23EA850D" w14:textId="77777777" w:rsidR="00F723DA" w:rsidRPr="00623A2B" w:rsidRDefault="00F723DA" w:rsidP="00F723DA">
      <w:pPr>
        <w:pStyle w:val="FootnoteText"/>
        <w:ind w:left="0" w:firstLine="720"/>
        <w:rPr>
          <w:rFonts w:ascii="Times New Roman" w:hAnsi="Times New Roman"/>
          <w:sz w:val="20"/>
          <w:lang w:val="fr-CA"/>
        </w:rPr>
      </w:pPr>
    </w:p>
    <w:p w14:paraId="76FF1C0F" w14:textId="77777777" w:rsidR="00F723DA" w:rsidRPr="00623A2B" w:rsidRDefault="00F723DA" w:rsidP="00F723DA">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 xml:space="preserve">Saint-Vincent-et-les-Grenadines n'a pas soutenu la résolution CP/RES. 1124 (2217/19) du 9 avril 2019, qui, dans une parodie de </w:t>
      </w:r>
      <w:r w:rsidRPr="00623A2B">
        <w:rPr>
          <w:rFonts w:ascii="Times New Roman" w:hAnsi="Times New Roman"/>
          <w:sz w:val="20"/>
          <w:lang w:val="fr-FR"/>
        </w:rPr>
        <w:t>procédure</w:t>
      </w:r>
      <w:r w:rsidRPr="00623A2B">
        <w:rPr>
          <w:rFonts w:ascii="Times New Roman" w:hAnsi="Times New Roman"/>
          <w:sz w:val="20"/>
          <w:lang w:val="fr-CA"/>
        </w:rPr>
        <w:t>,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p>
    <w:p w14:paraId="33E47192" w14:textId="77777777" w:rsidR="00F723DA" w:rsidRPr="00623A2B" w:rsidRDefault="00F723DA" w:rsidP="00F723DA">
      <w:pPr>
        <w:tabs>
          <w:tab w:val="center" w:pos="2880"/>
        </w:tabs>
        <w:ind w:right="-360"/>
        <w:rPr>
          <w:rFonts w:ascii="Times New Roman" w:hAnsi="Times New Roman"/>
          <w:sz w:val="20"/>
          <w:lang w:val="fr-CA"/>
        </w:rPr>
      </w:pPr>
    </w:p>
    <w:p w14:paraId="5DE5CD45" w14:textId="77777777" w:rsidR="00F723DA" w:rsidRPr="00623A2B" w:rsidRDefault="00F723DA" w:rsidP="00F723DA">
      <w:pPr>
        <w:ind w:firstLine="708"/>
        <w:rPr>
          <w:rFonts w:ascii="Times New Roman" w:eastAsia="Calibri" w:hAnsi="Times New Roman"/>
          <w:sz w:val="20"/>
          <w:lang w:val="fr-FR"/>
        </w:rPr>
      </w:pPr>
      <w:r w:rsidRPr="00623A2B">
        <w:rPr>
          <w:rFonts w:ascii="Times New Roman" w:hAnsi="Times New Roman"/>
          <w:sz w:val="20"/>
          <w:lang w:val="fr-CA"/>
        </w:rPr>
        <w:t>5.</w:t>
      </w:r>
      <w:r w:rsidRPr="00623A2B">
        <w:rPr>
          <w:rFonts w:ascii="Times New Roman" w:hAnsi="Times New Roman"/>
          <w:sz w:val="20"/>
          <w:lang w:val="fr-CA"/>
        </w:rPr>
        <w:tab/>
        <w:t>…</w:t>
      </w:r>
      <w:r w:rsidRPr="00623A2B">
        <w:rPr>
          <w:rFonts w:ascii="Times New Roman" w:hAnsi="Times New Roman"/>
          <w:sz w:val="20"/>
          <w:lang w:val="fr-FR"/>
        </w:rPr>
        <w:t xml:space="preserve"> Constitution politique de la République, et ne pratique aucune discrimination pour quelque motif que ce soit.  Il considère également que la non-reconnaissance juridique des unions entre personnes du même sexe, ou le refus motivé de modifier l'institution du mariage dans sa législation, ne constitue pas une pratique illégalement discriminatoire.</w:t>
      </w:r>
    </w:p>
    <w:p w14:paraId="5400CB19" w14:textId="77777777" w:rsidR="00F723DA" w:rsidRPr="00623A2B" w:rsidRDefault="00F723DA" w:rsidP="00F723DA">
      <w:pPr>
        <w:ind w:firstLine="708"/>
        <w:rPr>
          <w:rFonts w:ascii="Times New Roman" w:eastAsia="Calibri" w:hAnsi="Times New Roman"/>
          <w:sz w:val="20"/>
          <w:lang w:val="fr-CA"/>
        </w:rPr>
      </w:pPr>
    </w:p>
    <w:p w14:paraId="3D7C61AA" w14:textId="77777777" w:rsidR="00F723DA" w:rsidRPr="00CD49D4" w:rsidRDefault="00F723DA" w:rsidP="00F723DA">
      <w:pPr>
        <w:ind w:firstLine="708"/>
        <w:rPr>
          <w:rFonts w:ascii="Times New Roman" w:eastAsia="Calibri" w:hAnsi="Times New Roman"/>
          <w:sz w:val="20"/>
          <w:lang w:val="fr-FR"/>
        </w:rPr>
      </w:pPr>
      <w:r w:rsidRPr="00623A2B">
        <w:rPr>
          <w:rFonts w:ascii="Times New Roman" w:hAnsi="Times New Roman"/>
          <w:sz w:val="20"/>
          <w:lang w:val="fr-FR"/>
        </w:rPr>
        <w:t xml:space="preserve">De même, nous </w:t>
      </w:r>
      <w:r w:rsidRPr="00CD49D4">
        <w:rPr>
          <w:rFonts w:ascii="Times New Roman" w:hAnsi="Times New Roman"/>
          <w:sz w:val="20"/>
          <w:lang w:val="fr-FR"/>
        </w:rPr>
        <w:t xml:space="preserve">reconnaissons le droit de toute personne à jouir de ses libertés fondamentales sans que cela ne nécessite une modification des fondements anthropologiques sur lesquels repose l'ensemble de notre système juridique.  Le Guatemala se dissocie donc des passages de la résolution qui sont incompatibles avec la législation nationale en vigueur, et se réserve en outre le droit d'interpréter les termes contenus dans les sections iii, vii, ix, xii, xiii et xvi. </w:t>
      </w:r>
    </w:p>
    <w:p w14:paraId="67BB7997" w14:textId="77777777" w:rsidR="00F723DA" w:rsidRPr="00CD49D4" w:rsidRDefault="00F723DA" w:rsidP="00F723DA">
      <w:pPr>
        <w:ind w:firstLine="708"/>
        <w:rPr>
          <w:rFonts w:ascii="Times New Roman" w:eastAsia="Calibri" w:hAnsi="Times New Roman"/>
          <w:sz w:val="20"/>
          <w:lang w:val="fr-CA"/>
        </w:rPr>
      </w:pPr>
    </w:p>
    <w:p w14:paraId="1E3496F6" w14:textId="77777777" w:rsidR="00F723DA" w:rsidRPr="00CD49D4" w:rsidRDefault="00F723DA" w:rsidP="00F723DA">
      <w:pPr>
        <w:pStyle w:val="FootnoteText"/>
        <w:ind w:left="0" w:firstLine="720"/>
        <w:rPr>
          <w:rFonts w:ascii="Times New Roman" w:hAnsi="Times New Roman"/>
          <w:sz w:val="20"/>
          <w:lang w:val="fr-CA"/>
        </w:rPr>
      </w:pPr>
      <w:r w:rsidRPr="00CD49D4">
        <w:rPr>
          <w:rFonts w:ascii="Times New Roman" w:hAnsi="Times New Roman"/>
          <w:sz w:val="20"/>
          <w:lang w:val="fr-FR"/>
        </w:rPr>
        <w:t>Le Guatemala réaffirme son engagement à lutter contre toutes les formes de discrimination et de violence à l'égard des femmes et des filles.  En outre, il reconnaît et réaffirme le droit à la vie protégé dans sa Constitution politique, qu'il reconnaît également dans les pactes internationaux.  Par conséquent, il se dissocie de toute référence faite à l'avortement.</w:t>
      </w:r>
      <w:r w:rsidRPr="00CD49D4">
        <w:rPr>
          <w:rFonts w:ascii="Times New Roman" w:hAnsi="Times New Roman"/>
          <w:sz w:val="20"/>
          <w:lang w:val="fr-CA"/>
        </w:rPr>
        <w:tab/>
      </w:r>
    </w:p>
    <w:p w14:paraId="62900D91" w14:textId="77777777" w:rsidR="00F723DA" w:rsidRPr="00CD49D4" w:rsidRDefault="00F723DA" w:rsidP="00F723DA">
      <w:pPr>
        <w:pStyle w:val="FootnoteText"/>
        <w:ind w:left="0" w:firstLine="720"/>
        <w:rPr>
          <w:rFonts w:ascii="Times New Roman" w:hAnsi="Times New Roman"/>
          <w:sz w:val="20"/>
          <w:lang w:val="fr-CA"/>
        </w:rPr>
      </w:pPr>
    </w:p>
    <w:p w14:paraId="4B656857" w14:textId="77777777" w:rsidR="00F723DA" w:rsidRPr="00CD49D4" w:rsidRDefault="00F723DA" w:rsidP="00F723DA">
      <w:pPr>
        <w:pStyle w:val="FootnoteText"/>
        <w:ind w:left="0" w:firstLine="720"/>
        <w:rPr>
          <w:rFonts w:ascii="Times New Roman" w:hAnsi="Times New Roman"/>
          <w:sz w:val="20"/>
          <w:lang w:val="fr-FR"/>
        </w:rPr>
      </w:pPr>
      <w:r w:rsidRPr="00CD49D4">
        <w:rPr>
          <w:rFonts w:ascii="Times New Roman" w:hAnsi="Times New Roman"/>
          <w:sz w:val="20"/>
          <w:lang w:val="fr-FR"/>
        </w:rPr>
        <w:t>L'État respecte les droits et les devoirs des parents ou, le cas échéant, des personnes ayant la charge de l'enfant ou de l'adolescent, de donner, en fonction de l'évolution de ses capacités, une orientation et des conseils appropriés afin que l'enfant ou l'adolescent puisse exercer les droits reconnus dans la Constitution politique de la République.</w:t>
      </w:r>
    </w:p>
    <w:p w14:paraId="0C60A454" w14:textId="77777777" w:rsidR="00F723DA" w:rsidRPr="00CD49D4" w:rsidRDefault="00F723DA" w:rsidP="00F723DA">
      <w:pPr>
        <w:pStyle w:val="FootnoteText"/>
        <w:ind w:left="0" w:firstLine="720"/>
        <w:rPr>
          <w:rFonts w:ascii="Times New Roman" w:hAnsi="Times New Roman"/>
          <w:sz w:val="20"/>
          <w:lang w:val="fr-FR"/>
        </w:rPr>
      </w:pPr>
    </w:p>
    <w:p w14:paraId="728CF25E" w14:textId="77777777" w:rsidR="00F723DA" w:rsidRPr="00CD49D4" w:rsidRDefault="00F723DA" w:rsidP="00F723DA">
      <w:pPr>
        <w:ind w:firstLine="720"/>
        <w:rPr>
          <w:rFonts w:ascii="Times New Roman" w:hAnsi="Times New Roman"/>
          <w:sz w:val="20"/>
          <w:lang w:val="fr-FR"/>
        </w:rPr>
      </w:pPr>
      <w:r w:rsidRPr="00CD49D4">
        <w:rPr>
          <w:rFonts w:ascii="Times New Roman" w:hAnsi="Times New Roman"/>
          <w:sz w:val="20"/>
          <w:lang w:val="fr-FR"/>
        </w:rPr>
        <w:t>6.</w:t>
      </w:r>
      <w:r w:rsidRPr="00CD49D4">
        <w:rPr>
          <w:rFonts w:ascii="Times New Roman" w:hAnsi="Times New Roman"/>
          <w:sz w:val="20"/>
          <w:lang w:val="fr-FR"/>
        </w:rPr>
        <w:tab/>
        <w:t>… de l'homme et des conventions internationales connexes dont Sainte-Lucie est signataire. En outre, le Gouvernement de Sainte-Lucie est guidé par les dispositions de sa Constitution, qui promeut et protège les droits de la personne, la non-discrimination et les libertés fondamentales de toutes les personnes, ainsi que la préservation de l'État de droit. Aux termes de la Constitution de Sainte-Lucie, toutes les personnes bénéficient du même niveau de protection.</w:t>
      </w:r>
    </w:p>
    <w:p w14:paraId="2AC643DA" w14:textId="77777777" w:rsidR="00ED2EA7" w:rsidRPr="00CD49D4" w:rsidRDefault="00ED2EA7" w:rsidP="00F723DA">
      <w:pPr>
        <w:pStyle w:val="FootnoteText"/>
        <w:ind w:left="0" w:firstLine="720"/>
        <w:rPr>
          <w:rFonts w:ascii="Times New Roman" w:hAnsi="Times New Roman"/>
          <w:sz w:val="20"/>
          <w:lang w:val="fr-FR"/>
        </w:rPr>
      </w:pPr>
    </w:p>
    <w:p w14:paraId="07A5E1B8" w14:textId="6E5AC1B6" w:rsidR="00F723DA" w:rsidRPr="00CD49D4" w:rsidRDefault="00F723DA" w:rsidP="00F723DA">
      <w:pPr>
        <w:pStyle w:val="FootnoteText"/>
        <w:ind w:left="0" w:firstLine="720"/>
        <w:rPr>
          <w:rFonts w:ascii="Times New Roman" w:hAnsi="Times New Roman"/>
          <w:sz w:val="20"/>
          <w:lang w:val="fr-FR"/>
        </w:rPr>
      </w:pPr>
      <w:r w:rsidRPr="00CD49D4">
        <w:rPr>
          <w:rFonts w:ascii="Times New Roman" w:hAnsi="Times New Roman"/>
          <w:sz w:val="20"/>
          <w:lang w:val="fr-FR"/>
        </w:rPr>
        <w:t>Le Gouvernement de Sainte-Lucie émet des réserves sur toutes les dispositions de la présente résolution qui sont contraires à son droit interne et sur celles qui ne sont pas prévues dans son droit interne ; il ne sera lié par aucune des dispositions contenues dans ces dispositions.</w:t>
      </w:r>
    </w:p>
    <w:p w14:paraId="48D86537" w14:textId="77777777" w:rsidR="00F723DA" w:rsidRPr="00CD49D4" w:rsidRDefault="00F723DA" w:rsidP="00F723DA">
      <w:pPr>
        <w:pStyle w:val="FootnoteText"/>
        <w:ind w:left="0" w:firstLine="720"/>
        <w:rPr>
          <w:rFonts w:ascii="Times New Roman" w:hAnsi="Times New Roman"/>
          <w:sz w:val="20"/>
          <w:lang w:val="fr-BE"/>
        </w:rPr>
      </w:pPr>
      <w:r w:rsidRPr="00CD49D4">
        <w:rPr>
          <w:rFonts w:ascii="Times New Roman" w:hAnsi="Times New Roman"/>
          <w:sz w:val="20"/>
          <w:lang w:val="fr-FR"/>
        </w:rPr>
        <w:lastRenderedPageBreak/>
        <w:t>7.</w:t>
      </w:r>
      <w:r w:rsidRPr="00CD49D4">
        <w:rPr>
          <w:rFonts w:ascii="Times New Roman" w:hAnsi="Times New Roman"/>
          <w:sz w:val="20"/>
          <w:lang w:val="fr-FR"/>
        </w:rPr>
        <w:tab/>
        <w:t>…</w:t>
      </w:r>
      <w:r w:rsidRPr="00CD49D4">
        <w:rPr>
          <w:rFonts w:ascii="Times New Roman" w:hAnsi="Times New Roman"/>
          <w:sz w:val="20"/>
          <w:lang w:val="fr-BE"/>
        </w:rPr>
        <w:t xml:space="preserve"> les termes qui entrent en conflit avec sa législation.</w:t>
      </w:r>
    </w:p>
    <w:p w14:paraId="30AFB81D" w14:textId="77777777" w:rsidR="00F723DA" w:rsidRPr="00CD49D4" w:rsidRDefault="00F723DA" w:rsidP="00F723DA">
      <w:pPr>
        <w:pStyle w:val="FootnoteText"/>
        <w:ind w:left="0" w:firstLine="720"/>
        <w:rPr>
          <w:rFonts w:ascii="Times New Roman" w:hAnsi="Times New Roman"/>
          <w:sz w:val="20"/>
          <w:lang w:val="fr-BE"/>
        </w:rPr>
      </w:pPr>
    </w:p>
    <w:p w14:paraId="603705CD" w14:textId="77777777" w:rsidR="00F723DA" w:rsidRPr="00CD49D4" w:rsidRDefault="00F723DA" w:rsidP="00F723DA">
      <w:pPr>
        <w:pStyle w:val="FootnoteText"/>
        <w:ind w:left="0" w:firstLine="720"/>
        <w:rPr>
          <w:rFonts w:ascii="Times New Roman" w:hAnsi="Times New Roman"/>
          <w:sz w:val="20"/>
          <w:lang w:val="fr-FR"/>
        </w:rPr>
      </w:pPr>
      <w:r w:rsidRPr="00CD49D4">
        <w:rPr>
          <w:rFonts w:ascii="Times New Roman" w:hAnsi="Times New Roman"/>
          <w:sz w:val="20"/>
          <w:lang w:val="fr-BE"/>
        </w:rPr>
        <w:t>8.</w:t>
      </w:r>
      <w:r w:rsidRPr="00CD49D4">
        <w:rPr>
          <w:rFonts w:ascii="Times New Roman" w:hAnsi="Times New Roman"/>
          <w:sz w:val="20"/>
          <w:lang w:val="fr-BE"/>
        </w:rPr>
        <w:tab/>
        <w:t>…</w:t>
      </w:r>
      <w:r w:rsidRPr="00CD49D4">
        <w:rPr>
          <w:rFonts w:ascii="Times New Roman" w:hAnsi="Times New Roman"/>
          <w:sz w:val="20"/>
          <w:lang w:val="fr-FR"/>
        </w:rPr>
        <w:t xml:space="preserve"> Gouvernement de la République de Trinité-et-Tobago demeure fermement engagé envers la protection des libertés et droits fondamentaux de toutes les femmes, comme énoncé dans la Constitution de la République de Trinité-et-Tobago.</w:t>
      </w:r>
    </w:p>
    <w:p w14:paraId="39E67E70" w14:textId="77777777" w:rsidR="00F723DA" w:rsidRPr="00CD49D4" w:rsidRDefault="00F723DA" w:rsidP="00F723DA">
      <w:pPr>
        <w:pStyle w:val="FootnoteText"/>
        <w:ind w:left="0" w:firstLine="720"/>
        <w:rPr>
          <w:rFonts w:ascii="Times New Roman" w:hAnsi="Times New Roman"/>
          <w:sz w:val="20"/>
          <w:lang w:val="fr-BE"/>
        </w:rPr>
      </w:pPr>
    </w:p>
    <w:p w14:paraId="5A8D56EB" w14:textId="64B97409" w:rsidR="00F723DA" w:rsidRPr="00CD49D4" w:rsidRDefault="00F723DA" w:rsidP="00F723DA">
      <w:pPr>
        <w:pStyle w:val="FootnoteText"/>
        <w:ind w:left="0" w:firstLine="720"/>
        <w:rPr>
          <w:rFonts w:ascii="Times New Roman" w:hAnsi="Times New Roman"/>
          <w:sz w:val="20"/>
          <w:lang w:val="fr-FR"/>
        </w:rPr>
      </w:pPr>
      <w:r w:rsidRPr="00CD49D4">
        <w:rPr>
          <w:rFonts w:ascii="Times New Roman" w:hAnsi="Times New Roman"/>
          <w:sz w:val="20"/>
          <w:lang w:val="fr-BE"/>
        </w:rPr>
        <w:t>9</w:t>
      </w:r>
      <w:r w:rsidRPr="00CD49D4">
        <w:rPr>
          <w:rFonts w:ascii="Times New Roman" w:hAnsi="Times New Roman"/>
          <w:sz w:val="20"/>
          <w:lang w:val="fr-BE"/>
        </w:rPr>
        <w:tab/>
        <w:t>… les termes qui entrent en conflit avec sa législation</w:t>
      </w:r>
      <w:r w:rsidR="00213B6A" w:rsidRPr="00CD49D4">
        <w:rPr>
          <w:rFonts w:ascii="Times New Roman" w:hAnsi="Times New Roman"/>
          <w:sz w:val="20"/>
          <w:lang w:val="fr-BE"/>
        </w:rPr>
        <w:t>.</w:t>
      </w:r>
    </w:p>
    <w:p w14:paraId="7B4C531A" w14:textId="77777777" w:rsidR="00F723DA" w:rsidRPr="00CD49D4" w:rsidRDefault="00F723DA" w:rsidP="00F723DA">
      <w:pPr>
        <w:pStyle w:val="FootnoteText"/>
        <w:ind w:left="0" w:firstLine="720"/>
        <w:rPr>
          <w:rFonts w:ascii="Times New Roman" w:hAnsi="Times New Roman"/>
          <w:sz w:val="20"/>
          <w:lang w:val="fr-FR"/>
        </w:rPr>
      </w:pPr>
    </w:p>
    <w:p w14:paraId="3A1D1591" w14:textId="1B366125" w:rsidR="00F723DA" w:rsidRPr="00CD49D4" w:rsidRDefault="00F723DA" w:rsidP="002F5AAC">
      <w:pPr>
        <w:shd w:val="clear" w:color="auto" w:fill="FFFFFF"/>
        <w:ind w:firstLine="720"/>
        <w:rPr>
          <w:rFonts w:ascii="Times New Roman" w:hAnsi="Times New Roman"/>
          <w:sz w:val="20"/>
          <w:lang w:val="fr-FR"/>
        </w:rPr>
      </w:pPr>
      <w:r w:rsidRPr="00CD49D4">
        <w:rPr>
          <w:rFonts w:ascii="Times New Roman" w:hAnsi="Times New Roman"/>
          <w:sz w:val="20"/>
          <w:lang w:val="fr-FR"/>
        </w:rPr>
        <w:t>10.</w:t>
      </w:r>
      <w:r w:rsidRPr="00CD49D4">
        <w:rPr>
          <w:rFonts w:ascii="Times New Roman" w:hAnsi="Times New Roman"/>
          <w:sz w:val="20"/>
          <w:lang w:val="fr-FR"/>
        </w:rPr>
        <w:tab/>
        <w:t>… envisager de signer, de ratifier l'Accord d'</w:t>
      </w:r>
      <w:proofErr w:type="spellStart"/>
      <w:r w:rsidRPr="00CD49D4">
        <w:rPr>
          <w:rFonts w:ascii="Times New Roman" w:hAnsi="Times New Roman"/>
          <w:sz w:val="20"/>
          <w:lang w:val="fr-FR"/>
        </w:rPr>
        <w:t>Escazú</w:t>
      </w:r>
      <w:proofErr w:type="spellEnd"/>
      <w:r w:rsidRPr="00CD49D4">
        <w:rPr>
          <w:rFonts w:ascii="Times New Roman" w:hAnsi="Times New Roman"/>
          <w:sz w:val="20"/>
          <w:lang w:val="fr-FR"/>
        </w:rPr>
        <w:t xml:space="preserve"> ou d’y adhérer. Bien que les États-Unis aient félicité les États d'Amérique latine et des Caraïbes pour l'adoption de cet accord en 2018, nous avons également exprimé à l'époque nos préoccupations concernant certains éléments de l'accord. Ces préoccupations demeurent. En particulier, en ce qui concerne le paragraphe 1 de l'article 4 de l'accord, les États-Unis ont constamment répété qu'il n'existe pas de droits de la personne universellement reconnus, précisément portant sur l'environnement, tels que le droit de la personne à un environnement sûr, propre, sain et durable. </w:t>
      </w:r>
    </w:p>
    <w:p w14:paraId="08D11EBE" w14:textId="77777777" w:rsidR="00F723DA" w:rsidRPr="00CD49D4" w:rsidRDefault="00F723DA" w:rsidP="00F723DA">
      <w:pPr>
        <w:shd w:val="clear" w:color="auto" w:fill="FFFFFF"/>
        <w:rPr>
          <w:rFonts w:ascii="Times New Roman" w:hAnsi="Times New Roman"/>
          <w:sz w:val="20"/>
          <w:lang w:val="fr-FR"/>
        </w:rPr>
      </w:pPr>
    </w:p>
    <w:p w14:paraId="599501F0" w14:textId="77777777" w:rsidR="00F723DA" w:rsidRPr="00CD49D4" w:rsidRDefault="00F723DA" w:rsidP="00F723DA">
      <w:pPr>
        <w:pStyle w:val="FootnoteText"/>
        <w:ind w:left="0" w:firstLine="720"/>
        <w:rPr>
          <w:rFonts w:ascii="Times New Roman" w:hAnsi="Times New Roman"/>
          <w:sz w:val="20"/>
          <w:lang w:val="fr-FR"/>
        </w:rPr>
      </w:pPr>
      <w:r w:rsidRPr="00CD49D4">
        <w:rPr>
          <w:rFonts w:ascii="Times New Roman" w:hAnsi="Times New Roman"/>
          <w:sz w:val="20"/>
          <w:lang w:val="fr-FR"/>
        </w:rPr>
        <w:t>Nous sommes également préoccupés par le fait que certains « principes » énoncés à l'article 3, comme le « principe de précaution », sont mal définis et sujets à des interprétations erronées. Nous soutenons l'approche de précaution telle qu'elle est reflétée dans le principe 15 de Rio : face à des menaces de dégâts graves ou irréversibles, l'absence de certitude scientifique absolue n'est pas une raison pour remettre à plus tard l'adoption de mesures rentables pour prévenir de tels dégâts.</w:t>
      </w:r>
    </w:p>
    <w:p w14:paraId="447846C1" w14:textId="77777777" w:rsidR="00F723DA" w:rsidRPr="00CD49D4" w:rsidRDefault="00F723DA" w:rsidP="00F723DA">
      <w:pPr>
        <w:pStyle w:val="FootnoteText"/>
        <w:ind w:left="0" w:firstLine="720"/>
        <w:rPr>
          <w:rFonts w:ascii="Times New Roman" w:hAnsi="Times New Roman"/>
          <w:sz w:val="20"/>
          <w:lang w:val="fr-FR"/>
        </w:rPr>
      </w:pPr>
    </w:p>
    <w:p w14:paraId="336057FD" w14:textId="1A3ED9FD" w:rsidR="00213B6A" w:rsidRPr="00CD49D4" w:rsidRDefault="00F723DA" w:rsidP="00F723DA">
      <w:pPr>
        <w:pStyle w:val="FootnoteText"/>
        <w:ind w:left="0" w:firstLine="720"/>
        <w:rPr>
          <w:rFonts w:ascii="Times New Roman" w:hAnsi="Times New Roman"/>
          <w:sz w:val="20"/>
          <w:lang w:val="fr-FR"/>
        </w:rPr>
      </w:pPr>
      <w:r w:rsidRPr="00CD49D4">
        <w:rPr>
          <w:rFonts w:ascii="Times New Roman" w:hAnsi="Times New Roman"/>
          <w:sz w:val="20"/>
          <w:lang w:val="fr-FR"/>
        </w:rPr>
        <w:t>11.</w:t>
      </w:r>
      <w:r w:rsidRPr="00CD49D4">
        <w:rPr>
          <w:rFonts w:ascii="Times New Roman" w:hAnsi="Times New Roman"/>
          <w:sz w:val="20"/>
          <w:lang w:val="fr-FR"/>
        </w:rPr>
        <w:tab/>
      </w:r>
      <w:r w:rsidR="00213B6A" w:rsidRPr="00CD49D4">
        <w:rPr>
          <w:rFonts w:ascii="Times New Roman" w:hAnsi="Times New Roman"/>
          <w:sz w:val="20"/>
          <w:lang w:val="fr-BE"/>
        </w:rPr>
        <w:t>… les termes qui entrent en conflit avec sa législation</w:t>
      </w:r>
      <w:r w:rsidR="00213B6A" w:rsidRPr="00CD49D4">
        <w:rPr>
          <w:rFonts w:ascii="Times New Roman" w:hAnsi="Times New Roman"/>
          <w:sz w:val="20"/>
          <w:lang w:val="fr-BE"/>
        </w:rPr>
        <w:t>.</w:t>
      </w:r>
    </w:p>
    <w:p w14:paraId="66A7EF32" w14:textId="77777777" w:rsidR="00213B6A" w:rsidRPr="00CD49D4" w:rsidRDefault="00213B6A" w:rsidP="00F723DA">
      <w:pPr>
        <w:pStyle w:val="FootnoteText"/>
        <w:ind w:left="0" w:firstLine="720"/>
        <w:rPr>
          <w:rFonts w:ascii="Times New Roman" w:hAnsi="Times New Roman"/>
          <w:sz w:val="20"/>
          <w:lang w:val="fr-FR"/>
        </w:rPr>
      </w:pPr>
    </w:p>
    <w:p w14:paraId="036B49A6" w14:textId="77777777" w:rsidR="00DB2862" w:rsidRPr="00CD49D4" w:rsidRDefault="00213B6A" w:rsidP="00DB2862">
      <w:pPr>
        <w:shd w:val="clear" w:color="auto" w:fill="FFFFFF"/>
        <w:ind w:firstLine="720"/>
        <w:rPr>
          <w:rFonts w:ascii="Times New Roman" w:hAnsi="Times New Roman"/>
          <w:sz w:val="20"/>
          <w:lang w:val="fr-FR"/>
        </w:rPr>
      </w:pPr>
      <w:r w:rsidRPr="00CD49D4">
        <w:rPr>
          <w:rFonts w:ascii="Times New Roman" w:hAnsi="Times New Roman"/>
          <w:sz w:val="20"/>
          <w:lang w:val="fr-FR"/>
        </w:rPr>
        <w:t>12</w:t>
      </w:r>
      <w:r w:rsidR="00DB2862" w:rsidRPr="00CD49D4">
        <w:rPr>
          <w:rFonts w:ascii="Times New Roman" w:hAnsi="Times New Roman"/>
          <w:sz w:val="20"/>
          <w:lang w:val="fr-FR"/>
        </w:rPr>
        <w:t>.</w:t>
      </w:r>
      <w:r w:rsidR="00DB2862" w:rsidRPr="00CD49D4">
        <w:rPr>
          <w:rFonts w:ascii="Times New Roman" w:hAnsi="Times New Roman"/>
          <w:sz w:val="20"/>
          <w:lang w:val="fr-FR"/>
        </w:rPr>
        <w:tab/>
      </w:r>
      <w:r w:rsidR="00DB2862" w:rsidRPr="00CD49D4">
        <w:rPr>
          <w:rFonts w:ascii="Times New Roman" w:hAnsi="Times New Roman"/>
          <w:sz w:val="20"/>
          <w:lang w:val="fr-FR"/>
        </w:rPr>
        <w:t>… sain et exhorte les autres États membres à envisager de signer, de ratifier l'Accord d'</w:t>
      </w:r>
      <w:proofErr w:type="spellStart"/>
      <w:r w:rsidR="00DB2862" w:rsidRPr="00CD49D4">
        <w:rPr>
          <w:rFonts w:ascii="Times New Roman" w:hAnsi="Times New Roman"/>
          <w:sz w:val="20"/>
          <w:lang w:val="fr-FR"/>
        </w:rPr>
        <w:t>Escazú</w:t>
      </w:r>
      <w:proofErr w:type="spellEnd"/>
      <w:r w:rsidR="00DB2862" w:rsidRPr="00CD49D4">
        <w:rPr>
          <w:rFonts w:ascii="Times New Roman" w:hAnsi="Times New Roman"/>
          <w:sz w:val="20"/>
          <w:lang w:val="fr-FR"/>
        </w:rPr>
        <w:t xml:space="preserve"> ou d’y adhérer. Bien que les États-Unis aient félicité les États d'Amérique latine et des Caraïbes pour l'adoption de cet accord en 2018, nous avons également exprimé à l'époque nos préoccupations concernant certains éléments de l'accord. Ces préoccupations demeurent. En particulier, en ce qui concerne le paragraphe 1 de l'article 4 de l'accord, les États-Unis ont constamment répété qu'il n'existe pas de droits de la personne universellement reconnus, précisément portant sur l'environnement, tels que le droit de la personne à un environnement sûr, propre, sain et durable. </w:t>
      </w:r>
    </w:p>
    <w:p w14:paraId="45F528AA" w14:textId="77777777" w:rsidR="00DB2862" w:rsidRPr="00CD49D4" w:rsidRDefault="00DB2862" w:rsidP="00DB2862">
      <w:pPr>
        <w:shd w:val="clear" w:color="auto" w:fill="FFFFFF"/>
        <w:rPr>
          <w:rFonts w:ascii="Times New Roman" w:hAnsi="Times New Roman"/>
          <w:sz w:val="20"/>
          <w:lang w:val="fr-FR"/>
        </w:rPr>
      </w:pPr>
    </w:p>
    <w:p w14:paraId="47FEA19D" w14:textId="64A855FE" w:rsidR="00DB2862" w:rsidRPr="00CD49D4" w:rsidRDefault="00DB2862" w:rsidP="00DB2862">
      <w:pPr>
        <w:pStyle w:val="FootnoteText"/>
        <w:ind w:left="0" w:firstLine="720"/>
        <w:rPr>
          <w:rFonts w:ascii="Times New Roman" w:hAnsi="Times New Roman"/>
          <w:sz w:val="20"/>
          <w:lang w:val="fr-FR"/>
        </w:rPr>
      </w:pPr>
      <w:r w:rsidRPr="00CD49D4">
        <w:rPr>
          <w:rFonts w:ascii="Times New Roman" w:hAnsi="Times New Roman"/>
          <w:sz w:val="20"/>
          <w:lang w:val="fr-FR"/>
        </w:rPr>
        <w:t>Nous sommes également préoccupés par le fait que certains « principes » énoncés à l'article 3, comme le « principe de précaution », sont mal définis et sujets à des interprétations erronées. Nous soutenons l'approche de précaution telle qu'elle est reflétée dans le principe 15 de Rio : face à des menaces de dégâts graves ou irréversibles, l'absence de certitude scientifique absolue n'est pas une raison pour remettre à plus tard l'adoption de mesures rentables pour prévenir de tels dégâts</w:t>
      </w:r>
      <w:r w:rsidRPr="00CD49D4">
        <w:rPr>
          <w:rFonts w:ascii="Times New Roman" w:hAnsi="Times New Roman"/>
          <w:sz w:val="20"/>
          <w:lang w:val="fr-FR"/>
        </w:rPr>
        <w:t>.</w:t>
      </w:r>
    </w:p>
    <w:p w14:paraId="28F7D48E" w14:textId="46A218E9" w:rsidR="00DB2862" w:rsidRPr="00CD49D4" w:rsidRDefault="00DB2862" w:rsidP="00DB2862">
      <w:pPr>
        <w:pStyle w:val="FootnoteText"/>
        <w:ind w:left="0" w:firstLine="720"/>
        <w:rPr>
          <w:rFonts w:ascii="Times New Roman" w:hAnsi="Times New Roman"/>
          <w:sz w:val="20"/>
          <w:lang w:val="fr-FR"/>
        </w:rPr>
      </w:pPr>
    </w:p>
    <w:p w14:paraId="53A28DDE" w14:textId="7A9D9710" w:rsidR="00DB2862" w:rsidRPr="00CD49D4" w:rsidRDefault="00DB2862" w:rsidP="00DB2862">
      <w:pPr>
        <w:pStyle w:val="FootnoteText"/>
        <w:ind w:left="0" w:firstLine="720"/>
        <w:rPr>
          <w:rFonts w:ascii="Times New Roman" w:hAnsi="Times New Roman"/>
          <w:sz w:val="20"/>
          <w:lang w:val="fr-FR"/>
        </w:rPr>
      </w:pPr>
      <w:r w:rsidRPr="00CD49D4">
        <w:rPr>
          <w:rFonts w:ascii="Times New Roman" w:hAnsi="Times New Roman"/>
          <w:sz w:val="20"/>
          <w:lang w:val="fr-FR"/>
        </w:rPr>
        <w:t>13.</w:t>
      </w:r>
      <w:r w:rsidRPr="00CD49D4">
        <w:rPr>
          <w:rFonts w:ascii="Times New Roman" w:hAnsi="Times New Roman"/>
          <w:sz w:val="20"/>
          <w:lang w:val="fr-FR"/>
        </w:rPr>
        <w:tab/>
      </w:r>
      <w:r w:rsidRPr="00CD49D4">
        <w:rPr>
          <w:rFonts w:ascii="Times New Roman" w:hAnsi="Times New Roman"/>
          <w:sz w:val="20"/>
          <w:lang w:val="fr-FR"/>
        </w:rPr>
        <w:t xml:space="preserve">… </w:t>
      </w:r>
      <w:r w:rsidRPr="00CD49D4">
        <w:rPr>
          <w:rFonts w:ascii="Times New Roman" w:hAnsi="Times New Roman"/>
          <w:sz w:val="20"/>
          <w:lang w:val="fr-FR" w:eastAsia="x-none"/>
        </w:rPr>
        <w:t xml:space="preserve">la République du Chili précise qu’elle n’a pas souscrit l’Accord régional sur l’accès à l’information, la participation publique et l’accès à la justice à </w:t>
      </w:r>
      <w:r w:rsidRPr="00CD49D4">
        <w:rPr>
          <w:rFonts w:ascii="Times New Roman" w:hAnsi="Times New Roman"/>
          <w:sz w:val="20"/>
          <w:lang w:val="fr-FR"/>
        </w:rPr>
        <w:t>propos des questions environnementales en Amérique latine et dans les Caraïbes (Accord d’</w:t>
      </w:r>
      <w:proofErr w:type="spellStart"/>
      <w:r w:rsidRPr="00CD49D4">
        <w:rPr>
          <w:rFonts w:ascii="Times New Roman" w:hAnsi="Times New Roman"/>
          <w:sz w:val="20"/>
          <w:lang w:val="fr-FR"/>
        </w:rPr>
        <w:t>Escazú</w:t>
      </w:r>
      <w:proofErr w:type="spellEnd"/>
      <w:r w:rsidRPr="00CD49D4">
        <w:rPr>
          <w:rFonts w:ascii="Times New Roman" w:hAnsi="Times New Roman"/>
          <w:sz w:val="20"/>
          <w:lang w:val="fr-FR"/>
        </w:rPr>
        <w:t>), lequel a été ouvert à la signature le 27 septembre 2018 à New York, en vertu des motifs exposés devant le Congrès national et l’opinion publique chilienne.</w:t>
      </w:r>
    </w:p>
    <w:p w14:paraId="73295B49" w14:textId="77777777" w:rsidR="00F723DA" w:rsidRPr="00CD49D4" w:rsidRDefault="00F723DA" w:rsidP="00DB2862">
      <w:pPr>
        <w:pStyle w:val="FootnoteText"/>
        <w:ind w:left="0" w:firstLine="0"/>
        <w:rPr>
          <w:rFonts w:ascii="Times New Roman" w:hAnsi="Times New Roman"/>
          <w:sz w:val="20"/>
          <w:lang w:val="fr-FR"/>
        </w:rPr>
      </w:pPr>
    </w:p>
    <w:p w14:paraId="149FFCA7" w14:textId="0B262992" w:rsidR="00F723DA" w:rsidRPr="00CD49D4" w:rsidRDefault="00F723DA" w:rsidP="00F723DA">
      <w:pPr>
        <w:pStyle w:val="ListParagraph"/>
        <w:ind w:left="0" w:firstLine="720"/>
        <w:rPr>
          <w:rFonts w:ascii="Times New Roman" w:hAnsi="Times New Roman"/>
          <w:sz w:val="20"/>
          <w:lang w:val="fr-FR"/>
        </w:rPr>
      </w:pPr>
      <w:r w:rsidRPr="00CD49D4">
        <w:rPr>
          <w:rFonts w:ascii="Times New Roman" w:hAnsi="Times New Roman"/>
          <w:sz w:val="20"/>
          <w:lang w:val="fr-FR"/>
        </w:rPr>
        <w:t>1</w:t>
      </w:r>
      <w:r w:rsidR="00DB2862" w:rsidRPr="00CD49D4">
        <w:rPr>
          <w:rFonts w:ascii="Times New Roman" w:hAnsi="Times New Roman"/>
          <w:sz w:val="20"/>
          <w:lang w:val="fr-FR"/>
        </w:rPr>
        <w:t>4</w:t>
      </w:r>
      <w:r w:rsidRPr="00CD49D4">
        <w:rPr>
          <w:rFonts w:ascii="Times New Roman" w:hAnsi="Times New Roman"/>
          <w:sz w:val="20"/>
          <w:lang w:val="fr-FR"/>
        </w:rPr>
        <w:t>.</w:t>
      </w:r>
      <w:r w:rsidRPr="00CD49D4">
        <w:rPr>
          <w:rFonts w:ascii="Times New Roman" w:hAnsi="Times New Roman"/>
          <w:sz w:val="20"/>
          <w:lang w:val="fr-FR"/>
        </w:rPr>
        <w:tab/>
        <w:t>… ne font l’objet d’aucun consensus national. Par conséquent, la Barbade n’est pas en mesure de satisfaire les exigences y afférentes. Néanmoins, le gouvernement de la Barbade maintient son ferme attachement à protéger les droits de tout individu contre tout préjudice et toute violence conformément à l’État de droit et aux dispositions de sa Constitution.</w:t>
      </w:r>
    </w:p>
    <w:p w14:paraId="58AC5354" w14:textId="77777777" w:rsidR="00F723DA" w:rsidRPr="00CD49D4" w:rsidRDefault="00F723DA" w:rsidP="00F723DA">
      <w:pPr>
        <w:pStyle w:val="ListParagraph"/>
        <w:ind w:left="0"/>
        <w:rPr>
          <w:rFonts w:ascii="Times New Roman" w:hAnsi="Times New Roman"/>
          <w:sz w:val="20"/>
          <w:lang w:val="fr-FR"/>
        </w:rPr>
      </w:pPr>
    </w:p>
    <w:p w14:paraId="03E4BDAF" w14:textId="24FD9488" w:rsidR="00F723DA" w:rsidRPr="00CD49D4" w:rsidRDefault="00F723DA" w:rsidP="00DB2862">
      <w:pPr>
        <w:pStyle w:val="ListParagraph"/>
        <w:ind w:left="0" w:firstLine="720"/>
        <w:rPr>
          <w:rFonts w:ascii="Times New Roman" w:hAnsi="Times New Roman"/>
          <w:sz w:val="20"/>
          <w:lang w:val="fr-FR"/>
        </w:rPr>
      </w:pPr>
      <w:r w:rsidRPr="00CD49D4">
        <w:rPr>
          <w:rFonts w:ascii="Times New Roman" w:hAnsi="Times New Roman"/>
          <w:sz w:val="20"/>
          <w:lang w:val="fr-FR"/>
        </w:rPr>
        <w:t>1</w:t>
      </w:r>
      <w:r w:rsidR="00DB2862" w:rsidRPr="00CD49D4">
        <w:rPr>
          <w:rFonts w:ascii="Times New Roman" w:hAnsi="Times New Roman"/>
          <w:sz w:val="20"/>
          <w:lang w:val="fr-FR"/>
        </w:rPr>
        <w:t>5</w:t>
      </w:r>
      <w:r w:rsidRPr="00CD49D4">
        <w:rPr>
          <w:rFonts w:ascii="Times New Roman" w:hAnsi="Times New Roman"/>
          <w:sz w:val="20"/>
          <w:lang w:val="fr-FR"/>
        </w:rPr>
        <w:t>.</w:t>
      </w:r>
      <w:r w:rsidRPr="00CD49D4">
        <w:rPr>
          <w:rFonts w:ascii="Times New Roman" w:hAnsi="Times New Roman"/>
          <w:sz w:val="20"/>
          <w:lang w:val="fr-FR"/>
        </w:rPr>
        <w:tab/>
        <w:t>…</w:t>
      </w:r>
      <w:r w:rsidRPr="00CD49D4">
        <w:rPr>
          <w:rFonts w:ascii="Times New Roman" w:hAnsi="Times New Roman"/>
          <w:sz w:val="20"/>
          <w:shd w:val="clear" w:color="auto" w:fill="FFFFFF"/>
          <w:lang w:val="fr-FR"/>
        </w:rPr>
        <w:t xml:space="preserve"> réaffirme les dispositions du Titre II, « Des droits, des devoirs et des garanties », du Chapitre III, « De l’égalité » et du Chapitre IV, « Des droits de la famille » de sa Constitution nationale et des normes concordantes. Par conséquent, elle exprime une réserve quant au texte de la section xvi., « Droits de la personne et prévention de la discrimination et de la violence contre les personnes LGTBI ». De même, l’expression « identité ou expression de genre » contenue dans les paragraphes de la présente résolution sera interprétée conformément à son droit interne</w:t>
      </w:r>
      <w:r w:rsidRPr="00CD49D4">
        <w:rPr>
          <w:rFonts w:ascii="Times New Roman" w:hAnsi="Times New Roman"/>
          <w:sz w:val="20"/>
          <w:lang w:val="fr-FR"/>
        </w:rPr>
        <w:t xml:space="preserve">. </w:t>
      </w:r>
    </w:p>
    <w:p w14:paraId="794DA602" w14:textId="17580411" w:rsidR="00F723DA" w:rsidRPr="00623A2B" w:rsidRDefault="00F723DA" w:rsidP="00F723DA">
      <w:pPr>
        <w:pStyle w:val="ListParagraph"/>
        <w:ind w:left="0" w:firstLine="720"/>
        <w:rPr>
          <w:rFonts w:ascii="Times New Roman" w:hAnsi="Times New Roman"/>
          <w:sz w:val="20"/>
          <w:lang w:val="fr-FR"/>
        </w:rPr>
      </w:pPr>
      <w:r w:rsidRPr="00623A2B">
        <w:rPr>
          <w:rFonts w:ascii="Times New Roman" w:hAnsi="Times New Roman"/>
          <w:sz w:val="20"/>
          <w:lang w:val="fr-FR"/>
        </w:rPr>
        <w:lastRenderedPageBreak/>
        <w:t>1</w:t>
      </w:r>
      <w:r w:rsidR="00DB2862">
        <w:rPr>
          <w:rFonts w:ascii="Times New Roman" w:hAnsi="Times New Roman"/>
          <w:sz w:val="20"/>
          <w:lang w:val="fr-FR"/>
        </w:rPr>
        <w:t>6</w:t>
      </w:r>
      <w:r w:rsidRPr="00623A2B">
        <w:rPr>
          <w:rFonts w:ascii="Times New Roman" w:hAnsi="Times New Roman"/>
          <w:sz w:val="20"/>
          <w:lang w:val="fr-FR"/>
        </w:rPr>
        <w:t xml:space="preserve">. </w:t>
      </w:r>
      <w:r w:rsidRPr="00623A2B">
        <w:rPr>
          <w:rFonts w:ascii="Times New Roman" w:hAnsi="Times New Roman"/>
          <w:sz w:val="20"/>
          <w:lang w:val="fr-FR"/>
        </w:rPr>
        <w:tab/>
        <w:t>… exprime sa réserve sur les articles qui sont contraires à la constitution de la République du Honduras.</w:t>
      </w:r>
    </w:p>
    <w:p w14:paraId="32E686D9" w14:textId="77777777" w:rsidR="00F723DA" w:rsidRPr="00623A2B" w:rsidRDefault="00F723DA" w:rsidP="00F723DA">
      <w:pPr>
        <w:pStyle w:val="FootnoteText"/>
        <w:ind w:left="0" w:firstLine="720"/>
        <w:rPr>
          <w:rFonts w:ascii="Times New Roman" w:hAnsi="Times New Roman"/>
          <w:sz w:val="20"/>
          <w:lang w:val="fr-FR"/>
        </w:rPr>
      </w:pPr>
    </w:p>
    <w:p w14:paraId="50D010DE" w14:textId="7EA898DF" w:rsidR="00F723DA" w:rsidRPr="00623A2B" w:rsidRDefault="00F723DA" w:rsidP="00F723DA">
      <w:pPr>
        <w:pStyle w:val="ListParagraph"/>
        <w:ind w:left="0" w:firstLine="720"/>
        <w:rPr>
          <w:rFonts w:ascii="Times New Roman" w:hAnsi="Times New Roman"/>
          <w:sz w:val="20"/>
          <w:lang w:val="fr-FR"/>
        </w:rPr>
      </w:pPr>
      <w:r w:rsidRPr="00623A2B">
        <w:rPr>
          <w:rFonts w:ascii="Times New Roman" w:hAnsi="Times New Roman"/>
          <w:sz w:val="20"/>
          <w:lang w:val="fr-FR"/>
        </w:rPr>
        <w:t>1</w:t>
      </w:r>
      <w:r w:rsidR="00DB2862">
        <w:rPr>
          <w:rFonts w:ascii="Times New Roman" w:hAnsi="Times New Roman"/>
          <w:sz w:val="20"/>
          <w:lang w:val="fr-FR"/>
        </w:rPr>
        <w:t>7</w:t>
      </w:r>
      <w:r w:rsidRPr="00623A2B">
        <w:rPr>
          <w:rFonts w:ascii="Times New Roman" w:hAnsi="Times New Roman"/>
          <w:sz w:val="20"/>
          <w:lang w:val="fr-FR"/>
        </w:rPr>
        <w:t>.</w:t>
      </w:r>
      <w:r w:rsidRPr="00623A2B">
        <w:rPr>
          <w:rFonts w:ascii="Times New Roman" w:hAnsi="Times New Roman"/>
          <w:sz w:val="20"/>
          <w:lang w:val="fr-FR"/>
        </w:rPr>
        <w:tab/>
        <w:t>… En outre, le Gouvernement est guidé par la disposition de sa Constitution qui promeut et protège les droits de la personne, la non-discrimination et les libertés fondamentales de toutes les personnes.</w:t>
      </w:r>
    </w:p>
    <w:p w14:paraId="5923ECEA" w14:textId="77777777" w:rsidR="00F723DA" w:rsidRPr="00623A2B" w:rsidRDefault="00F723DA" w:rsidP="00F723DA">
      <w:pPr>
        <w:rPr>
          <w:rFonts w:ascii="Times New Roman" w:hAnsi="Times New Roman"/>
          <w:sz w:val="20"/>
          <w:lang w:val="fr-FR"/>
        </w:rPr>
      </w:pPr>
    </w:p>
    <w:p w14:paraId="5244A5CC" w14:textId="77777777" w:rsidR="00F723DA" w:rsidRPr="00623A2B" w:rsidRDefault="00F723DA" w:rsidP="00F723DA">
      <w:pPr>
        <w:ind w:firstLine="720"/>
        <w:rPr>
          <w:rFonts w:ascii="Times New Roman" w:hAnsi="Times New Roman"/>
          <w:b/>
          <w:sz w:val="20"/>
          <w:lang w:val="fr-FR"/>
        </w:rPr>
      </w:pPr>
      <w:r w:rsidRPr="00623A2B">
        <w:rPr>
          <w:rFonts w:ascii="Times New Roman" w:hAnsi="Times New Roman"/>
          <w:sz w:val="20"/>
          <w:lang w:val="fr-FR"/>
        </w:rPr>
        <w:t>Sainte-Lucie maintient que chaque citoyen a droit à une protection contre la violence et la discrimination arbitraire, conformément à notre croyance en la dignité intrinsèque de la personne humaine. Nous continuerons à appliquer ces principes dans l'application de toutes les lois et politiques. Sainte-Lucie s'engage à protéger la famille, en tant qu'unité cellulaire fondamentale de la société et conformément à la Déclaration universelle des droits de l'homme.</w:t>
      </w:r>
    </w:p>
    <w:p w14:paraId="2E996651" w14:textId="77777777" w:rsidR="00F723DA" w:rsidRPr="00623A2B" w:rsidRDefault="00F723DA" w:rsidP="00F723DA">
      <w:pPr>
        <w:pStyle w:val="ListParagraph"/>
        <w:ind w:left="0" w:firstLine="720"/>
        <w:rPr>
          <w:rFonts w:ascii="Times New Roman" w:hAnsi="Times New Roman"/>
          <w:sz w:val="20"/>
          <w:lang w:val="fr-FR"/>
        </w:rPr>
      </w:pPr>
      <w:r w:rsidRPr="00623A2B">
        <w:rPr>
          <w:rFonts w:ascii="Times New Roman" w:hAnsi="Times New Roman"/>
          <w:sz w:val="20"/>
          <w:lang w:val="fr-FR"/>
        </w:rPr>
        <w:t xml:space="preserve"> </w:t>
      </w:r>
    </w:p>
    <w:p w14:paraId="4DF6F7C8" w14:textId="0D9C1B5D" w:rsidR="00F723DA" w:rsidRPr="00623A2B" w:rsidRDefault="00F723DA" w:rsidP="00F723DA">
      <w:pPr>
        <w:pStyle w:val="ListParagraph"/>
        <w:ind w:left="0" w:firstLine="720"/>
        <w:rPr>
          <w:rFonts w:ascii="Times New Roman" w:hAnsi="Times New Roman"/>
          <w:iCs/>
          <w:sz w:val="20"/>
          <w:lang w:val="fr-FR"/>
        </w:rPr>
      </w:pPr>
      <w:r w:rsidRPr="00623A2B">
        <w:rPr>
          <w:rFonts w:ascii="Times New Roman" w:hAnsi="Times New Roman"/>
          <w:sz w:val="20"/>
          <w:lang w:val="fr-FR"/>
        </w:rPr>
        <w:t>1</w:t>
      </w:r>
      <w:r w:rsidR="00DB2862">
        <w:rPr>
          <w:rFonts w:ascii="Times New Roman" w:hAnsi="Times New Roman"/>
          <w:sz w:val="20"/>
          <w:lang w:val="fr-FR"/>
        </w:rPr>
        <w:t>8</w:t>
      </w:r>
      <w:r w:rsidRPr="00623A2B">
        <w:rPr>
          <w:rFonts w:ascii="Times New Roman" w:hAnsi="Times New Roman"/>
          <w:sz w:val="20"/>
          <w:lang w:val="fr-FR"/>
        </w:rPr>
        <w:t>.</w:t>
      </w:r>
      <w:r w:rsidRPr="00623A2B">
        <w:rPr>
          <w:rFonts w:ascii="Times New Roman" w:hAnsi="Times New Roman"/>
          <w:sz w:val="20"/>
          <w:lang w:val="fr-FR"/>
        </w:rPr>
        <w:tab/>
        <w:t>…de</w:t>
      </w:r>
      <w:r w:rsidRPr="00623A2B">
        <w:rPr>
          <w:rFonts w:ascii="Times New Roman" w:hAnsi="Times New Roman"/>
          <w:iCs/>
          <w:sz w:val="20"/>
          <w:lang w:val="fr-FR"/>
        </w:rPr>
        <w:t xml:space="preserve"> la personne et réaffirme l’égalité de tous les êtres humains comme le prévoit sa Constitution. Il est nécessaire de souligner que certains termes employés dans la présente résolution n’ont pas de définition dans les lois nationales de Saint-Vincent-et-les-Grenadines ni sur le plan international. Par conséquent, Saint-Vincent-et-les-Grenadines se dissocie de ces termes, qui sont incompatibles avec ses lois nationales et leur sont contraires, et se réserve le droit d’interpréter les termes de la présente résolution.</w:t>
      </w:r>
    </w:p>
    <w:p w14:paraId="168CA301" w14:textId="77777777" w:rsidR="00F723DA" w:rsidRPr="00623A2B" w:rsidRDefault="00F723DA" w:rsidP="00F723DA">
      <w:pPr>
        <w:ind w:left="720" w:hanging="360"/>
        <w:rPr>
          <w:rFonts w:ascii="Times New Roman" w:hAnsi="Times New Roman"/>
          <w:iCs/>
          <w:sz w:val="20"/>
          <w:lang w:val="fr-FR"/>
        </w:rPr>
      </w:pPr>
    </w:p>
    <w:p w14:paraId="2C560DB2" w14:textId="7A991B7A" w:rsidR="00F723DA" w:rsidRPr="00623A2B" w:rsidRDefault="00F723DA" w:rsidP="00F723DA">
      <w:pPr>
        <w:pStyle w:val="ListParagraph"/>
        <w:ind w:left="0" w:firstLine="720"/>
        <w:rPr>
          <w:rFonts w:ascii="Times New Roman" w:hAnsi="Times New Roman"/>
          <w:sz w:val="20"/>
          <w:lang w:val="fr-FR"/>
        </w:rPr>
      </w:pPr>
      <w:r w:rsidRPr="00623A2B">
        <w:rPr>
          <w:rFonts w:ascii="Times New Roman" w:hAnsi="Times New Roman"/>
          <w:iCs/>
          <w:sz w:val="20"/>
          <w:lang w:val="fr-FR"/>
        </w:rPr>
        <w:t>1</w:t>
      </w:r>
      <w:r w:rsidR="00DB2862">
        <w:rPr>
          <w:rFonts w:ascii="Times New Roman" w:hAnsi="Times New Roman"/>
          <w:iCs/>
          <w:sz w:val="20"/>
          <w:lang w:val="fr-FR"/>
        </w:rPr>
        <w:t>9</w:t>
      </w:r>
      <w:r w:rsidRPr="00623A2B">
        <w:rPr>
          <w:rFonts w:ascii="Times New Roman" w:hAnsi="Times New Roman"/>
          <w:iCs/>
          <w:sz w:val="20"/>
          <w:lang w:val="fr-FR"/>
        </w:rPr>
        <w:t>.</w:t>
      </w:r>
      <w:r w:rsidRPr="00623A2B">
        <w:rPr>
          <w:rFonts w:ascii="Times New Roman" w:hAnsi="Times New Roman"/>
          <w:iCs/>
          <w:sz w:val="20"/>
          <w:lang w:val="fr-FR"/>
        </w:rPr>
        <w:tab/>
        <w:t>…</w:t>
      </w:r>
      <w:r w:rsidRPr="00623A2B">
        <w:rPr>
          <w:rFonts w:ascii="Times New Roman" w:hAnsi="Times New Roman"/>
          <w:sz w:val="20"/>
          <w:lang w:val="fr-FR"/>
        </w:rPr>
        <w:t xml:space="preserve"> Trinité-et-Tobago demeure fermement engagé envers la promotion et la protection de l’État de droit et envers la protection des libertés et droits fondamentaux de toutes les personnes, comme énoncé dans la Constitution de Trinité-et-Tobago.</w:t>
      </w:r>
    </w:p>
    <w:p w14:paraId="7C581F35" w14:textId="77777777" w:rsidR="00F723DA" w:rsidRPr="00623A2B" w:rsidRDefault="00F723DA" w:rsidP="00F723DA">
      <w:pPr>
        <w:ind w:left="720" w:hanging="360"/>
        <w:rPr>
          <w:rFonts w:ascii="Times New Roman" w:hAnsi="Times New Roman"/>
          <w:sz w:val="20"/>
          <w:lang w:val="fr-FR"/>
        </w:rPr>
      </w:pPr>
    </w:p>
    <w:p w14:paraId="5BB22146" w14:textId="0D416908" w:rsidR="00F723DA" w:rsidRPr="00623A2B" w:rsidRDefault="00DB2862" w:rsidP="00DB2862">
      <w:pPr>
        <w:pStyle w:val="ListParagraph"/>
        <w:ind w:left="0" w:firstLine="720"/>
        <w:rPr>
          <w:rFonts w:ascii="Times New Roman" w:hAnsi="Times New Roman"/>
          <w:sz w:val="20"/>
          <w:lang w:val="fr-FR"/>
        </w:rPr>
      </w:pPr>
      <w:r>
        <w:rPr>
          <w:rFonts w:ascii="Times New Roman" w:hAnsi="Times New Roman"/>
          <w:sz w:val="20"/>
          <w:lang w:val="fr-FR"/>
        </w:rPr>
        <w:t>22</w:t>
      </w:r>
      <w:r w:rsidR="00F723DA" w:rsidRPr="00623A2B">
        <w:rPr>
          <w:rFonts w:ascii="Times New Roman" w:hAnsi="Times New Roman"/>
          <w:sz w:val="20"/>
          <w:lang w:val="fr-FR"/>
        </w:rPr>
        <w:t>.</w:t>
      </w:r>
      <w:r w:rsidR="00F723DA" w:rsidRPr="00623A2B">
        <w:rPr>
          <w:rFonts w:ascii="Times New Roman" w:hAnsi="Times New Roman"/>
          <w:sz w:val="20"/>
          <w:lang w:val="fr-FR"/>
        </w:rPr>
        <w:tab/>
        <w:t xml:space="preserve">…les inégalités, le pays qui assure le plus grand accès à la santé et à une éducation de qualité, le pays qui a connu le taux de croissance le plus élevé en moyenne multi annuelle et l’un des cinq pays jouissant du taux le plus élevé de parité homme-femme dans le monde. </w:t>
      </w:r>
    </w:p>
    <w:p w14:paraId="5BB35F5B" w14:textId="77777777" w:rsidR="00F723DA" w:rsidRPr="00623A2B" w:rsidRDefault="00F723DA" w:rsidP="00F723DA">
      <w:pPr>
        <w:ind w:left="720" w:hanging="360"/>
        <w:rPr>
          <w:rFonts w:ascii="Times New Roman" w:hAnsi="Times New Roman"/>
          <w:sz w:val="20"/>
          <w:lang w:val="fr-FR"/>
        </w:rPr>
      </w:pPr>
    </w:p>
    <w:p w14:paraId="0B5E199A" w14:textId="77777777" w:rsidR="00F723DA" w:rsidRPr="00623A2B" w:rsidRDefault="00F723DA" w:rsidP="00F723DA">
      <w:pPr>
        <w:ind w:firstLine="720"/>
        <w:rPr>
          <w:rFonts w:ascii="Times New Roman" w:hAnsi="Times New Roman"/>
          <w:sz w:val="20"/>
          <w:lang w:val="fr-FR"/>
        </w:rPr>
      </w:pPr>
      <w:r w:rsidRPr="00623A2B">
        <w:rPr>
          <w:rFonts w:ascii="Times New Roman" w:hAnsi="Times New Roman"/>
          <w:sz w:val="20"/>
          <w:lang w:val="fr-FR"/>
        </w:rPr>
        <w:t xml:space="preserve">Pour ce qui est de l’égalité entre les sexes, en mars 2021, l’ONU-femmes a situé le Nicaragua en première place avec la plus forte participation des femmes sur le plan global occupant des fonctions ministérielles, avec un taux de 58.82%. L’ONU-femmes a aussi classé le Nicaragua en quatrième place pour ce qui est du nombre de femmes parlementaires, avec un taux de 48.4%. </w:t>
      </w:r>
    </w:p>
    <w:p w14:paraId="3408DFDE" w14:textId="77777777" w:rsidR="00F723DA" w:rsidRPr="00623A2B" w:rsidRDefault="00F723DA" w:rsidP="00F723DA">
      <w:pPr>
        <w:ind w:firstLine="720"/>
        <w:rPr>
          <w:rFonts w:ascii="Times New Roman" w:hAnsi="Times New Roman"/>
          <w:sz w:val="20"/>
          <w:lang w:val="fr-FR"/>
        </w:rPr>
      </w:pPr>
    </w:p>
    <w:p w14:paraId="538126F5" w14:textId="77777777" w:rsidR="00F723DA" w:rsidRPr="00623A2B" w:rsidRDefault="00F723DA" w:rsidP="00F723DA">
      <w:pPr>
        <w:ind w:firstLine="720"/>
        <w:rPr>
          <w:rFonts w:ascii="Times New Roman" w:hAnsi="Times New Roman"/>
          <w:sz w:val="20"/>
          <w:lang w:val="fr-FR"/>
        </w:rPr>
      </w:pPr>
      <w:r w:rsidRPr="00623A2B">
        <w:rPr>
          <w:rFonts w:ascii="Times New Roman" w:hAnsi="Times New Roman"/>
          <w:sz w:val="20"/>
          <w:lang w:val="fr-FR"/>
        </w:rPr>
        <w:t xml:space="preserve">De même, selon le Rapport mondial sur l’écart entre les hommes et les femmes du Forum économique mondial, en 2020, le Nicaragua est venu en cinquième position, par rapport à la 90e place qu’il occupait en 2007 et à la 10e place en 2016, devenant ainsi le pays le plus égalitaire en fait de parité homme-femme en Amérique latine. Nous avons réduit les inégalités de 80.4% et selon les projections du Forum économique mondial, si cette tendance s’accentue, d’ici 2034, le Nicaragua aura complètement comblé l’écart de parité. </w:t>
      </w:r>
    </w:p>
    <w:p w14:paraId="1CC060A5" w14:textId="77777777" w:rsidR="00F723DA" w:rsidRPr="00623A2B" w:rsidRDefault="00F723DA" w:rsidP="00F723DA">
      <w:pPr>
        <w:ind w:firstLine="720"/>
        <w:rPr>
          <w:rFonts w:ascii="Times New Roman" w:hAnsi="Times New Roman"/>
          <w:sz w:val="20"/>
          <w:lang w:val="fr-FR"/>
        </w:rPr>
      </w:pPr>
    </w:p>
    <w:p w14:paraId="1B48530A" w14:textId="77777777" w:rsidR="00F723DA" w:rsidRPr="00623A2B" w:rsidRDefault="00F723DA" w:rsidP="00F723DA">
      <w:pPr>
        <w:ind w:firstLine="720"/>
        <w:rPr>
          <w:rFonts w:ascii="Times New Roman" w:hAnsi="Times New Roman"/>
          <w:sz w:val="20"/>
          <w:lang w:val="fr-FR"/>
        </w:rPr>
      </w:pPr>
      <w:r w:rsidRPr="00623A2B">
        <w:rPr>
          <w:rFonts w:ascii="Times New Roman" w:hAnsi="Times New Roman"/>
          <w:sz w:val="20"/>
          <w:lang w:val="fr-FR"/>
        </w:rPr>
        <w:t xml:space="preserve">Le Nicaragua est un amant de la paix et de la sécurité et respecte les principes du droit international ainsi que le droit de chaque nation de gérer ses affaires internes sans ingérence externe de quelque nature qu’elle soit. </w:t>
      </w:r>
    </w:p>
    <w:p w14:paraId="40A669D8" w14:textId="77777777" w:rsidR="00F723DA" w:rsidRPr="00623A2B" w:rsidRDefault="00F723DA" w:rsidP="00F723DA">
      <w:pPr>
        <w:ind w:firstLine="720"/>
        <w:rPr>
          <w:rFonts w:ascii="Times New Roman" w:hAnsi="Times New Roman"/>
          <w:sz w:val="20"/>
          <w:lang w:val="fr-FR"/>
        </w:rPr>
      </w:pPr>
    </w:p>
    <w:p w14:paraId="4B375AAF" w14:textId="77777777" w:rsidR="00F723DA" w:rsidRPr="00623A2B" w:rsidRDefault="00F723DA" w:rsidP="00F723DA">
      <w:pPr>
        <w:ind w:firstLine="720"/>
        <w:rPr>
          <w:rFonts w:ascii="Times New Roman" w:hAnsi="Times New Roman"/>
          <w:sz w:val="20"/>
          <w:lang w:val="fr-FR"/>
        </w:rPr>
      </w:pPr>
      <w:r w:rsidRPr="00623A2B">
        <w:rPr>
          <w:rFonts w:ascii="Times New Roman" w:hAnsi="Times New Roman"/>
          <w:sz w:val="20"/>
          <w:lang w:val="fr-FR"/>
        </w:rPr>
        <w:t xml:space="preserve">En ce qui concerne le rapport annuel de la Commission interaméricaine des droits de l’homme (CIDH), le Nicaragua insiste sur l’utilisation d’une double mesure et d’un double standard appliqué par cet organisme </w:t>
      </w:r>
      <w:proofErr w:type="spellStart"/>
      <w:r w:rsidRPr="00623A2B">
        <w:rPr>
          <w:rFonts w:ascii="Times New Roman" w:hAnsi="Times New Roman"/>
          <w:sz w:val="20"/>
          <w:lang w:val="fr-FR"/>
        </w:rPr>
        <w:t>quant</w:t>
      </w:r>
      <w:proofErr w:type="spellEnd"/>
      <w:r w:rsidRPr="00623A2B">
        <w:rPr>
          <w:rFonts w:ascii="Times New Roman" w:hAnsi="Times New Roman"/>
          <w:sz w:val="20"/>
          <w:lang w:val="fr-FR"/>
        </w:rPr>
        <w:t xml:space="preserve"> il s’agit du traitement de la question des droits de la personne dans la région au regard de son impartialité et de sa crédibilité. </w:t>
      </w:r>
    </w:p>
    <w:p w14:paraId="259ED5E6" w14:textId="77777777" w:rsidR="00F723DA" w:rsidRPr="00623A2B" w:rsidRDefault="00F723DA" w:rsidP="00F723DA">
      <w:pPr>
        <w:ind w:firstLine="720"/>
        <w:rPr>
          <w:rFonts w:ascii="Times New Roman" w:hAnsi="Times New Roman"/>
          <w:sz w:val="20"/>
          <w:lang w:val="fr-FR"/>
        </w:rPr>
      </w:pPr>
    </w:p>
    <w:p w14:paraId="5980A8BA" w14:textId="77777777" w:rsidR="00F723DA" w:rsidRPr="00623A2B" w:rsidRDefault="00F723DA" w:rsidP="00F723DA">
      <w:pPr>
        <w:ind w:firstLine="720"/>
        <w:rPr>
          <w:rFonts w:ascii="Times New Roman" w:hAnsi="Times New Roman"/>
          <w:sz w:val="20"/>
          <w:lang w:val="fr-FR"/>
        </w:rPr>
      </w:pPr>
      <w:r w:rsidRPr="00623A2B">
        <w:rPr>
          <w:rFonts w:ascii="Times New Roman" w:hAnsi="Times New Roman"/>
          <w:sz w:val="20"/>
          <w:lang w:val="fr-FR"/>
        </w:rPr>
        <w:t xml:space="preserve">En relation avec le Nicaragua, son approche continue d’être loin de la réalité, puisqu’elle adopte une vision partielle et biaisée, minimisant les actes criminels de 2018 perpétrés par les groupes terroristes qui ont semé la terreur au sein de la population civile, actes qui visaient à interrompre l’ordre constitutionnelle et que la CIDH a qualifiés de présumés « protestations pacifiques ». </w:t>
      </w:r>
    </w:p>
    <w:p w14:paraId="37D5CF0C" w14:textId="77777777" w:rsidR="00F723DA" w:rsidRPr="00623A2B" w:rsidRDefault="00F723DA" w:rsidP="00F723DA">
      <w:pPr>
        <w:ind w:left="720" w:hanging="360"/>
        <w:rPr>
          <w:rFonts w:ascii="Times New Roman" w:hAnsi="Times New Roman"/>
          <w:sz w:val="20"/>
          <w:lang w:val="fr-FR"/>
        </w:rPr>
      </w:pPr>
    </w:p>
    <w:p w14:paraId="2074D348" w14:textId="77777777" w:rsidR="00F723DA" w:rsidRPr="00623A2B" w:rsidRDefault="00F723DA" w:rsidP="00F723DA">
      <w:pPr>
        <w:ind w:firstLine="720"/>
        <w:rPr>
          <w:rFonts w:ascii="Times New Roman" w:hAnsi="Times New Roman"/>
          <w:sz w:val="20"/>
          <w:lang w:val="fr-FR"/>
        </w:rPr>
      </w:pPr>
      <w:r w:rsidRPr="00623A2B">
        <w:rPr>
          <w:rFonts w:ascii="Times New Roman" w:hAnsi="Times New Roman"/>
          <w:sz w:val="20"/>
          <w:lang w:val="fr-FR"/>
        </w:rPr>
        <w:t xml:space="preserve">Entre les mois d’avril et juillet 2018, le peuple nicaraguayen a été victime d’une tentative de coup d’état par des groupes politiques déguisés en organisations non gouvernementales liés au crime organisé et financés par des sources extérieures. Ils ont réalisé des enlèvements, des tortures, des extorsions, des </w:t>
      </w:r>
      <w:proofErr w:type="gramStart"/>
      <w:r w:rsidRPr="00623A2B">
        <w:rPr>
          <w:rFonts w:ascii="Times New Roman" w:hAnsi="Times New Roman"/>
          <w:sz w:val="20"/>
          <w:lang w:val="fr-FR"/>
        </w:rPr>
        <w:t>assassinats;</w:t>
      </w:r>
      <w:proofErr w:type="gramEnd"/>
      <w:r w:rsidRPr="00623A2B">
        <w:rPr>
          <w:rFonts w:ascii="Times New Roman" w:hAnsi="Times New Roman"/>
          <w:sz w:val="20"/>
          <w:lang w:val="fr-FR"/>
        </w:rPr>
        <w:t xml:space="preserve"> ils se sont </w:t>
      </w:r>
      <w:r w:rsidRPr="00623A2B">
        <w:rPr>
          <w:rFonts w:ascii="Times New Roman" w:hAnsi="Times New Roman"/>
          <w:sz w:val="20"/>
          <w:lang w:val="fr-FR"/>
        </w:rPr>
        <w:lastRenderedPageBreak/>
        <w:t xml:space="preserve">livrés à des actes de pillages, d’obstruction de voies publiques, de destruction et incendies de bâtiments publics. Cette tentative de coup d’état a porté atteinte à la paix, à la sécurité, à la stabilité et à l’économie. </w:t>
      </w:r>
    </w:p>
    <w:p w14:paraId="3CDA356B" w14:textId="77777777" w:rsidR="00F723DA" w:rsidRPr="00623A2B" w:rsidRDefault="00F723DA" w:rsidP="00F723DA">
      <w:pPr>
        <w:ind w:left="720" w:hanging="360"/>
        <w:rPr>
          <w:rFonts w:ascii="Times New Roman" w:hAnsi="Times New Roman"/>
          <w:sz w:val="20"/>
          <w:lang w:val="fr-FR"/>
        </w:rPr>
      </w:pPr>
    </w:p>
    <w:p w14:paraId="1A400F8F" w14:textId="77777777" w:rsidR="00F723DA" w:rsidRPr="00623A2B" w:rsidRDefault="00F723DA" w:rsidP="00F723DA">
      <w:pPr>
        <w:ind w:firstLine="720"/>
        <w:rPr>
          <w:rFonts w:ascii="Times New Roman" w:hAnsi="Times New Roman"/>
          <w:sz w:val="20"/>
          <w:lang w:val="fr-FR"/>
        </w:rPr>
      </w:pPr>
      <w:r w:rsidRPr="00623A2B">
        <w:rPr>
          <w:rFonts w:ascii="Times New Roman" w:hAnsi="Times New Roman"/>
          <w:sz w:val="20"/>
          <w:lang w:val="fr-FR"/>
        </w:rPr>
        <w:t xml:space="preserve">Les rapports et les documents de la CIDH reprennent sans vérification aucune les fausses nouvelles contre l’État du Nicaragua, faisant des allégations de manière irresponsable et avec légèreté, sans preuve, en dépit des constants rapports objectifs d’éclaircissement fournis à la Commission par le Nicaragua. </w:t>
      </w:r>
    </w:p>
    <w:p w14:paraId="26A19194" w14:textId="77777777" w:rsidR="00F723DA" w:rsidRPr="00623A2B" w:rsidRDefault="00F723DA" w:rsidP="00F723DA">
      <w:pPr>
        <w:ind w:left="720" w:hanging="360"/>
        <w:rPr>
          <w:rFonts w:ascii="Times New Roman" w:hAnsi="Times New Roman"/>
          <w:sz w:val="20"/>
          <w:lang w:val="fr-FR"/>
        </w:rPr>
      </w:pPr>
    </w:p>
    <w:p w14:paraId="1F5AB030" w14:textId="77777777" w:rsidR="00F723DA" w:rsidRPr="00623A2B" w:rsidRDefault="00F723DA" w:rsidP="00F723DA">
      <w:pPr>
        <w:ind w:firstLine="720"/>
        <w:rPr>
          <w:rFonts w:ascii="Times New Roman" w:hAnsi="Times New Roman"/>
          <w:sz w:val="20"/>
          <w:lang w:val="fr-FR"/>
        </w:rPr>
      </w:pPr>
      <w:r w:rsidRPr="00623A2B">
        <w:rPr>
          <w:rFonts w:ascii="Times New Roman" w:hAnsi="Times New Roman"/>
          <w:sz w:val="20"/>
          <w:lang w:val="fr-FR"/>
        </w:rPr>
        <w:t>Nous demandons que la CIDH et la Cour interaméricaine des droits de l’homme (Cour CIDH) s’attachent strictement à leur vraie mission et leur raison d’être en tant qu’instances internationales du Système interaméricain, et qu’elles exercent de manière objective et transparente leur fonction qui est de se consacrer en toute bonne foi à la défense des droits de la personne et des peuples. »</w:t>
      </w:r>
    </w:p>
    <w:p w14:paraId="7525D79C" w14:textId="77777777" w:rsidR="00F723DA" w:rsidRPr="00623A2B" w:rsidRDefault="00F723DA" w:rsidP="00F723DA">
      <w:pPr>
        <w:pStyle w:val="FootnoteText"/>
        <w:ind w:left="0" w:firstLine="720"/>
        <w:rPr>
          <w:rFonts w:ascii="Times New Roman" w:hAnsi="Times New Roman"/>
          <w:sz w:val="20"/>
          <w:lang w:val="fr-FR"/>
        </w:rPr>
      </w:pPr>
    </w:p>
    <w:p w14:paraId="47CD6206" w14:textId="51B94FA1" w:rsidR="00F723DA" w:rsidRPr="00DB2862" w:rsidRDefault="00DB2862" w:rsidP="00DB2862">
      <w:pPr>
        <w:pStyle w:val="FootnoteText"/>
        <w:ind w:left="0" w:firstLine="720"/>
        <w:rPr>
          <w:rFonts w:ascii="Times New Roman" w:hAnsi="Times New Roman"/>
          <w:sz w:val="20"/>
          <w:lang w:val="fr-FR"/>
        </w:rPr>
      </w:pPr>
      <w:r>
        <w:rPr>
          <w:rFonts w:ascii="Times New Roman" w:hAnsi="Times New Roman"/>
          <w:sz w:val="20"/>
          <w:lang w:val="fr-FR"/>
        </w:rPr>
        <w:t>23</w:t>
      </w:r>
      <w:r w:rsidR="00F723DA" w:rsidRPr="00623A2B">
        <w:rPr>
          <w:rFonts w:ascii="Times New Roman" w:hAnsi="Times New Roman"/>
          <w:sz w:val="20"/>
          <w:lang w:val="fr-FR"/>
        </w:rPr>
        <w:t>.</w:t>
      </w:r>
      <w:r w:rsidR="00F723DA" w:rsidRPr="00623A2B">
        <w:rPr>
          <w:rFonts w:ascii="Times New Roman" w:hAnsi="Times New Roman"/>
          <w:sz w:val="20"/>
          <w:lang w:val="fr-FR"/>
        </w:rPr>
        <w:tab/>
        <w:t>…</w:t>
      </w:r>
      <w:r w:rsidR="00F723DA" w:rsidRPr="00623A2B">
        <w:rPr>
          <w:rFonts w:ascii="Times New Roman" w:hAnsi="Times New Roman"/>
          <w:sz w:val="20"/>
          <w:shd w:val="clear" w:color="auto" w:fill="FFFFFF"/>
          <w:lang w:val="fr-FR"/>
        </w:rPr>
        <w:t>rappellent en outre que, sauf exceptions limitées non pertinentes en l'espèce, les obligations internationales des États en matière de droits de la personne ne s'étendent pas à la conduite d’acteurs privés. Les États-Unis soulignent leurs objections persistantes à l’égard de la Déclaration américaine sur les droits des peuples autochtones, lesquelles ont été consignées à l’origine en 2007 et développées par la suite dans la note de bas de page des États-Unis inscrite à la résolution AG/RES. 2888 (XLVI-O/16) de l’Assemblée générale de l’OEA adoptée le 15 juin 2016. En particulier, les États-Unis réitèrent que les États membres de l’OEA devraient centrer leur attention sur la mise en œuvre de la Déclaration des Nations Unies sur les droits des peuples autochtones. Dans la mesure où la Déclaration américaine sur les droits des peuples autochtones est évoquée dans le présent document, les États-Unis notent que le langage utilisé doit être conforme à la nature non contraignante de l'instrument.</w:t>
      </w:r>
    </w:p>
    <w:p w14:paraId="2D365ED1" w14:textId="77777777" w:rsidR="00F723DA" w:rsidRPr="00623A2B" w:rsidRDefault="00F723DA" w:rsidP="00F723DA">
      <w:pPr>
        <w:pStyle w:val="FootnoteText"/>
        <w:ind w:left="0" w:firstLine="720"/>
        <w:rPr>
          <w:rFonts w:ascii="Times New Roman" w:hAnsi="Times New Roman"/>
          <w:sz w:val="20"/>
          <w:shd w:val="clear" w:color="auto" w:fill="FFFFFF"/>
          <w:lang w:val="fr-FR"/>
        </w:rPr>
      </w:pPr>
    </w:p>
    <w:p w14:paraId="19E03B37" w14:textId="5DEC72E7" w:rsidR="00F723DA" w:rsidRPr="00623A2B" w:rsidRDefault="00F723DA" w:rsidP="00F723DA">
      <w:pPr>
        <w:pStyle w:val="FootnoteText"/>
        <w:ind w:left="0" w:firstLine="720"/>
        <w:rPr>
          <w:rFonts w:ascii="Times New Roman" w:hAnsi="Times New Roman"/>
          <w:sz w:val="20"/>
          <w:lang w:val="fr-FR"/>
        </w:rPr>
      </w:pPr>
      <w:r w:rsidRPr="00623A2B">
        <w:rPr>
          <w:rFonts w:ascii="Times New Roman" w:hAnsi="Times New Roman"/>
          <w:sz w:val="20"/>
          <w:shd w:val="clear" w:color="auto" w:fill="FFFFFF"/>
          <w:lang w:val="fr-FR"/>
        </w:rPr>
        <w:t>2</w:t>
      </w:r>
      <w:r w:rsidR="00DB2862">
        <w:rPr>
          <w:rFonts w:ascii="Times New Roman" w:hAnsi="Times New Roman"/>
          <w:sz w:val="20"/>
          <w:shd w:val="clear" w:color="auto" w:fill="FFFFFF"/>
          <w:lang w:val="fr-FR"/>
        </w:rPr>
        <w:t>4</w:t>
      </w:r>
      <w:r w:rsidRPr="00623A2B">
        <w:rPr>
          <w:rFonts w:ascii="Times New Roman" w:hAnsi="Times New Roman"/>
          <w:sz w:val="20"/>
          <w:shd w:val="clear" w:color="auto" w:fill="FFFFFF"/>
          <w:lang w:val="fr-FR"/>
        </w:rPr>
        <w:t>.</w:t>
      </w:r>
      <w:r w:rsidRPr="00623A2B">
        <w:rPr>
          <w:rFonts w:ascii="Times New Roman" w:hAnsi="Times New Roman"/>
          <w:sz w:val="20"/>
          <w:shd w:val="clear" w:color="auto" w:fill="FFFFFF"/>
          <w:lang w:val="fr-FR"/>
        </w:rPr>
        <w:tab/>
        <w:t xml:space="preserve">dans aucun des traités auxquels les États-Unis sont </w:t>
      </w:r>
      <w:proofErr w:type="gramStart"/>
      <w:r w:rsidRPr="00623A2B">
        <w:rPr>
          <w:rFonts w:ascii="Times New Roman" w:hAnsi="Times New Roman"/>
          <w:sz w:val="20"/>
          <w:shd w:val="clear" w:color="auto" w:fill="FFFFFF"/>
          <w:lang w:val="fr-FR"/>
        </w:rPr>
        <w:t>partie</w:t>
      </w:r>
      <w:proofErr w:type="gramEnd"/>
      <w:r w:rsidRPr="00623A2B">
        <w:rPr>
          <w:rFonts w:ascii="Times New Roman" w:hAnsi="Times New Roman"/>
          <w:sz w:val="20"/>
          <w:shd w:val="clear" w:color="auto" w:fill="FFFFFF"/>
          <w:lang w:val="fr-FR"/>
        </w:rPr>
        <w:t xml:space="preserve">. Par ailleurs, les États-Unis notent que la Déclaration américaine des droits et devoirs de l'homme est un instrument non contraignant et que les États-Unis ne sont pas </w:t>
      </w:r>
      <w:proofErr w:type="gramStart"/>
      <w:r w:rsidRPr="00623A2B">
        <w:rPr>
          <w:rFonts w:ascii="Times New Roman" w:hAnsi="Times New Roman"/>
          <w:sz w:val="20"/>
          <w:shd w:val="clear" w:color="auto" w:fill="FFFFFF"/>
          <w:lang w:val="fr-FR"/>
        </w:rPr>
        <w:t>partie</w:t>
      </w:r>
      <w:proofErr w:type="gramEnd"/>
      <w:r w:rsidRPr="00623A2B">
        <w:rPr>
          <w:rFonts w:ascii="Times New Roman" w:hAnsi="Times New Roman"/>
          <w:sz w:val="20"/>
          <w:shd w:val="clear" w:color="auto" w:fill="FFFFFF"/>
          <w:lang w:val="fr-FR"/>
        </w:rPr>
        <w:t xml:space="preserve"> à la Convention américaine. Les États-Unis comprennent en outre que les résolutions de l'Assemblée générale de l'OEA ne modifient pas l'état actuel du droit international conventionnel ou coutumier. Enfin, les États-Unis rappellent la distinction entre les droits de la personne, dont les bénéficiaires sont les individus, et les droits collectifs, dont les bénéficiaires sont les peuples.</w:t>
      </w:r>
    </w:p>
    <w:p w14:paraId="4BC3C9F5" w14:textId="61C6863D" w:rsidR="002F66C9" w:rsidRPr="00623A2B" w:rsidRDefault="002F66C9" w:rsidP="008507FE">
      <w:pPr>
        <w:pStyle w:val="FootnoteText"/>
        <w:tabs>
          <w:tab w:val="clear" w:pos="360"/>
        </w:tabs>
        <w:rPr>
          <w:rFonts w:ascii="Times New Roman" w:hAnsi="Times New Roman"/>
          <w:sz w:val="20"/>
          <w:lang w:val="fr-FR"/>
        </w:rPr>
      </w:pPr>
    </w:p>
    <w:p w14:paraId="54A0E393" w14:textId="77777777" w:rsidR="00B16B05" w:rsidRPr="00623A2B" w:rsidRDefault="00B16B05" w:rsidP="008507FE">
      <w:pPr>
        <w:pStyle w:val="FootnoteText"/>
        <w:tabs>
          <w:tab w:val="clear" w:pos="360"/>
        </w:tabs>
        <w:rPr>
          <w:rFonts w:ascii="Times New Roman" w:hAnsi="Times New Roman"/>
          <w:sz w:val="20"/>
          <w:lang w:val="fr-FR"/>
        </w:rPr>
        <w:sectPr w:rsidR="00B16B05" w:rsidRPr="00623A2B" w:rsidSect="00623A2B">
          <w:headerReference w:type="default" r:id="rId122"/>
          <w:footnotePr>
            <w:numRestart w:val="eachSect"/>
          </w:footnotePr>
          <w:type w:val="oddPage"/>
          <w:pgSz w:w="12240" w:h="15840" w:code="1"/>
          <w:pgMar w:top="2160" w:right="1570" w:bottom="1296" w:left="1699" w:header="720" w:footer="720" w:gutter="0"/>
          <w:cols w:space="708"/>
          <w:titlePg/>
          <w:docGrid w:linePitch="360"/>
        </w:sectPr>
      </w:pPr>
    </w:p>
    <w:p w14:paraId="717C1F5B" w14:textId="723F64F0" w:rsidR="00BD2D6F" w:rsidRPr="00623A2B" w:rsidRDefault="00BD2D6F" w:rsidP="00E95600">
      <w:pPr>
        <w:pStyle w:val="Heading1"/>
        <w:spacing w:before="0"/>
        <w:jc w:val="center"/>
        <w:rPr>
          <w:rFonts w:ascii="Times New Roman" w:hAnsi="Times New Roman" w:cs="Times New Roman"/>
          <w:color w:val="000000" w:themeColor="text1"/>
          <w:sz w:val="22"/>
          <w:szCs w:val="22"/>
          <w:lang w:val="fr-FR"/>
        </w:rPr>
      </w:pPr>
      <w:bookmarkStart w:id="79" w:name="_Toc89177467"/>
      <w:r w:rsidRPr="00623A2B">
        <w:rPr>
          <w:rFonts w:ascii="Times New Roman" w:hAnsi="Times New Roman" w:cs="Times New Roman"/>
          <w:color w:val="auto"/>
          <w:sz w:val="22"/>
          <w:szCs w:val="22"/>
          <w:lang w:val="fr-FR"/>
        </w:rPr>
        <w:lastRenderedPageBreak/>
        <w:t>AG/RES. 297</w:t>
      </w:r>
      <w:r w:rsidR="0062745A" w:rsidRPr="00623A2B">
        <w:rPr>
          <w:rFonts w:ascii="Times New Roman" w:hAnsi="Times New Roman" w:cs="Times New Roman"/>
          <w:color w:val="auto"/>
          <w:sz w:val="22"/>
          <w:szCs w:val="22"/>
          <w:lang w:val="fr-FR"/>
        </w:rPr>
        <w:t>7</w:t>
      </w:r>
      <w:r w:rsidRPr="00623A2B">
        <w:rPr>
          <w:rFonts w:ascii="Times New Roman" w:hAnsi="Times New Roman" w:cs="Times New Roman"/>
          <w:color w:val="auto"/>
          <w:sz w:val="22"/>
          <w:szCs w:val="22"/>
          <w:lang w:val="fr-FR"/>
        </w:rPr>
        <w:t xml:space="preserve"> (LI-O/21)</w:t>
      </w:r>
      <w:r w:rsidRPr="00623A2B">
        <w:rPr>
          <w:rFonts w:ascii="Times New Roman" w:hAnsi="Times New Roman" w:cs="Times New Roman"/>
          <w:sz w:val="22"/>
          <w:szCs w:val="22"/>
          <w:lang w:val="fr-FR"/>
        </w:rPr>
        <w:br/>
      </w:r>
      <w:r w:rsidRPr="00623A2B">
        <w:rPr>
          <w:rFonts w:ascii="Times New Roman" w:hAnsi="Times New Roman" w:cs="Times New Roman"/>
          <w:sz w:val="22"/>
          <w:szCs w:val="22"/>
          <w:lang w:val="fr-FR"/>
        </w:rPr>
        <w:br/>
      </w:r>
      <w:r w:rsidRPr="00623A2B">
        <w:rPr>
          <w:rFonts w:ascii="Times New Roman" w:hAnsi="Times New Roman" w:cs="Times New Roman"/>
          <w:color w:val="000000" w:themeColor="text1"/>
          <w:sz w:val="22"/>
          <w:szCs w:val="22"/>
          <w:lang w:val="fr-FR"/>
        </w:rPr>
        <w:t>L’ÉVOLUTION DE LA PANDÉMIE DE COVID-19</w:t>
      </w:r>
      <w:r w:rsidRPr="00623A2B">
        <w:rPr>
          <w:rFonts w:ascii="Times New Roman" w:hAnsi="Times New Roman" w:cs="Times New Roman"/>
          <w:color w:val="000000" w:themeColor="text1"/>
          <w:sz w:val="22"/>
          <w:szCs w:val="22"/>
          <w:lang w:val="fr-FR"/>
        </w:rPr>
        <w:br/>
        <w:t>ET SES INCIDENCES SUR LE CONTINENT AMÉRICAIN</w:t>
      </w:r>
      <w:r w:rsidRPr="00623A2B">
        <w:rPr>
          <w:rStyle w:val="FootnoteReference"/>
          <w:rFonts w:ascii="Times New Roman" w:hAnsi="Times New Roman" w:cs="Times New Roman"/>
          <w:sz w:val="22"/>
          <w:szCs w:val="22"/>
          <w:u w:val="single"/>
          <w:vertAlign w:val="superscript"/>
          <w:lang w:val="pt-BR"/>
        </w:rPr>
        <w:footnoteReference w:id="110"/>
      </w:r>
      <w:r w:rsidRPr="00623A2B">
        <w:rPr>
          <w:rFonts w:ascii="Times New Roman" w:hAnsi="Times New Roman" w:cs="Times New Roman"/>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111"/>
      </w:r>
      <w:r w:rsidRPr="00623A2B">
        <w:rPr>
          <w:rFonts w:ascii="Times New Roman" w:hAnsi="Times New Roman" w:cs="Times New Roman"/>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112"/>
      </w:r>
      <w:r w:rsidRPr="00623A2B">
        <w:rPr>
          <w:rFonts w:ascii="Times New Roman" w:hAnsi="Times New Roman" w:cs="Times New Roman"/>
          <w:sz w:val="22"/>
          <w:szCs w:val="22"/>
          <w:vertAlign w:val="superscript"/>
          <w:lang w:val="fr-CA"/>
        </w:rPr>
        <w:t>/</w:t>
      </w:r>
      <w:r w:rsidRPr="00623A2B">
        <w:rPr>
          <w:rStyle w:val="FootnoteReference"/>
          <w:rFonts w:ascii="Times New Roman" w:hAnsi="Times New Roman" w:cs="Times New Roman"/>
          <w:sz w:val="22"/>
          <w:szCs w:val="22"/>
          <w:u w:val="single"/>
          <w:vertAlign w:val="superscript"/>
          <w:lang w:val="pt-BR"/>
        </w:rPr>
        <w:footnoteReference w:id="113"/>
      </w:r>
      <w:r w:rsidRPr="00623A2B">
        <w:rPr>
          <w:rFonts w:ascii="Times New Roman" w:hAnsi="Times New Roman" w:cs="Times New Roman"/>
          <w:sz w:val="22"/>
          <w:szCs w:val="22"/>
          <w:vertAlign w:val="superscript"/>
          <w:lang w:val="fr-CA"/>
        </w:rPr>
        <w:t>/</w:t>
      </w:r>
      <w:bookmarkEnd w:id="79"/>
    </w:p>
    <w:p w14:paraId="41CBD780"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441723A4"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themeColor="text1"/>
          <w:szCs w:val="22"/>
          <w:lang w:val="fr-FR"/>
        </w:rPr>
      </w:pPr>
      <w:r w:rsidRPr="00623A2B">
        <w:rPr>
          <w:rFonts w:ascii="Times New Roman" w:hAnsi="Times New Roman"/>
          <w:color w:val="000000" w:themeColor="text1"/>
          <w:szCs w:val="22"/>
          <w:lang w:val="fr-FR"/>
        </w:rPr>
        <w:t>(</w:t>
      </w:r>
      <w:r w:rsidRPr="00623A2B">
        <w:rPr>
          <w:rFonts w:ascii="Times New Roman" w:hAnsi="Times New Roman"/>
          <w:szCs w:val="22"/>
          <w:lang w:val="fr-FR"/>
        </w:rPr>
        <w:t xml:space="preserve">Résolution adoptée à la </w:t>
      </w:r>
      <w:r w:rsidRPr="00623A2B">
        <w:rPr>
          <w:rFonts w:ascii="Times New Roman" w:hAnsi="Times New Roman"/>
          <w:bCs/>
          <w:szCs w:val="22"/>
          <w:lang w:val="fr-FR" w:eastAsia="es-ES"/>
        </w:rPr>
        <w:t xml:space="preserve">quatrième </w:t>
      </w:r>
      <w:r w:rsidRPr="00623A2B">
        <w:rPr>
          <w:rFonts w:ascii="Times New Roman" w:hAnsi="Times New Roman"/>
          <w:szCs w:val="22"/>
          <w:lang w:val="fr-FR"/>
        </w:rPr>
        <w:t>séance plénière, le 12 novembre 2021</w:t>
      </w:r>
      <w:r w:rsidRPr="00623A2B">
        <w:rPr>
          <w:rFonts w:ascii="Times New Roman" w:hAnsi="Times New Roman"/>
          <w:color w:val="000000" w:themeColor="text1"/>
          <w:szCs w:val="22"/>
          <w:lang w:val="fr-FR"/>
        </w:rPr>
        <w:t>)</w:t>
      </w:r>
    </w:p>
    <w:p w14:paraId="46BF11C3"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2B192EBF"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0023251D"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r w:rsidRPr="00623A2B">
        <w:rPr>
          <w:rFonts w:ascii="Times New Roman" w:hAnsi="Times New Roman"/>
          <w:color w:val="000000" w:themeColor="text1"/>
          <w:szCs w:val="22"/>
          <w:lang w:val="fr-FR"/>
        </w:rPr>
        <w:tab/>
        <w:t>L'ASSEMBLÉE GÉNÉRALE,</w:t>
      </w:r>
    </w:p>
    <w:p w14:paraId="5F538733"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fr-FR"/>
        </w:rPr>
      </w:pPr>
    </w:p>
    <w:p w14:paraId="22769C2D"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color w:val="000000" w:themeColor="text1"/>
          <w:szCs w:val="22"/>
          <w:lang w:val="fr-FR"/>
        </w:rPr>
      </w:pPr>
      <w:r w:rsidRPr="00623A2B">
        <w:rPr>
          <w:rFonts w:ascii="Times New Roman" w:hAnsi="Times New Roman"/>
          <w:color w:val="000000" w:themeColor="text1"/>
          <w:szCs w:val="22"/>
          <w:lang w:val="fr-FR"/>
        </w:rPr>
        <w:t xml:space="preserve">RECONNAISSANT que les peuples des Amériques continuent de faire face aux effets sans précédent de la pandémie de COVID-19 sur leurs vies, </w:t>
      </w:r>
      <w:proofErr w:type="gramStart"/>
      <w:r w:rsidRPr="00623A2B">
        <w:rPr>
          <w:rFonts w:ascii="Times New Roman" w:hAnsi="Times New Roman"/>
          <w:color w:val="000000" w:themeColor="text1"/>
          <w:szCs w:val="22"/>
          <w:lang w:val="fr-FR"/>
        </w:rPr>
        <w:t>leur moyens</w:t>
      </w:r>
      <w:proofErr w:type="gramEnd"/>
      <w:r w:rsidRPr="00623A2B">
        <w:rPr>
          <w:rFonts w:ascii="Times New Roman" w:hAnsi="Times New Roman"/>
          <w:color w:val="000000" w:themeColor="text1"/>
          <w:szCs w:val="22"/>
          <w:lang w:val="fr-FR"/>
        </w:rPr>
        <w:t xml:space="preserve"> de subsistance et leurs économies,</w:t>
      </w:r>
    </w:p>
    <w:p w14:paraId="3B523ABF"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CA48767"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RECONNAISSANT AVEC INQUIÉTUDE que la COVID-19 a touché de manière disproportionnée les populations les plus vulnérables de la région,</w:t>
      </w:r>
    </w:p>
    <w:p w14:paraId="2EEB6857"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80E96FE"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RECONNAISSANT ÉGALEMENT que la crise économique et sociale déclenchée par la pandémie de COVID-19 a creusé les inégalités sociales et de genre qui existaient déjà,</w:t>
      </w:r>
    </w:p>
    <w:p w14:paraId="02C34965"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8E3673C"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fr-FR"/>
        </w:rPr>
      </w:pPr>
      <w:r w:rsidRPr="00623A2B">
        <w:rPr>
          <w:rFonts w:ascii="Times New Roman" w:hAnsi="Times New Roman"/>
          <w:color w:val="000000" w:themeColor="text1"/>
          <w:szCs w:val="22"/>
          <w:lang w:val="fr-FR"/>
        </w:rPr>
        <w:t xml:space="preserve">CONSCIENTE que la pandémie de COVID-19 a exacerbé les vulnérabilités inhérentes et structurelles des </w:t>
      </w:r>
      <w:r w:rsidRPr="00623A2B">
        <w:rPr>
          <w:rFonts w:ascii="Times New Roman" w:hAnsi="Times New Roman"/>
          <w:bCs/>
          <w:szCs w:val="22"/>
          <w:lang w:val="fr-FR"/>
        </w:rPr>
        <w:t>petits États insulaires en développement et des États côtiers à littoral de faible altitude</w:t>
      </w:r>
      <w:r w:rsidRPr="00623A2B">
        <w:rPr>
          <w:rFonts w:ascii="Times New Roman" w:hAnsi="Times New Roman"/>
          <w:color w:val="000000" w:themeColor="text1"/>
          <w:szCs w:val="22"/>
          <w:lang w:val="fr-FR"/>
        </w:rPr>
        <w:t xml:space="preserve"> en raison de leur petite taille, de leurs contraintes financières et de ressources humaines et de leur vulnérabilité aux perturbations extérieures,</w:t>
      </w:r>
    </w:p>
    <w:p w14:paraId="66FC1D79"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1039008"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fr-FR"/>
        </w:rPr>
      </w:pPr>
      <w:r w:rsidRPr="00623A2B">
        <w:rPr>
          <w:rFonts w:ascii="Times New Roman" w:hAnsi="Times New Roman"/>
          <w:szCs w:val="22"/>
          <w:lang w:val="fr-FR"/>
        </w:rPr>
        <w:t xml:space="preserve">RECONNAISSANT EN OUTRE que la pandémie de COVID-19 a aggravé les insuffisances et inégalités en matière d’obtention de l'accès aux médicaments, tels que les produits pharmaceutiques, vaccins et autres technologies sanitaires, ce qui affecte la capacité de réponse des systèmes de santé et </w:t>
      </w:r>
      <w:r w:rsidRPr="00623A2B">
        <w:rPr>
          <w:rFonts w:ascii="Times New Roman" w:hAnsi="Times New Roman"/>
          <w:color w:val="000000" w:themeColor="text1"/>
          <w:szCs w:val="22"/>
          <w:lang w:val="fr-FR"/>
        </w:rPr>
        <w:t>limite la fourniture des services de santé,</w:t>
      </w:r>
    </w:p>
    <w:p w14:paraId="30B98462"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581878A5"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fr-FR"/>
        </w:rPr>
      </w:pPr>
      <w:r w:rsidRPr="00623A2B">
        <w:rPr>
          <w:rFonts w:ascii="Times New Roman" w:hAnsi="Times New Roman"/>
          <w:color w:val="000000" w:themeColor="text1"/>
          <w:szCs w:val="22"/>
          <w:lang w:val="fr-FR"/>
        </w:rPr>
        <w:t>AYANT À L’ESPRIT que la crise sanitaire a mis au jour la forte dépendance de l'Amérique latine et des Caraïbes à l'égard des importations de médicaments et d’autres technologies sanitaires, la vulnérabilité des chaînes d'approvisionnement mondiales dans le contexte de situations d'urgence ainsi que les inégalités en matière de capacité de recherche, de développement et de production de vaccins dans les Amériques,</w:t>
      </w:r>
    </w:p>
    <w:p w14:paraId="3DD93200"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05FFE98"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RECONNAISSANT qu'en général, la pandémie a aggravé les faiblesses régionales en matière de planification, de préparation, de détection et de coordination de la riposte en matière de santé publique,</w:t>
      </w:r>
    </w:p>
    <w:p w14:paraId="3D355756"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fr-FR"/>
        </w:rPr>
      </w:pPr>
      <w:r w:rsidRPr="00623A2B">
        <w:rPr>
          <w:rFonts w:ascii="Times New Roman" w:hAnsi="Times New Roman"/>
          <w:color w:val="000000" w:themeColor="text1"/>
          <w:szCs w:val="22"/>
          <w:lang w:val="fr-FR"/>
        </w:rPr>
        <w:lastRenderedPageBreak/>
        <w:t>AYANT À L’ESPRIT que lors de la séance extraordinaire du Conseil permanent consacrée à l'examen de l'évolution de la pandémie de COVID-19 et ses incidences sur le continent américain, qui s'est tenue le 30 septembre 2021, les représentants de chefs d'État et de gouvernement et les ministres de la santé ainsi que les principales autorités sanitaires mondiales et continentales ont souligné la nécessité de mener des actions concertées pour améliorer la réponse de la région à la pandémie de COVID-19 et aux futures crises sanitaires,</w:t>
      </w:r>
    </w:p>
    <w:p w14:paraId="4264589B"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EA80E66"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RÉAFFIRMANT que la solidarité continentale et la coopération menées de manière conjointe et concertée contribueront à ralentir et à prévenir la propagation de la COVID-19 et à renforcer la riposte régionale et les efforts de relèvement ; et reconnaissant le rôle que l'Organisation des États Américains, l'Organisation panaméricaine de la Santé (OPS) et les institutions sous-régionales de santé du continent américain, en particulier l’Agence de santé publique des Caraïbes, peuvent jouer en la matière,</w:t>
      </w:r>
    </w:p>
    <w:p w14:paraId="303D1B99"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3588D6E"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PRÉOCCUPÉE par l’absence de distribution équitable de vaccins qui a eu pour conséquence que les pays en développement dépendent des dons charitables de vaccins,</w:t>
      </w:r>
    </w:p>
    <w:p w14:paraId="67368E6C"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302C0CB"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fr-FR"/>
        </w:rPr>
      </w:pPr>
      <w:r w:rsidRPr="00623A2B">
        <w:rPr>
          <w:rFonts w:ascii="Times New Roman" w:hAnsi="Times New Roman"/>
          <w:szCs w:val="22"/>
          <w:lang w:val="fr-FR"/>
        </w:rPr>
        <w:t xml:space="preserve">RECONNAISSANT la nécessité urgente d’établir des installations de production dans les pays en développement </w:t>
      </w:r>
      <w:r w:rsidRPr="00623A2B">
        <w:rPr>
          <w:rFonts w:ascii="Times New Roman" w:hAnsi="Times New Roman"/>
          <w:color w:val="000000" w:themeColor="text1"/>
          <w:szCs w:val="22"/>
          <w:lang w:val="fr-FR"/>
        </w:rPr>
        <w:t>qui bénéficient des conditions techniques nécessaires pour la production de vaccins et d’autres technologies sanitaires sûres, efficaces, de qualité et abordables, et qui puissent être réalisées au moyen de la collaboration régionale et de l’échange de connaissances scientifiques et techniques pertinentes, selon des conditions convenues par accord mutuel,</w:t>
      </w:r>
    </w:p>
    <w:p w14:paraId="0BAAF362"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38479C97"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fr-FR"/>
        </w:rPr>
      </w:pPr>
      <w:r w:rsidRPr="00623A2B">
        <w:rPr>
          <w:rFonts w:ascii="Times New Roman" w:hAnsi="Times New Roman"/>
          <w:color w:val="000000" w:themeColor="text1"/>
          <w:szCs w:val="22"/>
          <w:lang w:val="fr-FR"/>
        </w:rPr>
        <w:t>CONSIDÉRANT la nécessité de parvenir à une plus grande concertation politique dans la région afin de soutenir des actions structurelles et transformatrices visant à construire des systèmes de santé résilients, en mesure de gérer les menaces actuelles et futures tout en promouvant l'accès universel à la santé et la couverture sanitaire universelle pour ses populations,</w:t>
      </w:r>
    </w:p>
    <w:p w14:paraId="2E4F2A38"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2E136642"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fr-FR"/>
        </w:rPr>
      </w:pPr>
      <w:r w:rsidRPr="00623A2B">
        <w:rPr>
          <w:rFonts w:ascii="Times New Roman" w:hAnsi="Times New Roman"/>
          <w:color w:val="000000" w:themeColor="text1"/>
          <w:szCs w:val="22"/>
          <w:lang w:val="fr-FR"/>
        </w:rPr>
        <w:t>RÉAFFIRMANT l'importance du financement et de l'assistance technique pour permettre aux États membres, en particulier aux nations les plus vulnérables, d'atténuer les pertes économiques causées par la pandémie de COVID-19 et de se préparer aux pandémies futures et autres menaces de santé,</w:t>
      </w:r>
    </w:p>
    <w:p w14:paraId="3946C97E"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BACC69B"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TENANT COMPTE de la résolution CP/RES. 1151 (2280/20) « Riposte de l'OEA à la pandémie de COVID-19 », adoptée par le Conseil permanent lors de sa séance extraordinaire virtuelle tenue le 16 avril 2020, et de la résolution CP/RES. 1165 (2312/21), « La distribution équitable des vaccins contre la COVID-19 », adoptée par le Conseil permanent lors de sa séance ordinaire virtuelle tenue le 17 février 2021,</w:t>
      </w:r>
    </w:p>
    <w:p w14:paraId="5E4C0E5C"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6CFC88C"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623A2B">
        <w:rPr>
          <w:rFonts w:ascii="Times New Roman" w:hAnsi="Times New Roman"/>
          <w:szCs w:val="22"/>
          <w:lang w:val="fr-FR"/>
        </w:rPr>
        <w:t>TENANT COMPTE ÉGALEMENT des résolutions CD59.R3, « Accroissement de la capacité de production des médicaments et des technologies de la santé essentiels », et CD59.R13, « Revitalisation de la vaccination comme un bien public pour la santé universelle », lesquelles ont été approuvées par le 59</w:t>
      </w:r>
      <w:r w:rsidRPr="00623A2B">
        <w:rPr>
          <w:rFonts w:ascii="Times New Roman" w:hAnsi="Times New Roman"/>
          <w:szCs w:val="22"/>
          <w:vertAlign w:val="superscript"/>
          <w:lang w:val="fr-FR"/>
        </w:rPr>
        <w:t>e</w:t>
      </w:r>
      <w:r w:rsidRPr="00623A2B">
        <w:rPr>
          <w:rFonts w:ascii="Times New Roman" w:hAnsi="Times New Roman"/>
          <w:szCs w:val="22"/>
          <w:lang w:val="fr-FR"/>
        </w:rPr>
        <w:t xml:space="preserve"> Conseil directeur de l'OPS, lors de sa session de septembre 2021,</w:t>
      </w:r>
    </w:p>
    <w:p w14:paraId="0C4D76A2"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2CCDB2D"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color w:val="000000" w:themeColor="text1"/>
          <w:szCs w:val="22"/>
          <w:lang w:val="fr-FR"/>
        </w:rPr>
      </w:pPr>
      <w:r w:rsidRPr="00623A2B">
        <w:rPr>
          <w:rFonts w:ascii="Times New Roman" w:hAnsi="Times New Roman"/>
          <w:color w:val="000000" w:themeColor="text1"/>
          <w:szCs w:val="22"/>
          <w:lang w:val="fr-FR"/>
        </w:rPr>
        <w:t>EXPRIMANT sa gratitude continue à l'OPS, à l'Organisation mondiale de la Santé, aux États membres et aux organismes régionaux de santé, y compris l'Agence de santé publique des Caraïbes, pour leur travail de protection de la santé des peuples des Amériques en tout temps, et particulièrement pendant la pandémie de COVID-19,</w:t>
      </w:r>
    </w:p>
    <w:p w14:paraId="3D8022AC" w14:textId="5F77DA2E"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623A2B">
        <w:rPr>
          <w:rFonts w:ascii="Times New Roman" w:hAnsi="Times New Roman"/>
          <w:szCs w:val="22"/>
        </w:rPr>
        <w:lastRenderedPageBreak/>
        <w:t>DÉCIDE:</w:t>
      </w:r>
    </w:p>
    <w:p w14:paraId="77BEFCF1"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4FAAF4B" w14:textId="77777777" w:rsidR="00BD2D6F" w:rsidRPr="00623A2B" w:rsidRDefault="00BD2D6F" w:rsidP="00BD2D6F">
      <w:pPr>
        <w:pStyle w:val="ListParagraph"/>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fr-FR"/>
        </w:rPr>
      </w:pPr>
      <w:r w:rsidRPr="00623A2B">
        <w:rPr>
          <w:rFonts w:ascii="Times New Roman" w:hAnsi="Times New Roman"/>
          <w:szCs w:val="22"/>
          <w:lang w:val="fr-FR"/>
        </w:rPr>
        <w:t>De charger le Conseil permanent de continuer à favoriser un dialogue suivi et des mises à jour régulières de l'Organisation panaméricaine de la Santé (OPS) en vue de renforcer la coordination et la coopération continentales pour combattre efficacement la COVID-19 et s'attaquer à ses effets socioéconomiques dévastateurs.</w:t>
      </w:r>
    </w:p>
    <w:p w14:paraId="5023D94A"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A53CE44" w14:textId="77777777" w:rsidR="00BD2D6F" w:rsidRPr="00623A2B" w:rsidRDefault="00BD2D6F" w:rsidP="00BD2D6F">
      <w:pPr>
        <w:pStyle w:val="ListParagraph"/>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fr-FR"/>
        </w:rPr>
      </w:pPr>
      <w:r w:rsidRPr="00623A2B">
        <w:rPr>
          <w:rFonts w:ascii="Times New Roman" w:hAnsi="Times New Roman"/>
          <w:szCs w:val="22"/>
          <w:lang w:val="fr-FR"/>
        </w:rPr>
        <w:t>D’exhorter les États membres à promouvoir l'entraide au niveau du continent américain en matière de développement et d'acquisition de vaccins et d'autres technologies de santé sûrs, accessibles et efficaces et, dans ce cadre, d’inviter les États membres à soutenir le développement volontaire de plateformes régionales, en accord avec les efforts multilatéraux entrepris à l’échelle mondiale, tels que le dispositif pour accélérer l'accès aux outils de lutte contre la COVID-19 (Accélérateur ACT), la Plateforme régionale pour faire progresser la fabrication de vaccins contre la COVID-19 et d'autres technologies de la santé dans les Amériques, lancée par l'OPS, l'initiative soutenue par l'Organisation mondiale de la santé (OMS) et l'OPS sur le transfert de technologie pour la production de vaccins à ARNm dans les Amériques, et l'initiative du Groupement d'accès aux technologies contre la COVID-19 (C-TAP) soutenue par l'OMS.</w:t>
      </w:r>
    </w:p>
    <w:p w14:paraId="4C1CCD23"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7F687AB" w14:textId="77777777" w:rsidR="00BD2D6F" w:rsidRPr="00623A2B" w:rsidRDefault="00BD2D6F" w:rsidP="00BD2D6F">
      <w:pPr>
        <w:pStyle w:val="ListParagraph"/>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fr-FR"/>
        </w:rPr>
      </w:pPr>
      <w:r w:rsidRPr="00623A2B">
        <w:rPr>
          <w:rFonts w:ascii="Times New Roman" w:hAnsi="Times New Roman"/>
          <w:szCs w:val="22"/>
          <w:lang w:val="fr-FR"/>
        </w:rPr>
        <w:t>D’exhorter les États membres à consentir les plus grands efforts possibles afin de continuer à renforcer les investissements publics en matière de santé, qui permettent d'améliorer et d'élargir les capacités nationales et régionales de développement et de production de matières premières, de vaccins, de tests de diagnostic et de traitement, afin de parvenir à un relèvement rapide du secteur de la santé et de l’économie, de surmonter la vulnérabilité et la dépendance extérieure dans les contextes d’urgences sanitaires mondiales, et de mettre en place des capacités de préparation et de réaction adéquates dans notre région.</w:t>
      </w:r>
    </w:p>
    <w:p w14:paraId="17BF5755"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28611CD" w14:textId="77777777" w:rsidR="00BD2D6F" w:rsidRPr="00623A2B" w:rsidRDefault="00BD2D6F" w:rsidP="00BD2D6F">
      <w:pPr>
        <w:pStyle w:val="ListParagraph"/>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fr-FR"/>
        </w:rPr>
      </w:pPr>
      <w:r w:rsidRPr="00623A2B">
        <w:rPr>
          <w:rFonts w:ascii="Times New Roman" w:hAnsi="Times New Roman"/>
          <w:szCs w:val="22"/>
          <w:lang w:val="fr-FR"/>
        </w:rPr>
        <w:t>De demander instamment aux États membres de prendre des mesures stratégiques et ciblées afin de mettre en place des systèmes de santé résilients en progressant rapidement vers l'accès à la santé et la couverture sanitaire, en remédiant aux faiblesses systémiques et structurelles des systèmes de santé mises au jour par la pandémie de COVID-19, en s'attaquant aux inégalités en matière de santé et aux facteurs de risque environnementaux, en veillant à l'adoption et à la consolidation des innovations introduites dans les systèmes de santé dans le cadre de la riposte à la pandémie.</w:t>
      </w:r>
    </w:p>
    <w:p w14:paraId="0C65A89D"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30238EC" w14:textId="77777777" w:rsidR="00BD2D6F" w:rsidRPr="00623A2B" w:rsidRDefault="00BD2D6F" w:rsidP="00BD2D6F">
      <w:pPr>
        <w:pStyle w:val="ListParagraph"/>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fr-FR"/>
        </w:rPr>
      </w:pPr>
      <w:r w:rsidRPr="00623A2B">
        <w:rPr>
          <w:rFonts w:ascii="Times New Roman" w:hAnsi="Times New Roman"/>
          <w:szCs w:val="22"/>
          <w:lang w:val="fr-FR"/>
        </w:rPr>
        <w:t>D’appeler les États membres à mettre en œuvre des politiques économiques cohérentes qui contribuent durablement à la création d'emplois, à l'augmentation de la productivité économique et à la promotion de l'innovation, y compris en renforçant les infrastructures, les technologies et la culture numériques.</w:t>
      </w:r>
    </w:p>
    <w:p w14:paraId="774E7DD0"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93D8ABA" w14:textId="77777777" w:rsidR="00BD2D6F" w:rsidRPr="00623A2B" w:rsidRDefault="00BD2D6F" w:rsidP="00BD2D6F">
      <w:pPr>
        <w:pStyle w:val="ListParagraph"/>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fr-FR"/>
        </w:rPr>
      </w:pPr>
      <w:r w:rsidRPr="00623A2B">
        <w:rPr>
          <w:rFonts w:ascii="Times New Roman" w:hAnsi="Times New Roman"/>
          <w:szCs w:val="22"/>
          <w:lang w:val="fr-FR"/>
        </w:rPr>
        <w:t>D’appeler les États membres et les observateurs permanents à concerter des positions communes au sein des organisations multilatérales afin de faciliter conjointement le relèvement au lendemain de la pandémie, en accordant une attention particulière aux difficultés économiques, financières et de production qui ont été aggravées par la pandémie.</w:t>
      </w:r>
    </w:p>
    <w:p w14:paraId="68FFC647"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766814A" w14:textId="77777777" w:rsidR="00BD2D6F" w:rsidRPr="00623A2B" w:rsidRDefault="00BD2D6F" w:rsidP="00BD2D6F">
      <w:pPr>
        <w:pStyle w:val="ListParagraph"/>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themeColor="text1"/>
          <w:szCs w:val="22"/>
          <w:lang w:val="fr-FR"/>
        </w:rPr>
      </w:pPr>
      <w:r w:rsidRPr="00623A2B">
        <w:rPr>
          <w:rFonts w:ascii="Times New Roman" w:hAnsi="Times New Roman"/>
          <w:color w:val="000000" w:themeColor="text1"/>
          <w:szCs w:val="22"/>
          <w:lang w:val="fr-FR"/>
        </w:rPr>
        <w:t xml:space="preserve">De soutenir le rôle de la vaccination à grande échelle contre la COVID-19 en tant que bien public mondial et de réitérer aux États membres et aux observateurs permanents qui sont en mesure de le faire de prendre des mesures pour faciliter la distribution équitable des vaccins dans le continent américain, en considérant qu’un élément clé pour surmonter cette situation d’urgence est l’accélération </w:t>
      </w:r>
      <w:r w:rsidRPr="00623A2B">
        <w:rPr>
          <w:rFonts w:ascii="Times New Roman" w:hAnsi="Times New Roman"/>
          <w:color w:val="000000" w:themeColor="text1"/>
          <w:szCs w:val="22"/>
          <w:lang w:val="fr-FR"/>
        </w:rPr>
        <w:lastRenderedPageBreak/>
        <w:t>de l'accès équitable et nécessaire à des vaccins contre la COVID-19 qui soient sûrs, efficaces, abordables et de qualité.</w:t>
      </w:r>
    </w:p>
    <w:p w14:paraId="727AB225"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8113378" w14:textId="77777777" w:rsidR="00BD2D6F" w:rsidRPr="00623A2B" w:rsidRDefault="00BD2D6F" w:rsidP="00BD2D6F">
      <w:pPr>
        <w:pStyle w:val="ListParagraph"/>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fr-FR"/>
        </w:rPr>
      </w:pPr>
      <w:r w:rsidRPr="00623A2B">
        <w:rPr>
          <w:rFonts w:ascii="Times New Roman" w:hAnsi="Times New Roman"/>
          <w:color w:val="000000" w:themeColor="text1"/>
          <w:szCs w:val="22"/>
          <w:lang w:val="fr-FR"/>
        </w:rPr>
        <w:t>D’appeler les institutions financières internationales à accorder des financements</w:t>
      </w:r>
      <w:r w:rsidRPr="00623A2B">
        <w:rPr>
          <w:rStyle w:val="FootnoteReference"/>
          <w:rFonts w:ascii="Times New Roman" w:hAnsi="Times New Roman"/>
          <w:szCs w:val="22"/>
          <w:u w:val="single"/>
          <w:vertAlign w:val="superscript"/>
          <w:lang w:val="pt-BR"/>
        </w:rPr>
        <w:footnoteReference w:id="114"/>
      </w:r>
      <w:r w:rsidRPr="00623A2B">
        <w:rPr>
          <w:rFonts w:ascii="Times New Roman" w:hAnsi="Times New Roman"/>
          <w:szCs w:val="22"/>
          <w:vertAlign w:val="superscript"/>
          <w:lang w:val="fr-CA"/>
        </w:rPr>
        <w:t>/</w:t>
      </w:r>
      <w:r w:rsidRPr="00623A2B">
        <w:rPr>
          <w:rFonts w:ascii="Times New Roman" w:hAnsi="Times New Roman"/>
          <w:color w:val="000000" w:themeColor="text1"/>
          <w:szCs w:val="22"/>
          <w:lang w:val="fr-FR"/>
        </w:rPr>
        <w:t xml:space="preserve"> à des conditions favorables aux pays en développement, en particulier aux petits États, en fonction de leur vulnérabilité, afin d'atténuer les pertes économiques causées par la pandémie de COVID-19. </w:t>
      </w:r>
    </w:p>
    <w:p w14:paraId="76F07083" w14:textId="77777777" w:rsidR="00BD2D6F" w:rsidRPr="00623A2B" w:rsidRDefault="00BD2D6F" w:rsidP="00BD2D6F">
      <w:pPr>
        <w:pStyle w:val="ListParagraph"/>
        <w:rPr>
          <w:rFonts w:ascii="Times New Roman" w:hAnsi="Times New Roman"/>
          <w:szCs w:val="22"/>
          <w:lang w:val="fr-FR"/>
        </w:rPr>
      </w:pPr>
    </w:p>
    <w:p w14:paraId="01193D57" w14:textId="77777777" w:rsidR="00BD2D6F" w:rsidRPr="00623A2B" w:rsidRDefault="00BD2D6F" w:rsidP="00BD2D6F">
      <w:pPr>
        <w:pStyle w:val="ListParagraph"/>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themeColor="text1"/>
          <w:szCs w:val="22"/>
          <w:lang w:val="fr-FR"/>
        </w:rPr>
      </w:pPr>
      <w:r w:rsidRPr="00623A2B">
        <w:rPr>
          <w:rFonts w:ascii="Times New Roman" w:hAnsi="Times New Roman"/>
          <w:color w:val="000000" w:themeColor="text1"/>
          <w:szCs w:val="22"/>
          <w:lang w:val="fr-FR"/>
        </w:rPr>
        <w:t>D’encourager les États membres à mettre en œuvre des stratégies de communication et de participation sociale visant à regagner la confiance de la population dans la vaccination au bénéfice de l’atteinte de l’immunité dans chacun d’eux</w:t>
      </w:r>
      <w:r w:rsidRPr="00623A2B">
        <w:rPr>
          <w:rFonts w:ascii="Times New Roman" w:hAnsi="Times New Roman"/>
          <w:b/>
          <w:bCs/>
          <w:color w:val="000000" w:themeColor="text1"/>
          <w:szCs w:val="22"/>
          <w:lang w:val="fr-FR"/>
        </w:rPr>
        <w:t>.</w:t>
      </w:r>
    </w:p>
    <w:p w14:paraId="4052EDE0"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87C77DA"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623A2B">
        <w:rPr>
          <w:rFonts w:ascii="Times New Roman" w:hAnsi="Times New Roman"/>
          <w:szCs w:val="22"/>
          <w:lang w:val="fr-FR"/>
        </w:rPr>
        <w:tab/>
        <w:t>10.</w:t>
      </w:r>
      <w:r w:rsidRPr="00623A2B">
        <w:rPr>
          <w:rFonts w:ascii="Times New Roman" w:hAnsi="Times New Roman"/>
          <w:szCs w:val="22"/>
          <w:lang w:val="fr-FR"/>
        </w:rPr>
        <w:tab/>
        <w:t>D’exhorter les États membres à appliquer, selon le cas, en fonction de leur situation et de leurs priorités nationales, dans le contexte de la pandémie de COVID-19 et particulièrement dans le contexte mondial de la vaccination et des conditions requises pour les voyages internationaux, des mesures visant à faciliter la libre circulation des voyageurs, conformément au Règlement sanitaire international et en gardant à l'esprit les recommandations et orientations de l'OMS concernant la vaccination et les voyages.</w:t>
      </w:r>
    </w:p>
    <w:p w14:paraId="6A0EC474"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623A2B">
        <w:rPr>
          <w:rFonts w:ascii="Times New Roman" w:hAnsi="Times New Roman"/>
          <w:szCs w:val="22"/>
          <w:lang w:val="fr-FR"/>
        </w:rPr>
        <w:br w:type="page"/>
      </w:r>
    </w:p>
    <w:p w14:paraId="5393834F" w14:textId="77777777" w:rsidR="00BD2D6F" w:rsidRPr="00623A2B" w:rsidRDefault="00BD2D6F" w:rsidP="00BD2D6F">
      <w:pPr>
        <w:suppressAutoHyphens/>
        <w:jc w:val="center"/>
        <w:rPr>
          <w:rFonts w:ascii="Times New Roman" w:hAnsi="Times New Roman"/>
          <w:sz w:val="20"/>
          <w:lang w:val="fr-CA"/>
        </w:rPr>
      </w:pPr>
      <w:r w:rsidRPr="00623A2B">
        <w:rPr>
          <w:rFonts w:ascii="Times New Roman" w:hAnsi="Times New Roman"/>
          <w:sz w:val="20"/>
          <w:lang w:val="fr-CA"/>
        </w:rPr>
        <w:lastRenderedPageBreak/>
        <w:t>NOTES DE BAS DE PAGE</w:t>
      </w:r>
    </w:p>
    <w:p w14:paraId="5D21607D" w14:textId="77777777" w:rsidR="00BD2D6F" w:rsidRPr="00623A2B" w:rsidRDefault="00BD2D6F" w:rsidP="00BD2D6F">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CA"/>
        </w:rPr>
      </w:pPr>
    </w:p>
    <w:p w14:paraId="647F7FBD" w14:textId="77777777" w:rsidR="00BD2D6F" w:rsidRPr="00623A2B" w:rsidRDefault="00BD2D6F" w:rsidP="00BD2D6F">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CA"/>
        </w:rPr>
      </w:pPr>
    </w:p>
    <w:p w14:paraId="0A5457D2" w14:textId="77777777" w:rsidR="00BD2D6F" w:rsidRPr="00623A2B" w:rsidRDefault="00BD2D6F" w:rsidP="00BD2D6F">
      <w:pPr>
        <w:pStyle w:val="FootnoteText"/>
        <w:tabs>
          <w:tab w:val="clear" w:pos="360"/>
        </w:tabs>
        <w:ind w:left="0" w:firstLine="360"/>
        <w:rPr>
          <w:rFonts w:ascii="Times New Roman" w:hAnsi="Times New Roman"/>
          <w:sz w:val="20"/>
          <w:lang w:val="fr-CA"/>
        </w:rPr>
      </w:pPr>
      <w:r w:rsidRPr="00623A2B">
        <w:rPr>
          <w:rFonts w:ascii="Times New Roman" w:hAnsi="Times New Roman"/>
          <w:sz w:val="20"/>
          <w:lang w:val="fr-CA"/>
        </w:rPr>
        <w:tab/>
        <w:t>1.</w:t>
      </w:r>
      <w:r w:rsidRPr="00623A2B">
        <w:rPr>
          <w:rFonts w:ascii="Times New Roman" w:hAnsi="Times New Roman"/>
          <w:sz w:val="20"/>
          <w:lang w:val="fr-CA"/>
        </w:rPr>
        <w:tab/>
        <w:t>… Cinquante-et-unième Session ordinaire de l’Assemblée générale de l’Organisation des États Américains (OEA), lesquelles constituent des actes contraires au droit international.</w:t>
      </w:r>
    </w:p>
    <w:p w14:paraId="60B9C4D1" w14:textId="77777777" w:rsidR="00BD2D6F" w:rsidRPr="00623A2B" w:rsidRDefault="00BD2D6F" w:rsidP="00BD2D6F">
      <w:pPr>
        <w:pStyle w:val="FootnoteText"/>
        <w:tabs>
          <w:tab w:val="clear" w:pos="360"/>
        </w:tabs>
        <w:ind w:left="0" w:firstLine="360"/>
        <w:rPr>
          <w:rFonts w:ascii="Times New Roman" w:hAnsi="Times New Roman"/>
          <w:sz w:val="20"/>
          <w:lang w:val="fr-CA"/>
        </w:rPr>
      </w:pPr>
    </w:p>
    <w:p w14:paraId="51C0623D" w14:textId="77777777" w:rsidR="00BD2D6F" w:rsidRPr="00623A2B" w:rsidRDefault="00BD2D6F" w:rsidP="00BD2D6F">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5C858F9B" w14:textId="77777777" w:rsidR="00BD2D6F" w:rsidRPr="00623A2B" w:rsidRDefault="00BD2D6F" w:rsidP="00BD2D6F">
      <w:pPr>
        <w:pStyle w:val="FootnoteText"/>
        <w:tabs>
          <w:tab w:val="clear" w:pos="360"/>
        </w:tabs>
        <w:ind w:left="0" w:firstLine="360"/>
        <w:rPr>
          <w:rFonts w:ascii="Times New Roman" w:hAnsi="Times New Roman"/>
          <w:sz w:val="20"/>
          <w:lang w:val="fr-CA"/>
        </w:rPr>
      </w:pPr>
    </w:p>
    <w:p w14:paraId="0AE31829" w14:textId="77777777" w:rsidR="00BD2D6F" w:rsidRPr="00623A2B" w:rsidRDefault="00BD2D6F" w:rsidP="00BD2D6F">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4522911F" w14:textId="77777777" w:rsidR="00BD2D6F" w:rsidRPr="00623A2B" w:rsidRDefault="00BD2D6F" w:rsidP="00BD2D6F">
      <w:pPr>
        <w:pStyle w:val="FootnoteText"/>
        <w:tabs>
          <w:tab w:val="clear" w:pos="360"/>
        </w:tabs>
        <w:ind w:left="0" w:firstLine="360"/>
        <w:rPr>
          <w:rFonts w:ascii="Times New Roman" w:hAnsi="Times New Roman"/>
          <w:sz w:val="20"/>
          <w:lang w:val="fr-CA"/>
        </w:rPr>
      </w:pPr>
    </w:p>
    <w:p w14:paraId="5A261CE4" w14:textId="77777777" w:rsidR="00BD2D6F" w:rsidRPr="00623A2B" w:rsidRDefault="00BD2D6F" w:rsidP="00BD2D6F">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La reconnaissance d’un gouvernement est un acte souverain des États, et non des institutions internationales. L’OEA ne possède ni ne peut s’arroger des facultés de reconnaissance collective opposable à la qualité de membre; c’est pourquoi tout acte visant à atteindre cet objectif tombe en dehors de sa compétence et est matériellement nul.</w:t>
      </w:r>
    </w:p>
    <w:p w14:paraId="032F2D60" w14:textId="77777777" w:rsidR="00BD2D6F" w:rsidRPr="00623A2B" w:rsidRDefault="00BD2D6F" w:rsidP="00BD2D6F">
      <w:pPr>
        <w:pStyle w:val="FootnoteText"/>
        <w:tabs>
          <w:tab w:val="clear" w:pos="360"/>
        </w:tabs>
        <w:ind w:left="0" w:firstLine="360"/>
        <w:rPr>
          <w:rFonts w:ascii="Times New Roman" w:hAnsi="Times New Roman"/>
          <w:sz w:val="20"/>
          <w:lang w:val="fr-CA"/>
        </w:rPr>
      </w:pPr>
    </w:p>
    <w:p w14:paraId="43EC677C" w14:textId="77777777" w:rsidR="00BD2D6F" w:rsidRPr="00623A2B" w:rsidRDefault="00BD2D6F" w:rsidP="00BD2D6F">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5F4ACEF2" w14:textId="77777777" w:rsidR="00BD2D6F" w:rsidRPr="00623A2B" w:rsidRDefault="00BD2D6F" w:rsidP="00BD2D6F">
      <w:pPr>
        <w:pStyle w:val="FootnoteText"/>
        <w:tabs>
          <w:tab w:val="clear" w:pos="360"/>
        </w:tabs>
        <w:ind w:left="0" w:firstLine="360"/>
        <w:rPr>
          <w:rFonts w:ascii="Times New Roman" w:hAnsi="Times New Roman"/>
          <w:sz w:val="20"/>
          <w:lang w:val="fr-CA"/>
        </w:rPr>
      </w:pPr>
    </w:p>
    <w:p w14:paraId="53F21505" w14:textId="77777777" w:rsidR="00BD2D6F" w:rsidRPr="00623A2B" w:rsidRDefault="00BD2D6F" w:rsidP="00BD2D6F">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091D4B5E" w14:textId="77777777" w:rsidR="00BD2D6F" w:rsidRPr="00623A2B" w:rsidRDefault="00BD2D6F" w:rsidP="00BD2D6F">
      <w:pPr>
        <w:pStyle w:val="FootnoteText"/>
        <w:tabs>
          <w:tab w:val="clear" w:pos="360"/>
        </w:tabs>
        <w:ind w:left="0" w:firstLine="360"/>
        <w:rPr>
          <w:rFonts w:ascii="Times New Roman" w:hAnsi="Times New Roman"/>
          <w:sz w:val="20"/>
          <w:lang w:val="fr-CA"/>
        </w:rPr>
      </w:pPr>
    </w:p>
    <w:p w14:paraId="43E113DD" w14:textId="77777777" w:rsidR="00BD2D6F" w:rsidRPr="00623A2B" w:rsidRDefault="00BD2D6F" w:rsidP="00BD2D6F">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2CC3E066" w14:textId="77777777" w:rsidR="00BD2D6F" w:rsidRPr="00623A2B" w:rsidRDefault="00BD2D6F" w:rsidP="00BD2D6F">
      <w:pPr>
        <w:pStyle w:val="FootnoteText"/>
        <w:tabs>
          <w:tab w:val="clear" w:pos="360"/>
        </w:tabs>
        <w:ind w:left="0" w:firstLine="720"/>
        <w:rPr>
          <w:rFonts w:ascii="Times New Roman" w:hAnsi="Times New Roman"/>
          <w:sz w:val="20"/>
          <w:lang w:val="fr-CA"/>
        </w:rPr>
      </w:pPr>
    </w:p>
    <w:p w14:paraId="71847E18" w14:textId="77777777" w:rsidR="00BD2D6F" w:rsidRPr="00623A2B" w:rsidRDefault="00BD2D6F" w:rsidP="00BD2D6F">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2.</w:t>
      </w:r>
      <w:r w:rsidRPr="00623A2B">
        <w:rPr>
          <w:rFonts w:ascii="Times New Roman" w:hAnsi="Times New Roman"/>
          <w:sz w:val="20"/>
          <w:lang w:val="fr-CA"/>
        </w:rPr>
        <w:tab/>
        <w:t xml:space="preserve">… de personnes qui prétendent usurper la représentation légale de la République bolivarienne du Venezuela et du Gouvernement légitime du Président </w:t>
      </w:r>
      <w:proofErr w:type="spellStart"/>
      <w:r w:rsidRPr="00623A2B">
        <w:rPr>
          <w:rFonts w:ascii="Times New Roman" w:hAnsi="Times New Roman"/>
          <w:sz w:val="20"/>
          <w:lang w:val="fr-CA"/>
        </w:rPr>
        <w:t>Nicolás</w:t>
      </w:r>
      <w:proofErr w:type="spellEnd"/>
      <w:r w:rsidRPr="00623A2B">
        <w:rPr>
          <w:rFonts w:ascii="Times New Roman" w:hAnsi="Times New Roman"/>
          <w:sz w:val="20"/>
          <w:lang w:val="fr-CA"/>
        </w:rPr>
        <w:t xml:space="preserve"> </w:t>
      </w:r>
      <w:proofErr w:type="spellStart"/>
      <w:r w:rsidRPr="00623A2B">
        <w:rPr>
          <w:rFonts w:ascii="Times New Roman" w:hAnsi="Times New Roman"/>
          <w:sz w:val="20"/>
          <w:lang w:val="fr-CA"/>
        </w:rPr>
        <w:t>Maduro</w:t>
      </w:r>
      <w:proofErr w:type="spellEnd"/>
      <w:r w:rsidRPr="00623A2B">
        <w:rPr>
          <w:rFonts w:ascii="Times New Roman" w:hAnsi="Times New Roman"/>
          <w:sz w:val="20"/>
          <w:lang w:val="fr-CA"/>
        </w:rPr>
        <w:t xml:space="preserve"> Moros. Nous demandons que notre refus soit consigné dans tous les documents qui seront traités lors de la présente Cinquante-et-unième Session de l’Assemblée générale de l’OEA.</w:t>
      </w:r>
    </w:p>
    <w:p w14:paraId="02E66525" w14:textId="77777777" w:rsidR="00BD2D6F" w:rsidRPr="00623A2B" w:rsidRDefault="00BD2D6F" w:rsidP="00BD2D6F">
      <w:pPr>
        <w:pStyle w:val="FootnoteText"/>
        <w:tabs>
          <w:tab w:val="clear" w:pos="360"/>
        </w:tabs>
        <w:ind w:left="0" w:firstLine="720"/>
        <w:rPr>
          <w:rFonts w:ascii="Times New Roman" w:hAnsi="Times New Roman"/>
          <w:sz w:val="20"/>
          <w:lang w:val="fr-CA"/>
        </w:rPr>
      </w:pPr>
    </w:p>
    <w:p w14:paraId="5BC2EAD2" w14:textId="77777777" w:rsidR="00BD2D6F" w:rsidRPr="00623A2B" w:rsidRDefault="00BD2D6F" w:rsidP="00BD2D6F">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3.</w:t>
      </w:r>
      <w:r w:rsidRPr="00623A2B">
        <w:rPr>
          <w:rFonts w:ascii="Times New Roman" w:hAnsi="Times New Roman"/>
          <w:sz w:val="20"/>
          <w:lang w:val="fr-CA"/>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5FB764D6" w14:textId="77777777" w:rsidR="00BD2D6F" w:rsidRPr="00623A2B" w:rsidRDefault="00BD2D6F" w:rsidP="00BD2D6F">
      <w:pPr>
        <w:pStyle w:val="FootnoteText"/>
        <w:tabs>
          <w:tab w:val="clear" w:pos="360"/>
        </w:tabs>
        <w:ind w:left="0" w:firstLine="720"/>
        <w:rPr>
          <w:rFonts w:ascii="Times New Roman" w:hAnsi="Times New Roman"/>
          <w:sz w:val="20"/>
          <w:lang w:val="fr-CA"/>
        </w:rPr>
      </w:pPr>
    </w:p>
    <w:p w14:paraId="19A461D3" w14:textId="77777777" w:rsidR="00BD2D6F" w:rsidRPr="00623A2B" w:rsidRDefault="00BD2D6F" w:rsidP="00BD2D6F">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 xml:space="preserve">Antigua-et-Barbuda n'a pas soutenu la résolution CP/RES. 1124 (2217/19) du 9 avril 2019 qui visait à nommer M. Gustavo </w:t>
      </w:r>
      <w:proofErr w:type="spellStart"/>
      <w:r w:rsidRPr="00623A2B">
        <w:rPr>
          <w:rFonts w:ascii="Times New Roman" w:hAnsi="Times New Roman"/>
          <w:sz w:val="20"/>
          <w:lang w:val="fr-CA"/>
        </w:rPr>
        <w:t>Tarre</w:t>
      </w:r>
      <w:proofErr w:type="spellEnd"/>
      <w:r w:rsidRPr="00623A2B">
        <w:rPr>
          <w:rFonts w:ascii="Times New Roman" w:hAnsi="Times New Roman"/>
          <w:sz w:val="20"/>
          <w:lang w:val="fr-CA"/>
        </w:rPr>
        <w:t xml:space="preserve"> comme représentant de l'Assemblée nationale auprès de l'OEA et n'a pas accepté les </w:t>
      </w:r>
      <w:r w:rsidRPr="00623A2B">
        <w:rPr>
          <w:rFonts w:ascii="Times New Roman" w:hAnsi="Times New Roman"/>
          <w:sz w:val="20"/>
          <w:lang w:val="fr-CA"/>
        </w:rPr>
        <w:lastRenderedPageBreak/>
        <w:t xml:space="preserve">pouvoirs des fonctionnaires ayant l'intention de représenter la République bolivarienne du Venezuela aux quarante-neuvième, cinquantième et cinquante-et-unième sessions ordinaires de l'Assemblée générale. </w:t>
      </w:r>
    </w:p>
    <w:p w14:paraId="5249ADB3" w14:textId="77777777" w:rsidR="00BD2D6F" w:rsidRPr="00623A2B" w:rsidRDefault="00BD2D6F" w:rsidP="00BD2D6F">
      <w:pPr>
        <w:pStyle w:val="FootnoteText"/>
        <w:tabs>
          <w:tab w:val="clear" w:pos="360"/>
        </w:tabs>
        <w:ind w:left="0" w:firstLine="720"/>
        <w:rPr>
          <w:rFonts w:ascii="Times New Roman" w:hAnsi="Times New Roman"/>
          <w:sz w:val="20"/>
          <w:lang w:val="fr-CA"/>
        </w:rPr>
      </w:pPr>
    </w:p>
    <w:p w14:paraId="6F9981E5" w14:textId="77777777" w:rsidR="00BD2D6F" w:rsidRPr="00623A2B" w:rsidRDefault="00BD2D6F" w:rsidP="00BD2D6F">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6F190E2C" w14:textId="77777777" w:rsidR="00BD2D6F" w:rsidRPr="00623A2B" w:rsidRDefault="00BD2D6F" w:rsidP="00BD2D6F">
      <w:pPr>
        <w:pStyle w:val="FootnoteText"/>
        <w:tabs>
          <w:tab w:val="clear" w:pos="360"/>
        </w:tabs>
        <w:ind w:left="0" w:firstLine="720"/>
        <w:rPr>
          <w:rFonts w:ascii="Times New Roman" w:hAnsi="Times New Roman"/>
          <w:sz w:val="20"/>
          <w:lang w:val="fr-CA"/>
        </w:rPr>
      </w:pPr>
    </w:p>
    <w:p w14:paraId="2F41A20D" w14:textId="77777777" w:rsidR="00BD2D6F" w:rsidRPr="00623A2B" w:rsidRDefault="00BD2D6F" w:rsidP="00BD2D6F">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4.</w:t>
      </w:r>
      <w:r w:rsidRPr="00623A2B">
        <w:rPr>
          <w:rFonts w:ascii="Times New Roman" w:hAnsi="Times New Roman"/>
          <w:sz w:val="20"/>
          <w:lang w:val="fr-CA"/>
        </w:rPr>
        <w:tab/>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03F28E24" w14:textId="77777777" w:rsidR="00BD2D6F" w:rsidRPr="00623A2B" w:rsidRDefault="00BD2D6F" w:rsidP="00BD2D6F">
      <w:pPr>
        <w:pStyle w:val="FootnoteText"/>
        <w:tabs>
          <w:tab w:val="clear" w:pos="360"/>
        </w:tabs>
        <w:ind w:left="0" w:firstLine="720"/>
        <w:rPr>
          <w:rFonts w:ascii="Times New Roman" w:hAnsi="Times New Roman"/>
          <w:sz w:val="20"/>
          <w:lang w:val="fr-CA"/>
        </w:rPr>
      </w:pPr>
    </w:p>
    <w:p w14:paraId="0B439E26" w14:textId="77777777" w:rsidR="00BD2D6F" w:rsidRPr="00623A2B" w:rsidRDefault="00BD2D6F" w:rsidP="00BD2D6F">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p>
    <w:p w14:paraId="3C16CB95" w14:textId="77777777" w:rsidR="00BD2D6F" w:rsidRPr="00623A2B" w:rsidRDefault="00BD2D6F" w:rsidP="00BD2D6F">
      <w:pPr>
        <w:pStyle w:val="FootnoteText"/>
        <w:tabs>
          <w:tab w:val="clear" w:pos="360"/>
        </w:tabs>
        <w:ind w:left="0" w:firstLine="720"/>
        <w:rPr>
          <w:rFonts w:ascii="Times New Roman" w:hAnsi="Times New Roman"/>
          <w:sz w:val="20"/>
          <w:lang w:val="fr-CA"/>
        </w:rPr>
      </w:pPr>
    </w:p>
    <w:p w14:paraId="518CDA4F" w14:textId="77777777" w:rsidR="00BD2D6F" w:rsidRPr="00623A2B" w:rsidRDefault="00BD2D6F" w:rsidP="00BD2D6F">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5.</w:t>
      </w:r>
      <w:r w:rsidRPr="00623A2B">
        <w:rPr>
          <w:rFonts w:ascii="Times New Roman" w:hAnsi="Times New Roman"/>
          <w:sz w:val="20"/>
          <w:lang w:val="fr-CA"/>
        </w:rPr>
        <w:tab/>
        <w:t xml:space="preserve">… </w:t>
      </w:r>
      <w:r w:rsidRPr="00623A2B">
        <w:rPr>
          <w:rFonts w:ascii="Times New Roman" w:hAnsi="Times New Roman"/>
          <w:noProof/>
          <w:sz w:val="20"/>
          <w:lang w:val="fr-FR"/>
        </w:rPr>
        <w:t>financements auprès d'autres sources. L'Organisation des États Américains n'est pas le cadre approprié pour ces discussions, et les États-Unis ne considèrent pas que les recommandations formulées par l'Organisation des États Américains sur ces questions soient contraignantes.</w:t>
      </w:r>
    </w:p>
    <w:p w14:paraId="239FF7F8" w14:textId="77777777" w:rsidR="00BD2D6F" w:rsidRPr="00623A2B" w:rsidRDefault="00BD2D6F" w:rsidP="00BD2D6F">
      <w:pPr>
        <w:widowControl/>
        <w:tabs>
          <w:tab w:val="clear" w:pos="720"/>
          <w:tab w:val="clear" w:pos="1440"/>
          <w:tab w:val="clear" w:pos="2160"/>
          <w:tab w:val="clear" w:pos="2880"/>
          <w:tab w:val="clear" w:pos="3600"/>
          <w:tab w:val="clear" w:pos="4320"/>
          <w:tab w:val="clear" w:pos="5760"/>
          <w:tab w:val="clear" w:pos="6480"/>
          <w:tab w:val="clear" w:pos="7200"/>
          <w:tab w:val="clear" w:pos="7920"/>
        </w:tabs>
        <w:rPr>
          <w:rStyle w:val="FootnoteReference"/>
          <w:rFonts w:ascii="Times New Roman" w:hAnsi="Times New Roman"/>
          <w:szCs w:val="22"/>
          <w:lang w:val="fr-FR"/>
        </w:rPr>
      </w:pPr>
      <w:r w:rsidRPr="00623A2B">
        <w:rPr>
          <w:rFonts w:ascii="Times New Roman" w:hAnsi="Times New Roman"/>
          <w:noProof/>
          <w:szCs w:val="22"/>
        </w:rPr>
        <mc:AlternateContent>
          <mc:Choice Requires="wps">
            <w:drawing>
              <wp:anchor distT="0" distB="0" distL="114300" distR="114300" simplePos="0" relativeHeight="251748352" behindDoc="0" locked="1" layoutInCell="1" allowOverlap="1" wp14:anchorId="4AF8B4D1" wp14:editId="423D99F5">
                <wp:simplePos x="0" y="0"/>
                <wp:positionH relativeFrom="column">
                  <wp:posOffset>-4665980</wp:posOffset>
                </wp:positionH>
                <wp:positionV relativeFrom="margin">
                  <wp:align>bottom</wp:align>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1815736" w14:textId="77777777" w:rsidR="00BD2D6F" w:rsidRDefault="00BD2D6F" w:rsidP="00BD2D6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AG08415F04</w:t>
                            </w:r>
                            <w:r>
                              <w:rPr>
                                <w:rFonts w:ascii="Times New Roman" w:hAnsi="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F8B4D1" id="Text Box 5" o:spid="_x0000_s1030" type="#_x0000_t202" style="position:absolute;left:0;text-align:left;margin-left:-367.4pt;margin-top:0;width:266.4pt;height:18pt;z-index:25174835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" filled="f" stroked="f">
                <v:stroke joinstyle="round"/>
                <v:textbox>
                  <w:txbxContent>
                    <w:p w14:paraId="51815736" w14:textId="77777777" w:rsidR="00BD2D6F" w:rsidRDefault="00BD2D6F" w:rsidP="00BD2D6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AG08415F04</w:t>
                      </w:r>
                      <w:r>
                        <w:rPr>
                          <w:rFonts w:ascii="Times New Roman" w:hAnsi="Times New Roman"/>
                          <w:sz w:val="18"/>
                        </w:rPr>
                        <w:fldChar w:fldCharType="end"/>
                      </w:r>
                    </w:p>
                  </w:txbxContent>
                </v:textbox>
                <w10:wrap anchory="margin"/>
                <w10:anchorlock/>
              </v:shape>
            </w:pict>
          </mc:Fallback>
        </mc:AlternateContent>
      </w:r>
    </w:p>
    <w:p w14:paraId="6054E9E1" w14:textId="77777777" w:rsidR="00BD2D6F" w:rsidRPr="00623A2B" w:rsidRDefault="00BD2D6F" w:rsidP="008507FE">
      <w:pPr>
        <w:pStyle w:val="FootnoteText"/>
        <w:tabs>
          <w:tab w:val="clear" w:pos="360"/>
        </w:tabs>
        <w:rPr>
          <w:rFonts w:ascii="Times New Roman" w:hAnsi="Times New Roman"/>
          <w:sz w:val="20"/>
          <w:lang w:val="fr-FR"/>
        </w:rPr>
        <w:sectPr w:rsidR="00BD2D6F" w:rsidRPr="00623A2B" w:rsidSect="00623A2B">
          <w:footnotePr>
            <w:numRestart w:val="eachSect"/>
          </w:footnotePr>
          <w:type w:val="oddPage"/>
          <w:pgSz w:w="12240" w:h="15840" w:code="1"/>
          <w:pgMar w:top="2160" w:right="1570" w:bottom="1296" w:left="1699" w:header="720" w:footer="720" w:gutter="0"/>
          <w:cols w:space="720"/>
          <w:noEndnote/>
          <w:titlePg/>
          <w:docGrid w:linePitch="299"/>
        </w:sectPr>
      </w:pPr>
    </w:p>
    <w:p w14:paraId="1FA768ED" w14:textId="1325C8DB" w:rsidR="00E95600" w:rsidRPr="00623A2B" w:rsidRDefault="00E95600" w:rsidP="00E95600">
      <w:pPr>
        <w:pStyle w:val="Heading1"/>
        <w:spacing w:before="0"/>
        <w:jc w:val="center"/>
        <w:rPr>
          <w:rFonts w:ascii="Times New Roman" w:hAnsi="Times New Roman" w:cs="Times New Roman"/>
          <w:color w:val="auto"/>
          <w:sz w:val="22"/>
          <w:szCs w:val="22"/>
          <w:lang w:val="fr-FR"/>
        </w:rPr>
      </w:pPr>
      <w:bookmarkStart w:id="80" w:name="_Toc89177468"/>
      <w:r w:rsidRPr="00623A2B">
        <w:rPr>
          <w:rFonts w:ascii="Times New Roman" w:hAnsi="Times New Roman" w:cs="Times New Roman"/>
          <w:color w:val="auto"/>
          <w:sz w:val="22"/>
          <w:szCs w:val="22"/>
          <w:lang w:val="fr-FR"/>
        </w:rPr>
        <w:lastRenderedPageBreak/>
        <w:t>AG/RES. 297</w:t>
      </w:r>
      <w:r w:rsidR="0062745A" w:rsidRPr="00623A2B">
        <w:rPr>
          <w:rFonts w:ascii="Times New Roman" w:hAnsi="Times New Roman" w:cs="Times New Roman"/>
          <w:color w:val="auto"/>
          <w:sz w:val="22"/>
          <w:szCs w:val="22"/>
          <w:lang w:val="fr-FR"/>
        </w:rPr>
        <w:t>8</w:t>
      </w:r>
      <w:r w:rsidRPr="00623A2B">
        <w:rPr>
          <w:rFonts w:ascii="Times New Roman" w:hAnsi="Times New Roman" w:cs="Times New Roman"/>
          <w:color w:val="auto"/>
          <w:sz w:val="22"/>
          <w:szCs w:val="22"/>
          <w:lang w:val="fr-FR"/>
        </w:rPr>
        <w:t xml:space="preserve"> (LI-O/21)</w:t>
      </w:r>
      <w:r w:rsidRPr="00623A2B">
        <w:rPr>
          <w:rFonts w:ascii="Times New Roman" w:hAnsi="Times New Roman" w:cs="Times New Roman"/>
          <w:color w:val="auto"/>
          <w:sz w:val="22"/>
          <w:szCs w:val="22"/>
          <w:lang w:val="fr-FR"/>
        </w:rPr>
        <w:br/>
      </w:r>
      <w:r w:rsidRPr="00623A2B">
        <w:rPr>
          <w:rFonts w:ascii="Times New Roman" w:hAnsi="Times New Roman" w:cs="Times New Roman"/>
          <w:color w:val="auto"/>
          <w:sz w:val="22"/>
          <w:szCs w:val="22"/>
          <w:lang w:val="fr-FR"/>
        </w:rPr>
        <w:br/>
        <w:t>LA SITUATION AU NICARAGUA</w:t>
      </w:r>
      <w:r w:rsidRPr="00623A2B">
        <w:rPr>
          <w:rStyle w:val="FootnoteReference"/>
          <w:rFonts w:ascii="Times New Roman" w:hAnsi="Times New Roman" w:cs="Times New Roman"/>
          <w:sz w:val="22"/>
          <w:szCs w:val="22"/>
          <w:u w:val="single"/>
          <w:vertAlign w:val="superscript"/>
          <w:lang w:val="pt-BR"/>
        </w:rPr>
        <w:footnoteReference w:id="115"/>
      </w:r>
      <w:r w:rsidRPr="00623A2B">
        <w:rPr>
          <w:rFonts w:ascii="Times New Roman" w:hAnsi="Times New Roman" w:cs="Times New Roman"/>
          <w:color w:val="auto"/>
          <w:sz w:val="22"/>
          <w:szCs w:val="22"/>
          <w:vertAlign w:val="superscript"/>
          <w:lang w:val="fr-FR"/>
        </w:rPr>
        <w:t>/</w:t>
      </w:r>
      <w:r w:rsidRPr="00623A2B">
        <w:rPr>
          <w:rStyle w:val="FootnoteReference"/>
          <w:rFonts w:ascii="Times New Roman" w:hAnsi="Times New Roman" w:cs="Times New Roman"/>
          <w:sz w:val="22"/>
          <w:szCs w:val="22"/>
          <w:u w:val="single"/>
          <w:vertAlign w:val="superscript"/>
          <w:lang w:val="pt-BR"/>
        </w:rPr>
        <w:footnoteReference w:id="116"/>
      </w:r>
      <w:r w:rsidRPr="00623A2B">
        <w:rPr>
          <w:rFonts w:ascii="Times New Roman" w:hAnsi="Times New Roman" w:cs="Times New Roman"/>
          <w:color w:val="auto"/>
          <w:sz w:val="22"/>
          <w:szCs w:val="22"/>
          <w:vertAlign w:val="superscript"/>
          <w:lang w:val="fr-FR"/>
        </w:rPr>
        <w:t>/</w:t>
      </w:r>
      <w:r w:rsidRPr="00623A2B">
        <w:rPr>
          <w:rStyle w:val="FootnoteReference"/>
          <w:rFonts w:ascii="Times New Roman" w:hAnsi="Times New Roman" w:cs="Times New Roman"/>
          <w:sz w:val="22"/>
          <w:szCs w:val="22"/>
          <w:u w:val="single"/>
          <w:vertAlign w:val="superscript"/>
          <w:lang w:val="pt-BR"/>
        </w:rPr>
        <w:footnoteReference w:id="117"/>
      </w:r>
      <w:r w:rsidRPr="00623A2B">
        <w:rPr>
          <w:rFonts w:ascii="Times New Roman" w:hAnsi="Times New Roman" w:cs="Times New Roman"/>
          <w:color w:val="auto"/>
          <w:sz w:val="22"/>
          <w:szCs w:val="22"/>
          <w:vertAlign w:val="superscript"/>
          <w:lang w:val="fr-FR"/>
        </w:rPr>
        <w:t>/</w:t>
      </w:r>
      <w:r w:rsidRPr="00623A2B">
        <w:rPr>
          <w:rStyle w:val="FootnoteReference"/>
          <w:rFonts w:ascii="Times New Roman" w:hAnsi="Times New Roman" w:cs="Times New Roman"/>
          <w:sz w:val="22"/>
          <w:szCs w:val="22"/>
          <w:u w:val="single"/>
          <w:vertAlign w:val="superscript"/>
          <w:lang w:val="pt-BR"/>
        </w:rPr>
        <w:footnoteReference w:id="118"/>
      </w:r>
      <w:r w:rsidRPr="00623A2B">
        <w:rPr>
          <w:rFonts w:ascii="Times New Roman" w:hAnsi="Times New Roman" w:cs="Times New Roman"/>
          <w:color w:val="auto"/>
          <w:sz w:val="22"/>
          <w:szCs w:val="22"/>
          <w:vertAlign w:val="superscript"/>
          <w:lang w:val="fr-FR"/>
        </w:rPr>
        <w:t>/</w:t>
      </w:r>
      <w:r w:rsidRPr="00623A2B">
        <w:rPr>
          <w:rStyle w:val="FootnoteReference"/>
          <w:rFonts w:ascii="Times New Roman" w:hAnsi="Times New Roman" w:cs="Times New Roman"/>
          <w:sz w:val="22"/>
          <w:szCs w:val="22"/>
          <w:u w:val="single"/>
          <w:vertAlign w:val="superscript"/>
          <w:lang w:val="pt-BR"/>
        </w:rPr>
        <w:footnoteReference w:id="119"/>
      </w:r>
      <w:r w:rsidRPr="00623A2B">
        <w:rPr>
          <w:rFonts w:ascii="Times New Roman" w:hAnsi="Times New Roman" w:cs="Times New Roman"/>
          <w:color w:val="auto"/>
          <w:sz w:val="22"/>
          <w:szCs w:val="22"/>
          <w:vertAlign w:val="superscript"/>
          <w:lang w:val="fr-FR"/>
        </w:rPr>
        <w:t>/</w:t>
      </w:r>
      <w:bookmarkEnd w:id="80"/>
      <w:r w:rsidR="00ED42D8" w:rsidRPr="00ED2EA7">
        <w:rPr>
          <w:rStyle w:val="FootnoteReference"/>
          <w:rFonts w:ascii="Times New Roman" w:hAnsi="Times New Roman" w:cs="Times New Roman"/>
          <w:sz w:val="22"/>
          <w:szCs w:val="22"/>
          <w:u w:val="single"/>
          <w:vertAlign w:val="superscript"/>
          <w:lang w:val="fr-FR"/>
        </w:rPr>
        <w:footnoteReference w:id="120"/>
      </w:r>
      <w:r w:rsidR="00ED2EA7" w:rsidRPr="00ED2EA7">
        <w:rPr>
          <w:rFonts w:ascii="Times New Roman" w:hAnsi="Times New Roman" w:cs="Times New Roman"/>
          <w:color w:val="auto"/>
          <w:sz w:val="22"/>
          <w:szCs w:val="22"/>
          <w:vertAlign w:val="superscript"/>
          <w:lang w:val="fr-FR"/>
        </w:rPr>
        <w:t>/</w:t>
      </w:r>
    </w:p>
    <w:p w14:paraId="74711C91" w14:textId="77777777" w:rsidR="00E95600" w:rsidRPr="00623A2B" w:rsidRDefault="00E95600" w:rsidP="00E95600">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jc w:val="center"/>
        <w:rPr>
          <w:rFonts w:ascii="Times New Roman" w:hAnsi="Times New Roman"/>
          <w:szCs w:val="22"/>
          <w:lang w:val="fr-FR"/>
        </w:rPr>
      </w:pPr>
    </w:p>
    <w:p w14:paraId="3261EA07" w14:textId="77777777" w:rsidR="00E95600" w:rsidRPr="00623A2B" w:rsidRDefault="00E95600" w:rsidP="00E95600">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jc w:val="center"/>
        <w:rPr>
          <w:rFonts w:ascii="Times New Roman" w:hAnsi="Times New Roman"/>
          <w:color w:val="000000"/>
          <w:szCs w:val="22"/>
          <w:lang w:val="fr-FR"/>
        </w:rPr>
      </w:pPr>
      <w:r w:rsidRPr="00623A2B">
        <w:rPr>
          <w:rFonts w:ascii="Times New Roman" w:hAnsi="Times New Roman"/>
          <w:color w:val="000000"/>
          <w:szCs w:val="22"/>
          <w:lang w:val="fr-FR"/>
        </w:rPr>
        <w:t>(</w:t>
      </w:r>
      <w:r w:rsidRPr="00623A2B">
        <w:rPr>
          <w:rFonts w:ascii="Times New Roman" w:hAnsi="Times New Roman"/>
          <w:szCs w:val="22"/>
          <w:lang w:val="fr-FR"/>
        </w:rPr>
        <w:t xml:space="preserve">Résolution adoptée à la </w:t>
      </w:r>
      <w:r w:rsidRPr="00623A2B">
        <w:rPr>
          <w:rFonts w:ascii="Times New Roman" w:hAnsi="Times New Roman"/>
          <w:bCs/>
          <w:szCs w:val="22"/>
          <w:lang w:val="fr-FR"/>
        </w:rPr>
        <w:t xml:space="preserve">quatrième </w:t>
      </w:r>
      <w:r w:rsidRPr="00623A2B">
        <w:rPr>
          <w:rFonts w:ascii="Times New Roman" w:hAnsi="Times New Roman"/>
          <w:szCs w:val="22"/>
          <w:lang w:val="fr-FR"/>
        </w:rPr>
        <w:t>séance plénière, le 12 novembre 2021</w:t>
      </w:r>
      <w:r w:rsidRPr="00623A2B">
        <w:rPr>
          <w:rFonts w:ascii="Times New Roman" w:hAnsi="Times New Roman"/>
          <w:color w:val="000000"/>
          <w:szCs w:val="22"/>
          <w:lang w:val="fr-FR"/>
        </w:rPr>
        <w:t>)</w:t>
      </w:r>
    </w:p>
    <w:p w14:paraId="715BD20D" w14:textId="77777777" w:rsidR="00E95600" w:rsidRPr="00623A2B" w:rsidRDefault="00E95600" w:rsidP="00E95600">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rPr>
          <w:rFonts w:ascii="Times New Roman" w:hAnsi="Times New Roman"/>
          <w:color w:val="000000"/>
          <w:szCs w:val="22"/>
          <w:lang w:val="fr-FR"/>
        </w:rPr>
      </w:pPr>
    </w:p>
    <w:p w14:paraId="6A962FCF" w14:textId="77777777" w:rsidR="00E95600" w:rsidRPr="00623A2B" w:rsidRDefault="00E95600" w:rsidP="00E95600">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rPr>
          <w:rFonts w:ascii="Times New Roman" w:hAnsi="Times New Roman"/>
          <w:color w:val="000000"/>
          <w:szCs w:val="22"/>
          <w:lang w:val="fr-FR"/>
        </w:rPr>
      </w:pPr>
    </w:p>
    <w:p w14:paraId="1EB51867" w14:textId="77777777" w:rsidR="00E95600" w:rsidRPr="00623A2B" w:rsidRDefault="00E95600" w:rsidP="00E9560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fr-FR"/>
        </w:rPr>
      </w:pPr>
      <w:r w:rsidRPr="00623A2B">
        <w:rPr>
          <w:rFonts w:ascii="Times New Roman" w:hAnsi="Times New Roman"/>
          <w:szCs w:val="22"/>
          <w:lang w:val="fr-FR"/>
        </w:rPr>
        <w:t xml:space="preserve">L’ASSEMBLÉE GÉNÉRALE, </w:t>
      </w:r>
    </w:p>
    <w:p w14:paraId="2475F918" w14:textId="77777777" w:rsidR="00E95600" w:rsidRPr="00623A2B" w:rsidRDefault="00E95600" w:rsidP="00E956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CE1C0BE" w14:textId="77777777" w:rsidR="00E95600" w:rsidRPr="00623A2B" w:rsidRDefault="00E95600" w:rsidP="00E9560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fr-FR"/>
        </w:rPr>
      </w:pPr>
      <w:r w:rsidRPr="00623A2B">
        <w:rPr>
          <w:rFonts w:ascii="Times New Roman" w:hAnsi="Times New Roman"/>
          <w:szCs w:val="22"/>
          <w:lang w:val="fr-FR"/>
        </w:rPr>
        <w:t>RAPPELANT la Charte démocratique interaméricaine, qui établit que « les peuples des Amériques ont droit à la démocratie et leurs gouvernements ont pour obligation de la promouvoir et de la défendre »,</w:t>
      </w:r>
    </w:p>
    <w:p w14:paraId="5BAC2D9C" w14:textId="77777777" w:rsidR="00E95600" w:rsidRPr="00623A2B" w:rsidRDefault="00E95600" w:rsidP="00E956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75EABC9" w14:textId="77777777" w:rsidR="00E95600" w:rsidRPr="00623A2B" w:rsidRDefault="00E95600" w:rsidP="00E9560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fr-FR"/>
        </w:rPr>
      </w:pPr>
      <w:r w:rsidRPr="00623A2B">
        <w:rPr>
          <w:rFonts w:ascii="Times New Roman" w:hAnsi="Times New Roman"/>
          <w:szCs w:val="22"/>
          <w:lang w:val="fr-FR"/>
        </w:rPr>
        <w:t xml:space="preserve">CONSCIENTE des résolutions et des mandats, adoptés depuis 2018, qui exhortent au maintien et au renforcement des institutions démocratiques et des droits de la personne au Nicaragua, et des nombreux efforts déployés par l'Organisation des États Américains (OEA) pour s’entretenir de manière constructive avec le Gouvernement du Nicaragua afin d'aider au dialogue politique et à la réforme électorale, </w:t>
      </w:r>
    </w:p>
    <w:p w14:paraId="05F1305D" w14:textId="77777777" w:rsidR="00E95600" w:rsidRPr="00623A2B" w:rsidRDefault="00E95600" w:rsidP="00E956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10D91A75" w14:textId="77777777" w:rsidR="00E95600" w:rsidRPr="00623A2B" w:rsidRDefault="00E95600" w:rsidP="00E9560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color w:val="000000" w:themeColor="text1"/>
          <w:szCs w:val="22"/>
          <w:lang w:val="fr-FR"/>
        </w:rPr>
      </w:pPr>
      <w:r w:rsidRPr="00623A2B">
        <w:rPr>
          <w:rFonts w:ascii="Times New Roman" w:hAnsi="Times New Roman"/>
          <w:color w:val="000000" w:themeColor="text1"/>
          <w:szCs w:val="22"/>
          <w:lang w:val="fr-FR"/>
        </w:rPr>
        <w:t>PROFONDÉMENT PRÉOCCUPÉE par le fait que le Gouvernement du Nicaragua a écarté toutes les recommandations de l'OEA et, selon des rapports faisant autorité de la Commission interaméricaine des droits de l'homme et du Haut-Commissariat des Nations Unies aux droits de l'homme (HCDH), a harcelé, restreint et arrêté des candidats, des partis, des médias indépendants et la société civile dans le cadre du processus électoral, ce qui est en désaccord avec les articles 2 et 3 de la Charte démocratique interaméricaine,</w:t>
      </w:r>
    </w:p>
    <w:p w14:paraId="73D8B698" w14:textId="77777777" w:rsidR="00E95600" w:rsidRPr="00623A2B" w:rsidRDefault="00E95600" w:rsidP="00E956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5BE1D8FB" w14:textId="77777777" w:rsidR="00E95600" w:rsidRPr="00623A2B" w:rsidRDefault="00E95600" w:rsidP="00E9560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color w:val="000000" w:themeColor="text1"/>
          <w:szCs w:val="22"/>
          <w:lang w:val="fr-FR"/>
        </w:rPr>
      </w:pPr>
      <w:r w:rsidRPr="00623A2B">
        <w:rPr>
          <w:rFonts w:ascii="Times New Roman" w:hAnsi="Times New Roman"/>
          <w:color w:val="000000" w:themeColor="text1"/>
          <w:szCs w:val="22"/>
          <w:lang w:val="fr-FR"/>
        </w:rPr>
        <w:t xml:space="preserve">ALARMÉE par les conclusions de la CIDH, dans son rapport « Nicaragua : Concentration du pouvoir et affaiblissement de l'État de droit » publié le 25 </w:t>
      </w:r>
      <w:r w:rsidRPr="00623A2B">
        <w:rPr>
          <w:rFonts w:ascii="Times New Roman" w:hAnsi="Times New Roman"/>
          <w:szCs w:val="22"/>
          <w:lang w:val="fr-FR"/>
        </w:rPr>
        <w:t xml:space="preserve">octobre 2021, qui affirme que « un État policier a également été instauré » au moyen de la répression, de la corruption, de la fraude électorale et de l'impunité structurelle conçues par le Gouvernement </w:t>
      </w:r>
      <w:r w:rsidRPr="00623A2B">
        <w:rPr>
          <w:rFonts w:ascii="Times New Roman" w:hAnsi="Times New Roman"/>
          <w:color w:val="000000" w:themeColor="text1"/>
          <w:szCs w:val="22"/>
          <w:lang w:val="fr-FR"/>
        </w:rPr>
        <w:t xml:space="preserve">pour parvenir à sa « permanence </w:t>
      </w:r>
      <w:r w:rsidRPr="00623A2B">
        <w:rPr>
          <w:rFonts w:ascii="Times New Roman" w:hAnsi="Times New Roman"/>
          <w:szCs w:val="22"/>
          <w:lang w:val="fr-FR"/>
        </w:rPr>
        <w:t xml:space="preserve">indéfinie au pouvoir et au maintien des privilèges et immunités », </w:t>
      </w:r>
    </w:p>
    <w:p w14:paraId="024E0774" w14:textId="77777777" w:rsidR="00E95600" w:rsidRPr="00623A2B" w:rsidRDefault="00E95600" w:rsidP="00E956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0680A0B2" w14:textId="77777777" w:rsidR="00E95600" w:rsidRPr="00623A2B" w:rsidRDefault="00E95600" w:rsidP="00E95600">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623A2B">
        <w:rPr>
          <w:rFonts w:ascii="Times New Roman" w:hAnsi="Times New Roman"/>
          <w:szCs w:val="22"/>
          <w:lang w:val="fr-FR"/>
        </w:rPr>
        <w:t>DÉCIDE :</w:t>
      </w:r>
    </w:p>
    <w:p w14:paraId="0FA17EF2" w14:textId="77777777" w:rsidR="00E95600" w:rsidRPr="00623A2B" w:rsidRDefault="00E95600" w:rsidP="00E95600">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18FCFD0" w14:textId="77777777" w:rsidR="00E95600" w:rsidRPr="00623A2B" w:rsidRDefault="00E95600" w:rsidP="00E95600">
      <w:pPr>
        <w:pStyle w:val="ListParagraph"/>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szCs w:val="22"/>
          <w:lang w:val="fr-FR"/>
        </w:rPr>
      </w:pPr>
      <w:r w:rsidRPr="00623A2B">
        <w:rPr>
          <w:rFonts w:ascii="Times New Roman" w:hAnsi="Times New Roman"/>
          <w:szCs w:val="22"/>
          <w:lang w:val="fr-FR"/>
        </w:rPr>
        <w:t xml:space="preserve">De déplorer que les initiatives diplomatiques et techniques entreprises depuis le 5 juin 2018 par l'Organisation des États Américains (OEA) dans le but de promouvoir la démocratie </w:t>
      </w:r>
      <w:r w:rsidRPr="00623A2B">
        <w:rPr>
          <w:rFonts w:ascii="Times New Roman" w:hAnsi="Times New Roman"/>
          <w:szCs w:val="22"/>
          <w:lang w:val="fr-FR"/>
        </w:rPr>
        <w:lastRenderedPageBreak/>
        <w:t>représentative et la protection des droits de la personne au Nicaragua n'aient pas abouti car elles ont été ignorées ou rejetées en bloc par le Gouvernement du Nicaragua.</w:t>
      </w:r>
    </w:p>
    <w:p w14:paraId="45243B36" w14:textId="77777777" w:rsidR="00E95600" w:rsidRPr="00623A2B" w:rsidRDefault="00E95600" w:rsidP="00E956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A006448" w14:textId="77777777" w:rsidR="00E95600" w:rsidRPr="00623A2B" w:rsidRDefault="00E95600" w:rsidP="00E95600">
      <w:pPr>
        <w:pStyle w:val="ListParagraph"/>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szCs w:val="22"/>
          <w:lang w:val="fr-FR"/>
        </w:rPr>
      </w:pPr>
      <w:r w:rsidRPr="00623A2B">
        <w:rPr>
          <w:rFonts w:ascii="Times New Roman" w:hAnsi="Times New Roman"/>
          <w:szCs w:val="22"/>
          <w:lang w:val="fr-FR"/>
        </w:rPr>
        <w:t>De déclarer que, dans des circonstances évidentes, les élections du 7 novembre au Nicaragua n'ont pas été libres, équitables ou transparentes et n'ont aucune légitimité démocratique.</w:t>
      </w:r>
    </w:p>
    <w:p w14:paraId="1C13D395" w14:textId="77777777" w:rsidR="00E95600" w:rsidRPr="00623A2B" w:rsidRDefault="00E95600" w:rsidP="00E956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3FA8C229" w14:textId="77777777" w:rsidR="00E95600" w:rsidRPr="00623A2B" w:rsidRDefault="00E95600" w:rsidP="00E95600">
      <w:pPr>
        <w:pStyle w:val="ListParagraph"/>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color w:val="000000" w:themeColor="text1"/>
          <w:szCs w:val="22"/>
          <w:lang w:val="fr-FR"/>
        </w:rPr>
      </w:pPr>
      <w:r w:rsidRPr="00623A2B">
        <w:rPr>
          <w:rFonts w:ascii="Times New Roman" w:hAnsi="Times New Roman"/>
          <w:szCs w:val="22"/>
          <w:lang w:val="fr-FR"/>
        </w:rPr>
        <w:t xml:space="preserve">De conclure que, sur la base des principes énoncés dans la Charte de l'OEA et la Charte démocratique interaméricaine, les institutions démocratiques du Nicaragua ont été gravement compromises par le Gouvernement. </w:t>
      </w:r>
    </w:p>
    <w:p w14:paraId="482D803A" w14:textId="77777777" w:rsidR="00E95600" w:rsidRPr="00623A2B" w:rsidRDefault="00E95600" w:rsidP="00E9560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fr-FR"/>
        </w:rPr>
      </w:pPr>
    </w:p>
    <w:p w14:paraId="149D090A" w14:textId="77777777" w:rsidR="00E95600" w:rsidRPr="00623A2B" w:rsidRDefault="00E95600" w:rsidP="00E95600">
      <w:pPr>
        <w:pStyle w:val="ListParagraph"/>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color w:val="000000" w:themeColor="text1"/>
          <w:szCs w:val="22"/>
          <w:lang w:val="fr-FR"/>
        </w:rPr>
      </w:pPr>
      <w:r w:rsidRPr="00623A2B">
        <w:rPr>
          <w:rFonts w:ascii="Times New Roman" w:hAnsi="Times New Roman"/>
          <w:szCs w:val="22"/>
          <w:lang w:val="fr-FR"/>
        </w:rPr>
        <w:t>De r</w:t>
      </w:r>
      <w:r w:rsidRPr="00623A2B">
        <w:rPr>
          <w:rFonts w:ascii="Times New Roman" w:hAnsi="Times New Roman"/>
          <w:color w:val="000000" w:themeColor="text1"/>
          <w:szCs w:val="22"/>
          <w:lang w:val="fr-FR"/>
        </w:rPr>
        <w:t xml:space="preserve">éitérer ses précédents appels à la libération de tous les candidats et </w:t>
      </w:r>
      <w:r w:rsidRPr="00623A2B">
        <w:rPr>
          <w:rFonts w:ascii="Times New Roman" w:hAnsi="Times New Roman"/>
          <w:szCs w:val="22"/>
          <w:lang w:val="fr-FR"/>
        </w:rPr>
        <w:t>prisonniers</w:t>
      </w:r>
      <w:r w:rsidRPr="00623A2B">
        <w:rPr>
          <w:rFonts w:ascii="Times New Roman" w:hAnsi="Times New Roman"/>
          <w:color w:val="000000" w:themeColor="text1"/>
          <w:szCs w:val="22"/>
          <w:lang w:val="fr-FR"/>
        </w:rPr>
        <w:t xml:space="preserve"> politiques</w:t>
      </w:r>
      <w:r w:rsidRPr="00623A2B">
        <w:rPr>
          <w:rFonts w:ascii="Times New Roman" w:hAnsi="Times New Roman"/>
          <w:szCs w:val="22"/>
          <w:lang w:val="fr-FR"/>
        </w:rPr>
        <w:t>, au rétablissement de leurs droits démocratiques et à la fin immédiate de l'arrestation et du harcèlement des médias indépendants et des membres de la société civile.</w:t>
      </w:r>
    </w:p>
    <w:p w14:paraId="6770818C" w14:textId="77777777" w:rsidR="00E95600" w:rsidRPr="00623A2B" w:rsidRDefault="00E95600" w:rsidP="00E95600">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fr-FR"/>
        </w:rPr>
      </w:pPr>
    </w:p>
    <w:p w14:paraId="6226CB8C" w14:textId="2E5ED7B9" w:rsidR="00E95600" w:rsidRPr="00623A2B" w:rsidRDefault="00E95600" w:rsidP="00E95600">
      <w:pPr>
        <w:pStyle w:val="ListParagraph"/>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szCs w:val="22"/>
          <w:lang w:val="fr-FR"/>
        </w:rPr>
      </w:pPr>
      <w:r w:rsidRPr="00623A2B">
        <w:rPr>
          <w:rFonts w:ascii="Times New Roman" w:hAnsi="Times New Roman"/>
          <w:szCs w:val="22"/>
          <w:lang w:val="fr-FR"/>
        </w:rPr>
        <w:t>De charger le Conseil permanent de procéder à une évaluation collective immédiate de la situation, conformément à la Charte de l'OEA et à la Charte démocratique interaméricaine, qui devra être achevée au plus tard le 30 novembre, et de prendre les mesures appropriées</w:t>
      </w:r>
      <w:r w:rsidRPr="00623A2B">
        <w:rPr>
          <w:rStyle w:val="FootnoteReference"/>
          <w:rFonts w:ascii="Times New Roman" w:hAnsi="Times New Roman"/>
          <w:szCs w:val="22"/>
          <w:u w:val="single"/>
          <w:vertAlign w:val="superscript"/>
          <w:lang w:val="pt-BR"/>
        </w:rPr>
        <w:footnoteReference w:id="121"/>
      </w:r>
      <w:r w:rsidRPr="00623A2B">
        <w:rPr>
          <w:rFonts w:ascii="Times New Roman" w:hAnsi="Times New Roman"/>
          <w:szCs w:val="22"/>
          <w:vertAlign w:val="superscript"/>
          <w:lang w:val="fr-FR"/>
        </w:rPr>
        <w:t>/</w:t>
      </w:r>
      <w:r w:rsidRPr="00623A2B">
        <w:rPr>
          <w:rFonts w:ascii="Times New Roman" w:hAnsi="Times New Roman"/>
          <w:szCs w:val="22"/>
          <w:lang w:val="fr-FR"/>
        </w:rPr>
        <w:t xml:space="preserve">. </w:t>
      </w:r>
    </w:p>
    <w:p w14:paraId="055BA516" w14:textId="77777777" w:rsidR="00E95600" w:rsidRPr="00623A2B" w:rsidRDefault="00E95600" w:rsidP="00E9560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fr-FR"/>
        </w:rPr>
      </w:pPr>
      <w:r w:rsidRPr="00623A2B">
        <w:rPr>
          <w:rFonts w:ascii="Times New Roman" w:hAnsi="Times New Roman"/>
          <w:szCs w:val="22"/>
          <w:lang w:val="fr-FR"/>
        </w:rPr>
        <w:br w:type="page"/>
      </w:r>
    </w:p>
    <w:p w14:paraId="27D8EDB3" w14:textId="77777777" w:rsidR="00E95600" w:rsidRPr="00623A2B" w:rsidRDefault="00E95600" w:rsidP="00E95600">
      <w:pPr>
        <w:suppressAutoHyphens/>
        <w:jc w:val="center"/>
        <w:rPr>
          <w:rFonts w:ascii="Times New Roman" w:hAnsi="Times New Roman"/>
          <w:sz w:val="20"/>
          <w:lang w:val="fr-FR"/>
        </w:rPr>
      </w:pPr>
      <w:r w:rsidRPr="00623A2B">
        <w:rPr>
          <w:rFonts w:ascii="Times New Roman" w:hAnsi="Times New Roman"/>
          <w:sz w:val="20"/>
          <w:lang w:val="fr-FR"/>
        </w:rPr>
        <w:lastRenderedPageBreak/>
        <w:t>NOTES DE BAS DE PAGE</w:t>
      </w:r>
    </w:p>
    <w:p w14:paraId="4823A20D" w14:textId="77777777" w:rsidR="00E95600" w:rsidRPr="00623A2B" w:rsidRDefault="00E95600" w:rsidP="00E95600">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1A0CA524" w14:textId="77777777" w:rsidR="00E95600" w:rsidRPr="00623A2B" w:rsidRDefault="00E95600" w:rsidP="00E95600">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72281670" w14:textId="77777777" w:rsidR="00E95600" w:rsidRPr="00623A2B" w:rsidRDefault="00E95600" w:rsidP="00E95600">
      <w:pPr>
        <w:pStyle w:val="FootnoteText"/>
        <w:tabs>
          <w:tab w:val="clear" w:pos="360"/>
        </w:tabs>
        <w:ind w:left="0" w:firstLine="360"/>
        <w:rPr>
          <w:rFonts w:ascii="Times New Roman" w:hAnsi="Times New Roman"/>
          <w:sz w:val="20"/>
          <w:lang w:val="fr-CA"/>
        </w:rPr>
      </w:pPr>
      <w:r w:rsidRPr="00623A2B">
        <w:rPr>
          <w:rFonts w:ascii="Times New Roman" w:hAnsi="Times New Roman"/>
          <w:sz w:val="20"/>
          <w:lang w:val="fr-CA"/>
        </w:rPr>
        <w:tab/>
        <w:t>1.</w:t>
      </w:r>
      <w:r w:rsidRPr="00623A2B">
        <w:rPr>
          <w:rFonts w:ascii="Times New Roman" w:hAnsi="Times New Roman"/>
          <w:sz w:val="20"/>
          <w:lang w:val="fr-CA"/>
        </w:rPr>
        <w:tab/>
        <w:t>… Cinquante-et-unième Session ordinaire de l’Assemblée générale de l’Organisation des États Américains (OEA), lesquelles constituent des actes contraires au droit international.</w:t>
      </w:r>
    </w:p>
    <w:p w14:paraId="06F1C804" w14:textId="77777777" w:rsidR="00E95600" w:rsidRPr="00623A2B" w:rsidRDefault="00E95600" w:rsidP="00E95600">
      <w:pPr>
        <w:pStyle w:val="FootnoteText"/>
        <w:tabs>
          <w:tab w:val="clear" w:pos="360"/>
        </w:tabs>
        <w:ind w:left="0" w:firstLine="360"/>
        <w:rPr>
          <w:rFonts w:ascii="Times New Roman" w:hAnsi="Times New Roman"/>
          <w:sz w:val="20"/>
          <w:lang w:val="fr-CA"/>
        </w:rPr>
      </w:pPr>
    </w:p>
    <w:p w14:paraId="049308B7" w14:textId="77777777" w:rsidR="00E95600" w:rsidRPr="00623A2B" w:rsidRDefault="00E95600" w:rsidP="00E95600">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17C1FDFE" w14:textId="77777777" w:rsidR="00E95600" w:rsidRPr="00623A2B" w:rsidRDefault="00E95600" w:rsidP="00E95600">
      <w:pPr>
        <w:pStyle w:val="FootnoteText"/>
        <w:tabs>
          <w:tab w:val="clear" w:pos="360"/>
        </w:tabs>
        <w:ind w:left="0" w:firstLine="360"/>
        <w:rPr>
          <w:rFonts w:ascii="Times New Roman" w:hAnsi="Times New Roman"/>
          <w:sz w:val="20"/>
          <w:lang w:val="fr-CA"/>
        </w:rPr>
      </w:pPr>
    </w:p>
    <w:p w14:paraId="0839C4E1" w14:textId="77777777" w:rsidR="00E95600" w:rsidRPr="00623A2B" w:rsidRDefault="00E95600" w:rsidP="00E95600">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2B42A9C8" w14:textId="77777777" w:rsidR="00E95600" w:rsidRPr="00623A2B" w:rsidRDefault="00E95600" w:rsidP="00E95600">
      <w:pPr>
        <w:pStyle w:val="FootnoteText"/>
        <w:tabs>
          <w:tab w:val="clear" w:pos="360"/>
        </w:tabs>
        <w:ind w:left="0" w:firstLine="360"/>
        <w:rPr>
          <w:rFonts w:ascii="Times New Roman" w:hAnsi="Times New Roman"/>
          <w:sz w:val="20"/>
          <w:lang w:val="fr-CA"/>
        </w:rPr>
      </w:pPr>
    </w:p>
    <w:p w14:paraId="3778206B" w14:textId="77777777" w:rsidR="00E95600" w:rsidRPr="00623A2B" w:rsidRDefault="00E95600" w:rsidP="00E95600">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La reconnaissance d’un gouvernement est un acte souverain des États, et non des institutions internationales. L’OEA ne possède ni ne peut s’arroger des facultés de reconnaissance collective opposable à la qualité de membre; c’est pourquoi tout acte visant à atteindre cet objectif tombe en dehors de sa compétence et est matériellement nul.</w:t>
      </w:r>
    </w:p>
    <w:p w14:paraId="16807CA5" w14:textId="77777777" w:rsidR="00E95600" w:rsidRPr="00623A2B" w:rsidRDefault="00E95600" w:rsidP="00E95600">
      <w:pPr>
        <w:pStyle w:val="FootnoteText"/>
        <w:tabs>
          <w:tab w:val="clear" w:pos="360"/>
        </w:tabs>
        <w:ind w:left="0" w:firstLine="360"/>
        <w:rPr>
          <w:rFonts w:ascii="Times New Roman" w:hAnsi="Times New Roman"/>
          <w:sz w:val="20"/>
          <w:lang w:val="fr-CA"/>
        </w:rPr>
      </w:pPr>
    </w:p>
    <w:p w14:paraId="5A3A7C43" w14:textId="77777777" w:rsidR="00E95600" w:rsidRPr="00623A2B" w:rsidRDefault="00E95600" w:rsidP="00E95600">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10BE0AA2" w14:textId="77777777" w:rsidR="00E95600" w:rsidRPr="00623A2B" w:rsidRDefault="00E95600" w:rsidP="00E95600">
      <w:pPr>
        <w:pStyle w:val="FootnoteText"/>
        <w:tabs>
          <w:tab w:val="clear" w:pos="360"/>
        </w:tabs>
        <w:ind w:left="0" w:firstLine="360"/>
        <w:rPr>
          <w:rFonts w:ascii="Times New Roman" w:hAnsi="Times New Roman"/>
          <w:sz w:val="20"/>
          <w:lang w:val="fr-CA"/>
        </w:rPr>
      </w:pPr>
    </w:p>
    <w:p w14:paraId="65AA98BB" w14:textId="77777777" w:rsidR="00E95600" w:rsidRPr="00623A2B" w:rsidRDefault="00E95600" w:rsidP="00E95600">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5CB21A65" w14:textId="77777777" w:rsidR="00E95600" w:rsidRPr="00623A2B" w:rsidRDefault="00E95600" w:rsidP="00E95600">
      <w:pPr>
        <w:pStyle w:val="FootnoteText"/>
        <w:tabs>
          <w:tab w:val="clear" w:pos="360"/>
        </w:tabs>
        <w:ind w:left="0" w:firstLine="360"/>
        <w:rPr>
          <w:rFonts w:ascii="Times New Roman" w:hAnsi="Times New Roman"/>
          <w:sz w:val="20"/>
          <w:lang w:val="fr-CA"/>
        </w:rPr>
      </w:pPr>
    </w:p>
    <w:p w14:paraId="37AB7413" w14:textId="77777777" w:rsidR="00E95600" w:rsidRPr="00623A2B" w:rsidRDefault="00E95600" w:rsidP="00E95600">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4790DF82" w14:textId="77777777" w:rsidR="00E95600" w:rsidRPr="00623A2B" w:rsidRDefault="00E95600" w:rsidP="00E95600">
      <w:pPr>
        <w:pStyle w:val="FootnoteText"/>
        <w:tabs>
          <w:tab w:val="clear" w:pos="360"/>
        </w:tabs>
        <w:ind w:left="0" w:firstLine="720"/>
        <w:rPr>
          <w:rFonts w:ascii="Times New Roman" w:hAnsi="Times New Roman"/>
          <w:sz w:val="20"/>
          <w:lang w:val="fr-CA"/>
        </w:rPr>
      </w:pPr>
    </w:p>
    <w:p w14:paraId="1BDB5991" w14:textId="77777777" w:rsidR="00E95600" w:rsidRPr="00623A2B" w:rsidRDefault="00E95600" w:rsidP="00E95600">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2.</w:t>
      </w:r>
      <w:r w:rsidRPr="00623A2B">
        <w:rPr>
          <w:rFonts w:ascii="Times New Roman" w:hAnsi="Times New Roman"/>
          <w:sz w:val="20"/>
          <w:lang w:val="fr-CA"/>
        </w:rPr>
        <w:tab/>
        <w:t xml:space="preserve">… de personnes qui prétendent usurper la représentation légale de la République bolivarienne du Venezuela et du Gouvernement légitime du Président </w:t>
      </w:r>
      <w:proofErr w:type="spellStart"/>
      <w:r w:rsidRPr="00623A2B">
        <w:rPr>
          <w:rFonts w:ascii="Times New Roman" w:hAnsi="Times New Roman"/>
          <w:sz w:val="20"/>
          <w:lang w:val="fr-CA"/>
        </w:rPr>
        <w:t>Nicolás</w:t>
      </w:r>
      <w:proofErr w:type="spellEnd"/>
      <w:r w:rsidRPr="00623A2B">
        <w:rPr>
          <w:rFonts w:ascii="Times New Roman" w:hAnsi="Times New Roman"/>
          <w:sz w:val="20"/>
          <w:lang w:val="fr-CA"/>
        </w:rPr>
        <w:t xml:space="preserve"> </w:t>
      </w:r>
      <w:proofErr w:type="spellStart"/>
      <w:r w:rsidRPr="00623A2B">
        <w:rPr>
          <w:rFonts w:ascii="Times New Roman" w:hAnsi="Times New Roman"/>
          <w:sz w:val="20"/>
          <w:lang w:val="fr-CA"/>
        </w:rPr>
        <w:t>Maduro</w:t>
      </w:r>
      <w:proofErr w:type="spellEnd"/>
      <w:r w:rsidRPr="00623A2B">
        <w:rPr>
          <w:rFonts w:ascii="Times New Roman" w:hAnsi="Times New Roman"/>
          <w:sz w:val="20"/>
          <w:lang w:val="fr-CA"/>
        </w:rPr>
        <w:t xml:space="preserve"> Moros. Nous demandons que notre refus soit consigné dans tous les documents qui seront traités lors de la présente Cinquante-et-unième Session de l’Assemblée générale de l’OEA.</w:t>
      </w:r>
    </w:p>
    <w:p w14:paraId="4907D343" w14:textId="77777777" w:rsidR="00E95600" w:rsidRPr="00623A2B" w:rsidRDefault="00E95600" w:rsidP="00E95600">
      <w:pPr>
        <w:pStyle w:val="FootnoteText"/>
        <w:tabs>
          <w:tab w:val="clear" w:pos="360"/>
        </w:tabs>
        <w:ind w:left="0" w:firstLine="720"/>
        <w:rPr>
          <w:rFonts w:ascii="Times New Roman" w:hAnsi="Times New Roman"/>
          <w:sz w:val="20"/>
          <w:lang w:val="fr-CA"/>
        </w:rPr>
      </w:pPr>
    </w:p>
    <w:p w14:paraId="4C408509" w14:textId="77777777" w:rsidR="00E95600" w:rsidRPr="00623A2B" w:rsidRDefault="00E95600" w:rsidP="00E95600">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3.</w:t>
      </w:r>
      <w:r w:rsidRPr="00623A2B">
        <w:rPr>
          <w:rFonts w:ascii="Times New Roman" w:hAnsi="Times New Roman"/>
          <w:sz w:val="20"/>
          <w:lang w:val="fr-CA"/>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623C7FFC" w14:textId="77777777" w:rsidR="00E95600" w:rsidRPr="00623A2B" w:rsidRDefault="00E95600" w:rsidP="00E95600">
      <w:pPr>
        <w:pStyle w:val="FootnoteText"/>
        <w:tabs>
          <w:tab w:val="clear" w:pos="360"/>
        </w:tabs>
        <w:ind w:left="0" w:firstLine="720"/>
        <w:rPr>
          <w:rFonts w:ascii="Times New Roman" w:hAnsi="Times New Roman"/>
          <w:sz w:val="20"/>
          <w:lang w:val="fr-CA"/>
        </w:rPr>
      </w:pPr>
    </w:p>
    <w:p w14:paraId="4606DEF5" w14:textId="77777777" w:rsidR="00E95600" w:rsidRPr="00623A2B" w:rsidRDefault="00E95600" w:rsidP="00E95600">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 xml:space="preserve">Antigua-et-Barbuda n'a pas soutenu la résolution CP/RES. 1124 (2217/19) du 9 avril 2019 qui visait à nommer M. Gustavo </w:t>
      </w:r>
      <w:proofErr w:type="spellStart"/>
      <w:r w:rsidRPr="00623A2B">
        <w:rPr>
          <w:rFonts w:ascii="Times New Roman" w:hAnsi="Times New Roman"/>
          <w:sz w:val="20"/>
          <w:lang w:val="fr-CA"/>
        </w:rPr>
        <w:t>Tarre</w:t>
      </w:r>
      <w:proofErr w:type="spellEnd"/>
      <w:r w:rsidRPr="00623A2B">
        <w:rPr>
          <w:rFonts w:ascii="Times New Roman" w:hAnsi="Times New Roman"/>
          <w:sz w:val="20"/>
          <w:lang w:val="fr-CA"/>
        </w:rPr>
        <w:t xml:space="preserve"> comme représentant de l'Assemblée nationale auprès de l'OEA et n'a pas accepté les </w:t>
      </w:r>
      <w:r w:rsidRPr="00623A2B">
        <w:rPr>
          <w:rFonts w:ascii="Times New Roman" w:hAnsi="Times New Roman"/>
          <w:sz w:val="20"/>
          <w:lang w:val="fr-CA"/>
        </w:rPr>
        <w:lastRenderedPageBreak/>
        <w:t xml:space="preserve">pouvoirs des fonctionnaires ayant l'intention de représenter la République bolivarienne du Venezuela aux quarante-neuvième, cinquantième et cinquante-et-unième sessions ordinaires de l'Assemblée générale. </w:t>
      </w:r>
    </w:p>
    <w:p w14:paraId="10A432E0" w14:textId="77777777" w:rsidR="00E95600" w:rsidRPr="00623A2B" w:rsidRDefault="00E95600" w:rsidP="00E95600">
      <w:pPr>
        <w:pStyle w:val="FootnoteText"/>
        <w:tabs>
          <w:tab w:val="clear" w:pos="360"/>
        </w:tabs>
        <w:ind w:left="0" w:firstLine="720"/>
        <w:rPr>
          <w:rFonts w:ascii="Times New Roman" w:hAnsi="Times New Roman"/>
          <w:sz w:val="20"/>
          <w:lang w:val="fr-CA"/>
        </w:rPr>
      </w:pPr>
    </w:p>
    <w:p w14:paraId="06407500" w14:textId="77777777" w:rsidR="00E95600" w:rsidRPr="00623A2B" w:rsidRDefault="00E95600" w:rsidP="00E95600">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71D52842" w14:textId="77777777" w:rsidR="00E95600" w:rsidRPr="00623A2B" w:rsidRDefault="00E95600" w:rsidP="00E95600">
      <w:pPr>
        <w:pStyle w:val="FootnoteText"/>
        <w:tabs>
          <w:tab w:val="clear" w:pos="360"/>
        </w:tabs>
        <w:ind w:left="0" w:firstLine="720"/>
        <w:rPr>
          <w:rFonts w:ascii="Times New Roman" w:hAnsi="Times New Roman"/>
          <w:sz w:val="20"/>
          <w:lang w:val="fr-CA"/>
        </w:rPr>
      </w:pPr>
    </w:p>
    <w:p w14:paraId="19767313" w14:textId="77777777" w:rsidR="00E95600" w:rsidRPr="00623A2B" w:rsidRDefault="00E95600" w:rsidP="00E95600">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4.</w:t>
      </w:r>
      <w:r w:rsidRPr="00623A2B">
        <w:rPr>
          <w:rFonts w:ascii="Times New Roman" w:hAnsi="Times New Roman"/>
          <w:sz w:val="20"/>
          <w:lang w:val="fr-CA"/>
        </w:rPr>
        <w:tab/>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7029668F" w14:textId="77777777" w:rsidR="00E95600" w:rsidRPr="00623A2B" w:rsidRDefault="00E95600" w:rsidP="00E95600">
      <w:pPr>
        <w:pStyle w:val="FootnoteText"/>
        <w:tabs>
          <w:tab w:val="clear" w:pos="360"/>
        </w:tabs>
        <w:ind w:left="0" w:firstLine="720"/>
        <w:rPr>
          <w:rFonts w:ascii="Times New Roman" w:hAnsi="Times New Roman"/>
          <w:sz w:val="20"/>
          <w:lang w:val="fr-CA"/>
        </w:rPr>
      </w:pPr>
    </w:p>
    <w:p w14:paraId="7F5060CD" w14:textId="77777777" w:rsidR="00E95600" w:rsidRPr="00623A2B" w:rsidRDefault="00E95600" w:rsidP="00E95600">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p>
    <w:p w14:paraId="499E8531" w14:textId="77777777" w:rsidR="00E95600" w:rsidRPr="00623A2B" w:rsidRDefault="00E95600" w:rsidP="00E95600">
      <w:pPr>
        <w:pStyle w:val="FootnoteText"/>
        <w:tabs>
          <w:tab w:val="clear" w:pos="360"/>
        </w:tabs>
        <w:ind w:left="0" w:firstLine="720"/>
        <w:rPr>
          <w:rFonts w:ascii="Times New Roman" w:hAnsi="Times New Roman"/>
          <w:sz w:val="20"/>
          <w:lang w:val="fr-CA"/>
        </w:rPr>
      </w:pPr>
    </w:p>
    <w:p w14:paraId="61689838" w14:textId="77777777" w:rsidR="00E95600" w:rsidRPr="000D0C0B" w:rsidRDefault="00E95600" w:rsidP="00E95600">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5.</w:t>
      </w:r>
      <w:r w:rsidRPr="00623A2B">
        <w:rPr>
          <w:rFonts w:ascii="Times New Roman" w:hAnsi="Times New Roman"/>
          <w:sz w:val="20"/>
          <w:lang w:val="fr-CA"/>
        </w:rPr>
        <w:tab/>
        <w:t xml:space="preserve">… l'Organisation des États Américains, qui stipule que « l'Organisation des États Américains n'a d'autres facultés que celles que lui confère expressément la présente Charte dont aucune disposition ne l'autorise à intervenir dans des questions relevant de la juridiction interne des États membres ». En outre, dans ses échanges d'État à État, Saint-Vincent-et-les-Grenadines respecte et est lié par les préceptes de la Charte des Nations </w:t>
      </w:r>
      <w:r w:rsidRPr="000D0C0B">
        <w:rPr>
          <w:rFonts w:ascii="Times New Roman" w:hAnsi="Times New Roman"/>
          <w:sz w:val="20"/>
          <w:lang w:val="fr-CA"/>
        </w:rPr>
        <w:t>Unies qui promeut la non-intervention dans les affaires intérieures des États et le règlement pacifique des différends, et demande instamment que ces principes soient respectés dans les relations multilatérales.</w:t>
      </w:r>
    </w:p>
    <w:p w14:paraId="04A47A02" w14:textId="77777777" w:rsidR="00E95600" w:rsidRPr="000D0C0B" w:rsidRDefault="00E95600" w:rsidP="00E95600">
      <w:pPr>
        <w:pStyle w:val="FootnoteText"/>
        <w:tabs>
          <w:tab w:val="clear" w:pos="360"/>
        </w:tabs>
        <w:ind w:left="0" w:firstLine="720"/>
        <w:rPr>
          <w:rFonts w:ascii="Times New Roman" w:hAnsi="Times New Roman"/>
          <w:sz w:val="20"/>
          <w:lang w:val="fr-CA"/>
        </w:rPr>
      </w:pPr>
    </w:p>
    <w:p w14:paraId="34E95427" w14:textId="77777777" w:rsidR="00E95600" w:rsidRPr="000D0C0B" w:rsidRDefault="00E95600" w:rsidP="00E95600">
      <w:pPr>
        <w:pStyle w:val="FootnoteText"/>
        <w:tabs>
          <w:tab w:val="clear" w:pos="360"/>
        </w:tabs>
        <w:ind w:left="0" w:firstLine="720"/>
        <w:rPr>
          <w:rFonts w:ascii="Times New Roman" w:hAnsi="Times New Roman"/>
          <w:szCs w:val="22"/>
          <w:lang w:val="fr-CA"/>
        </w:rPr>
      </w:pPr>
      <w:r w:rsidRPr="000D0C0B">
        <w:rPr>
          <w:rFonts w:ascii="Times New Roman" w:hAnsi="Times New Roman"/>
          <w:sz w:val="20"/>
          <w:lang w:val="fr-CA"/>
        </w:rPr>
        <w:t>Par conséquent, Saint-Vincent-et-les-Grenadines exhorte l’Organisation des États Américains à adhérer à ces principes et à promouvoir la consultation et le dialogue dans ses échanges avec la République du Nicaragua.</w:t>
      </w:r>
    </w:p>
    <w:p w14:paraId="1818B0A6" w14:textId="5AC4214A" w:rsidR="00B16B05" w:rsidRPr="000D0C0B" w:rsidRDefault="00B16B05" w:rsidP="008507FE">
      <w:pPr>
        <w:pStyle w:val="FootnoteText"/>
        <w:tabs>
          <w:tab w:val="clear" w:pos="360"/>
        </w:tabs>
        <w:rPr>
          <w:rFonts w:ascii="Times New Roman" w:hAnsi="Times New Roman"/>
          <w:sz w:val="20"/>
          <w:lang w:val="fr-CA"/>
        </w:rPr>
      </w:pPr>
    </w:p>
    <w:p w14:paraId="7CE4D244" w14:textId="3B8B8E4F" w:rsidR="006D0C1D" w:rsidRPr="000D0C0B" w:rsidRDefault="006D0C1D" w:rsidP="006D0C1D">
      <w:pPr>
        <w:widowControl/>
        <w:ind w:right="141" w:firstLine="720"/>
        <w:rPr>
          <w:rFonts w:ascii="Times New Roman" w:hAnsi="Times New Roman"/>
          <w:szCs w:val="22"/>
          <w:lang w:val="fr-FR"/>
        </w:rPr>
      </w:pPr>
      <w:r w:rsidRPr="000D0C0B">
        <w:rPr>
          <w:rFonts w:ascii="Times New Roman" w:hAnsi="Times New Roman"/>
          <w:sz w:val="20"/>
          <w:lang w:val="fr-CA"/>
        </w:rPr>
        <w:t>6.</w:t>
      </w:r>
      <w:r w:rsidRPr="000D0C0B">
        <w:rPr>
          <w:rFonts w:ascii="Times New Roman" w:hAnsi="Times New Roman"/>
          <w:sz w:val="20"/>
          <w:lang w:val="fr-CA"/>
        </w:rPr>
        <w:tab/>
        <w:t xml:space="preserve">…l’OEA – Quatrième. </w:t>
      </w:r>
      <w:proofErr w:type="gramStart"/>
      <w:r w:rsidRPr="000D0C0B">
        <w:rPr>
          <w:rFonts w:ascii="Times New Roman" w:hAnsi="Times New Roman"/>
          <w:sz w:val="20"/>
          <w:lang w:val="fr-CA"/>
        </w:rPr>
        <w:t>séance</w:t>
      </w:r>
      <w:proofErr w:type="gramEnd"/>
      <w:r w:rsidRPr="000D0C0B">
        <w:rPr>
          <w:rFonts w:ascii="Times New Roman" w:hAnsi="Times New Roman"/>
          <w:sz w:val="20"/>
          <w:lang w:val="fr-CA"/>
        </w:rPr>
        <w:t xml:space="preserve"> plénière - Nicaragua Guatemala, format hybride - Messieurs les </w:t>
      </w:r>
      <w:r w:rsidRPr="000D0C0B">
        <w:rPr>
          <w:rFonts w:ascii="Times New Roman" w:hAnsi="Times New Roman"/>
          <w:szCs w:val="22"/>
          <w:lang w:val="fr-FR"/>
        </w:rPr>
        <w:t>ministres des Relations extérieures et messieurs les délégués à la cinquante-et-unième session ordinaire de l'Assemblée générale de l'OEA, Messieurs les autorités des États membres et représentants des gouvernements de notre Amérique, Monsieur le Secrétaire général et Monsieur le Secrétaire général adjoint,</w:t>
      </w:r>
    </w:p>
    <w:p w14:paraId="0FC26FCA" w14:textId="77777777" w:rsidR="006D0C1D" w:rsidRPr="000D0C0B" w:rsidRDefault="006D0C1D" w:rsidP="006D0C1D">
      <w:pPr>
        <w:pStyle w:val="BodyText"/>
        <w:spacing w:before="0" w:beforeAutospacing="0" w:after="0" w:afterAutospacing="0"/>
        <w:ind w:firstLine="720"/>
        <w:rPr>
          <w:rFonts w:cs="Times New Roman"/>
          <w:sz w:val="20"/>
          <w:szCs w:val="20"/>
          <w:lang w:val="fr-FR"/>
        </w:rPr>
      </w:pPr>
    </w:p>
    <w:p w14:paraId="3147638A" w14:textId="77777777" w:rsidR="006D0C1D" w:rsidRPr="000D0C0B" w:rsidRDefault="006D0C1D" w:rsidP="006D0C1D">
      <w:pPr>
        <w:pStyle w:val="BodyText"/>
        <w:spacing w:before="0" w:beforeAutospacing="0" w:after="0" w:afterAutospacing="0"/>
        <w:ind w:right="140" w:firstLine="720"/>
        <w:rPr>
          <w:rFonts w:cs="Times New Roman"/>
          <w:sz w:val="20"/>
          <w:szCs w:val="20"/>
          <w:lang w:val="fr-FR"/>
        </w:rPr>
      </w:pPr>
      <w:r w:rsidRPr="000D0C0B">
        <w:rPr>
          <w:rFonts w:cs="Times New Roman"/>
          <w:sz w:val="20"/>
          <w:szCs w:val="20"/>
          <w:lang w:val="fr-FR"/>
        </w:rPr>
        <w:t>Notre pays vient de parachever l'une des plus belles tâches qu'il ait entreprises ces dernières années. Cette belle tâche a réclamé non seulement beaucoup de travail, de préparation, d'organisation, de ressources et de dévouement de la part des différentes institutions, mais surtout la VOLONTÉ ET LA DÉCISION D'UN PEUPLE, qui a crié à tous les vents qu'il voulait vivre en paix, travailler en harmonie et réaffirmer l'UNITÉ comme une prémisse essentielle de la vie elle-même.</w:t>
      </w:r>
    </w:p>
    <w:p w14:paraId="1AC25FBB" w14:textId="77777777" w:rsidR="006D0C1D" w:rsidRPr="000D0C0B" w:rsidRDefault="006D0C1D" w:rsidP="006D0C1D">
      <w:pPr>
        <w:pStyle w:val="BodyText"/>
        <w:spacing w:before="0" w:beforeAutospacing="0" w:after="0" w:afterAutospacing="0"/>
        <w:ind w:firstLine="720"/>
        <w:rPr>
          <w:rFonts w:cs="Times New Roman"/>
          <w:sz w:val="20"/>
          <w:szCs w:val="20"/>
          <w:lang w:val="fr-FR"/>
        </w:rPr>
      </w:pPr>
    </w:p>
    <w:p w14:paraId="2DDF3E0F" w14:textId="77777777" w:rsidR="006D0C1D" w:rsidRPr="000D0C0B" w:rsidRDefault="006D0C1D" w:rsidP="006D0C1D">
      <w:pPr>
        <w:pStyle w:val="BodyText"/>
        <w:spacing w:before="0" w:beforeAutospacing="0" w:after="0" w:afterAutospacing="0"/>
        <w:ind w:right="140" w:firstLine="720"/>
        <w:rPr>
          <w:rFonts w:cs="Times New Roman"/>
          <w:sz w:val="20"/>
          <w:szCs w:val="20"/>
          <w:lang w:val="fr-FR"/>
        </w:rPr>
      </w:pPr>
      <w:r w:rsidRPr="000D0C0B">
        <w:rPr>
          <w:rFonts w:cs="Times New Roman"/>
          <w:sz w:val="20"/>
          <w:szCs w:val="20"/>
          <w:lang w:val="fr-FR"/>
        </w:rPr>
        <w:t>Notre processus électoral récemment conclu, qui a mis en évidence l'esprit démocratique et civique de tous les Nicaraguayens, a démontré, comme nous l'avons déjà dit lors de diverses sessions du Conseil permanent de cette Organisation, que la société nicaraguayenne s'est engagée sur une voie sans retour vers la Démocratie, en participant activement dès le début aux efforts qui ont jeté les fondements de cette tâche gigantesque.</w:t>
      </w:r>
    </w:p>
    <w:p w14:paraId="685C96F8" w14:textId="77777777" w:rsidR="006D0C1D" w:rsidRPr="000D0C0B" w:rsidRDefault="006D0C1D" w:rsidP="006D0C1D">
      <w:pPr>
        <w:pStyle w:val="BodyText"/>
        <w:spacing w:before="0" w:beforeAutospacing="0" w:after="0" w:afterAutospacing="0"/>
        <w:ind w:firstLine="720"/>
        <w:rPr>
          <w:rFonts w:cs="Times New Roman"/>
          <w:sz w:val="20"/>
          <w:szCs w:val="20"/>
          <w:lang w:val="fr-FR"/>
        </w:rPr>
      </w:pPr>
    </w:p>
    <w:p w14:paraId="431899E9" w14:textId="77777777" w:rsidR="006D0C1D" w:rsidRPr="000D0C0B" w:rsidRDefault="006D0C1D" w:rsidP="006D0C1D">
      <w:pPr>
        <w:widowControl/>
        <w:ind w:right="140" w:firstLine="720"/>
        <w:rPr>
          <w:rFonts w:ascii="Times New Roman" w:hAnsi="Times New Roman"/>
          <w:sz w:val="20"/>
          <w:lang w:val="fr-FR"/>
        </w:rPr>
      </w:pPr>
      <w:r w:rsidRPr="000D0C0B">
        <w:rPr>
          <w:rFonts w:ascii="Times New Roman" w:hAnsi="Times New Roman"/>
          <w:sz w:val="20"/>
          <w:lang w:val="fr-FR"/>
        </w:rPr>
        <w:t>Comme on le sait, les partis politiques ont participé, dès le début, à la formation de TOUTES LES STRUCTURES ÉLECTORALES DE NOTRE PAYS, comme cela est établi dans les lois et la Constitution de la République. Les principaux acteurs ont également été consultés et ont participé au débat sur le cadre</w:t>
      </w:r>
      <w:r w:rsidRPr="006D0C1D">
        <w:rPr>
          <w:rFonts w:ascii="Times New Roman" w:hAnsi="Times New Roman"/>
          <w:sz w:val="20"/>
          <w:lang w:val="fr-FR"/>
        </w:rPr>
        <w:t xml:space="preserve"> juridique </w:t>
      </w:r>
      <w:r w:rsidRPr="006D0C1D">
        <w:rPr>
          <w:rFonts w:ascii="Times New Roman" w:hAnsi="Times New Roman"/>
          <w:sz w:val="20"/>
          <w:lang w:val="fr-FR"/>
        </w:rPr>
        <w:lastRenderedPageBreak/>
        <w:t xml:space="preserve">qui régit les élections. Aucun parti ne s'est abstenu de désigner ses membres de bureau de vote, et tous ont pu faire accréditer leurs contrôleurs et délégués de bureau de vote, qui étaient tous présents dans les bureaux de vote avant, pendant et après le processus de vote et qui ont vérifié le dépouillement des votes, le transfert du </w:t>
      </w:r>
      <w:r w:rsidRPr="000D0C0B">
        <w:rPr>
          <w:rFonts w:ascii="Times New Roman" w:hAnsi="Times New Roman"/>
          <w:sz w:val="20"/>
          <w:lang w:val="fr-FR"/>
        </w:rPr>
        <w:t>matériel et des résultats aux centres de dépouillement pour leur enregistrement en bonne et due forme.</w:t>
      </w:r>
    </w:p>
    <w:p w14:paraId="21D5561D" w14:textId="77777777" w:rsidR="006D0C1D" w:rsidRPr="000D0C0B" w:rsidRDefault="006D0C1D" w:rsidP="006D0C1D">
      <w:pPr>
        <w:pStyle w:val="BodyText"/>
        <w:spacing w:before="0" w:beforeAutospacing="0" w:after="0" w:afterAutospacing="0"/>
        <w:ind w:firstLine="720"/>
        <w:rPr>
          <w:rFonts w:cs="Times New Roman"/>
          <w:sz w:val="20"/>
          <w:szCs w:val="20"/>
          <w:lang w:val="fr-FR"/>
        </w:rPr>
      </w:pPr>
    </w:p>
    <w:p w14:paraId="1055618B" w14:textId="77777777" w:rsidR="006D0C1D" w:rsidRPr="000D0C0B" w:rsidRDefault="006D0C1D" w:rsidP="006D0C1D">
      <w:pPr>
        <w:pStyle w:val="BodyText"/>
        <w:spacing w:before="0" w:beforeAutospacing="0" w:after="0" w:afterAutospacing="0"/>
        <w:ind w:firstLine="720"/>
        <w:rPr>
          <w:rFonts w:cs="Times New Roman"/>
          <w:sz w:val="20"/>
          <w:szCs w:val="20"/>
          <w:lang w:val="fr-FR"/>
        </w:rPr>
      </w:pPr>
      <w:r w:rsidRPr="000D0C0B">
        <w:rPr>
          <w:rFonts w:cs="Times New Roman"/>
          <w:sz w:val="20"/>
          <w:szCs w:val="20"/>
          <w:lang w:val="fr-FR"/>
        </w:rPr>
        <w:t>Messieurs les délégués,</w:t>
      </w:r>
    </w:p>
    <w:p w14:paraId="368BBE27" w14:textId="77777777" w:rsidR="006D0C1D" w:rsidRPr="000D0C0B" w:rsidRDefault="006D0C1D" w:rsidP="006D0C1D">
      <w:pPr>
        <w:pStyle w:val="BodyText"/>
        <w:spacing w:before="0" w:beforeAutospacing="0" w:after="0" w:afterAutospacing="0"/>
        <w:ind w:firstLine="720"/>
        <w:rPr>
          <w:rFonts w:cs="Times New Roman"/>
          <w:sz w:val="20"/>
          <w:szCs w:val="20"/>
          <w:lang w:val="fr-FR"/>
        </w:rPr>
      </w:pPr>
    </w:p>
    <w:p w14:paraId="2A0AC1E6" w14:textId="77777777" w:rsidR="006D0C1D" w:rsidRPr="000D0C0B" w:rsidRDefault="006D0C1D" w:rsidP="006D0C1D">
      <w:pPr>
        <w:widowControl/>
        <w:ind w:right="140" w:firstLine="720"/>
        <w:rPr>
          <w:rFonts w:ascii="Times New Roman" w:hAnsi="Times New Roman"/>
          <w:sz w:val="20"/>
          <w:lang w:val="fr-FR"/>
        </w:rPr>
      </w:pPr>
      <w:r w:rsidRPr="000D0C0B">
        <w:rPr>
          <w:rFonts w:ascii="Times New Roman" w:hAnsi="Times New Roman"/>
          <w:sz w:val="20"/>
          <w:lang w:val="fr-FR"/>
        </w:rPr>
        <w:t>AUCUN ACTE OU INCIDENT DE PROTESTATION N'A EU LIEU, aucun acte d'agression physique ou d’entrave aux actions d’aucun délégué de parti politique. Aucun candidat inscrit par un parti n'a fait l’objet d’attaque ou de contrainte pendant sa campagne. UN TRAVAIL DANS LA TOLÉRANCE ET LE RESPECT est, a été et continuera d'être une constante d'un Peuple comme le nôtre, qui connaît la guerre et donc chérit la paix comme un bien fondamental pour la vie.</w:t>
      </w:r>
    </w:p>
    <w:p w14:paraId="79BD6553" w14:textId="77777777" w:rsidR="006D0C1D" w:rsidRPr="000D0C0B" w:rsidRDefault="006D0C1D" w:rsidP="006D0C1D">
      <w:pPr>
        <w:pStyle w:val="BodyText"/>
        <w:spacing w:before="0" w:beforeAutospacing="0" w:after="0" w:afterAutospacing="0"/>
        <w:ind w:firstLine="720"/>
        <w:rPr>
          <w:rFonts w:cs="Times New Roman"/>
          <w:sz w:val="20"/>
          <w:szCs w:val="20"/>
          <w:lang w:val="fr-FR"/>
        </w:rPr>
      </w:pPr>
    </w:p>
    <w:p w14:paraId="71E51A02" w14:textId="77777777" w:rsidR="006D0C1D" w:rsidRPr="000D0C0B" w:rsidRDefault="006D0C1D" w:rsidP="006D0C1D">
      <w:pPr>
        <w:pStyle w:val="BodyText"/>
        <w:spacing w:before="0" w:beforeAutospacing="0" w:after="0" w:afterAutospacing="0"/>
        <w:ind w:right="140" w:firstLine="720"/>
        <w:rPr>
          <w:rFonts w:cs="Times New Roman"/>
          <w:sz w:val="20"/>
          <w:szCs w:val="20"/>
          <w:lang w:val="fr-FR"/>
        </w:rPr>
      </w:pPr>
      <w:r w:rsidRPr="000D0C0B">
        <w:rPr>
          <w:rFonts w:cs="Times New Roman"/>
          <w:sz w:val="20"/>
          <w:szCs w:val="20"/>
          <w:lang w:val="fr-FR"/>
        </w:rPr>
        <w:t xml:space="preserve">Les données sont déjà connues. Plus de 65% des citoyens ont participé aux élections nationales, dans le cadre d'une structure civile qui a organisé le travail logistique du Conseil suprême électoral, avec un peu plus de 250 000 personnes, afin de garantir que les Nicaraguayens puissent voter dans la paix, la transparence et la tranquillité. PERSONNE NE PEUT NIER CELA, ABSOLUMENT </w:t>
      </w:r>
      <w:proofErr w:type="gramStart"/>
      <w:r w:rsidRPr="000D0C0B">
        <w:rPr>
          <w:rFonts w:cs="Times New Roman"/>
          <w:sz w:val="20"/>
          <w:szCs w:val="20"/>
          <w:lang w:val="fr-FR"/>
        </w:rPr>
        <w:t>PERSONNE!</w:t>
      </w:r>
      <w:proofErr w:type="gramEnd"/>
      <w:r w:rsidRPr="000D0C0B">
        <w:rPr>
          <w:rFonts w:cs="Times New Roman"/>
          <w:sz w:val="20"/>
          <w:szCs w:val="20"/>
          <w:lang w:val="fr-FR"/>
        </w:rPr>
        <w:t xml:space="preserve"> Sauf à avoir un intérêt à justifier, proposer ou commettre des actes d'agression indignes contre notre pays.</w:t>
      </w:r>
    </w:p>
    <w:p w14:paraId="7D23BE7A" w14:textId="77777777" w:rsidR="006D0C1D" w:rsidRPr="000D0C0B" w:rsidRDefault="006D0C1D" w:rsidP="006D0C1D">
      <w:pPr>
        <w:widowControl/>
        <w:ind w:firstLine="720"/>
        <w:rPr>
          <w:rFonts w:ascii="Times New Roman" w:hAnsi="Times New Roman"/>
          <w:sz w:val="20"/>
          <w:lang w:val="fr-FR"/>
        </w:rPr>
      </w:pPr>
    </w:p>
    <w:p w14:paraId="5F4F42FB" w14:textId="77777777" w:rsidR="006D0C1D" w:rsidRPr="000D0C0B" w:rsidRDefault="006D0C1D" w:rsidP="006D0C1D">
      <w:pPr>
        <w:pStyle w:val="BodyText"/>
        <w:spacing w:before="0" w:beforeAutospacing="0" w:after="0" w:afterAutospacing="0"/>
        <w:ind w:right="111" w:firstLine="720"/>
        <w:rPr>
          <w:rFonts w:cs="Times New Roman"/>
          <w:sz w:val="20"/>
          <w:szCs w:val="20"/>
          <w:lang w:val="fr-FR"/>
        </w:rPr>
      </w:pPr>
      <w:r w:rsidRPr="000D0C0B">
        <w:rPr>
          <w:rFonts w:cs="Times New Roman"/>
          <w:sz w:val="20"/>
          <w:szCs w:val="20"/>
          <w:lang w:val="fr-FR"/>
        </w:rPr>
        <w:t>Récemment nous avons clairement révélé les événements qui se trament et se déroulent contre notre pays, et nous avons fermement dénoncé les responsables de ces atteintes. Nous avons montré les preuves, les motifs, les causes et les méthodes utilisées, de la malveillance des médias au financement de groupes terroristes, mises en œuvre à des fins d’agression.</w:t>
      </w:r>
    </w:p>
    <w:p w14:paraId="7EC99057" w14:textId="77777777" w:rsidR="006D0C1D" w:rsidRPr="000D0C0B" w:rsidRDefault="006D0C1D" w:rsidP="006D0C1D">
      <w:pPr>
        <w:pStyle w:val="BodyText"/>
        <w:spacing w:before="0" w:beforeAutospacing="0" w:after="0" w:afterAutospacing="0"/>
        <w:ind w:firstLine="720"/>
        <w:rPr>
          <w:rFonts w:cs="Times New Roman"/>
          <w:sz w:val="20"/>
          <w:szCs w:val="20"/>
          <w:lang w:val="fr-FR"/>
        </w:rPr>
      </w:pPr>
    </w:p>
    <w:p w14:paraId="15B34ECC" w14:textId="77777777" w:rsidR="006D0C1D" w:rsidRPr="000D0C0B" w:rsidRDefault="006D0C1D" w:rsidP="006D0C1D">
      <w:pPr>
        <w:pStyle w:val="BodyText"/>
        <w:spacing w:before="0" w:beforeAutospacing="0" w:after="0" w:afterAutospacing="0"/>
        <w:ind w:right="140" w:firstLine="720"/>
        <w:rPr>
          <w:rFonts w:cs="Times New Roman"/>
          <w:sz w:val="20"/>
          <w:szCs w:val="20"/>
          <w:lang w:val="fr-FR"/>
        </w:rPr>
      </w:pPr>
      <w:r w:rsidRPr="000D0C0B">
        <w:rPr>
          <w:rFonts w:cs="Times New Roman"/>
          <w:sz w:val="20"/>
          <w:szCs w:val="20"/>
          <w:lang w:val="fr-FR"/>
        </w:rPr>
        <w:t>Mesdames et messieurs, Ce dont il est question aujourd'hui est l'une des contradictions les moins évidentes que l'on puisse connaître. Il n'y a AUCUNE possibilité de nier que la majorité du peuple nicaraguayen a exprimé clairement et résolument son désir et sa volonté !</w:t>
      </w:r>
    </w:p>
    <w:p w14:paraId="1AE29EE2" w14:textId="77777777" w:rsidR="006D0C1D" w:rsidRPr="000D0C0B" w:rsidRDefault="006D0C1D" w:rsidP="006D0C1D">
      <w:pPr>
        <w:pStyle w:val="BodyText"/>
        <w:spacing w:before="0" w:beforeAutospacing="0" w:after="0" w:afterAutospacing="0"/>
        <w:ind w:firstLine="720"/>
        <w:rPr>
          <w:rFonts w:cs="Times New Roman"/>
          <w:sz w:val="20"/>
          <w:szCs w:val="20"/>
          <w:lang w:val="fr-FR"/>
        </w:rPr>
      </w:pPr>
    </w:p>
    <w:p w14:paraId="02F6157A" w14:textId="77777777" w:rsidR="006D0C1D" w:rsidRPr="000D0C0B" w:rsidRDefault="006D0C1D" w:rsidP="006D0C1D">
      <w:pPr>
        <w:pStyle w:val="BodyText"/>
        <w:spacing w:before="0" w:beforeAutospacing="0" w:after="0" w:afterAutospacing="0"/>
        <w:ind w:right="140" w:firstLine="720"/>
        <w:rPr>
          <w:rFonts w:cs="Times New Roman"/>
          <w:sz w:val="20"/>
          <w:szCs w:val="20"/>
          <w:lang w:val="fr-FR"/>
        </w:rPr>
      </w:pPr>
      <w:r w:rsidRPr="000D0C0B">
        <w:rPr>
          <w:rFonts w:cs="Times New Roman"/>
          <w:sz w:val="20"/>
          <w:szCs w:val="20"/>
          <w:lang w:val="fr-FR"/>
        </w:rPr>
        <w:t>Chacun des quelque trois millions de Nicaraguayens qui se sont rendus aux urnes, et qui ont été vus dans les médias et dans les rues avoisinant plus de 3 000 bureaux de vote et, surtout, plus de 75 000 contrôleurs issus des partis politiques peuvent attester de cette vérité incontestable. Nous nous attendions tous à ce que les élections se déroulent dans la paix, et c'est ainsi qu’elles se sont déroulées. Dans une paix totale et absolue.</w:t>
      </w:r>
    </w:p>
    <w:p w14:paraId="35A2A6D6" w14:textId="77777777" w:rsidR="006D0C1D" w:rsidRPr="000D0C0B" w:rsidRDefault="006D0C1D" w:rsidP="006D0C1D">
      <w:pPr>
        <w:pStyle w:val="BodyText"/>
        <w:spacing w:before="0" w:beforeAutospacing="0" w:after="0" w:afterAutospacing="0"/>
        <w:ind w:firstLine="720"/>
        <w:rPr>
          <w:rFonts w:cs="Times New Roman"/>
          <w:sz w:val="20"/>
          <w:szCs w:val="20"/>
          <w:lang w:val="fr-FR"/>
        </w:rPr>
      </w:pPr>
    </w:p>
    <w:p w14:paraId="3BE73E74" w14:textId="77777777" w:rsidR="006D0C1D" w:rsidRPr="000D0C0B" w:rsidRDefault="006D0C1D" w:rsidP="006D0C1D">
      <w:pPr>
        <w:pStyle w:val="BodyText"/>
        <w:spacing w:before="0" w:beforeAutospacing="0" w:after="0" w:afterAutospacing="0"/>
        <w:ind w:right="140" w:firstLine="720"/>
        <w:rPr>
          <w:rFonts w:cs="Times New Roman"/>
          <w:sz w:val="20"/>
          <w:szCs w:val="20"/>
          <w:lang w:val="fr-FR"/>
        </w:rPr>
      </w:pPr>
      <w:r w:rsidRPr="000D0C0B">
        <w:rPr>
          <w:rFonts w:cs="Times New Roman"/>
          <w:sz w:val="20"/>
          <w:szCs w:val="20"/>
          <w:lang w:val="fr-FR"/>
        </w:rPr>
        <w:t>Chacun d'entre vous peut s'interroger sur l'état d'esprit des Nicaraguayens qui ont reconduit le Président Daniel Ortega et la Vice-présidente Rosario Murillo. Nous sommes encouragés, heureux, confiants et désireux de continuer à travailler encore plus dur pour Notre Nicaragua.</w:t>
      </w:r>
    </w:p>
    <w:p w14:paraId="3153C966" w14:textId="77777777" w:rsidR="006D0C1D" w:rsidRPr="000D0C0B" w:rsidRDefault="006D0C1D" w:rsidP="006D0C1D">
      <w:pPr>
        <w:pStyle w:val="BodyText"/>
        <w:spacing w:before="0" w:beforeAutospacing="0" w:after="0" w:afterAutospacing="0"/>
        <w:ind w:firstLine="720"/>
        <w:rPr>
          <w:rFonts w:cs="Times New Roman"/>
          <w:sz w:val="20"/>
          <w:szCs w:val="20"/>
          <w:lang w:val="fr-FR"/>
        </w:rPr>
      </w:pPr>
    </w:p>
    <w:p w14:paraId="76621F0D" w14:textId="77777777" w:rsidR="006D0C1D" w:rsidRPr="000D0C0B" w:rsidRDefault="006D0C1D" w:rsidP="006D0C1D">
      <w:pPr>
        <w:pStyle w:val="BodyText"/>
        <w:spacing w:before="0" w:beforeAutospacing="0" w:after="0" w:afterAutospacing="0"/>
        <w:ind w:right="140" w:firstLine="720"/>
        <w:rPr>
          <w:rFonts w:cs="Times New Roman"/>
          <w:sz w:val="20"/>
          <w:szCs w:val="20"/>
          <w:lang w:val="fr-FR"/>
        </w:rPr>
      </w:pPr>
      <w:r w:rsidRPr="000D0C0B">
        <w:rPr>
          <w:rFonts w:cs="Times New Roman"/>
          <w:sz w:val="20"/>
          <w:szCs w:val="20"/>
          <w:lang w:val="fr-FR"/>
        </w:rPr>
        <w:t>Mais vous pouvez également voir les quelque 600 000 compatriotes qui ont opté pour d'autres solutions politiques et qui respectent les résultats, et ils se joignent également à nous pour travailler pour le Nicaragua.</w:t>
      </w:r>
    </w:p>
    <w:p w14:paraId="2D4E1D20" w14:textId="77777777" w:rsidR="006D0C1D" w:rsidRPr="000D0C0B" w:rsidRDefault="006D0C1D" w:rsidP="006D0C1D">
      <w:pPr>
        <w:widowControl/>
        <w:ind w:firstLine="720"/>
        <w:rPr>
          <w:rFonts w:ascii="Times New Roman" w:hAnsi="Times New Roman"/>
          <w:sz w:val="20"/>
          <w:lang w:val="fr-FR"/>
        </w:rPr>
      </w:pPr>
    </w:p>
    <w:p w14:paraId="28C02194" w14:textId="77777777" w:rsidR="006D0C1D" w:rsidRPr="000D0C0B" w:rsidRDefault="006D0C1D" w:rsidP="006D0C1D">
      <w:pPr>
        <w:pStyle w:val="BodyText"/>
        <w:spacing w:before="0" w:beforeAutospacing="0" w:after="0" w:afterAutospacing="0"/>
        <w:ind w:right="141" w:firstLine="720"/>
        <w:rPr>
          <w:rFonts w:cs="Times New Roman"/>
          <w:sz w:val="20"/>
          <w:szCs w:val="20"/>
          <w:lang w:val="fr-FR"/>
        </w:rPr>
      </w:pPr>
      <w:r w:rsidRPr="000D0C0B">
        <w:rPr>
          <w:rFonts w:cs="Times New Roman"/>
          <w:sz w:val="20"/>
          <w:szCs w:val="20"/>
          <w:lang w:val="fr-FR"/>
        </w:rPr>
        <w:t>Ce n'est pas seulement par conscience civique, Monsieur le Président, cela procède d’une vision basée sur la paix, la nation et un sens de l'identité nicaraguayenne.</w:t>
      </w:r>
    </w:p>
    <w:p w14:paraId="6DD4F325" w14:textId="77777777" w:rsidR="006D0C1D" w:rsidRPr="000D0C0B" w:rsidRDefault="006D0C1D" w:rsidP="006D0C1D">
      <w:pPr>
        <w:pStyle w:val="BodyText"/>
        <w:spacing w:before="0" w:beforeAutospacing="0" w:after="0" w:afterAutospacing="0"/>
        <w:ind w:firstLine="720"/>
        <w:rPr>
          <w:rFonts w:cs="Times New Roman"/>
          <w:sz w:val="20"/>
          <w:szCs w:val="20"/>
          <w:lang w:val="fr-FR"/>
        </w:rPr>
      </w:pPr>
    </w:p>
    <w:p w14:paraId="1D80BE1E" w14:textId="77777777" w:rsidR="006D0C1D" w:rsidRPr="000D0C0B" w:rsidRDefault="006D0C1D" w:rsidP="006D0C1D">
      <w:pPr>
        <w:pStyle w:val="BodyText"/>
        <w:spacing w:before="0" w:beforeAutospacing="0" w:after="0" w:afterAutospacing="0"/>
        <w:ind w:right="140" w:firstLine="720"/>
        <w:rPr>
          <w:rFonts w:cs="Times New Roman"/>
          <w:sz w:val="20"/>
          <w:szCs w:val="20"/>
          <w:lang w:val="fr-FR"/>
        </w:rPr>
      </w:pPr>
      <w:r w:rsidRPr="000D0C0B">
        <w:rPr>
          <w:rFonts w:cs="Times New Roman"/>
          <w:sz w:val="20"/>
          <w:szCs w:val="20"/>
          <w:lang w:val="fr-FR"/>
        </w:rPr>
        <w:t>Nous regrettons que les autorités de certains pays de notre région cherchent à nier ouvertement la vérité et adhèrent à des scénarios et des campagnes qui visent à saper les droits légitimes du peuple nicaraguayen, qui a souverainement élu ses autorités, et ils persistent à avancer des documents que notre peuple a déclaré inacceptables dès le départ.</w:t>
      </w:r>
    </w:p>
    <w:p w14:paraId="6F0A391F" w14:textId="77777777" w:rsidR="006D0C1D" w:rsidRPr="000D0C0B" w:rsidRDefault="006D0C1D" w:rsidP="006D0C1D">
      <w:pPr>
        <w:pStyle w:val="BodyText"/>
        <w:spacing w:before="0" w:beforeAutospacing="0" w:after="0" w:afterAutospacing="0"/>
        <w:ind w:firstLine="720"/>
        <w:rPr>
          <w:rFonts w:cs="Times New Roman"/>
          <w:sz w:val="20"/>
          <w:szCs w:val="20"/>
          <w:lang w:val="fr-FR"/>
        </w:rPr>
      </w:pPr>
    </w:p>
    <w:p w14:paraId="763E4B40" w14:textId="77777777" w:rsidR="006D0C1D" w:rsidRPr="000D0C0B" w:rsidRDefault="006D0C1D" w:rsidP="006D0C1D">
      <w:pPr>
        <w:widowControl/>
        <w:ind w:right="111" w:firstLine="720"/>
        <w:rPr>
          <w:rFonts w:ascii="Times New Roman" w:hAnsi="Times New Roman"/>
          <w:sz w:val="20"/>
          <w:lang w:val="fr-FR"/>
        </w:rPr>
      </w:pPr>
      <w:r w:rsidRPr="000D0C0B">
        <w:rPr>
          <w:rFonts w:ascii="Times New Roman" w:hAnsi="Times New Roman"/>
          <w:sz w:val="20"/>
          <w:lang w:val="fr-FR"/>
        </w:rPr>
        <w:t xml:space="preserve">Près de trois millions de Nicaraguayens ont envoyé un message très clair, qui affirme que ce que nous voulons, c'est le TRAVAIL ET LA PAIX, le RESPECT ET L'UNITÉ, l'AMITIÉ ET LA COOPÉRATION, la SOUVERAINETÉ ET L'AUTODÉTERMINATION.  </w:t>
      </w:r>
    </w:p>
    <w:p w14:paraId="4ED9D328" w14:textId="77777777" w:rsidR="006D0C1D" w:rsidRPr="000D0C0B" w:rsidRDefault="006D0C1D" w:rsidP="006D0C1D">
      <w:pPr>
        <w:pStyle w:val="BodyText"/>
        <w:spacing w:before="0" w:beforeAutospacing="0" w:after="0" w:afterAutospacing="0"/>
        <w:ind w:firstLine="720"/>
        <w:rPr>
          <w:rFonts w:cs="Times New Roman"/>
          <w:sz w:val="20"/>
          <w:szCs w:val="20"/>
          <w:lang w:val="fr-FR"/>
        </w:rPr>
      </w:pPr>
    </w:p>
    <w:p w14:paraId="15867795" w14:textId="77777777" w:rsidR="006D0C1D" w:rsidRPr="000D0C0B" w:rsidRDefault="006D0C1D" w:rsidP="006D0C1D">
      <w:pPr>
        <w:pStyle w:val="BodyText"/>
        <w:spacing w:before="0" w:beforeAutospacing="0" w:after="0" w:afterAutospacing="0"/>
        <w:ind w:right="140" w:firstLine="720"/>
        <w:rPr>
          <w:rFonts w:cs="Times New Roman"/>
          <w:sz w:val="20"/>
          <w:szCs w:val="20"/>
          <w:lang w:val="fr-FR"/>
        </w:rPr>
      </w:pPr>
      <w:r w:rsidRPr="000D0C0B">
        <w:rPr>
          <w:rFonts w:cs="Times New Roman"/>
          <w:sz w:val="20"/>
          <w:szCs w:val="20"/>
          <w:lang w:val="fr-FR"/>
        </w:rPr>
        <w:lastRenderedPageBreak/>
        <w:t>Le Nicaragua a exercé, exerce et continuera d'exercer souverainement ses droits dans le cadre des lois et des règles de vie de nos peuples. C'est pourquoi aujourd'hui nous venons partager notre joie pour la récente élection de nos autorités, de manière pacifique et transparente, mais aussi pour réclamer fermement et avec la dernière énergie le RESPECT DE NOTRE NATION.</w:t>
      </w:r>
    </w:p>
    <w:p w14:paraId="62A63EA2" w14:textId="77777777" w:rsidR="006D0C1D" w:rsidRPr="000D0C0B" w:rsidRDefault="006D0C1D" w:rsidP="006D0C1D">
      <w:pPr>
        <w:pStyle w:val="BodyText"/>
        <w:spacing w:before="0" w:beforeAutospacing="0" w:after="0" w:afterAutospacing="0"/>
        <w:ind w:firstLine="720"/>
        <w:rPr>
          <w:rFonts w:cs="Times New Roman"/>
          <w:sz w:val="20"/>
          <w:szCs w:val="20"/>
          <w:lang w:val="fr-FR"/>
        </w:rPr>
      </w:pPr>
    </w:p>
    <w:p w14:paraId="1EBDACD6" w14:textId="77777777" w:rsidR="006D0C1D" w:rsidRPr="000D0C0B" w:rsidRDefault="006D0C1D" w:rsidP="006D0C1D">
      <w:pPr>
        <w:widowControl/>
        <w:ind w:right="140" w:firstLine="720"/>
        <w:rPr>
          <w:rFonts w:ascii="Times New Roman" w:hAnsi="Times New Roman"/>
          <w:sz w:val="20"/>
          <w:lang w:val="fr-FR"/>
        </w:rPr>
      </w:pPr>
      <w:r w:rsidRPr="000D0C0B">
        <w:rPr>
          <w:rFonts w:ascii="Times New Roman" w:hAnsi="Times New Roman"/>
          <w:sz w:val="20"/>
          <w:lang w:val="fr-FR"/>
        </w:rPr>
        <w:t>L'OEA n'est pas notre CONSEIL ÉLECTORAL SUPRÊME, l'OEA n'a pas le pouvoir de se donner le rôle nos BUREAUX DE VOTE, les fonctionnaires de l'OEA ne sont pas et ne devraient pas être les CONTRÔLEURS DE NOS PARTIS POLITIQUES, l'OEA n'est ni un arbitre ni un auditeur du processus électoral. Chaque peuple établit ces autorités en fonction de ses lois. Lorsque l'objectif a été d'imposer le contraire, l'histoire a été tragiquement douloureuse.</w:t>
      </w:r>
    </w:p>
    <w:p w14:paraId="6D9C5B5E" w14:textId="77777777" w:rsidR="006D0C1D" w:rsidRPr="000D0C0B" w:rsidRDefault="006D0C1D" w:rsidP="006D0C1D">
      <w:pPr>
        <w:widowControl/>
        <w:ind w:firstLine="720"/>
        <w:rPr>
          <w:rFonts w:ascii="Times New Roman" w:hAnsi="Times New Roman"/>
          <w:sz w:val="20"/>
          <w:lang w:val="fr-FR"/>
        </w:rPr>
      </w:pPr>
    </w:p>
    <w:p w14:paraId="226A05E2" w14:textId="77777777" w:rsidR="006D0C1D" w:rsidRPr="000D0C0B" w:rsidRDefault="006D0C1D" w:rsidP="006D0C1D">
      <w:pPr>
        <w:pStyle w:val="BodyText"/>
        <w:spacing w:before="0" w:beforeAutospacing="0" w:after="0" w:afterAutospacing="0"/>
        <w:ind w:right="140" w:firstLine="720"/>
        <w:rPr>
          <w:rFonts w:cs="Times New Roman"/>
          <w:sz w:val="20"/>
          <w:szCs w:val="20"/>
          <w:lang w:val="fr-FR"/>
        </w:rPr>
      </w:pPr>
      <w:r w:rsidRPr="000D0C0B">
        <w:rPr>
          <w:rFonts w:cs="Times New Roman"/>
          <w:sz w:val="20"/>
          <w:szCs w:val="20"/>
          <w:lang w:val="fr-FR"/>
        </w:rPr>
        <w:t>En d'autres occasions, nous avons vivement exprimé notre point de vue sur les soi-disant « recommandations » de l'OEA sur des systèmes permettant la réalisation des élections. Nous avons évoqué le danger des secrets qui peuvent impliquées lorsqu'un fonctionnaire ou un représentant d’un pays étranger cherche à imposer des contraintes à un pays, le juger, ou lui imposer une vision étrangère. Par conséquent, nous exigeons que l’on soit respectueux et que l’on s'abstienne de qualifier un processus électoral propre à notre peuple, qui a été observé par plus de 200 accompagnateurs internationaux et 9 000 nationaux, couvert par plus de 626 journalistes indépendants nationaux et étrangers, et certifié par plus de 75 000 contrôleurs des partis politiques, mais surtout célébré par près de trois millions de Nicaraguayens. NOTRE PAYS A FAIT PREUVE DE RESPECT ET EXIGE DONC LE RESPECT.</w:t>
      </w:r>
    </w:p>
    <w:p w14:paraId="587075C2" w14:textId="77777777" w:rsidR="006D0C1D" w:rsidRPr="000D0C0B" w:rsidRDefault="006D0C1D" w:rsidP="006D0C1D">
      <w:pPr>
        <w:widowControl/>
        <w:ind w:firstLine="720"/>
        <w:rPr>
          <w:rFonts w:ascii="Times New Roman" w:hAnsi="Times New Roman"/>
          <w:sz w:val="20"/>
          <w:lang w:val="fr-FR"/>
        </w:rPr>
      </w:pPr>
    </w:p>
    <w:p w14:paraId="6D627854" w14:textId="77777777" w:rsidR="006D0C1D" w:rsidRPr="006D0C1D" w:rsidRDefault="006D0C1D" w:rsidP="006D0C1D">
      <w:pPr>
        <w:pStyle w:val="BodyText"/>
        <w:spacing w:before="0" w:beforeAutospacing="0" w:after="0" w:afterAutospacing="0"/>
        <w:ind w:right="140" w:firstLine="720"/>
        <w:rPr>
          <w:rFonts w:cs="Times New Roman"/>
          <w:sz w:val="20"/>
          <w:szCs w:val="20"/>
          <w:lang w:val="fr-FR"/>
        </w:rPr>
      </w:pPr>
      <w:r w:rsidRPr="000D0C0B">
        <w:rPr>
          <w:rFonts w:cs="Times New Roman"/>
          <w:sz w:val="20"/>
          <w:szCs w:val="20"/>
          <w:lang w:val="fr-FR"/>
        </w:rPr>
        <w:t>Ce ne sont pas les mensonges ou les agressions répétées, comme ceux que nous avons entendus aujourd'hui, ce n'est pas la plate-forme</w:t>
      </w:r>
      <w:r w:rsidRPr="006D0C1D">
        <w:rPr>
          <w:rFonts w:cs="Times New Roman"/>
          <w:sz w:val="20"/>
          <w:szCs w:val="20"/>
          <w:lang w:val="fr-FR"/>
        </w:rPr>
        <w:t xml:space="preserve"> mensongère des campagnes terroristes, ou d’acteurs à la solde de gouvernements étrangers qui marqueront nos actions. Cela n’est pas convenable et ne doit être reflété dans aucun des documents d'une organisation comme celle-ci, qui doit s'abstenir de commettre des ingérences grossières car, ce faisant, elle refuse de reconnaître la vérité qui est évidente pour tous les Nicaraguayens. Ce sont les vérités qui sont démontrées avec fiabilité dans notre pays qui sous-tendent notre voix et nos demandes.</w:t>
      </w:r>
    </w:p>
    <w:p w14:paraId="75AF1B15" w14:textId="77777777" w:rsidR="006D0C1D" w:rsidRPr="006D0C1D" w:rsidRDefault="006D0C1D" w:rsidP="006D0C1D">
      <w:pPr>
        <w:pStyle w:val="BodyText"/>
        <w:spacing w:before="0" w:beforeAutospacing="0" w:after="0" w:afterAutospacing="0"/>
        <w:ind w:firstLine="720"/>
        <w:rPr>
          <w:rFonts w:cs="Times New Roman"/>
          <w:sz w:val="20"/>
          <w:szCs w:val="20"/>
          <w:lang w:val="fr-FR"/>
        </w:rPr>
      </w:pPr>
    </w:p>
    <w:p w14:paraId="59AEFC79" w14:textId="77777777" w:rsidR="006D0C1D" w:rsidRPr="006D0C1D" w:rsidRDefault="006D0C1D" w:rsidP="006D0C1D">
      <w:pPr>
        <w:pStyle w:val="BodyText"/>
        <w:spacing w:before="0" w:beforeAutospacing="0" w:after="0" w:afterAutospacing="0"/>
        <w:ind w:right="140" w:firstLine="720"/>
        <w:rPr>
          <w:rFonts w:cs="Times New Roman"/>
          <w:sz w:val="20"/>
          <w:szCs w:val="20"/>
          <w:lang w:val="fr-FR"/>
        </w:rPr>
      </w:pPr>
      <w:r w:rsidRPr="006D0C1D">
        <w:rPr>
          <w:rFonts w:cs="Times New Roman"/>
          <w:sz w:val="20"/>
          <w:szCs w:val="20"/>
          <w:lang w:val="fr-FR"/>
        </w:rPr>
        <w:t>Notre peuple prépare déjà les actions, les tâches et les plans qui permettront d’engager de nouvelles luttes et d’établir des objectifs très ambitieux pour l'avenir, avec énergie et avec la foi dans le Très-Haut. Notre confiance est fondée sur la clarté de nos objectifs : Lutter contre la pauvreté, Promouvoir une participation équitable à l’économie et renforcer la croissance au profit des familles rurales, en donnant la priorité aux femmes, aux jeunes, aux peuples autochtones et aux populations d'ascendance africaine, aux professionnels et aux travailleurs, à tous les secteurs de notre société diverse, en maintenant la sécurité des citoyens et en vivant dans la paix, la démocratie et le développement.</w:t>
      </w:r>
    </w:p>
    <w:p w14:paraId="291893F0" w14:textId="77777777" w:rsidR="006D0C1D" w:rsidRPr="006D0C1D" w:rsidRDefault="006D0C1D" w:rsidP="006D0C1D">
      <w:pPr>
        <w:pStyle w:val="BodyText"/>
        <w:spacing w:before="0" w:beforeAutospacing="0" w:after="0" w:afterAutospacing="0"/>
        <w:ind w:firstLine="720"/>
        <w:rPr>
          <w:rFonts w:cs="Times New Roman"/>
          <w:sz w:val="20"/>
          <w:szCs w:val="20"/>
          <w:lang w:val="fr-FR"/>
        </w:rPr>
      </w:pPr>
    </w:p>
    <w:p w14:paraId="2EF019D5" w14:textId="77777777" w:rsidR="006D0C1D" w:rsidRPr="006D0C1D" w:rsidRDefault="006D0C1D" w:rsidP="006D0C1D">
      <w:pPr>
        <w:pStyle w:val="BodyText"/>
        <w:spacing w:before="0" w:beforeAutospacing="0" w:after="0" w:afterAutospacing="0"/>
        <w:ind w:right="140" w:firstLine="720"/>
        <w:rPr>
          <w:rFonts w:cs="Times New Roman"/>
          <w:sz w:val="20"/>
          <w:szCs w:val="20"/>
          <w:lang w:val="fr-FR"/>
        </w:rPr>
      </w:pPr>
      <w:r w:rsidRPr="006D0C1D">
        <w:rPr>
          <w:rFonts w:cs="Times New Roman"/>
          <w:sz w:val="20"/>
          <w:szCs w:val="20"/>
          <w:lang w:val="fr-FR"/>
        </w:rPr>
        <w:t>Messieurs les ministres des Relations extérieures et messieurs les délégués à la cinquante-et-unième session ordinaire de l'Assemblée générale de l'OEA. Notre pays a pour pratique constante de mener une politique de paix et de respect et de s’acquitter de bonne foi des engagements découlant des traités, accords et décisions valablement adoptés et auxquels notre pays participe. Un très bon exemple de cela, tiré d'un passé récent, est la signature des accords de délimitation des frontières entre le Nicaragua et le Honduras dans la mer des Caraïbes et le golfe de Fonseca. Ce trait est l'expression du respect des arrêts pris par la Cour internationale de justice de La Haye à des dates différentes. Le 27 octobre 2021, lors de la réunion bilatérale entre les républiques sœurs du Nicaragua et du Honduras, le Président nicaraguayen Daniel Ortega Saavedra a déclaré que c'était un acte par lequel le pays contribuait au renforcement de la Cour internationale de justice, qui est l'instrument dont disposent les nations pour résoudre les conflits. Cette signature était une contribution à la paix.</w:t>
      </w:r>
    </w:p>
    <w:p w14:paraId="4C1BCA55" w14:textId="77777777" w:rsidR="006D0C1D" w:rsidRPr="006D0C1D" w:rsidRDefault="006D0C1D" w:rsidP="006D0C1D">
      <w:pPr>
        <w:pStyle w:val="BodyText"/>
        <w:spacing w:before="0" w:beforeAutospacing="0" w:after="0" w:afterAutospacing="0"/>
        <w:ind w:firstLine="720"/>
        <w:rPr>
          <w:rFonts w:cs="Times New Roman"/>
          <w:sz w:val="20"/>
          <w:szCs w:val="20"/>
          <w:lang w:val="fr-FR"/>
        </w:rPr>
      </w:pPr>
    </w:p>
    <w:p w14:paraId="612E036E" w14:textId="77777777" w:rsidR="006D0C1D" w:rsidRPr="006D0C1D" w:rsidRDefault="006D0C1D" w:rsidP="006D0C1D">
      <w:pPr>
        <w:pStyle w:val="BodyText"/>
        <w:spacing w:before="0" w:beforeAutospacing="0" w:after="0" w:afterAutospacing="0"/>
        <w:ind w:right="123" w:firstLine="720"/>
        <w:rPr>
          <w:rFonts w:cs="Times New Roman"/>
          <w:sz w:val="20"/>
          <w:szCs w:val="20"/>
          <w:lang w:val="fr-FR"/>
        </w:rPr>
      </w:pPr>
      <w:r w:rsidRPr="006D0C1D">
        <w:rPr>
          <w:rFonts w:cs="Times New Roman"/>
          <w:sz w:val="20"/>
          <w:szCs w:val="20"/>
          <w:lang w:val="fr-FR"/>
        </w:rPr>
        <w:t>Le Nicaragua respecte ses engagements et exige donc avec la même fermeté que les autres respectent également les principes de la souveraineté nationale des États, de non-intervention dans les affaires intérieures ainsi que d'autodétermination des peuples.</w:t>
      </w:r>
    </w:p>
    <w:p w14:paraId="3D468A06" w14:textId="77777777" w:rsidR="006D0C1D" w:rsidRPr="006D0C1D" w:rsidRDefault="006D0C1D" w:rsidP="006D0C1D">
      <w:pPr>
        <w:widowControl/>
        <w:ind w:firstLine="720"/>
        <w:rPr>
          <w:rFonts w:ascii="Times New Roman" w:hAnsi="Times New Roman"/>
          <w:sz w:val="20"/>
          <w:lang w:val="fr-FR"/>
        </w:rPr>
      </w:pPr>
    </w:p>
    <w:p w14:paraId="5629D3B5" w14:textId="77777777" w:rsidR="006D0C1D" w:rsidRPr="006D0C1D" w:rsidRDefault="006D0C1D" w:rsidP="006D0C1D">
      <w:pPr>
        <w:pStyle w:val="BodyText"/>
        <w:spacing w:before="0" w:beforeAutospacing="0" w:after="0" w:afterAutospacing="0"/>
        <w:ind w:right="123" w:firstLine="720"/>
        <w:rPr>
          <w:rFonts w:cs="Times New Roman"/>
          <w:sz w:val="20"/>
          <w:szCs w:val="20"/>
          <w:lang w:val="fr-FR"/>
        </w:rPr>
      </w:pPr>
      <w:r w:rsidRPr="006D0C1D">
        <w:rPr>
          <w:rFonts w:cs="Times New Roman"/>
          <w:sz w:val="20"/>
          <w:szCs w:val="20"/>
          <w:lang w:val="fr-FR"/>
        </w:rPr>
        <w:lastRenderedPageBreak/>
        <w:t>Lors de cette cinquante-et-unième session ordinaire de l'Assemblée générale de l'OEA, nous exigeons le respect de notre droit à vivre en paix, car le travail et les efforts quotidiens des familles nicaraguayennes sont notre phare et notre fer de lance pour continuer à progresser.</w:t>
      </w:r>
    </w:p>
    <w:p w14:paraId="1DABA431" w14:textId="77777777" w:rsidR="006D0C1D" w:rsidRPr="006D0C1D" w:rsidRDefault="006D0C1D" w:rsidP="006D0C1D">
      <w:pPr>
        <w:pStyle w:val="BodyText"/>
        <w:spacing w:before="0" w:beforeAutospacing="0" w:after="0" w:afterAutospacing="0"/>
        <w:ind w:firstLine="720"/>
        <w:rPr>
          <w:rFonts w:cs="Times New Roman"/>
          <w:sz w:val="20"/>
          <w:szCs w:val="20"/>
          <w:lang w:val="fr-FR"/>
        </w:rPr>
      </w:pPr>
    </w:p>
    <w:p w14:paraId="5CC6B2AE" w14:textId="77777777" w:rsidR="006D0C1D" w:rsidRPr="006D0C1D" w:rsidRDefault="006D0C1D" w:rsidP="006D0C1D">
      <w:pPr>
        <w:pStyle w:val="BodyText"/>
        <w:spacing w:before="0" w:beforeAutospacing="0" w:after="0" w:afterAutospacing="0"/>
        <w:ind w:right="140" w:firstLine="720"/>
        <w:rPr>
          <w:rFonts w:cs="Times New Roman"/>
          <w:sz w:val="20"/>
          <w:szCs w:val="20"/>
          <w:lang w:val="fr-FR"/>
        </w:rPr>
      </w:pPr>
      <w:r w:rsidRPr="006D0C1D">
        <w:rPr>
          <w:rFonts w:cs="Times New Roman"/>
          <w:sz w:val="20"/>
          <w:szCs w:val="20"/>
          <w:lang w:val="fr-FR"/>
        </w:rPr>
        <w:t>La crédibilité de cette organisation ne doit pas continuer à se détériorer et les objectifs de cet organe de l'OEA, censé avoir été créé pour défendre et promouvoir la souveraineté des peuples des Amériques, ne doivent pas être perdus de vue.</w:t>
      </w:r>
    </w:p>
    <w:p w14:paraId="4DC1B6F8" w14:textId="77777777" w:rsidR="006D0C1D" w:rsidRPr="006D0C1D" w:rsidRDefault="006D0C1D" w:rsidP="006D0C1D">
      <w:pPr>
        <w:pStyle w:val="BodyText"/>
        <w:spacing w:before="0" w:beforeAutospacing="0" w:after="0" w:afterAutospacing="0"/>
        <w:ind w:firstLine="720"/>
        <w:rPr>
          <w:rFonts w:cs="Times New Roman"/>
          <w:sz w:val="20"/>
          <w:szCs w:val="20"/>
          <w:lang w:val="fr-FR"/>
        </w:rPr>
      </w:pPr>
    </w:p>
    <w:p w14:paraId="313DF1CF" w14:textId="1609CA45" w:rsidR="006D0C1D" w:rsidRPr="000D0C0B" w:rsidRDefault="006D0C1D" w:rsidP="000D0C0B">
      <w:pPr>
        <w:widowControl/>
        <w:ind w:right="141" w:firstLine="720"/>
        <w:rPr>
          <w:rFonts w:ascii="Times New Roman" w:hAnsi="Times New Roman"/>
          <w:bCs/>
          <w:sz w:val="20"/>
          <w:lang w:val="fr-CA"/>
        </w:rPr>
      </w:pPr>
      <w:r w:rsidRPr="000D0C0B">
        <w:rPr>
          <w:rFonts w:ascii="Times New Roman" w:hAnsi="Times New Roman"/>
          <w:bCs/>
          <w:sz w:val="20"/>
          <w:lang w:val="fr-FR"/>
        </w:rPr>
        <w:t xml:space="preserve">Le Nicaragua a le droit de vivre en paix. Depuis le Nicaragua, pays d'Andrés Castro, Darío, </w:t>
      </w:r>
      <w:proofErr w:type="spellStart"/>
      <w:r w:rsidRPr="000D0C0B">
        <w:rPr>
          <w:rFonts w:ascii="Times New Roman" w:hAnsi="Times New Roman"/>
          <w:bCs/>
          <w:sz w:val="20"/>
          <w:lang w:val="fr-FR"/>
        </w:rPr>
        <w:t>Zeledón</w:t>
      </w:r>
      <w:proofErr w:type="spellEnd"/>
      <w:r w:rsidRPr="000D0C0B">
        <w:rPr>
          <w:rFonts w:ascii="Times New Roman" w:hAnsi="Times New Roman"/>
          <w:bCs/>
          <w:sz w:val="20"/>
          <w:lang w:val="fr-FR"/>
        </w:rPr>
        <w:t xml:space="preserve"> et Sandino.</w:t>
      </w:r>
      <w:r w:rsidR="000D0C0B">
        <w:rPr>
          <w:rFonts w:ascii="Times New Roman" w:hAnsi="Times New Roman"/>
          <w:bCs/>
          <w:sz w:val="20"/>
          <w:lang w:val="fr-FR"/>
        </w:rPr>
        <w:t xml:space="preserve"> </w:t>
      </w:r>
      <w:r w:rsidRPr="000D0C0B">
        <w:rPr>
          <w:rFonts w:ascii="Times New Roman" w:hAnsi="Times New Roman"/>
          <w:bCs/>
          <w:sz w:val="20"/>
          <w:lang w:val="fr-FR"/>
        </w:rPr>
        <w:t>Je vous remercie, Monsieur le Président.</w:t>
      </w:r>
    </w:p>
    <w:p w14:paraId="4EED3466" w14:textId="77777777" w:rsidR="00553776" w:rsidRDefault="00553776" w:rsidP="008507FE">
      <w:pPr>
        <w:pStyle w:val="FootnoteText"/>
        <w:tabs>
          <w:tab w:val="clear" w:pos="360"/>
        </w:tabs>
        <w:rPr>
          <w:rFonts w:ascii="Times New Roman" w:hAnsi="Times New Roman"/>
          <w:sz w:val="20"/>
          <w:lang w:val="fr-CA"/>
        </w:rPr>
      </w:pPr>
    </w:p>
    <w:p w14:paraId="0F10B6E5" w14:textId="2E6FBD9B" w:rsidR="006D0C1D" w:rsidRPr="00623A2B" w:rsidRDefault="006D0C1D" w:rsidP="006D0C1D">
      <w:pPr>
        <w:pStyle w:val="FootnoteText"/>
        <w:numPr>
          <w:ilvl w:val="0"/>
          <w:numId w:val="77"/>
        </w:numPr>
        <w:tabs>
          <w:tab w:val="clear" w:pos="360"/>
        </w:tabs>
        <w:rPr>
          <w:rFonts w:ascii="Times New Roman" w:hAnsi="Times New Roman"/>
          <w:sz w:val="20"/>
          <w:lang w:val="fr-CA"/>
        </w:rPr>
        <w:sectPr w:rsidR="006D0C1D" w:rsidRPr="00623A2B" w:rsidSect="00623A2B">
          <w:footnotePr>
            <w:numRestart w:val="eachSect"/>
          </w:footnotePr>
          <w:type w:val="oddPage"/>
          <w:pgSz w:w="12240" w:h="15840" w:code="1"/>
          <w:pgMar w:top="2160" w:right="1570" w:bottom="1296" w:left="1699" w:header="720" w:footer="720" w:gutter="0"/>
          <w:cols w:space="720"/>
          <w:titlePg/>
          <w:docGrid w:linePitch="360"/>
        </w:sectPr>
      </w:pPr>
    </w:p>
    <w:p w14:paraId="30891D74" w14:textId="2C06B8A1" w:rsidR="00633ADD" w:rsidRPr="00623A2B" w:rsidRDefault="00633ADD" w:rsidP="00633ADD">
      <w:pPr>
        <w:pStyle w:val="Heading1"/>
        <w:spacing w:before="0"/>
        <w:jc w:val="center"/>
        <w:rPr>
          <w:rFonts w:ascii="Times New Roman" w:hAnsi="Times New Roman" w:cs="Times New Roman"/>
          <w:color w:val="000000" w:themeColor="text1"/>
          <w:sz w:val="22"/>
          <w:szCs w:val="22"/>
          <w:lang w:val="fr-FR"/>
        </w:rPr>
      </w:pPr>
      <w:bookmarkStart w:id="81" w:name="_Toc89177469"/>
      <w:r w:rsidRPr="00623A2B">
        <w:rPr>
          <w:rFonts w:ascii="Times New Roman" w:hAnsi="Times New Roman" w:cs="Times New Roman"/>
          <w:color w:val="auto"/>
          <w:sz w:val="22"/>
          <w:szCs w:val="22"/>
          <w:lang w:val="fr-FR"/>
        </w:rPr>
        <w:lastRenderedPageBreak/>
        <w:t>AG/RES. 2979 (LI-O/21)</w:t>
      </w:r>
      <w:r w:rsidRPr="00623A2B">
        <w:rPr>
          <w:rFonts w:ascii="Times New Roman" w:hAnsi="Times New Roman" w:cs="Times New Roman"/>
          <w:color w:val="auto"/>
          <w:sz w:val="22"/>
          <w:szCs w:val="22"/>
          <w:lang w:val="fr-FR"/>
        </w:rPr>
        <w:br/>
      </w:r>
      <w:r w:rsidRPr="00623A2B">
        <w:rPr>
          <w:rFonts w:ascii="Times New Roman" w:hAnsi="Times New Roman" w:cs="Times New Roman"/>
          <w:color w:val="auto"/>
          <w:sz w:val="22"/>
          <w:szCs w:val="22"/>
          <w:lang w:val="fr-FR"/>
        </w:rPr>
        <w:br/>
      </w:r>
      <w:r w:rsidRPr="00623A2B">
        <w:rPr>
          <w:rFonts w:ascii="Times New Roman" w:hAnsi="Times New Roman" w:cs="Times New Roman"/>
          <w:color w:val="000000" w:themeColor="text1"/>
          <w:sz w:val="22"/>
          <w:szCs w:val="22"/>
          <w:lang w:val="fr-FR"/>
        </w:rPr>
        <w:t>RENFORCEMENT DU RÔLE DE L’ORGANISATIONS DES ÉTATS AMÉRICAINS</w:t>
      </w:r>
      <w:r w:rsidRPr="00623A2B">
        <w:rPr>
          <w:rFonts w:ascii="Times New Roman" w:hAnsi="Times New Roman" w:cs="Times New Roman"/>
          <w:color w:val="000000" w:themeColor="text1"/>
          <w:sz w:val="22"/>
          <w:szCs w:val="22"/>
          <w:lang w:val="fr-FR"/>
        </w:rPr>
        <w:br/>
        <w:t xml:space="preserve">DANS LA PROMOTION DE LA RÉSILIENCE FACE AUX CATASTROPHES </w:t>
      </w:r>
      <w:r w:rsidRPr="00623A2B">
        <w:rPr>
          <w:rFonts w:ascii="Times New Roman" w:hAnsi="Times New Roman" w:cs="Times New Roman"/>
          <w:color w:val="000000" w:themeColor="text1"/>
          <w:sz w:val="22"/>
          <w:szCs w:val="22"/>
          <w:lang w:val="fr-FR"/>
        </w:rPr>
        <w:br/>
        <w:t>DANS LE CONTINENT AMÉRICAIN</w:t>
      </w:r>
      <w:r w:rsidRPr="00623A2B">
        <w:rPr>
          <w:rStyle w:val="FootnoteReference"/>
          <w:rFonts w:ascii="Times New Roman" w:hAnsi="Times New Roman" w:cs="Times New Roman"/>
          <w:sz w:val="22"/>
          <w:szCs w:val="22"/>
          <w:u w:val="single"/>
          <w:vertAlign w:val="superscript"/>
          <w:lang w:val="pt-BR"/>
        </w:rPr>
        <w:footnoteReference w:id="122"/>
      </w:r>
      <w:r w:rsidRPr="00623A2B">
        <w:rPr>
          <w:rFonts w:ascii="Times New Roman" w:hAnsi="Times New Roman" w:cs="Times New Roman"/>
          <w:color w:val="auto"/>
          <w:sz w:val="22"/>
          <w:szCs w:val="22"/>
          <w:vertAlign w:val="superscript"/>
          <w:lang w:val="fr-FR"/>
        </w:rPr>
        <w:t>/</w:t>
      </w:r>
      <w:r w:rsidRPr="00623A2B">
        <w:rPr>
          <w:rStyle w:val="FootnoteReference"/>
          <w:rFonts w:ascii="Times New Roman" w:hAnsi="Times New Roman" w:cs="Times New Roman"/>
          <w:sz w:val="22"/>
          <w:szCs w:val="22"/>
          <w:u w:val="single"/>
          <w:vertAlign w:val="superscript"/>
          <w:lang w:val="pt-BR"/>
        </w:rPr>
        <w:footnoteReference w:id="123"/>
      </w:r>
      <w:r w:rsidRPr="00623A2B">
        <w:rPr>
          <w:rFonts w:ascii="Times New Roman" w:hAnsi="Times New Roman" w:cs="Times New Roman"/>
          <w:color w:val="auto"/>
          <w:sz w:val="22"/>
          <w:szCs w:val="22"/>
          <w:vertAlign w:val="superscript"/>
          <w:lang w:val="fr-FR"/>
        </w:rPr>
        <w:t>/</w:t>
      </w:r>
      <w:r w:rsidRPr="00623A2B">
        <w:rPr>
          <w:rStyle w:val="FootnoteReference"/>
          <w:rFonts w:ascii="Times New Roman" w:hAnsi="Times New Roman" w:cs="Times New Roman"/>
          <w:sz w:val="22"/>
          <w:szCs w:val="22"/>
          <w:u w:val="single"/>
          <w:vertAlign w:val="superscript"/>
          <w:lang w:val="pt-BR"/>
        </w:rPr>
        <w:footnoteReference w:id="124"/>
      </w:r>
      <w:r w:rsidRPr="00623A2B">
        <w:rPr>
          <w:rFonts w:ascii="Times New Roman" w:hAnsi="Times New Roman" w:cs="Times New Roman"/>
          <w:color w:val="auto"/>
          <w:sz w:val="22"/>
          <w:szCs w:val="22"/>
          <w:vertAlign w:val="superscript"/>
          <w:lang w:val="fr-FR"/>
        </w:rPr>
        <w:t>/</w:t>
      </w:r>
      <w:r w:rsidRPr="00623A2B">
        <w:rPr>
          <w:rStyle w:val="FootnoteReference"/>
          <w:rFonts w:ascii="Times New Roman" w:hAnsi="Times New Roman" w:cs="Times New Roman"/>
          <w:sz w:val="22"/>
          <w:szCs w:val="22"/>
          <w:u w:val="single"/>
          <w:vertAlign w:val="superscript"/>
          <w:lang w:val="pt-BR"/>
        </w:rPr>
        <w:footnoteReference w:id="125"/>
      </w:r>
      <w:r w:rsidRPr="00623A2B">
        <w:rPr>
          <w:rFonts w:ascii="Times New Roman" w:hAnsi="Times New Roman" w:cs="Times New Roman"/>
          <w:color w:val="auto"/>
          <w:sz w:val="22"/>
          <w:szCs w:val="22"/>
          <w:vertAlign w:val="superscript"/>
          <w:lang w:val="fr-FR"/>
        </w:rPr>
        <w:t>/</w:t>
      </w:r>
      <w:bookmarkEnd w:id="81"/>
    </w:p>
    <w:p w14:paraId="173BA6B6" w14:textId="77777777" w:rsidR="00633ADD" w:rsidRPr="00623A2B" w:rsidRDefault="00633ADD" w:rsidP="00633ADD">
      <w:pPr>
        <w:rPr>
          <w:rFonts w:ascii="Times New Roman" w:hAnsi="Times New Roman"/>
          <w:color w:val="000000" w:themeColor="text1"/>
          <w:szCs w:val="22"/>
          <w:lang w:val="fr-FR"/>
        </w:rPr>
      </w:pPr>
    </w:p>
    <w:p w14:paraId="6677571A" w14:textId="20F49198" w:rsidR="00633ADD" w:rsidRPr="00623A2B" w:rsidRDefault="00633ADD" w:rsidP="00633ADD">
      <w:pPr>
        <w:jc w:val="center"/>
        <w:rPr>
          <w:rFonts w:ascii="Times New Roman" w:hAnsi="Times New Roman"/>
          <w:color w:val="000000" w:themeColor="text1"/>
          <w:szCs w:val="22"/>
          <w:lang w:val="fr-FR"/>
        </w:rPr>
      </w:pPr>
      <w:r w:rsidRPr="00623A2B">
        <w:rPr>
          <w:rFonts w:ascii="Times New Roman" w:hAnsi="Times New Roman"/>
          <w:color w:val="000000" w:themeColor="text1"/>
          <w:szCs w:val="22"/>
          <w:lang w:val="fr-FR"/>
        </w:rPr>
        <w:t>(</w:t>
      </w:r>
      <w:r w:rsidR="002E089E" w:rsidRPr="00623A2B">
        <w:rPr>
          <w:rFonts w:ascii="Times New Roman" w:hAnsi="Times New Roman"/>
          <w:szCs w:val="22"/>
          <w:lang w:val="fr-FR"/>
        </w:rPr>
        <w:t xml:space="preserve">Résolution adoptée à la deuxième séance plénière, </w:t>
      </w:r>
      <w:r w:rsidR="002E089E" w:rsidRPr="00623A2B">
        <w:rPr>
          <w:rFonts w:ascii="Times New Roman" w:hAnsi="Times New Roman"/>
          <w:szCs w:val="22"/>
          <w:lang w:val="fr-CA"/>
        </w:rPr>
        <w:t>le 11 novembre 2021</w:t>
      </w:r>
      <w:r w:rsidRPr="00623A2B">
        <w:rPr>
          <w:rFonts w:ascii="Times New Roman" w:hAnsi="Times New Roman"/>
          <w:color w:val="000000" w:themeColor="text1"/>
          <w:szCs w:val="22"/>
          <w:lang w:val="fr-FR"/>
        </w:rPr>
        <w:t>)</w:t>
      </w:r>
    </w:p>
    <w:p w14:paraId="0B556920" w14:textId="77777777" w:rsidR="00633ADD" w:rsidRPr="00623A2B" w:rsidRDefault="00633ADD" w:rsidP="00633ADD">
      <w:pPr>
        <w:rPr>
          <w:rFonts w:ascii="Times New Roman" w:hAnsi="Times New Roman"/>
          <w:color w:val="000000" w:themeColor="text1"/>
          <w:szCs w:val="22"/>
          <w:lang w:val="fr-FR"/>
        </w:rPr>
      </w:pPr>
    </w:p>
    <w:p w14:paraId="66AE9A95" w14:textId="77777777" w:rsidR="00633ADD" w:rsidRPr="00623A2B" w:rsidRDefault="00633ADD" w:rsidP="00633ADD">
      <w:pPr>
        <w:rPr>
          <w:rFonts w:ascii="Times New Roman" w:hAnsi="Times New Roman"/>
          <w:color w:val="000000" w:themeColor="text1"/>
          <w:szCs w:val="22"/>
          <w:lang w:val="fr-FR"/>
        </w:rPr>
      </w:pPr>
    </w:p>
    <w:p w14:paraId="536D3B8A" w14:textId="77777777" w:rsidR="00633ADD" w:rsidRPr="00623A2B" w:rsidRDefault="00633ADD" w:rsidP="00633ADD">
      <w:pPr>
        <w:rPr>
          <w:rFonts w:ascii="Times New Roman" w:hAnsi="Times New Roman"/>
          <w:color w:val="000000" w:themeColor="text1"/>
          <w:szCs w:val="22"/>
          <w:lang w:val="fr-FR"/>
        </w:rPr>
      </w:pPr>
      <w:r w:rsidRPr="00623A2B">
        <w:rPr>
          <w:rFonts w:ascii="Times New Roman" w:hAnsi="Times New Roman"/>
          <w:color w:val="000000" w:themeColor="text1"/>
          <w:szCs w:val="22"/>
          <w:lang w:val="fr-FR"/>
        </w:rPr>
        <w:tab/>
        <w:t xml:space="preserve">L'ASSEMBLÉE GÉNÉRALE, </w:t>
      </w:r>
    </w:p>
    <w:p w14:paraId="20920F2D" w14:textId="77777777" w:rsidR="00633ADD" w:rsidRPr="00623A2B" w:rsidRDefault="00633ADD" w:rsidP="00633ADD">
      <w:pPr>
        <w:rPr>
          <w:rFonts w:ascii="Times New Roman" w:hAnsi="Times New Roman"/>
          <w:color w:val="000000" w:themeColor="text1"/>
          <w:szCs w:val="22"/>
          <w:lang w:val="fr-FR"/>
        </w:rPr>
      </w:pPr>
    </w:p>
    <w:p w14:paraId="1E5CF65C" w14:textId="77777777" w:rsidR="00633ADD" w:rsidRPr="00623A2B" w:rsidRDefault="00633ADD" w:rsidP="00633ADD">
      <w:pPr>
        <w:rPr>
          <w:rFonts w:ascii="Times New Roman" w:hAnsi="Times New Roman"/>
          <w:color w:val="000000" w:themeColor="text1"/>
          <w:szCs w:val="22"/>
          <w:lang w:val="fr-FR"/>
        </w:rPr>
      </w:pPr>
      <w:r w:rsidRPr="00623A2B">
        <w:rPr>
          <w:rFonts w:ascii="Times New Roman" w:hAnsi="Times New Roman"/>
          <w:color w:val="000000" w:themeColor="text1"/>
          <w:szCs w:val="22"/>
          <w:lang w:val="fr-FR"/>
        </w:rPr>
        <w:t>RECONNAISSANT :</w:t>
      </w:r>
    </w:p>
    <w:p w14:paraId="6F63E60F" w14:textId="77777777" w:rsidR="00633ADD" w:rsidRPr="00623A2B" w:rsidRDefault="00633ADD" w:rsidP="00633ADD">
      <w:pPr>
        <w:rPr>
          <w:rFonts w:ascii="Times New Roman" w:hAnsi="Times New Roman"/>
          <w:color w:val="000000" w:themeColor="text1"/>
          <w:szCs w:val="22"/>
          <w:lang w:val="fr-FR"/>
        </w:rPr>
      </w:pPr>
    </w:p>
    <w:p w14:paraId="667DC7F4" w14:textId="77777777" w:rsidR="00633ADD" w:rsidRPr="00623A2B" w:rsidRDefault="00633ADD" w:rsidP="00633ADD">
      <w:pPr>
        <w:rPr>
          <w:rFonts w:ascii="Times New Roman" w:hAnsi="Times New Roman"/>
          <w:b/>
          <w:bCs/>
          <w:color w:val="000000" w:themeColor="text1"/>
          <w:szCs w:val="22"/>
          <w:lang w:val="fr-FR"/>
        </w:rPr>
      </w:pPr>
      <w:r w:rsidRPr="00623A2B">
        <w:rPr>
          <w:rFonts w:ascii="Times New Roman" w:hAnsi="Times New Roman"/>
          <w:b/>
          <w:bCs/>
          <w:color w:val="000000" w:themeColor="text1"/>
          <w:szCs w:val="22"/>
          <w:lang w:val="fr-FR"/>
        </w:rPr>
        <w:tab/>
      </w:r>
      <w:r w:rsidRPr="00623A2B">
        <w:rPr>
          <w:rFonts w:ascii="Times New Roman" w:hAnsi="Times New Roman"/>
          <w:color w:val="000000" w:themeColor="text1"/>
          <w:szCs w:val="22"/>
          <w:lang w:val="fr-FR"/>
        </w:rPr>
        <w:t>Que le continent américain est l’une des régions du monde les plus exposées aux catastrophes et que plus de 300 millions de ses citoyens vivent dans des zones particulièrement vulnérables aux catastrophes,</w:t>
      </w:r>
    </w:p>
    <w:p w14:paraId="026CDB3F" w14:textId="77777777" w:rsidR="00633ADD" w:rsidRPr="00623A2B" w:rsidRDefault="00633ADD" w:rsidP="00633ADD">
      <w:pPr>
        <w:rPr>
          <w:rFonts w:ascii="Times New Roman" w:hAnsi="Times New Roman"/>
          <w:color w:val="000000" w:themeColor="text1"/>
          <w:szCs w:val="22"/>
          <w:lang w:val="fr-FR"/>
        </w:rPr>
      </w:pPr>
    </w:p>
    <w:p w14:paraId="2523C02D" w14:textId="77777777" w:rsidR="00633ADD" w:rsidRPr="00623A2B" w:rsidRDefault="00633ADD" w:rsidP="00633ADD">
      <w:pPr>
        <w:rPr>
          <w:rFonts w:ascii="Times New Roman" w:hAnsi="Times New Roman"/>
          <w:color w:val="000000" w:themeColor="text1"/>
          <w:szCs w:val="22"/>
          <w:lang w:val="fr-FR"/>
        </w:rPr>
      </w:pPr>
      <w:r w:rsidRPr="00623A2B">
        <w:rPr>
          <w:rFonts w:ascii="Times New Roman" w:hAnsi="Times New Roman"/>
          <w:b/>
          <w:bCs/>
          <w:color w:val="000000" w:themeColor="text1"/>
          <w:szCs w:val="22"/>
          <w:lang w:val="fr-FR"/>
        </w:rPr>
        <w:tab/>
      </w:r>
      <w:r w:rsidRPr="00623A2B">
        <w:rPr>
          <w:rFonts w:ascii="Times New Roman" w:hAnsi="Times New Roman"/>
          <w:color w:val="000000" w:themeColor="text1"/>
          <w:szCs w:val="22"/>
          <w:lang w:val="fr-FR"/>
        </w:rPr>
        <w:t xml:space="preserve">Que les catastrophes constituent une menace importante pour le développement humain intégré, la santé et la sécurité publiques, ainsi que pour les infrastructures essentielles, et qu’elles affectent le bien-être des générations présentes et futures </w:t>
      </w:r>
      <w:r w:rsidRPr="00623A2B">
        <w:rPr>
          <w:rFonts w:ascii="Times New Roman" w:hAnsi="Times New Roman"/>
          <w:bCs/>
          <w:color w:val="000000" w:themeColor="text1"/>
          <w:szCs w:val="22"/>
          <w:lang w:val="fr-FR"/>
        </w:rPr>
        <w:t>et,</w:t>
      </w:r>
    </w:p>
    <w:p w14:paraId="67905258" w14:textId="77777777" w:rsidR="00633ADD" w:rsidRPr="00623A2B" w:rsidRDefault="00633ADD" w:rsidP="00633ADD">
      <w:pPr>
        <w:rPr>
          <w:rFonts w:ascii="Times New Roman" w:hAnsi="Times New Roman"/>
          <w:color w:val="000000" w:themeColor="text1"/>
          <w:szCs w:val="22"/>
          <w:lang w:val="fr-FR"/>
        </w:rPr>
      </w:pPr>
    </w:p>
    <w:p w14:paraId="26B3DC34" w14:textId="77777777" w:rsidR="00633ADD" w:rsidRPr="00623A2B" w:rsidRDefault="00633ADD" w:rsidP="00633ADD">
      <w:pPr>
        <w:rPr>
          <w:rFonts w:ascii="Times New Roman" w:hAnsi="Times New Roman"/>
          <w:color w:val="000000" w:themeColor="text1"/>
          <w:szCs w:val="22"/>
          <w:lang w:val="fr-FR"/>
        </w:rPr>
      </w:pPr>
      <w:r w:rsidRPr="00623A2B">
        <w:rPr>
          <w:rFonts w:ascii="Times New Roman" w:hAnsi="Times New Roman"/>
          <w:b/>
          <w:bCs/>
          <w:color w:val="000000" w:themeColor="text1"/>
          <w:szCs w:val="22"/>
          <w:lang w:val="fr-FR"/>
        </w:rPr>
        <w:tab/>
      </w:r>
      <w:r w:rsidRPr="00623A2B">
        <w:rPr>
          <w:rFonts w:ascii="Times New Roman" w:hAnsi="Times New Roman"/>
          <w:color w:val="000000" w:themeColor="text1"/>
          <w:szCs w:val="22"/>
          <w:lang w:val="fr-FR"/>
        </w:rPr>
        <w:t xml:space="preserve">La nécessité d'une approche de la gestion des risques de catastrophes plus large et centrée davantage sur les personnes, et le fait que les pratiques de réduction des risques de catastrophes doivent être multirisques et multisectorielles, inclusives et accessibles afin d'être efficaces, </w:t>
      </w:r>
    </w:p>
    <w:p w14:paraId="5D136F63" w14:textId="77777777" w:rsidR="00633ADD" w:rsidRPr="00623A2B" w:rsidRDefault="00633ADD" w:rsidP="00633ADD">
      <w:pPr>
        <w:rPr>
          <w:rFonts w:ascii="Times New Roman" w:hAnsi="Times New Roman"/>
          <w:color w:val="000000" w:themeColor="text1"/>
          <w:szCs w:val="22"/>
          <w:lang w:val="fr-FR"/>
        </w:rPr>
      </w:pPr>
    </w:p>
    <w:p w14:paraId="4DA50128" w14:textId="77777777" w:rsidR="00633ADD" w:rsidRPr="00623A2B" w:rsidRDefault="00633ADD" w:rsidP="00633ADD">
      <w:pPr>
        <w:rPr>
          <w:rFonts w:ascii="Times New Roman" w:hAnsi="Times New Roman"/>
          <w:color w:val="000000" w:themeColor="text1"/>
          <w:szCs w:val="22"/>
          <w:lang w:val="fr-FR"/>
        </w:rPr>
      </w:pPr>
      <w:r w:rsidRPr="00623A2B">
        <w:rPr>
          <w:rFonts w:ascii="Times New Roman" w:hAnsi="Times New Roman"/>
          <w:b/>
          <w:bCs/>
          <w:color w:val="000000" w:themeColor="text1"/>
          <w:szCs w:val="22"/>
          <w:lang w:val="fr-FR"/>
        </w:rPr>
        <w:tab/>
      </w:r>
      <w:r w:rsidRPr="00623A2B">
        <w:rPr>
          <w:rFonts w:ascii="Times New Roman" w:hAnsi="Times New Roman"/>
          <w:color w:val="000000" w:themeColor="text1"/>
          <w:szCs w:val="22"/>
          <w:lang w:val="fr-FR"/>
        </w:rPr>
        <w:t>NOTANT AVEC PRÉOCCUPATION que les femmes, les personnes handicapées, les personnes âgées, les enfants et les jeunes, ainsi que les groupes de personnes en situation de vulnérabilité sont souvent touchés de manière disproportionnée par les catastrophes, et soulignant la nécessité de veiller à ce que leurs situations/conditions de vulnérabilité particulières soient identifiées et prises en compte dans la préparation aux interventions et au relèvement,</w:t>
      </w:r>
    </w:p>
    <w:p w14:paraId="4E2A2D5A" w14:textId="77777777" w:rsidR="00633ADD" w:rsidRPr="00623A2B" w:rsidRDefault="00633ADD" w:rsidP="00633ADD">
      <w:pPr>
        <w:rPr>
          <w:rFonts w:ascii="Times New Roman" w:hAnsi="Times New Roman"/>
          <w:color w:val="000000" w:themeColor="text1"/>
          <w:szCs w:val="22"/>
          <w:lang w:val="fr-FR"/>
        </w:rPr>
      </w:pPr>
    </w:p>
    <w:p w14:paraId="431ABD06" w14:textId="77777777" w:rsidR="00633ADD" w:rsidRPr="00623A2B" w:rsidRDefault="00633ADD" w:rsidP="00633ADD">
      <w:pPr>
        <w:rPr>
          <w:rFonts w:ascii="Times New Roman" w:hAnsi="Times New Roman"/>
          <w:color w:val="000000" w:themeColor="text1"/>
          <w:szCs w:val="22"/>
          <w:lang w:val="fr-FR"/>
        </w:rPr>
      </w:pPr>
      <w:r w:rsidRPr="00623A2B">
        <w:rPr>
          <w:rFonts w:ascii="Times New Roman" w:hAnsi="Times New Roman"/>
          <w:color w:val="000000" w:themeColor="text1"/>
          <w:szCs w:val="22"/>
          <w:lang w:val="fr-FR"/>
        </w:rPr>
        <w:t xml:space="preserve">RECONNAISSANT EN OUTRE </w:t>
      </w:r>
    </w:p>
    <w:p w14:paraId="73D25529" w14:textId="77777777" w:rsidR="00633ADD" w:rsidRPr="00623A2B" w:rsidRDefault="00633ADD" w:rsidP="00633ADD">
      <w:pPr>
        <w:rPr>
          <w:rFonts w:ascii="Times New Roman" w:hAnsi="Times New Roman"/>
          <w:color w:val="000000" w:themeColor="text1"/>
          <w:szCs w:val="22"/>
          <w:lang w:val="fr-FR"/>
        </w:rPr>
      </w:pPr>
    </w:p>
    <w:p w14:paraId="6719F8C2" w14:textId="2B97380D" w:rsidR="00633ADD" w:rsidRDefault="00633ADD" w:rsidP="00035593">
      <w:pPr>
        <w:widowControl/>
        <w:ind w:firstLine="720"/>
        <w:rPr>
          <w:rFonts w:ascii="Times New Roman" w:hAnsi="Times New Roman"/>
          <w:color w:val="000000" w:themeColor="text1"/>
          <w:szCs w:val="22"/>
          <w:lang w:val="fr-FR"/>
        </w:rPr>
      </w:pPr>
      <w:r w:rsidRPr="00623A2B">
        <w:rPr>
          <w:rFonts w:ascii="Times New Roman" w:hAnsi="Times New Roman"/>
          <w:color w:val="000000" w:themeColor="text1"/>
          <w:szCs w:val="22"/>
          <w:lang w:val="fr-FR"/>
        </w:rPr>
        <w:t>La responsabilité qui incombe au premier chef à chaque État de prévenir et de réduire les risques de catastrophe et de s’investir dans la gestion de ces risques, y compris par l’application volontaire et le suivi du Cadre de Sendai, ainsi que par des mesures d’intervention rapide et de relèvement accéléré, afin de réduire au minimum l’impact des catastrophes et de renforcer la résilience, et reconnaissant l’importance de la coopération internationale pour soutenir les efforts des pays touchés qui peuvent avoir des capacités limitées en la matière, et,</w:t>
      </w:r>
    </w:p>
    <w:p w14:paraId="634E10EE" w14:textId="77777777" w:rsidR="00ED2EA7" w:rsidRPr="00623A2B" w:rsidRDefault="00ED2EA7" w:rsidP="00035593">
      <w:pPr>
        <w:widowControl/>
        <w:ind w:firstLine="720"/>
        <w:rPr>
          <w:rFonts w:ascii="Times New Roman" w:hAnsi="Times New Roman"/>
          <w:color w:val="000000" w:themeColor="text1"/>
          <w:szCs w:val="22"/>
          <w:lang w:val="fr-FR"/>
        </w:rPr>
      </w:pPr>
    </w:p>
    <w:p w14:paraId="5C780AD5" w14:textId="77777777" w:rsidR="00633ADD" w:rsidRPr="00623A2B" w:rsidRDefault="00633ADD" w:rsidP="00633ADD">
      <w:pPr>
        <w:ind w:firstLine="720"/>
        <w:rPr>
          <w:rFonts w:ascii="Times New Roman" w:hAnsi="Times New Roman"/>
          <w:color w:val="000000" w:themeColor="text1"/>
          <w:szCs w:val="22"/>
          <w:lang w:val="fr-FR"/>
        </w:rPr>
      </w:pPr>
      <w:r w:rsidRPr="00623A2B">
        <w:rPr>
          <w:rFonts w:ascii="Times New Roman" w:hAnsi="Times New Roman"/>
          <w:color w:val="000000" w:themeColor="text1"/>
          <w:szCs w:val="22"/>
          <w:lang w:val="fr-FR"/>
        </w:rPr>
        <w:lastRenderedPageBreak/>
        <w:t>La contribution des priorités convenues lors de la Plateforme mondiale 2017 pour la réduction des risques de catastrophe, la première après l’adoption du Cadre de Sendai, qui s’est tenue à Cancun (Mexique) du 22 au 26 mai 2017, à l’action coordonnée de la communauté internationale pour réduire les risques de dommages causés par les catastrophes.</w:t>
      </w:r>
    </w:p>
    <w:p w14:paraId="044487E4" w14:textId="77777777" w:rsidR="00633ADD" w:rsidRPr="00623A2B" w:rsidRDefault="00633ADD" w:rsidP="00633ADD">
      <w:pPr>
        <w:rPr>
          <w:rFonts w:ascii="Times New Roman" w:hAnsi="Times New Roman"/>
          <w:color w:val="000000" w:themeColor="text1"/>
          <w:szCs w:val="22"/>
          <w:lang w:val="fr-FR"/>
        </w:rPr>
      </w:pPr>
    </w:p>
    <w:p w14:paraId="541DE8A1" w14:textId="77777777" w:rsidR="00633ADD" w:rsidRPr="00623A2B" w:rsidRDefault="00633ADD" w:rsidP="00633ADD">
      <w:pPr>
        <w:rPr>
          <w:rFonts w:ascii="Times New Roman" w:hAnsi="Times New Roman"/>
          <w:color w:val="000000" w:themeColor="text1"/>
          <w:szCs w:val="22"/>
          <w:lang w:val="fr-FR"/>
        </w:rPr>
      </w:pPr>
      <w:r w:rsidRPr="00623A2B">
        <w:rPr>
          <w:rFonts w:ascii="Times New Roman" w:hAnsi="Times New Roman"/>
          <w:b/>
          <w:bCs/>
          <w:color w:val="000000" w:themeColor="text1"/>
          <w:szCs w:val="22"/>
          <w:lang w:val="fr-FR"/>
        </w:rPr>
        <w:tab/>
      </w:r>
      <w:r w:rsidRPr="00623A2B">
        <w:rPr>
          <w:rFonts w:ascii="Times New Roman" w:hAnsi="Times New Roman"/>
          <w:color w:val="000000" w:themeColor="text1"/>
          <w:szCs w:val="22"/>
          <w:lang w:val="fr-FR"/>
        </w:rPr>
        <w:t xml:space="preserve">RAPPELANT que le Cadre d’action de Sendai pour la réduction des risques de catastrophe 2015-2030, adopté par l'Assemblée générale des Nations Unies (A/RES 69/283) : </w:t>
      </w:r>
    </w:p>
    <w:p w14:paraId="1A72482D" w14:textId="77777777" w:rsidR="00633ADD" w:rsidRPr="00623A2B" w:rsidRDefault="00633ADD" w:rsidP="00633ADD">
      <w:pPr>
        <w:rPr>
          <w:rFonts w:ascii="Times New Roman" w:hAnsi="Times New Roman"/>
          <w:color w:val="000000" w:themeColor="text1"/>
          <w:szCs w:val="22"/>
          <w:lang w:val="fr-FR"/>
        </w:rPr>
      </w:pPr>
    </w:p>
    <w:p w14:paraId="2D47981A" w14:textId="77777777" w:rsidR="00633ADD" w:rsidRPr="00623A2B" w:rsidRDefault="00633ADD" w:rsidP="00633ADD">
      <w:pPr>
        <w:pStyle w:val="ListParagraph"/>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val="0"/>
        <w:rPr>
          <w:rFonts w:ascii="Times New Roman" w:hAnsi="Times New Roman"/>
          <w:color w:val="000000" w:themeColor="text1"/>
          <w:szCs w:val="22"/>
          <w:lang w:val="fr-FR"/>
        </w:rPr>
      </w:pPr>
      <w:proofErr w:type="gramStart"/>
      <w:r w:rsidRPr="00623A2B">
        <w:rPr>
          <w:rFonts w:ascii="Times New Roman" w:hAnsi="Times New Roman"/>
          <w:color w:val="000000" w:themeColor="text1"/>
          <w:szCs w:val="22"/>
          <w:lang w:val="fr-FR"/>
        </w:rPr>
        <w:t>reconnaît</w:t>
      </w:r>
      <w:proofErr w:type="gramEnd"/>
      <w:r w:rsidRPr="00623A2B">
        <w:rPr>
          <w:rFonts w:ascii="Times New Roman" w:hAnsi="Times New Roman"/>
          <w:color w:val="000000" w:themeColor="text1"/>
          <w:szCs w:val="22"/>
          <w:lang w:val="fr-FR"/>
        </w:rPr>
        <w:t xml:space="preserve"> que les catastrophes ont « d’importantes répercussions dans les domaines économique, social, culturel et environnemental et sur le plan de la santé à court, moyen et long terme, en particulier sur la population locale » ;</w:t>
      </w:r>
    </w:p>
    <w:p w14:paraId="2EA2E84D" w14:textId="77777777" w:rsidR="00633ADD" w:rsidRPr="00623A2B" w:rsidRDefault="00633ADD" w:rsidP="00633ADD">
      <w:pPr>
        <w:pStyle w:val="ListParagraph"/>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val="0"/>
        <w:rPr>
          <w:rFonts w:ascii="Times New Roman" w:hAnsi="Times New Roman"/>
          <w:color w:val="000000" w:themeColor="text1"/>
          <w:szCs w:val="22"/>
          <w:lang w:val="fr-FR"/>
        </w:rPr>
      </w:pPr>
      <w:r w:rsidRPr="00623A2B">
        <w:rPr>
          <w:rFonts w:ascii="Times New Roman" w:hAnsi="Times New Roman"/>
          <w:color w:val="000000" w:themeColor="text1"/>
          <w:szCs w:val="22"/>
          <w:lang w:val="fr-FR"/>
        </w:rPr>
        <w:t xml:space="preserve">S’applique à un large éventail de risques qui comprennent les « catastrophes à petite échelle ou à grande échelle, fréquentes ou rares, soudaines ou à évolution lente, causées par des aléas naturels ou par l’homme, ou liées aux aléas et risques environnementaux, technologiques et biologiques » ; et </w:t>
      </w:r>
    </w:p>
    <w:p w14:paraId="3AB6970F" w14:textId="77777777" w:rsidR="00633ADD" w:rsidRPr="00623A2B" w:rsidRDefault="00633ADD" w:rsidP="00633ADD">
      <w:pPr>
        <w:pStyle w:val="ListParagraph"/>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val="0"/>
        <w:rPr>
          <w:rFonts w:ascii="Times New Roman" w:hAnsi="Times New Roman"/>
          <w:color w:val="000000" w:themeColor="text1"/>
          <w:szCs w:val="22"/>
          <w:lang w:val="fr-FR"/>
        </w:rPr>
      </w:pPr>
      <w:r w:rsidRPr="00623A2B">
        <w:rPr>
          <w:rFonts w:ascii="Times New Roman" w:hAnsi="Times New Roman"/>
          <w:color w:val="000000" w:themeColor="text1"/>
          <w:szCs w:val="22"/>
          <w:lang w:val="fr-FR"/>
        </w:rPr>
        <w:t>reconnaît la nécessité d’une approche multidimensionnelle fondée sur les risques pour écarter les nouveaux risques de catastrophe et réduire les risques existants en prenant « des mesures intégrées et globales dans les domaines économique, structurel, juridique, social, culturel, environnemental, technologique, politique et institutionnel et dans les secteurs de la santé et de l’éducation qui permettent d’éviter l’exposition aux aléas ou de réduire la vulnérabilité aux catastrophes, améliorent la préparation à l’intervention et aux activités de relèvement, et renforcent ainsi la résilience ».</w:t>
      </w:r>
    </w:p>
    <w:p w14:paraId="09CDE010" w14:textId="77777777" w:rsidR="00633ADD" w:rsidRPr="00623A2B" w:rsidRDefault="00633ADD" w:rsidP="00633ADD">
      <w:pPr>
        <w:rPr>
          <w:rFonts w:ascii="Times New Roman" w:hAnsi="Times New Roman"/>
          <w:color w:val="000000" w:themeColor="text1"/>
          <w:szCs w:val="22"/>
          <w:lang w:val="fr-FR"/>
        </w:rPr>
      </w:pPr>
    </w:p>
    <w:p w14:paraId="3A196F79" w14:textId="77777777" w:rsidR="00633ADD" w:rsidRPr="00623A2B" w:rsidRDefault="00633ADD" w:rsidP="00633ADD">
      <w:pPr>
        <w:rPr>
          <w:rFonts w:ascii="Times New Roman" w:hAnsi="Times New Roman"/>
          <w:color w:val="000000" w:themeColor="text1"/>
          <w:szCs w:val="22"/>
          <w:lang w:val="fr-FR"/>
        </w:rPr>
      </w:pPr>
      <w:r w:rsidRPr="00623A2B">
        <w:rPr>
          <w:rFonts w:ascii="Times New Roman" w:hAnsi="Times New Roman"/>
          <w:b/>
          <w:bCs/>
          <w:color w:val="000000" w:themeColor="text1"/>
          <w:szCs w:val="22"/>
          <w:lang w:val="fr-FR"/>
        </w:rPr>
        <w:tab/>
      </w:r>
      <w:r w:rsidRPr="00623A2B">
        <w:rPr>
          <w:rFonts w:ascii="Times New Roman" w:hAnsi="Times New Roman"/>
          <w:color w:val="000000" w:themeColor="text1"/>
          <w:szCs w:val="22"/>
          <w:lang w:val="fr-FR"/>
        </w:rPr>
        <w:t>RÉAFFIRMANT l’intérêt de mettre en œuvre le Cadre d’action de Sendai pour la réduction des risques de catastrophe 2015-2030 afin de garantir une réduction substantielle des risques de catastrophe et des pertes en termes de vies humaines, d’atteinte aux moyens de subsistance et à la santé, et d’atteinte aux biens économiques, physiques, sociaux, culturels et environnementaux des personnes, des entreprises, des collectivités et des pays, et reconnaissant que la mise en œuvre d’autres instruments, tels que l'Accord de Paris, le Programme d'action d'Addis-Abeba de la troisième Conférence internationale sur le financement du développement, et le Programme de développement durable à l'horizon 2030, contribue aussi à la réduction des risques de catastrophe et à la promotion de la résilience face aux catastrophes,</w:t>
      </w:r>
    </w:p>
    <w:p w14:paraId="7CD64E7E" w14:textId="77777777" w:rsidR="00633ADD" w:rsidRPr="00623A2B" w:rsidRDefault="00633ADD" w:rsidP="00633ADD">
      <w:pPr>
        <w:rPr>
          <w:rFonts w:ascii="Times New Roman" w:hAnsi="Times New Roman"/>
          <w:color w:val="000000" w:themeColor="text1"/>
          <w:szCs w:val="22"/>
          <w:lang w:val="fr-FR"/>
        </w:rPr>
      </w:pPr>
    </w:p>
    <w:p w14:paraId="448E3A4C" w14:textId="77777777" w:rsidR="00633ADD" w:rsidRPr="00623A2B" w:rsidRDefault="00633ADD" w:rsidP="00633ADD">
      <w:pPr>
        <w:rPr>
          <w:rFonts w:ascii="Times New Roman" w:hAnsi="Times New Roman"/>
          <w:color w:val="000000" w:themeColor="text1"/>
          <w:szCs w:val="22"/>
          <w:lang w:val="fr-FR"/>
        </w:rPr>
      </w:pPr>
      <w:r w:rsidRPr="00623A2B">
        <w:rPr>
          <w:rFonts w:ascii="Times New Roman" w:hAnsi="Times New Roman"/>
          <w:b/>
          <w:bCs/>
          <w:color w:val="000000" w:themeColor="text1"/>
          <w:szCs w:val="22"/>
          <w:lang w:val="fr-FR"/>
        </w:rPr>
        <w:tab/>
      </w:r>
      <w:r w:rsidRPr="00623A2B">
        <w:rPr>
          <w:rFonts w:ascii="Times New Roman" w:hAnsi="Times New Roman"/>
          <w:color w:val="000000" w:themeColor="text1"/>
          <w:szCs w:val="22"/>
          <w:lang w:val="fr-FR"/>
        </w:rPr>
        <w:t>RECONNAISSANT que, conformément au Cadre de Sendai pour la réduction des risques de catastrophe 2015-2030, l'Organisation des États Américains a appliqué une approche de la gestion des risques de catastrophes qui inclut les catastrophes à évolution « rapide » et « lente », ainsi que ce que la Stratégie internationale de prévention des catastrophes des Nations Unies (SIPC) qualifie de catastrophes « intensives » et « extensives », adoptée dans le Programme interaméricain de développement durable 2016-2021 (PIDS) au moyen de la résolution AG/RES. 2882 (XLVI-O/16), dans le Plan interaméricain de prévention des catastrophes et d’intervention et de coordination de l’aide humanitaire par la résolution AG/RES. 2750 (XLII-O/12)], et plus récemment, dans la résolution AG/RES. 2952 (L-O/20), en particulier dans le contexte des effets continus de la pandémie COVID- 19,</w:t>
      </w:r>
    </w:p>
    <w:p w14:paraId="1F5F5FA3" w14:textId="77777777" w:rsidR="00633ADD" w:rsidRPr="00623A2B" w:rsidRDefault="00633ADD" w:rsidP="00633ADD">
      <w:pPr>
        <w:rPr>
          <w:rFonts w:ascii="Times New Roman" w:hAnsi="Times New Roman"/>
          <w:color w:val="000000" w:themeColor="text1"/>
          <w:szCs w:val="22"/>
          <w:lang w:val="fr-FR"/>
        </w:rPr>
      </w:pPr>
    </w:p>
    <w:p w14:paraId="28E4A484" w14:textId="77777777" w:rsidR="00633ADD" w:rsidRPr="00623A2B" w:rsidRDefault="00633ADD" w:rsidP="00035593">
      <w:pPr>
        <w:widowControl/>
        <w:rPr>
          <w:rFonts w:ascii="Times New Roman" w:hAnsi="Times New Roman"/>
          <w:color w:val="000000" w:themeColor="text1"/>
          <w:szCs w:val="22"/>
          <w:lang w:val="fr-FR"/>
        </w:rPr>
      </w:pPr>
      <w:r w:rsidRPr="00623A2B">
        <w:rPr>
          <w:rFonts w:ascii="Times New Roman" w:hAnsi="Times New Roman"/>
          <w:b/>
          <w:bCs/>
          <w:color w:val="000000" w:themeColor="text1"/>
          <w:szCs w:val="22"/>
          <w:lang w:val="fr-FR"/>
        </w:rPr>
        <w:tab/>
      </w:r>
      <w:r w:rsidRPr="00623A2B">
        <w:rPr>
          <w:rFonts w:ascii="Times New Roman" w:hAnsi="Times New Roman"/>
          <w:color w:val="000000" w:themeColor="text1"/>
          <w:szCs w:val="22"/>
          <w:lang w:val="fr-FR"/>
        </w:rPr>
        <w:t>RECONNAISSANT ÉGALEMENT les recommandations prioritaires énoncées dans la stratégie-cadre visant à passer de la vulnérabilité à la résilience, y compris en ce qui concerne les catastrophes, la nécessité urgente de reconstruire de manière résiliente après les ouragans, et également dans la mesure où elles s’appliquent à la sécheresse récurrente que connaît le continent américain,</w:t>
      </w:r>
    </w:p>
    <w:p w14:paraId="11484CA6" w14:textId="66EE61AA" w:rsidR="00633ADD" w:rsidRPr="00623A2B" w:rsidRDefault="00633ADD" w:rsidP="00633ADD">
      <w:pPr>
        <w:rPr>
          <w:rFonts w:ascii="Times New Roman" w:hAnsi="Times New Roman"/>
          <w:color w:val="000000" w:themeColor="text1"/>
          <w:szCs w:val="22"/>
          <w:lang w:val="fr-FR"/>
        </w:rPr>
      </w:pPr>
      <w:r w:rsidRPr="00623A2B">
        <w:rPr>
          <w:rFonts w:ascii="Times New Roman" w:hAnsi="Times New Roman"/>
          <w:b/>
          <w:bCs/>
          <w:color w:val="000000" w:themeColor="text1"/>
          <w:szCs w:val="22"/>
          <w:lang w:val="fr-FR"/>
        </w:rPr>
        <w:lastRenderedPageBreak/>
        <w:tab/>
      </w:r>
      <w:r w:rsidRPr="00623A2B">
        <w:rPr>
          <w:rFonts w:ascii="Times New Roman" w:hAnsi="Times New Roman"/>
          <w:color w:val="000000" w:themeColor="text1"/>
          <w:szCs w:val="22"/>
          <w:lang w:val="fr-FR"/>
        </w:rPr>
        <w:t>ACCUEILLANT AVEC SATISFACTION les nouveaux partenaires stratégiques régionaux et internationaux de la Commission interaméricaine pour la réduction des catastrophes naturelles (CIRDN), et encourageant la coordination continue de tous les efforts visant à soutenir les États membres de l'OEA dans les situations d’urgence,</w:t>
      </w:r>
    </w:p>
    <w:p w14:paraId="1DB1284A" w14:textId="77777777" w:rsidR="00633ADD" w:rsidRPr="00623A2B" w:rsidRDefault="00633ADD" w:rsidP="00633ADD">
      <w:pPr>
        <w:rPr>
          <w:rFonts w:ascii="Times New Roman" w:hAnsi="Times New Roman"/>
          <w:bCs/>
          <w:color w:val="000000" w:themeColor="text1"/>
          <w:szCs w:val="22"/>
          <w:lang w:val="fr-FR"/>
        </w:rPr>
      </w:pPr>
    </w:p>
    <w:p w14:paraId="30636A43" w14:textId="77777777" w:rsidR="00633ADD" w:rsidRPr="00623A2B" w:rsidRDefault="00633ADD" w:rsidP="00633ADD">
      <w:pPr>
        <w:rPr>
          <w:rFonts w:ascii="Times New Roman" w:hAnsi="Times New Roman"/>
          <w:color w:val="000000" w:themeColor="text1"/>
          <w:szCs w:val="22"/>
          <w:lang w:val="fr-FR"/>
        </w:rPr>
      </w:pPr>
      <w:r w:rsidRPr="00623A2B">
        <w:rPr>
          <w:rFonts w:ascii="Times New Roman" w:hAnsi="Times New Roman"/>
          <w:b/>
          <w:bCs/>
          <w:color w:val="000000" w:themeColor="text1"/>
          <w:szCs w:val="22"/>
          <w:lang w:val="fr-FR"/>
        </w:rPr>
        <w:tab/>
      </w:r>
      <w:r w:rsidRPr="00623A2B">
        <w:rPr>
          <w:rFonts w:ascii="Times New Roman" w:hAnsi="Times New Roman"/>
          <w:color w:val="000000" w:themeColor="text1"/>
          <w:szCs w:val="22"/>
          <w:lang w:val="fr-FR"/>
        </w:rPr>
        <w:t>RAPPELANT EN OUTRE les engagements pris dans les résolutions et déclarations antérieures du Conseil Permanent, et renouvelées tout récemment dans la résolution CP/RES. 1169 (2318/21) et la déclaration CP/DEC. 73 (2307/20) face à la vulnérabilité exacerbée par la pandémie de COVID-19, de venir en aide aux États membres touchés par des catastrophes</w:t>
      </w:r>
      <w:r w:rsidRPr="00623A2B">
        <w:rPr>
          <w:rFonts w:ascii="Times New Roman" w:hAnsi="Times New Roman"/>
          <w:b/>
          <w:bCs/>
          <w:color w:val="000000" w:themeColor="text1"/>
          <w:szCs w:val="22"/>
          <w:lang w:val="fr-FR"/>
        </w:rPr>
        <w:t xml:space="preserve"> </w:t>
      </w:r>
      <w:r w:rsidRPr="00623A2B">
        <w:rPr>
          <w:rFonts w:ascii="Times New Roman" w:hAnsi="Times New Roman"/>
          <w:color w:val="000000" w:themeColor="text1"/>
          <w:szCs w:val="22"/>
          <w:lang w:val="fr-FR"/>
        </w:rPr>
        <w:t>au moyen d’un financement mobilisé en plus large mesure à partir de ressources issues de partenariats publics-privés pour répondre d’urgence aux besoins en matière de relèvement et de reconstruction multisectoriels et parvenir à la résilience,</w:t>
      </w:r>
    </w:p>
    <w:p w14:paraId="70F05BD6" w14:textId="77777777" w:rsidR="00633ADD" w:rsidRPr="00623A2B" w:rsidRDefault="00633ADD" w:rsidP="00633ADD">
      <w:pPr>
        <w:rPr>
          <w:rFonts w:ascii="Times New Roman" w:hAnsi="Times New Roman"/>
          <w:color w:val="000000" w:themeColor="text1"/>
          <w:szCs w:val="22"/>
          <w:lang w:val="fr-FR"/>
        </w:rPr>
      </w:pPr>
    </w:p>
    <w:p w14:paraId="5000163B" w14:textId="77777777" w:rsidR="00633ADD" w:rsidRPr="00623A2B" w:rsidRDefault="00633ADD" w:rsidP="00633ADD">
      <w:pPr>
        <w:ind w:firstLine="720"/>
        <w:rPr>
          <w:rFonts w:ascii="Times New Roman" w:hAnsi="Times New Roman"/>
          <w:color w:val="000000" w:themeColor="text1"/>
          <w:szCs w:val="22"/>
          <w:lang w:val="fr-FR"/>
        </w:rPr>
      </w:pPr>
      <w:r w:rsidRPr="00623A2B">
        <w:rPr>
          <w:rFonts w:ascii="Times New Roman" w:hAnsi="Times New Roman"/>
          <w:color w:val="000000" w:themeColor="text1"/>
          <w:szCs w:val="22"/>
          <w:lang w:val="fr-FR"/>
        </w:rPr>
        <w:t>TENANT COMPTE du fait que l’objectif ultime de toutes les activités de gestion des catastrophes est de renforcer la résilience qui rend les villes et les communautés inclusives, sûres, résiliente et durables face aux catastrophes afin de réduire les vulnérabilités des États membres aux catastrophes et d’accélérer le relèvement pour les victimes de catastrophe,</w:t>
      </w:r>
    </w:p>
    <w:p w14:paraId="2E61A815" w14:textId="77777777" w:rsidR="00633ADD" w:rsidRPr="00623A2B" w:rsidRDefault="00633ADD" w:rsidP="00633ADD">
      <w:pPr>
        <w:rPr>
          <w:rFonts w:ascii="Times New Roman" w:hAnsi="Times New Roman"/>
          <w:color w:val="000000" w:themeColor="text1"/>
          <w:szCs w:val="22"/>
          <w:lang w:val="fr-FR"/>
        </w:rPr>
      </w:pPr>
    </w:p>
    <w:p w14:paraId="7379EE84" w14:textId="77777777" w:rsidR="00633ADD" w:rsidRPr="00623A2B" w:rsidRDefault="00633ADD" w:rsidP="00633ADD">
      <w:pPr>
        <w:rPr>
          <w:rFonts w:ascii="Times New Roman" w:hAnsi="Times New Roman"/>
          <w:color w:val="000000" w:themeColor="text1"/>
          <w:szCs w:val="22"/>
          <w:lang w:val="fr-FR"/>
        </w:rPr>
      </w:pPr>
      <w:r w:rsidRPr="00623A2B">
        <w:rPr>
          <w:rFonts w:ascii="Times New Roman" w:hAnsi="Times New Roman"/>
          <w:b/>
          <w:bCs/>
          <w:color w:val="000000" w:themeColor="text1"/>
          <w:szCs w:val="22"/>
          <w:lang w:val="fr-FR"/>
        </w:rPr>
        <w:tab/>
      </w:r>
      <w:r w:rsidRPr="00623A2B">
        <w:rPr>
          <w:rFonts w:ascii="Times New Roman" w:hAnsi="Times New Roman"/>
          <w:color w:val="000000" w:themeColor="text1"/>
          <w:szCs w:val="22"/>
          <w:lang w:val="fr-FR"/>
        </w:rPr>
        <w:t>AYANT À L’ESPRIT le rôle important que doit jouer l’OEA pour compléter, faciliter et intégrer les synergies et les efforts déployés de concert avec les partenaires mondiaux et régionaux en matière de gestion des catastrophes, par le biais de ses instruments, institutions et initiatives régionales destinés à aider les États membres à se préparer aux catastrophes, à y réagir, à s’en relever, et à réduire la vulnérabilité à ces catastrophes, et,</w:t>
      </w:r>
    </w:p>
    <w:p w14:paraId="27C02355" w14:textId="77777777" w:rsidR="00633ADD" w:rsidRPr="00623A2B" w:rsidRDefault="00633ADD" w:rsidP="00633ADD">
      <w:pPr>
        <w:rPr>
          <w:rFonts w:ascii="Times New Roman" w:hAnsi="Times New Roman"/>
          <w:color w:val="000000" w:themeColor="text1"/>
          <w:szCs w:val="22"/>
          <w:lang w:val="fr-FR"/>
        </w:rPr>
      </w:pPr>
    </w:p>
    <w:p w14:paraId="11184494" w14:textId="77777777" w:rsidR="00633ADD" w:rsidRPr="00623A2B" w:rsidRDefault="00633ADD" w:rsidP="00633ADD">
      <w:pPr>
        <w:rPr>
          <w:rFonts w:ascii="Times New Roman" w:hAnsi="Times New Roman"/>
          <w:color w:val="000000" w:themeColor="text1"/>
          <w:szCs w:val="22"/>
          <w:lang w:val="fr-FR"/>
        </w:rPr>
      </w:pPr>
      <w:r w:rsidRPr="00623A2B">
        <w:rPr>
          <w:rFonts w:ascii="Times New Roman" w:hAnsi="Times New Roman"/>
          <w:b/>
          <w:bCs/>
          <w:color w:val="000000" w:themeColor="text1"/>
          <w:szCs w:val="22"/>
          <w:lang w:val="fr-FR"/>
        </w:rPr>
        <w:tab/>
      </w:r>
      <w:r w:rsidRPr="00623A2B">
        <w:rPr>
          <w:rFonts w:ascii="Times New Roman" w:hAnsi="Times New Roman"/>
          <w:color w:val="000000" w:themeColor="text1"/>
          <w:szCs w:val="22"/>
          <w:lang w:val="fr-FR"/>
        </w:rPr>
        <w:t>PRÉOCCUPÉE par le fait que les incidences multisectorielles de la pandémie de COVID-19 ont affaibli les États membres de l’OEA dans les efforts qu’ils déploient pour atteindre les objectifs de développement durable et renforcer leurs capacités à faire progresser la sécurité multidimensionnelle dans le continent américain,</w:t>
      </w:r>
    </w:p>
    <w:p w14:paraId="6B0BAD4B" w14:textId="77777777" w:rsidR="00633ADD" w:rsidRPr="00623A2B" w:rsidRDefault="00633ADD" w:rsidP="00633ADD">
      <w:pPr>
        <w:rPr>
          <w:rFonts w:ascii="Times New Roman" w:hAnsi="Times New Roman"/>
          <w:color w:val="000000" w:themeColor="text1"/>
          <w:szCs w:val="22"/>
          <w:lang w:val="fr-FR"/>
        </w:rPr>
      </w:pPr>
    </w:p>
    <w:p w14:paraId="3A03F3AF" w14:textId="77777777" w:rsidR="00633ADD" w:rsidRPr="00623A2B" w:rsidRDefault="00633ADD" w:rsidP="00633ADD">
      <w:pPr>
        <w:keepNext/>
        <w:rPr>
          <w:rFonts w:ascii="Times New Roman" w:hAnsi="Times New Roman"/>
          <w:color w:val="000000" w:themeColor="text1"/>
          <w:szCs w:val="22"/>
          <w:lang w:val="fr-FR"/>
        </w:rPr>
      </w:pPr>
      <w:r w:rsidRPr="00623A2B">
        <w:rPr>
          <w:rFonts w:ascii="Times New Roman" w:hAnsi="Times New Roman"/>
          <w:color w:val="000000" w:themeColor="text1"/>
          <w:szCs w:val="22"/>
          <w:lang w:val="fr-FR"/>
        </w:rPr>
        <w:t xml:space="preserve">DÉCIDE : </w:t>
      </w:r>
    </w:p>
    <w:p w14:paraId="44A84788" w14:textId="77777777" w:rsidR="00633ADD" w:rsidRPr="00623A2B" w:rsidRDefault="00633ADD" w:rsidP="00633ADD">
      <w:pPr>
        <w:keepNext/>
        <w:rPr>
          <w:rFonts w:ascii="Times New Roman" w:hAnsi="Times New Roman"/>
          <w:color w:val="000000" w:themeColor="text1"/>
          <w:szCs w:val="22"/>
          <w:lang w:val="fr-FR"/>
        </w:rPr>
      </w:pPr>
    </w:p>
    <w:p w14:paraId="06CD06C6" w14:textId="77777777" w:rsidR="00633ADD" w:rsidRPr="00623A2B" w:rsidRDefault="00633ADD" w:rsidP="00633ADD">
      <w:pPr>
        <w:ind w:firstLine="720"/>
        <w:rPr>
          <w:rFonts w:ascii="Times New Roman" w:hAnsi="Times New Roman"/>
          <w:color w:val="000000" w:themeColor="text1"/>
          <w:szCs w:val="22"/>
          <w:lang w:val="fr-FR"/>
        </w:rPr>
      </w:pPr>
      <w:r w:rsidRPr="00623A2B">
        <w:rPr>
          <w:rFonts w:ascii="Times New Roman" w:hAnsi="Times New Roman"/>
          <w:bCs/>
          <w:color w:val="000000" w:themeColor="text1"/>
          <w:szCs w:val="22"/>
          <w:lang w:val="fr-FR"/>
        </w:rPr>
        <w:t xml:space="preserve">1. </w:t>
      </w:r>
      <w:r w:rsidRPr="00623A2B">
        <w:rPr>
          <w:rFonts w:ascii="Times New Roman" w:hAnsi="Times New Roman"/>
          <w:bCs/>
          <w:color w:val="000000" w:themeColor="text1"/>
          <w:szCs w:val="22"/>
          <w:lang w:val="fr-FR"/>
        </w:rPr>
        <w:tab/>
      </w:r>
      <w:r w:rsidRPr="00623A2B">
        <w:rPr>
          <w:rFonts w:ascii="Times New Roman" w:hAnsi="Times New Roman"/>
          <w:color w:val="000000" w:themeColor="text1"/>
          <w:szCs w:val="22"/>
          <w:lang w:val="fr-FR"/>
        </w:rPr>
        <w:t xml:space="preserve">De réaffirmer son attachement à la mise en œuvre intégrale de toutes les recommandations énoncées dans le document CIDI/CPD/doc.200/20 </w:t>
      </w:r>
      <w:proofErr w:type="spellStart"/>
      <w:r w:rsidRPr="00623A2B">
        <w:rPr>
          <w:rFonts w:ascii="Times New Roman" w:hAnsi="Times New Roman"/>
          <w:color w:val="000000" w:themeColor="text1"/>
          <w:szCs w:val="22"/>
          <w:lang w:val="fr-FR"/>
        </w:rPr>
        <w:t>rev</w:t>
      </w:r>
      <w:proofErr w:type="spellEnd"/>
      <w:r w:rsidRPr="00623A2B">
        <w:rPr>
          <w:rFonts w:ascii="Times New Roman" w:hAnsi="Times New Roman"/>
          <w:color w:val="000000" w:themeColor="text1"/>
          <w:szCs w:val="22"/>
          <w:lang w:val="fr-FR"/>
        </w:rPr>
        <w:t>. 3 relatif aux outils existants et aux entités établies au sein du système interaméricain pour répondre aux besoins en matière de gestion des catastrophes, en particulier l’exploitation, aussitôt que possible, d’une base de données du continent américain au profit de tous les États membres de l’OEA et des partenaires stratégiques internationaux et sous-régionaux en matière de gestion des catastrophes, et de charger le Conseil interaméricain pour le développement intégré (CIDI) de superviser, en coordination avec la Commission sur la sécurité continentale (CSH) du Conseil permanent, l’exécution des mandats confiés au Secrétariat général.</w:t>
      </w:r>
    </w:p>
    <w:p w14:paraId="02898FA8" w14:textId="77777777" w:rsidR="00633ADD" w:rsidRPr="00623A2B" w:rsidRDefault="00633ADD" w:rsidP="00633ADD">
      <w:pPr>
        <w:rPr>
          <w:rFonts w:ascii="Times New Roman" w:hAnsi="Times New Roman"/>
          <w:color w:val="000000" w:themeColor="text1"/>
          <w:szCs w:val="22"/>
          <w:lang w:val="fr-FR"/>
        </w:rPr>
      </w:pPr>
    </w:p>
    <w:p w14:paraId="7258DC92" w14:textId="77777777" w:rsidR="00633ADD" w:rsidRPr="00623A2B" w:rsidRDefault="00633ADD" w:rsidP="00633ADD">
      <w:pPr>
        <w:ind w:firstLine="720"/>
        <w:rPr>
          <w:rFonts w:ascii="Times New Roman" w:hAnsi="Times New Roman"/>
          <w:color w:val="000000" w:themeColor="text1"/>
          <w:szCs w:val="22"/>
          <w:lang w:val="fr-FR"/>
        </w:rPr>
      </w:pPr>
      <w:r w:rsidRPr="00623A2B">
        <w:rPr>
          <w:rFonts w:ascii="Times New Roman" w:hAnsi="Times New Roman"/>
          <w:bCs/>
          <w:color w:val="000000" w:themeColor="text1"/>
          <w:szCs w:val="22"/>
          <w:lang w:val="fr-FR"/>
        </w:rPr>
        <w:t xml:space="preserve">2. </w:t>
      </w:r>
      <w:r w:rsidRPr="00623A2B">
        <w:rPr>
          <w:rFonts w:ascii="Times New Roman" w:hAnsi="Times New Roman"/>
          <w:bCs/>
          <w:color w:val="000000" w:themeColor="text1"/>
          <w:szCs w:val="22"/>
          <w:lang w:val="fr-FR"/>
        </w:rPr>
        <w:tab/>
      </w:r>
      <w:r w:rsidRPr="00623A2B">
        <w:rPr>
          <w:rFonts w:ascii="Times New Roman" w:hAnsi="Times New Roman"/>
          <w:color w:val="000000" w:themeColor="text1"/>
          <w:szCs w:val="22"/>
          <w:lang w:val="fr-FR"/>
        </w:rPr>
        <w:t xml:space="preserve">D’inviter les États membres de l’OEA, les observateurs permanents et les instances mondiales et régionales de gestion des catastrophes à fournir des données officielles, y compris des informations sur le transfert de connaissances et d'expertise, les leçons apprises, et les pratiques exemplaires dont disposent les États membres par le biais de la coopération, afin de les inclure dans la base de données du continent américain, qui servira à faciliter une préparation, des interventions et un relèvement efficaces, et à faire ainsi progresser la résilience aux catastrophes. </w:t>
      </w:r>
    </w:p>
    <w:p w14:paraId="5612C440" w14:textId="77777777" w:rsidR="00633ADD" w:rsidRPr="00623A2B" w:rsidRDefault="00633ADD" w:rsidP="00633ADD">
      <w:pPr>
        <w:rPr>
          <w:rFonts w:ascii="Times New Roman" w:hAnsi="Times New Roman"/>
          <w:color w:val="000000" w:themeColor="text1"/>
          <w:szCs w:val="22"/>
          <w:lang w:val="fr-FR"/>
        </w:rPr>
      </w:pPr>
    </w:p>
    <w:p w14:paraId="28FFBBB8" w14:textId="77777777" w:rsidR="00633ADD" w:rsidRPr="00623A2B" w:rsidRDefault="00633ADD" w:rsidP="00633ADD">
      <w:pPr>
        <w:ind w:firstLine="720"/>
        <w:rPr>
          <w:rFonts w:ascii="Times New Roman" w:hAnsi="Times New Roman"/>
          <w:color w:val="000000" w:themeColor="text1"/>
          <w:szCs w:val="22"/>
          <w:lang w:val="fr-FR"/>
        </w:rPr>
      </w:pPr>
      <w:r w:rsidRPr="00623A2B">
        <w:rPr>
          <w:rFonts w:ascii="Times New Roman" w:hAnsi="Times New Roman"/>
          <w:bCs/>
          <w:color w:val="000000" w:themeColor="text1"/>
          <w:szCs w:val="22"/>
          <w:lang w:val="fr-FR"/>
        </w:rPr>
        <w:lastRenderedPageBreak/>
        <w:t xml:space="preserve">3. </w:t>
      </w:r>
      <w:r w:rsidRPr="00623A2B">
        <w:rPr>
          <w:rFonts w:ascii="Times New Roman" w:hAnsi="Times New Roman"/>
          <w:bCs/>
          <w:color w:val="000000" w:themeColor="text1"/>
          <w:szCs w:val="22"/>
          <w:lang w:val="fr-FR"/>
        </w:rPr>
        <w:tab/>
      </w:r>
      <w:r w:rsidRPr="00623A2B">
        <w:rPr>
          <w:rFonts w:ascii="Times New Roman" w:hAnsi="Times New Roman"/>
          <w:color w:val="000000" w:themeColor="text1"/>
          <w:szCs w:val="22"/>
          <w:lang w:val="fr-FR"/>
        </w:rPr>
        <w:t xml:space="preserve">De tenir une réunion continentale sur la résilience aux catastrophes, par l’intermédiaire du Conseil permanent et du Conseil interaméricain pour le développement intégré (CIDI), au cours du premier trimestre de 2022, avec la participation virtuelle des membres du CIRDN et des organisations sous-régionales de prévention et d’intervention en cas de catastrophe, telles que l’Agence caribéenne de gestion des urgences en cas de catastrophe (CDEMA), le Centre pour la prévention des catastrophes naturelles en Amérique centrale (CEPREDENAC), la Commission andine de prévention et d’assistance en cas de catastrophes (CAPRADE), la </w:t>
      </w:r>
      <w:r w:rsidRPr="00623A2B">
        <w:rPr>
          <w:rFonts w:ascii="Times New Roman" w:hAnsi="Times New Roman"/>
          <w:color w:val="000000" w:themeColor="text1"/>
          <w:szCs w:val="22"/>
          <w:shd w:val="clear" w:color="auto" w:fill="FFFFFF"/>
          <w:lang w:val="fr-FR"/>
        </w:rPr>
        <w:t>Réunion des ministres et hauts fonctionnaires chargés de la gestion intégrale des risques du MERCOSUR (RMAGIR)</w:t>
      </w:r>
      <w:r w:rsidRPr="00623A2B">
        <w:rPr>
          <w:rFonts w:ascii="Times New Roman" w:hAnsi="Times New Roman"/>
          <w:color w:val="000000" w:themeColor="text1"/>
          <w:szCs w:val="22"/>
          <w:lang w:val="fr-FR"/>
        </w:rPr>
        <w:t xml:space="preserve">, des organismes similaires du système des Nations Unies et d’autres organisations internationales, dans le but d’examiner et de proposer des recommandations de mesures plus inclusives, innovantes et propices à l’intégration destinées à renforcer l’efficacité du rôle de l’OEA dans la coopération multilatérale en matière de réduction des risques de catastrophe, d’intervention, de relèvement et de reconstruction afin de faire progresser la résilience aux catastrophes dans le continent américain. </w:t>
      </w:r>
    </w:p>
    <w:p w14:paraId="75D14DF8" w14:textId="77777777" w:rsidR="00633ADD" w:rsidRPr="00623A2B" w:rsidRDefault="00633ADD" w:rsidP="00633ADD">
      <w:pPr>
        <w:rPr>
          <w:rFonts w:ascii="Times New Roman" w:hAnsi="Times New Roman"/>
          <w:color w:val="000000" w:themeColor="text1"/>
          <w:szCs w:val="22"/>
          <w:lang w:val="fr-FR"/>
        </w:rPr>
      </w:pPr>
    </w:p>
    <w:p w14:paraId="79A911E9" w14:textId="77777777" w:rsidR="00633ADD" w:rsidRPr="00623A2B" w:rsidRDefault="00633ADD" w:rsidP="00633ADD">
      <w:pPr>
        <w:ind w:firstLine="720"/>
        <w:rPr>
          <w:rFonts w:ascii="Times New Roman" w:hAnsi="Times New Roman"/>
          <w:bCs/>
          <w:color w:val="000000" w:themeColor="text1"/>
          <w:szCs w:val="22"/>
          <w:lang w:val="fr-FR"/>
        </w:rPr>
      </w:pPr>
      <w:r w:rsidRPr="00623A2B">
        <w:rPr>
          <w:rFonts w:ascii="Times New Roman" w:hAnsi="Times New Roman"/>
          <w:bCs/>
          <w:color w:val="000000" w:themeColor="text1"/>
          <w:szCs w:val="22"/>
          <w:lang w:val="fr-FR"/>
        </w:rPr>
        <w:t xml:space="preserve">4. </w:t>
      </w:r>
      <w:r w:rsidRPr="00623A2B">
        <w:rPr>
          <w:rFonts w:ascii="Times New Roman" w:hAnsi="Times New Roman"/>
          <w:bCs/>
          <w:color w:val="000000" w:themeColor="text1"/>
          <w:szCs w:val="22"/>
          <w:lang w:val="fr-FR"/>
        </w:rPr>
        <w:tab/>
      </w:r>
      <w:r w:rsidRPr="00623A2B">
        <w:rPr>
          <w:rFonts w:ascii="Times New Roman" w:hAnsi="Times New Roman"/>
          <w:color w:val="000000" w:themeColor="text1"/>
          <w:szCs w:val="22"/>
          <w:lang w:val="fr-FR"/>
        </w:rPr>
        <w:t xml:space="preserve">De promouvoir l’intégration, la coopération et la collaboration multisectorielle au sein de l’OEA et du Secrétariat général en ce qui concerne toutes les mesures prises aux fins de mise en œuvre dans le cadre des quatre piliers de l’OEA destinés à faire progresser la résilience aux catastrophes dans le continent américain. </w:t>
      </w:r>
    </w:p>
    <w:p w14:paraId="66210A5C" w14:textId="77777777" w:rsidR="00633ADD" w:rsidRPr="00623A2B" w:rsidRDefault="00633ADD" w:rsidP="00633ADD">
      <w:pPr>
        <w:rPr>
          <w:rFonts w:ascii="Times New Roman" w:hAnsi="Times New Roman"/>
          <w:bCs/>
          <w:color w:val="000000" w:themeColor="text1"/>
          <w:szCs w:val="22"/>
          <w:lang w:val="fr-FR"/>
        </w:rPr>
      </w:pPr>
    </w:p>
    <w:p w14:paraId="1C9748DC" w14:textId="77777777" w:rsidR="00633ADD" w:rsidRPr="00623A2B" w:rsidRDefault="00633ADD" w:rsidP="00633ADD">
      <w:pPr>
        <w:ind w:firstLine="720"/>
        <w:rPr>
          <w:rFonts w:ascii="Times New Roman" w:hAnsi="Times New Roman"/>
          <w:bCs/>
          <w:color w:val="000000" w:themeColor="text1"/>
          <w:szCs w:val="22"/>
          <w:lang w:val="fr-FR"/>
        </w:rPr>
      </w:pPr>
      <w:r w:rsidRPr="00623A2B">
        <w:rPr>
          <w:rFonts w:ascii="Times New Roman" w:hAnsi="Times New Roman"/>
          <w:bCs/>
          <w:color w:val="000000" w:themeColor="text1"/>
          <w:szCs w:val="22"/>
          <w:lang w:val="fr-FR"/>
        </w:rPr>
        <w:t xml:space="preserve">5. </w:t>
      </w:r>
      <w:r w:rsidRPr="00623A2B">
        <w:rPr>
          <w:rFonts w:ascii="Times New Roman" w:hAnsi="Times New Roman"/>
          <w:bCs/>
          <w:color w:val="000000" w:themeColor="text1"/>
          <w:szCs w:val="22"/>
          <w:lang w:val="fr-FR"/>
        </w:rPr>
        <w:tab/>
      </w:r>
      <w:r w:rsidRPr="00623A2B">
        <w:rPr>
          <w:rFonts w:ascii="Times New Roman" w:hAnsi="Times New Roman"/>
          <w:color w:val="000000" w:themeColor="text1"/>
          <w:szCs w:val="22"/>
          <w:lang w:val="fr-FR"/>
        </w:rPr>
        <w:t xml:space="preserve">De demander au Secrétariat général de continuer à renforcer ses relations avec les partenaires stratégiques internationaux et sous-régionaux en matière de gestion des catastrophes, particulièrement dans le cadre de la Commission interaméricaine pour la réduction des catastrophes naturelles (CIRDN), afin de compléter, de faciliter et d’intégrer l’exécution de toute mesure nouvelle ou existante visant à promouvoir la résilience aux catastrophes dans le continent américain. </w:t>
      </w:r>
    </w:p>
    <w:p w14:paraId="72D2E6CD" w14:textId="77777777" w:rsidR="00633ADD" w:rsidRPr="00623A2B" w:rsidRDefault="00633ADD" w:rsidP="00633ADD">
      <w:pPr>
        <w:rPr>
          <w:rFonts w:ascii="Times New Roman" w:hAnsi="Times New Roman"/>
          <w:bCs/>
          <w:color w:val="000000" w:themeColor="text1"/>
          <w:szCs w:val="22"/>
          <w:lang w:val="fr-FR"/>
        </w:rPr>
      </w:pPr>
    </w:p>
    <w:p w14:paraId="1FED403C" w14:textId="77777777" w:rsidR="00633ADD" w:rsidRPr="00623A2B" w:rsidRDefault="00633ADD" w:rsidP="00633ADD">
      <w:pPr>
        <w:ind w:firstLine="720"/>
        <w:rPr>
          <w:rFonts w:ascii="Times New Roman" w:hAnsi="Times New Roman"/>
          <w:bCs/>
          <w:color w:val="000000" w:themeColor="text1"/>
          <w:szCs w:val="22"/>
          <w:lang w:val="fr-FR"/>
        </w:rPr>
      </w:pPr>
      <w:r w:rsidRPr="00623A2B">
        <w:rPr>
          <w:rFonts w:ascii="Times New Roman" w:hAnsi="Times New Roman"/>
          <w:bCs/>
          <w:color w:val="000000" w:themeColor="text1"/>
          <w:szCs w:val="22"/>
          <w:lang w:val="fr-FR"/>
        </w:rPr>
        <w:t xml:space="preserve">6. </w:t>
      </w:r>
      <w:r w:rsidRPr="00623A2B">
        <w:rPr>
          <w:rFonts w:ascii="Times New Roman" w:hAnsi="Times New Roman"/>
          <w:bCs/>
          <w:color w:val="000000" w:themeColor="text1"/>
          <w:szCs w:val="22"/>
          <w:lang w:val="fr-FR"/>
        </w:rPr>
        <w:tab/>
      </w:r>
      <w:r w:rsidRPr="00623A2B">
        <w:rPr>
          <w:rFonts w:ascii="Times New Roman" w:hAnsi="Times New Roman"/>
          <w:color w:val="000000" w:themeColor="text1"/>
          <w:szCs w:val="22"/>
          <w:lang w:val="fr-FR"/>
        </w:rPr>
        <w:t>D’encourager les États membres, conformément à l’appel lancé dans le Cadre d’action de Sendai, à favoriser la réduction des risques de catastrophe, y compris par la prévention, l’atténuation et la préparation de ces risques, à assurer, de manière rapide et efficace, une réponse aux catastrophes et un relèvement au lendemain celles-ci, et à promouvoir la coopération internationale pour renforcer la résilience.</w:t>
      </w:r>
    </w:p>
    <w:p w14:paraId="6BC5F7B7" w14:textId="77777777" w:rsidR="00633ADD" w:rsidRPr="00623A2B" w:rsidRDefault="00633ADD" w:rsidP="00633ADD">
      <w:pPr>
        <w:rPr>
          <w:rFonts w:ascii="Times New Roman" w:hAnsi="Times New Roman"/>
          <w:bCs/>
          <w:color w:val="000000" w:themeColor="text1"/>
          <w:szCs w:val="22"/>
          <w:lang w:val="fr-FR"/>
        </w:rPr>
      </w:pPr>
    </w:p>
    <w:p w14:paraId="24BD10FB" w14:textId="77777777" w:rsidR="00633ADD" w:rsidRPr="00623A2B" w:rsidRDefault="00633ADD" w:rsidP="00633ADD">
      <w:pPr>
        <w:ind w:firstLine="720"/>
        <w:rPr>
          <w:rFonts w:ascii="Times New Roman" w:hAnsi="Times New Roman"/>
          <w:color w:val="000000" w:themeColor="text1"/>
          <w:szCs w:val="22"/>
          <w:lang w:val="fr-FR"/>
        </w:rPr>
      </w:pPr>
      <w:r w:rsidRPr="00623A2B">
        <w:rPr>
          <w:rFonts w:ascii="Times New Roman" w:hAnsi="Times New Roman"/>
          <w:bCs/>
          <w:color w:val="000000" w:themeColor="text1"/>
          <w:szCs w:val="22"/>
          <w:lang w:val="fr-FR"/>
        </w:rPr>
        <w:t xml:space="preserve">7. </w:t>
      </w:r>
      <w:r w:rsidRPr="00623A2B">
        <w:rPr>
          <w:rFonts w:ascii="Times New Roman" w:hAnsi="Times New Roman"/>
          <w:bCs/>
          <w:color w:val="000000" w:themeColor="text1"/>
          <w:szCs w:val="22"/>
          <w:lang w:val="fr-FR"/>
        </w:rPr>
        <w:tab/>
      </w:r>
      <w:r w:rsidRPr="00623A2B">
        <w:rPr>
          <w:rFonts w:ascii="Times New Roman" w:hAnsi="Times New Roman"/>
          <w:color w:val="000000" w:themeColor="text1"/>
          <w:szCs w:val="22"/>
          <w:lang w:val="fr-FR"/>
        </w:rPr>
        <w:t xml:space="preserve">D’inviter les États membres à continuer d'adopter, s’il y a lieu, et de mettre en œuvre de manière effective les mesures législatives nécessaires et autres mesures appropriées pour atténuer les effets des catastrophes, et à intégrer les stratégies de réduction des risques de catastrophe dans la planification du développement. </w:t>
      </w:r>
    </w:p>
    <w:p w14:paraId="04413D70" w14:textId="77777777" w:rsidR="00633ADD" w:rsidRPr="00623A2B" w:rsidRDefault="00633ADD" w:rsidP="00633ADD">
      <w:pPr>
        <w:rPr>
          <w:rFonts w:ascii="Times New Roman" w:hAnsi="Times New Roman"/>
          <w:color w:val="000000" w:themeColor="text1"/>
          <w:szCs w:val="22"/>
          <w:lang w:val="fr-FR"/>
        </w:rPr>
      </w:pPr>
    </w:p>
    <w:p w14:paraId="55DE9367" w14:textId="77777777" w:rsidR="00633ADD" w:rsidRPr="00623A2B" w:rsidRDefault="00633ADD" w:rsidP="00633ADD">
      <w:pPr>
        <w:ind w:firstLine="720"/>
        <w:rPr>
          <w:rFonts w:ascii="Times New Roman" w:hAnsi="Times New Roman"/>
          <w:noProof/>
          <w:lang w:val="fr-CA"/>
        </w:rPr>
      </w:pPr>
      <w:r w:rsidRPr="00623A2B">
        <w:rPr>
          <w:rFonts w:ascii="Times New Roman" w:hAnsi="Times New Roman"/>
          <w:bCs/>
          <w:color w:val="000000" w:themeColor="text1"/>
          <w:szCs w:val="22"/>
          <w:lang w:val="fr-FR"/>
        </w:rPr>
        <w:t xml:space="preserve">8. </w:t>
      </w:r>
      <w:r w:rsidRPr="00623A2B">
        <w:rPr>
          <w:rFonts w:ascii="Times New Roman" w:hAnsi="Times New Roman"/>
          <w:bCs/>
          <w:color w:val="000000" w:themeColor="text1"/>
          <w:szCs w:val="22"/>
          <w:lang w:val="fr-FR"/>
        </w:rPr>
        <w:tab/>
      </w:r>
      <w:r w:rsidRPr="00623A2B">
        <w:rPr>
          <w:rFonts w:ascii="Times New Roman" w:hAnsi="Times New Roman"/>
          <w:color w:val="000000" w:themeColor="text1"/>
          <w:szCs w:val="22"/>
          <w:lang w:val="fr-FR"/>
        </w:rPr>
        <w:t>De demander au Conseil permanent de soumettre un rapport à la cinquante-deuxième session ordinaire de l’Assemblée générale sur les suites données à la présente résolution, qui dépendront de la disponibilité des ressources financières inscrites à ce titre dans le Programme-budget de l’Organisation, ainsi que d’autres ressources.</w:t>
      </w:r>
      <w:r w:rsidRPr="00623A2B">
        <w:rPr>
          <w:rFonts w:ascii="Times New Roman" w:hAnsi="Times New Roman"/>
          <w:noProof/>
          <w:lang w:val="fr-CA"/>
        </w:rPr>
        <w:t xml:space="preserve"> </w:t>
      </w:r>
    </w:p>
    <w:p w14:paraId="56C9CC94" w14:textId="1C6AD774" w:rsidR="00633ADD" w:rsidRPr="00623A2B" w:rsidRDefault="00633ADD" w:rsidP="00633ADD">
      <w:pPr>
        <w:ind w:firstLine="720"/>
        <w:rPr>
          <w:rFonts w:ascii="Times New Roman" w:hAnsi="Times New Roman"/>
          <w:bCs/>
          <w:szCs w:val="22"/>
          <w:u w:val="single"/>
          <w:lang w:val="fr-FR"/>
        </w:rPr>
      </w:pPr>
    </w:p>
    <w:p w14:paraId="311B6234" w14:textId="5F61F2F2" w:rsidR="00633ADD" w:rsidRPr="00623A2B" w:rsidRDefault="00633AD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20"/>
          <w:lang w:val="fr-FR"/>
        </w:rPr>
      </w:pPr>
      <w:r w:rsidRPr="00623A2B">
        <w:rPr>
          <w:rFonts w:ascii="Times New Roman" w:hAnsi="Times New Roman"/>
          <w:sz w:val="20"/>
          <w:lang w:val="fr-FR"/>
        </w:rPr>
        <w:br w:type="page"/>
      </w:r>
    </w:p>
    <w:p w14:paraId="39553ACD" w14:textId="77777777" w:rsidR="00633ADD" w:rsidRPr="00623A2B" w:rsidRDefault="00633ADD" w:rsidP="00633ADD">
      <w:pPr>
        <w:suppressAutoHyphens/>
        <w:jc w:val="center"/>
        <w:rPr>
          <w:rFonts w:ascii="Times New Roman" w:hAnsi="Times New Roman"/>
          <w:sz w:val="20"/>
          <w:lang w:val="fr-FR"/>
        </w:rPr>
      </w:pPr>
      <w:r w:rsidRPr="00623A2B">
        <w:rPr>
          <w:rFonts w:ascii="Times New Roman" w:hAnsi="Times New Roman"/>
          <w:sz w:val="20"/>
          <w:lang w:val="fr-FR"/>
        </w:rPr>
        <w:lastRenderedPageBreak/>
        <w:t>NOTES DE BAS DE PAGE</w:t>
      </w:r>
    </w:p>
    <w:p w14:paraId="15BDA9DC" w14:textId="77777777" w:rsidR="00633ADD" w:rsidRPr="00623A2B" w:rsidRDefault="00633ADD" w:rsidP="00633A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282A192A" w14:textId="77777777" w:rsidR="00633ADD" w:rsidRPr="00623A2B" w:rsidRDefault="00633ADD" w:rsidP="00633ADD">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72143B98" w14:textId="77777777" w:rsidR="00633ADD" w:rsidRPr="00623A2B" w:rsidRDefault="00633ADD" w:rsidP="00633ADD">
      <w:pPr>
        <w:pStyle w:val="FootnoteText"/>
        <w:tabs>
          <w:tab w:val="clear" w:pos="360"/>
        </w:tabs>
        <w:ind w:left="0" w:firstLine="360"/>
        <w:rPr>
          <w:rFonts w:ascii="Times New Roman" w:hAnsi="Times New Roman"/>
          <w:sz w:val="20"/>
          <w:lang w:val="fr-CA"/>
        </w:rPr>
      </w:pPr>
      <w:r w:rsidRPr="00623A2B">
        <w:rPr>
          <w:rFonts w:ascii="Times New Roman" w:hAnsi="Times New Roman"/>
          <w:sz w:val="20"/>
          <w:lang w:val="fr-CA"/>
        </w:rPr>
        <w:tab/>
        <w:t>1.</w:t>
      </w:r>
      <w:r w:rsidRPr="00623A2B">
        <w:rPr>
          <w:rFonts w:ascii="Times New Roman" w:hAnsi="Times New Roman"/>
          <w:sz w:val="20"/>
          <w:lang w:val="fr-CA"/>
        </w:rPr>
        <w:tab/>
        <w:t>… Cinquante-et-unième Session ordinaire de l’Assemblée générale de l’Organisation des États Américains (OEA), lesquelles constituent des actes contraires au droit international.</w:t>
      </w:r>
    </w:p>
    <w:p w14:paraId="0D3F202C" w14:textId="77777777" w:rsidR="00633ADD" w:rsidRPr="00623A2B" w:rsidRDefault="00633ADD" w:rsidP="00633ADD">
      <w:pPr>
        <w:pStyle w:val="FootnoteText"/>
        <w:tabs>
          <w:tab w:val="clear" w:pos="360"/>
        </w:tabs>
        <w:ind w:left="0" w:firstLine="360"/>
        <w:rPr>
          <w:rFonts w:ascii="Times New Roman" w:hAnsi="Times New Roman"/>
          <w:sz w:val="20"/>
          <w:lang w:val="fr-CA"/>
        </w:rPr>
      </w:pPr>
    </w:p>
    <w:p w14:paraId="49C1E577" w14:textId="77777777" w:rsidR="00633ADD" w:rsidRPr="00623A2B" w:rsidRDefault="00633ADD" w:rsidP="00633ADD">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2E8CE9E3" w14:textId="77777777" w:rsidR="00633ADD" w:rsidRPr="00623A2B" w:rsidRDefault="00633ADD" w:rsidP="00633ADD">
      <w:pPr>
        <w:pStyle w:val="FootnoteText"/>
        <w:tabs>
          <w:tab w:val="clear" w:pos="360"/>
        </w:tabs>
        <w:ind w:left="0" w:firstLine="360"/>
        <w:rPr>
          <w:rFonts w:ascii="Times New Roman" w:hAnsi="Times New Roman"/>
          <w:sz w:val="20"/>
          <w:lang w:val="fr-CA"/>
        </w:rPr>
      </w:pPr>
    </w:p>
    <w:p w14:paraId="6EF57344" w14:textId="77777777" w:rsidR="00633ADD" w:rsidRPr="00623A2B" w:rsidRDefault="00633ADD" w:rsidP="00633ADD">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5953F4AF" w14:textId="77777777" w:rsidR="00633ADD" w:rsidRPr="00623A2B" w:rsidRDefault="00633ADD" w:rsidP="00633ADD">
      <w:pPr>
        <w:pStyle w:val="FootnoteText"/>
        <w:tabs>
          <w:tab w:val="clear" w:pos="360"/>
        </w:tabs>
        <w:ind w:left="0" w:firstLine="360"/>
        <w:rPr>
          <w:rFonts w:ascii="Times New Roman" w:hAnsi="Times New Roman"/>
          <w:sz w:val="20"/>
          <w:lang w:val="fr-CA"/>
        </w:rPr>
      </w:pPr>
    </w:p>
    <w:p w14:paraId="04DEB685" w14:textId="77777777" w:rsidR="00633ADD" w:rsidRPr="00623A2B" w:rsidRDefault="00633ADD" w:rsidP="00633ADD">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La reconnaissance d’un gouvernement est un acte souverain des États, et non des institutions internationales. L’OEA ne possède ni ne peut s’arroger des facultés de reconnaissance collective opposable à la qualité de membre; c’est pourquoi tout acte visant à atteindre cet objectif tombe en dehors de sa compétence et est matériellement nul.</w:t>
      </w:r>
    </w:p>
    <w:p w14:paraId="6F0CB0BB" w14:textId="77777777" w:rsidR="00633ADD" w:rsidRPr="00623A2B" w:rsidRDefault="00633ADD" w:rsidP="00633ADD">
      <w:pPr>
        <w:pStyle w:val="FootnoteText"/>
        <w:tabs>
          <w:tab w:val="clear" w:pos="360"/>
        </w:tabs>
        <w:ind w:left="0" w:firstLine="360"/>
        <w:rPr>
          <w:rFonts w:ascii="Times New Roman" w:hAnsi="Times New Roman"/>
          <w:sz w:val="20"/>
          <w:lang w:val="fr-CA"/>
        </w:rPr>
      </w:pPr>
    </w:p>
    <w:p w14:paraId="54E4DA69" w14:textId="77777777" w:rsidR="00633ADD" w:rsidRPr="00623A2B" w:rsidRDefault="00633ADD" w:rsidP="00633ADD">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6A9BDE4F" w14:textId="77777777" w:rsidR="00633ADD" w:rsidRPr="00623A2B" w:rsidRDefault="00633ADD" w:rsidP="00633ADD">
      <w:pPr>
        <w:pStyle w:val="FootnoteText"/>
        <w:tabs>
          <w:tab w:val="clear" w:pos="360"/>
        </w:tabs>
        <w:ind w:left="0" w:firstLine="360"/>
        <w:rPr>
          <w:rFonts w:ascii="Times New Roman" w:hAnsi="Times New Roman"/>
          <w:sz w:val="20"/>
          <w:lang w:val="fr-CA"/>
        </w:rPr>
      </w:pPr>
    </w:p>
    <w:p w14:paraId="78AC79AD" w14:textId="77777777" w:rsidR="00633ADD" w:rsidRPr="00623A2B" w:rsidRDefault="00633ADD" w:rsidP="00633ADD">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0BC4E128" w14:textId="77777777" w:rsidR="00633ADD" w:rsidRPr="00623A2B" w:rsidRDefault="00633ADD" w:rsidP="00633ADD">
      <w:pPr>
        <w:pStyle w:val="FootnoteText"/>
        <w:tabs>
          <w:tab w:val="clear" w:pos="360"/>
        </w:tabs>
        <w:ind w:left="0" w:firstLine="360"/>
        <w:rPr>
          <w:rFonts w:ascii="Times New Roman" w:hAnsi="Times New Roman"/>
          <w:sz w:val="20"/>
          <w:lang w:val="fr-CA"/>
        </w:rPr>
      </w:pPr>
    </w:p>
    <w:p w14:paraId="1AFE6006" w14:textId="77777777" w:rsidR="00633ADD" w:rsidRPr="00623A2B" w:rsidRDefault="00633ADD" w:rsidP="00633ADD">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2BB68B44" w14:textId="77777777" w:rsidR="00633ADD" w:rsidRPr="00623A2B" w:rsidRDefault="00633ADD" w:rsidP="00633ADD">
      <w:pPr>
        <w:pStyle w:val="FootnoteText"/>
        <w:tabs>
          <w:tab w:val="clear" w:pos="360"/>
        </w:tabs>
        <w:ind w:left="0" w:firstLine="720"/>
        <w:rPr>
          <w:rFonts w:ascii="Times New Roman" w:hAnsi="Times New Roman"/>
          <w:sz w:val="20"/>
          <w:lang w:val="fr-CA"/>
        </w:rPr>
      </w:pPr>
    </w:p>
    <w:p w14:paraId="15097551" w14:textId="77777777" w:rsidR="00633ADD" w:rsidRPr="00623A2B" w:rsidRDefault="00633ADD" w:rsidP="00633ADD">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2.</w:t>
      </w:r>
      <w:r w:rsidRPr="00623A2B">
        <w:rPr>
          <w:rFonts w:ascii="Times New Roman" w:hAnsi="Times New Roman"/>
          <w:sz w:val="20"/>
          <w:lang w:val="fr-CA"/>
        </w:rPr>
        <w:tab/>
        <w:t xml:space="preserve">… de personnes qui prétendent usurper la représentation légale de la République bolivarienne du Venezuela et du Gouvernement légitime du Président </w:t>
      </w:r>
      <w:proofErr w:type="spellStart"/>
      <w:r w:rsidRPr="00623A2B">
        <w:rPr>
          <w:rFonts w:ascii="Times New Roman" w:hAnsi="Times New Roman"/>
          <w:sz w:val="20"/>
          <w:lang w:val="fr-CA"/>
        </w:rPr>
        <w:t>Nicolás</w:t>
      </w:r>
      <w:proofErr w:type="spellEnd"/>
      <w:r w:rsidRPr="00623A2B">
        <w:rPr>
          <w:rFonts w:ascii="Times New Roman" w:hAnsi="Times New Roman"/>
          <w:sz w:val="20"/>
          <w:lang w:val="fr-CA"/>
        </w:rPr>
        <w:t xml:space="preserve"> </w:t>
      </w:r>
      <w:proofErr w:type="spellStart"/>
      <w:r w:rsidRPr="00623A2B">
        <w:rPr>
          <w:rFonts w:ascii="Times New Roman" w:hAnsi="Times New Roman"/>
          <w:sz w:val="20"/>
          <w:lang w:val="fr-CA"/>
        </w:rPr>
        <w:t>Maduro</w:t>
      </w:r>
      <w:proofErr w:type="spellEnd"/>
      <w:r w:rsidRPr="00623A2B">
        <w:rPr>
          <w:rFonts w:ascii="Times New Roman" w:hAnsi="Times New Roman"/>
          <w:sz w:val="20"/>
          <w:lang w:val="fr-CA"/>
        </w:rPr>
        <w:t xml:space="preserve"> Moros. Nous demandons que notre refus soit consigné dans tous les documents qui seront traités lors de la présente Cinquante-et-unième Session de l’Assemblée générale de l’OEA.</w:t>
      </w:r>
    </w:p>
    <w:p w14:paraId="26E64E16" w14:textId="77777777" w:rsidR="00633ADD" w:rsidRPr="00623A2B" w:rsidRDefault="00633ADD" w:rsidP="00633ADD">
      <w:pPr>
        <w:pStyle w:val="FootnoteText"/>
        <w:tabs>
          <w:tab w:val="clear" w:pos="360"/>
        </w:tabs>
        <w:ind w:left="0" w:firstLine="720"/>
        <w:rPr>
          <w:rFonts w:ascii="Times New Roman" w:hAnsi="Times New Roman"/>
          <w:sz w:val="20"/>
          <w:lang w:val="fr-CA"/>
        </w:rPr>
      </w:pPr>
    </w:p>
    <w:p w14:paraId="6C4E7B87" w14:textId="77777777" w:rsidR="00633ADD" w:rsidRPr="00623A2B" w:rsidRDefault="00633ADD" w:rsidP="00633ADD">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3.</w:t>
      </w:r>
      <w:r w:rsidRPr="00623A2B">
        <w:rPr>
          <w:rFonts w:ascii="Times New Roman" w:hAnsi="Times New Roman"/>
          <w:sz w:val="20"/>
          <w:lang w:val="fr-CA"/>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19E5EC92" w14:textId="77777777" w:rsidR="00633ADD" w:rsidRPr="00623A2B" w:rsidRDefault="00633ADD" w:rsidP="00633ADD">
      <w:pPr>
        <w:pStyle w:val="FootnoteText"/>
        <w:tabs>
          <w:tab w:val="clear" w:pos="360"/>
        </w:tabs>
        <w:ind w:left="0" w:firstLine="720"/>
        <w:rPr>
          <w:rFonts w:ascii="Times New Roman" w:hAnsi="Times New Roman"/>
          <w:sz w:val="20"/>
          <w:lang w:val="fr-CA"/>
        </w:rPr>
      </w:pPr>
    </w:p>
    <w:p w14:paraId="24B160B4" w14:textId="77777777" w:rsidR="00633ADD" w:rsidRPr="00623A2B" w:rsidRDefault="00633ADD" w:rsidP="00633ADD">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 xml:space="preserve">Antigua-et-Barbuda n'a pas soutenu la résolution CP/RES. 1124 (2217/19) du 9 avril 2019 qui visait à nommer M. Gustavo </w:t>
      </w:r>
      <w:proofErr w:type="spellStart"/>
      <w:r w:rsidRPr="00623A2B">
        <w:rPr>
          <w:rFonts w:ascii="Times New Roman" w:hAnsi="Times New Roman"/>
          <w:sz w:val="20"/>
          <w:lang w:val="fr-CA"/>
        </w:rPr>
        <w:t>Tarre</w:t>
      </w:r>
      <w:proofErr w:type="spellEnd"/>
      <w:r w:rsidRPr="00623A2B">
        <w:rPr>
          <w:rFonts w:ascii="Times New Roman" w:hAnsi="Times New Roman"/>
          <w:sz w:val="20"/>
          <w:lang w:val="fr-CA"/>
        </w:rPr>
        <w:t xml:space="preserve"> comme représentant de l'Assemblée nationale auprès de l'OEA et n'a pas accepté les </w:t>
      </w:r>
      <w:r w:rsidRPr="00623A2B">
        <w:rPr>
          <w:rFonts w:ascii="Times New Roman" w:hAnsi="Times New Roman"/>
          <w:sz w:val="20"/>
          <w:lang w:val="fr-CA"/>
        </w:rPr>
        <w:lastRenderedPageBreak/>
        <w:t xml:space="preserve">pouvoirs des fonctionnaires ayant l'intention de représenter la République bolivarienne du Venezuela aux quarante-neuvième, cinquantième et cinquante-et-unième sessions ordinaires de l'Assemblée générale. </w:t>
      </w:r>
    </w:p>
    <w:p w14:paraId="43D78DB1" w14:textId="77777777" w:rsidR="00633ADD" w:rsidRPr="00623A2B" w:rsidRDefault="00633ADD" w:rsidP="00633ADD">
      <w:pPr>
        <w:pStyle w:val="FootnoteText"/>
        <w:tabs>
          <w:tab w:val="clear" w:pos="360"/>
        </w:tabs>
        <w:ind w:left="0" w:firstLine="720"/>
        <w:rPr>
          <w:rFonts w:ascii="Times New Roman" w:hAnsi="Times New Roman"/>
          <w:sz w:val="20"/>
          <w:lang w:val="fr-CA"/>
        </w:rPr>
      </w:pPr>
    </w:p>
    <w:p w14:paraId="3F6390E6" w14:textId="77777777" w:rsidR="00633ADD" w:rsidRPr="00623A2B" w:rsidRDefault="00633ADD" w:rsidP="00633ADD">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69BA99F9" w14:textId="77777777" w:rsidR="00633ADD" w:rsidRPr="00623A2B" w:rsidRDefault="00633ADD" w:rsidP="00633ADD">
      <w:pPr>
        <w:pStyle w:val="FootnoteText"/>
        <w:tabs>
          <w:tab w:val="clear" w:pos="360"/>
        </w:tabs>
        <w:ind w:left="0" w:firstLine="720"/>
        <w:rPr>
          <w:rFonts w:ascii="Times New Roman" w:hAnsi="Times New Roman"/>
          <w:sz w:val="20"/>
          <w:lang w:val="fr-CA"/>
        </w:rPr>
      </w:pPr>
    </w:p>
    <w:p w14:paraId="36B1DE2B" w14:textId="77777777" w:rsidR="00633ADD" w:rsidRPr="00623A2B" w:rsidRDefault="00633ADD" w:rsidP="00633ADD">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4.</w:t>
      </w:r>
      <w:r w:rsidRPr="00623A2B">
        <w:rPr>
          <w:rFonts w:ascii="Times New Roman" w:hAnsi="Times New Roman"/>
          <w:sz w:val="20"/>
          <w:lang w:val="fr-CA"/>
        </w:rPr>
        <w:tab/>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60A4E2FF" w14:textId="77777777" w:rsidR="00633ADD" w:rsidRPr="00623A2B" w:rsidRDefault="00633ADD" w:rsidP="00633ADD">
      <w:pPr>
        <w:pStyle w:val="FootnoteText"/>
        <w:tabs>
          <w:tab w:val="clear" w:pos="360"/>
        </w:tabs>
        <w:ind w:left="0" w:firstLine="720"/>
        <w:rPr>
          <w:rFonts w:ascii="Times New Roman" w:hAnsi="Times New Roman"/>
          <w:sz w:val="20"/>
          <w:lang w:val="fr-CA"/>
        </w:rPr>
      </w:pPr>
    </w:p>
    <w:p w14:paraId="30A54680" w14:textId="77777777" w:rsidR="00633ADD" w:rsidRPr="00623A2B" w:rsidRDefault="00633ADD" w:rsidP="00633ADD">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p>
    <w:p w14:paraId="4BB216E3" w14:textId="73EDBE23" w:rsidR="00553776" w:rsidRPr="00623A2B" w:rsidRDefault="00553776" w:rsidP="008507FE">
      <w:pPr>
        <w:pStyle w:val="FootnoteText"/>
        <w:tabs>
          <w:tab w:val="clear" w:pos="360"/>
        </w:tabs>
        <w:rPr>
          <w:rFonts w:ascii="Times New Roman" w:hAnsi="Times New Roman"/>
          <w:sz w:val="20"/>
          <w:lang w:val="fr-CA"/>
        </w:rPr>
      </w:pPr>
    </w:p>
    <w:p w14:paraId="6D6B9762" w14:textId="77777777" w:rsidR="00AB2F4B" w:rsidRPr="00623A2B" w:rsidRDefault="00AB2F4B" w:rsidP="008507FE">
      <w:pPr>
        <w:pStyle w:val="FootnoteText"/>
        <w:tabs>
          <w:tab w:val="clear" w:pos="360"/>
        </w:tabs>
        <w:rPr>
          <w:rFonts w:ascii="Times New Roman" w:hAnsi="Times New Roman"/>
          <w:sz w:val="20"/>
          <w:lang w:val="fr-CA"/>
        </w:rPr>
        <w:sectPr w:rsidR="00AB2F4B" w:rsidRPr="00623A2B" w:rsidSect="00623A2B">
          <w:headerReference w:type="default" r:id="rId123"/>
          <w:footnotePr>
            <w:numRestart w:val="eachSect"/>
          </w:footnotePr>
          <w:type w:val="oddPage"/>
          <w:pgSz w:w="12240" w:h="15840" w:code="1"/>
          <w:pgMar w:top="2160" w:right="1570" w:bottom="1296" w:left="1699" w:header="720" w:footer="720" w:gutter="0"/>
          <w:pgNumType w:chapSep="emDash"/>
          <w:cols w:space="720"/>
          <w:titlePg/>
        </w:sectPr>
      </w:pPr>
    </w:p>
    <w:p w14:paraId="2D3FA90B" w14:textId="2FC740CC" w:rsidR="004E6FE3" w:rsidRPr="00623A2B" w:rsidRDefault="004E6FE3" w:rsidP="00FD4855">
      <w:pPr>
        <w:pStyle w:val="Heading1"/>
        <w:spacing w:before="0"/>
        <w:jc w:val="center"/>
        <w:rPr>
          <w:rFonts w:ascii="Times New Roman" w:hAnsi="Times New Roman" w:cs="Times New Roman"/>
          <w:color w:val="auto"/>
          <w:sz w:val="22"/>
          <w:szCs w:val="22"/>
          <w:lang w:val="fr-FR"/>
        </w:rPr>
      </w:pPr>
      <w:bookmarkStart w:id="82" w:name="_Toc422324752"/>
      <w:bookmarkStart w:id="83" w:name="_Toc89177470"/>
      <w:r w:rsidRPr="00623A2B">
        <w:rPr>
          <w:rFonts w:ascii="Times New Roman" w:hAnsi="Times New Roman" w:cs="Times New Roman"/>
          <w:color w:val="auto"/>
          <w:sz w:val="22"/>
          <w:szCs w:val="22"/>
          <w:lang w:val="fr-FR"/>
        </w:rPr>
        <w:lastRenderedPageBreak/>
        <w:t>AG/RES. 29</w:t>
      </w:r>
      <w:r w:rsidR="0070196C" w:rsidRPr="00623A2B">
        <w:rPr>
          <w:rFonts w:ascii="Times New Roman" w:hAnsi="Times New Roman" w:cs="Times New Roman"/>
          <w:color w:val="auto"/>
          <w:sz w:val="22"/>
          <w:szCs w:val="22"/>
          <w:lang w:val="fr-FR"/>
        </w:rPr>
        <w:t>80</w:t>
      </w:r>
      <w:r w:rsidRPr="00623A2B">
        <w:rPr>
          <w:rFonts w:ascii="Times New Roman" w:hAnsi="Times New Roman" w:cs="Times New Roman"/>
          <w:color w:val="auto"/>
          <w:sz w:val="22"/>
          <w:szCs w:val="22"/>
          <w:lang w:val="fr-FR"/>
        </w:rPr>
        <w:t xml:space="preserve"> (LI-O/21)</w:t>
      </w:r>
      <w:bookmarkStart w:id="84" w:name="_Toc398801981"/>
      <w:r w:rsidR="00FD4855" w:rsidRPr="00623A2B">
        <w:rPr>
          <w:rFonts w:ascii="Times New Roman" w:hAnsi="Times New Roman" w:cs="Times New Roman"/>
          <w:color w:val="auto"/>
          <w:sz w:val="22"/>
          <w:szCs w:val="22"/>
          <w:lang w:val="fr-FR"/>
        </w:rPr>
        <w:br/>
      </w:r>
      <w:r w:rsidR="00FD4855" w:rsidRPr="00623A2B">
        <w:rPr>
          <w:rFonts w:ascii="Times New Roman" w:hAnsi="Times New Roman" w:cs="Times New Roman"/>
          <w:color w:val="auto"/>
          <w:sz w:val="22"/>
          <w:szCs w:val="22"/>
          <w:lang w:val="fr-FR"/>
        </w:rPr>
        <w:br/>
      </w:r>
      <w:r w:rsidRPr="00623A2B">
        <w:rPr>
          <w:rFonts w:ascii="Times New Roman" w:hAnsi="Times New Roman" w:cs="Times New Roman"/>
          <w:color w:val="auto"/>
          <w:sz w:val="22"/>
          <w:szCs w:val="22"/>
          <w:lang w:val="fr-FR"/>
        </w:rPr>
        <w:t>LIEU ET DATE DE LA CINQUANTE-DEUXIÈME SESSION ORDINAIRE</w:t>
      </w:r>
      <w:r w:rsidR="00FD4855" w:rsidRPr="00623A2B">
        <w:rPr>
          <w:rFonts w:ascii="Times New Roman" w:hAnsi="Times New Roman" w:cs="Times New Roman"/>
          <w:color w:val="auto"/>
          <w:sz w:val="22"/>
          <w:szCs w:val="22"/>
          <w:lang w:val="fr-FR"/>
        </w:rPr>
        <w:br/>
      </w:r>
      <w:r w:rsidRPr="00623A2B">
        <w:rPr>
          <w:rFonts w:ascii="Times New Roman" w:hAnsi="Times New Roman" w:cs="Times New Roman"/>
          <w:color w:val="auto"/>
          <w:sz w:val="22"/>
          <w:szCs w:val="22"/>
          <w:lang w:val="fr-FR"/>
        </w:rPr>
        <w:t>DE L’ASSEMBLÉE GÉNÉRALE</w:t>
      </w:r>
      <w:bookmarkEnd w:id="82"/>
      <w:bookmarkEnd w:id="84"/>
      <w:r w:rsidRPr="00623A2B">
        <w:rPr>
          <w:rStyle w:val="FootnoteReference"/>
          <w:rFonts w:ascii="Times New Roman" w:hAnsi="Times New Roman" w:cs="Times New Roman"/>
          <w:sz w:val="22"/>
          <w:szCs w:val="22"/>
          <w:u w:val="single"/>
          <w:vertAlign w:val="superscript"/>
          <w:lang w:val="pt-BR"/>
        </w:rPr>
        <w:footnoteReference w:id="126"/>
      </w:r>
      <w:r w:rsidRPr="00623A2B">
        <w:rPr>
          <w:rFonts w:ascii="Times New Roman" w:hAnsi="Times New Roman" w:cs="Times New Roman"/>
          <w:color w:val="auto"/>
          <w:sz w:val="22"/>
          <w:szCs w:val="22"/>
          <w:vertAlign w:val="superscript"/>
          <w:lang w:val="fr-FR"/>
        </w:rPr>
        <w:t>/</w:t>
      </w:r>
      <w:r w:rsidRPr="00623A2B">
        <w:rPr>
          <w:rStyle w:val="FootnoteReference"/>
          <w:rFonts w:ascii="Times New Roman" w:hAnsi="Times New Roman" w:cs="Times New Roman"/>
          <w:sz w:val="22"/>
          <w:szCs w:val="22"/>
          <w:u w:val="single"/>
          <w:vertAlign w:val="superscript"/>
          <w:lang w:val="pt-BR"/>
        </w:rPr>
        <w:footnoteReference w:id="127"/>
      </w:r>
      <w:r w:rsidRPr="00623A2B">
        <w:rPr>
          <w:rFonts w:ascii="Times New Roman" w:hAnsi="Times New Roman" w:cs="Times New Roman"/>
          <w:color w:val="auto"/>
          <w:sz w:val="22"/>
          <w:szCs w:val="22"/>
          <w:vertAlign w:val="superscript"/>
          <w:lang w:val="fr-FR"/>
        </w:rPr>
        <w:t>/</w:t>
      </w:r>
      <w:r w:rsidRPr="00623A2B">
        <w:rPr>
          <w:rStyle w:val="FootnoteReference"/>
          <w:rFonts w:ascii="Times New Roman" w:hAnsi="Times New Roman" w:cs="Times New Roman"/>
          <w:sz w:val="22"/>
          <w:szCs w:val="22"/>
          <w:u w:val="single"/>
          <w:vertAlign w:val="superscript"/>
          <w:lang w:val="pt-BR"/>
        </w:rPr>
        <w:footnoteReference w:id="128"/>
      </w:r>
      <w:r w:rsidRPr="00623A2B">
        <w:rPr>
          <w:rFonts w:ascii="Times New Roman" w:hAnsi="Times New Roman" w:cs="Times New Roman"/>
          <w:color w:val="auto"/>
          <w:sz w:val="22"/>
          <w:szCs w:val="22"/>
          <w:vertAlign w:val="superscript"/>
          <w:lang w:val="fr-FR"/>
        </w:rPr>
        <w:t>/</w:t>
      </w:r>
      <w:r w:rsidR="0070196C" w:rsidRPr="00623A2B">
        <w:rPr>
          <w:rStyle w:val="FootnoteReference"/>
          <w:rFonts w:ascii="Times New Roman" w:hAnsi="Times New Roman" w:cs="Times New Roman"/>
          <w:sz w:val="22"/>
          <w:szCs w:val="22"/>
          <w:u w:val="single"/>
          <w:vertAlign w:val="superscript"/>
          <w:lang w:val="pt-BR"/>
        </w:rPr>
        <w:footnoteReference w:id="129"/>
      </w:r>
      <w:r w:rsidR="0070196C" w:rsidRPr="00623A2B">
        <w:rPr>
          <w:rFonts w:ascii="Times New Roman" w:hAnsi="Times New Roman" w:cs="Times New Roman"/>
          <w:color w:val="auto"/>
          <w:sz w:val="22"/>
          <w:szCs w:val="22"/>
          <w:vertAlign w:val="superscript"/>
          <w:lang w:val="fr-FR"/>
        </w:rPr>
        <w:t>/</w:t>
      </w:r>
      <w:bookmarkEnd w:id="83"/>
    </w:p>
    <w:p w14:paraId="7E44E954" w14:textId="77777777" w:rsidR="004E6FE3" w:rsidRPr="00623A2B" w:rsidRDefault="004E6FE3" w:rsidP="00FD4855">
      <w:pPr>
        <w:jc w:val="center"/>
        <w:rPr>
          <w:rFonts w:ascii="Times New Roman" w:hAnsi="Times New Roman"/>
          <w:szCs w:val="22"/>
          <w:lang w:val="fr-FR"/>
        </w:rPr>
      </w:pPr>
    </w:p>
    <w:p w14:paraId="34B82FA8" w14:textId="77777777" w:rsidR="004E6FE3" w:rsidRPr="00623A2B" w:rsidRDefault="004E6FE3" w:rsidP="004E6FE3">
      <w:pPr>
        <w:jc w:val="center"/>
        <w:rPr>
          <w:rFonts w:ascii="Times New Roman" w:hAnsi="Times New Roman"/>
          <w:lang w:val="fr-FR"/>
        </w:rPr>
      </w:pPr>
      <w:bookmarkStart w:id="85" w:name="_Hlk87612429"/>
      <w:r w:rsidRPr="00623A2B">
        <w:rPr>
          <w:rFonts w:ascii="Times New Roman" w:hAnsi="Times New Roman"/>
          <w:lang w:val="fr-FR"/>
        </w:rPr>
        <w:t>(</w:t>
      </w:r>
      <w:r w:rsidRPr="00623A2B">
        <w:rPr>
          <w:rFonts w:ascii="Times New Roman" w:hAnsi="Times New Roman"/>
          <w:szCs w:val="22"/>
          <w:lang w:val="fr-FR"/>
        </w:rPr>
        <w:t xml:space="preserve">Résolution adoptée à la </w:t>
      </w:r>
      <w:r w:rsidRPr="00623A2B">
        <w:rPr>
          <w:rFonts w:ascii="Times New Roman" w:hAnsi="Times New Roman"/>
          <w:bCs/>
          <w:szCs w:val="22"/>
          <w:lang w:val="fr-FR" w:eastAsia="es-ES"/>
        </w:rPr>
        <w:t xml:space="preserve">quatrième </w:t>
      </w:r>
      <w:r w:rsidRPr="00623A2B">
        <w:rPr>
          <w:rFonts w:ascii="Times New Roman" w:hAnsi="Times New Roman"/>
          <w:szCs w:val="22"/>
          <w:lang w:val="fr-FR"/>
        </w:rPr>
        <w:t>séance plénière, le 12 novembre 2021</w:t>
      </w:r>
      <w:r w:rsidRPr="00623A2B">
        <w:rPr>
          <w:rFonts w:ascii="Times New Roman" w:hAnsi="Times New Roman"/>
          <w:lang w:val="fr-FR"/>
        </w:rPr>
        <w:t>)</w:t>
      </w:r>
    </w:p>
    <w:bookmarkEnd w:id="85"/>
    <w:p w14:paraId="1909087D" w14:textId="77777777" w:rsidR="004E6FE3" w:rsidRPr="00623A2B" w:rsidRDefault="004E6FE3" w:rsidP="004E6FE3">
      <w:pPr>
        <w:widowControl/>
        <w:rPr>
          <w:rFonts w:ascii="Times New Roman" w:hAnsi="Times New Roman"/>
          <w:szCs w:val="22"/>
          <w:lang w:val="fr-FR" w:eastAsia="es-ES"/>
        </w:rPr>
      </w:pPr>
    </w:p>
    <w:p w14:paraId="0A976FB1" w14:textId="77777777" w:rsidR="004E6FE3" w:rsidRPr="00623A2B" w:rsidRDefault="004E6FE3" w:rsidP="004E6FE3">
      <w:pPr>
        <w:widowControl/>
        <w:rPr>
          <w:rFonts w:ascii="Times New Roman" w:hAnsi="Times New Roman"/>
          <w:szCs w:val="22"/>
          <w:lang w:val="fr-FR" w:eastAsia="es-ES"/>
        </w:rPr>
      </w:pPr>
    </w:p>
    <w:p w14:paraId="6EA48954" w14:textId="77777777" w:rsidR="004E6FE3" w:rsidRPr="00623A2B" w:rsidRDefault="004E6FE3" w:rsidP="004E6FE3">
      <w:pPr>
        <w:widowControl/>
        <w:rPr>
          <w:rFonts w:ascii="Times New Roman" w:hAnsi="Times New Roman"/>
          <w:szCs w:val="22"/>
          <w:lang w:val="fr-FR"/>
        </w:rPr>
      </w:pPr>
      <w:r w:rsidRPr="00623A2B">
        <w:rPr>
          <w:rFonts w:ascii="Times New Roman" w:hAnsi="Times New Roman"/>
          <w:lang w:val="fr-FR"/>
        </w:rPr>
        <w:tab/>
        <w:t xml:space="preserve">L'ASSEMBLÉE GÉNÉRALE, </w:t>
      </w:r>
    </w:p>
    <w:p w14:paraId="393545EA" w14:textId="77777777" w:rsidR="004E6FE3" w:rsidRPr="00623A2B" w:rsidRDefault="004E6FE3" w:rsidP="004E6FE3">
      <w:pPr>
        <w:widowControl/>
        <w:rPr>
          <w:rFonts w:ascii="Times New Roman" w:hAnsi="Times New Roman"/>
          <w:szCs w:val="22"/>
          <w:lang w:val="fr-FR" w:eastAsia="es-ES"/>
        </w:rPr>
      </w:pPr>
    </w:p>
    <w:p w14:paraId="4BC7F926" w14:textId="77777777" w:rsidR="004E6FE3" w:rsidRPr="00623A2B" w:rsidRDefault="004E6FE3" w:rsidP="004E6FE3">
      <w:pPr>
        <w:widowControl/>
        <w:rPr>
          <w:rFonts w:ascii="Times New Roman" w:hAnsi="Times New Roman"/>
          <w:szCs w:val="22"/>
          <w:lang w:val="fr-FR"/>
        </w:rPr>
      </w:pPr>
      <w:r w:rsidRPr="00623A2B">
        <w:rPr>
          <w:rFonts w:ascii="Times New Roman" w:hAnsi="Times New Roman"/>
          <w:lang w:val="fr-FR"/>
        </w:rPr>
        <w:tab/>
        <w:t>PRENANT EN COMPTE les articles 43 et 44 de son règlement, relatifs à la tenue des sessions ordinaires de l’Assemblée générale et à la détermination des date et lieu de celles-ci,</w:t>
      </w:r>
    </w:p>
    <w:p w14:paraId="51AE0A29" w14:textId="77777777" w:rsidR="004E6FE3" w:rsidRPr="00623A2B" w:rsidRDefault="004E6FE3" w:rsidP="004E6FE3">
      <w:pPr>
        <w:widowControl/>
        <w:rPr>
          <w:rFonts w:ascii="Times New Roman" w:hAnsi="Times New Roman"/>
          <w:szCs w:val="22"/>
          <w:lang w:val="fr-FR" w:eastAsia="es-ES"/>
        </w:rPr>
      </w:pPr>
    </w:p>
    <w:p w14:paraId="1CC89B31" w14:textId="77777777" w:rsidR="004E6FE3" w:rsidRPr="00623A2B" w:rsidRDefault="004E6FE3" w:rsidP="004E6FE3">
      <w:pPr>
        <w:widowControl/>
        <w:rPr>
          <w:rFonts w:ascii="Times New Roman" w:hAnsi="Times New Roman"/>
          <w:szCs w:val="22"/>
          <w:lang w:val="fr-FR"/>
        </w:rPr>
      </w:pPr>
      <w:r w:rsidRPr="00623A2B">
        <w:rPr>
          <w:rFonts w:ascii="Times New Roman" w:hAnsi="Times New Roman"/>
          <w:lang w:val="fr-FR"/>
        </w:rPr>
        <w:t>CONSIDÉRANT :</w:t>
      </w:r>
    </w:p>
    <w:p w14:paraId="56F6678A" w14:textId="77777777" w:rsidR="004E6FE3" w:rsidRPr="00623A2B" w:rsidRDefault="004E6FE3" w:rsidP="004E6FE3">
      <w:pPr>
        <w:widowControl/>
        <w:rPr>
          <w:rFonts w:ascii="Times New Roman" w:hAnsi="Times New Roman"/>
          <w:szCs w:val="22"/>
          <w:lang w:val="fr-FR" w:eastAsia="es-ES"/>
        </w:rPr>
      </w:pPr>
    </w:p>
    <w:p w14:paraId="45EEF093" w14:textId="77777777" w:rsidR="004E6FE3" w:rsidRPr="00623A2B" w:rsidRDefault="004E6FE3" w:rsidP="004E6FE3">
      <w:pPr>
        <w:widowControl/>
        <w:rPr>
          <w:rFonts w:ascii="Times New Roman" w:hAnsi="Times New Roman"/>
          <w:szCs w:val="22"/>
          <w:lang w:val="fr-FR"/>
        </w:rPr>
      </w:pPr>
      <w:r w:rsidRPr="00623A2B">
        <w:rPr>
          <w:rFonts w:ascii="Times New Roman" w:hAnsi="Times New Roman"/>
          <w:lang w:val="fr-FR"/>
        </w:rPr>
        <w:tab/>
        <w:t xml:space="preserve">Que les sessions ordinaires de l'Assemblée générale de l'Organisation des États Américains (OEA) doivent être tenues chaque année de préférence durant le deuxième trimestre ; </w:t>
      </w:r>
    </w:p>
    <w:p w14:paraId="7A901044" w14:textId="77777777" w:rsidR="004E6FE3" w:rsidRPr="00623A2B" w:rsidRDefault="004E6FE3" w:rsidP="004E6FE3">
      <w:pPr>
        <w:widowControl/>
        <w:rPr>
          <w:rFonts w:ascii="Times New Roman" w:hAnsi="Times New Roman"/>
          <w:szCs w:val="22"/>
          <w:lang w:val="fr-FR" w:eastAsia="es-ES"/>
        </w:rPr>
      </w:pPr>
    </w:p>
    <w:p w14:paraId="03CCEAE1" w14:textId="77777777" w:rsidR="004E6FE3" w:rsidRPr="00623A2B" w:rsidRDefault="004E6FE3" w:rsidP="004E6FE3">
      <w:pPr>
        <w:widowControl/>
        <w:rPr>
          <w:rFonts w:ascii="Times New Roman" w:hAnsi="Times New Roman"/>
          <w:szCs w:val="22"/>
          <w:lang w:val="fr-FR"/>
        </w:rPr>
      </w:pPr>
      <w:r w:rsidRPr="00623A2B">
        <w:rPr>
          <w:rFonts w:ascii="Times New Roman" w:hAnsi="Times New Roman"/>
          <w:lang w:val="fr-FR"/>
        </w:rPr>
        <w:tab/>
        <w:t>Que, au moyen de la note AG/CP/INF. 798/21, le Gouvernement du Pérou a offert d’accueillir la cinquante-deuxième session ordinaire de l’Assemblée générale de l’Organisation, prévue en 2022, réaffirmant ainsi son engagement envers les principes et les objectifs de la Charte de l’OEA et exprimant sa ferme décision de continuer à participer activement au renforcement de l’Organisation,</w:t>
      </w:r>
    </w:p>
    <w:p w14:paraId="675B7C0C" w14:textId="77777777" w:rsidR="004E6FE3" w:rsidRPr="00623A2B" w:rsidRDefault="004E6FE3" w:rsidP="004E6FE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3BB2CF0C" w14:textId="7A0F1F6A" w:rsidR="004E6FE3" w:rsidRPr="00623A2B" w:rsidRDefault="004E6FE3" w:rsidP="004E6FE3">
      <w:pPr>
        <w:widowControl/>
        <w:rPr>
          <w:rFonts w:ascii="Times New Roman" w:hAnsi="Times New Roman"/>
          <w:szCs w:val="22"/>
        </w:rPr>
      </w:pPr>
      <w:r w:rsidRPr="00623A2B">
        <w:rPr>
          <w:rFonts w:ascii="Times New Roman" w:hAnsi="Times New Roman"/>
        </w:rPr>
        <w:t>DÉCIDE:</w:t>
      </w:r>
    </w:p>
    <w:p w14:paraId="55BDCE68" w14:textId="77777777" w:rsidR="004E6FE3" w:rsidRPr="00623A2B" w:rsidRDefault="004E6FE3" w:rsidP="004E6FE3">
      <w:pPr>
        <w:widowControl/>
        <w:rPr>
          <w:rFonts w:ascii="Times New Roman" w:hAnsi="Times New Roman"/>
          <w:szCs w:val="22"/>
          <w:lang w:val="es-ES_tradnl" w:eastAsia="es-ES"/>
        </w:rPr>
      </w:pPr>
    </w:p>
    <w:p w14:paraId="6DA45DD2" w14:textId="77777777" w:rsidR="004E6FE3" w:rsidRPr="00623A2B" w:rsidRDefault="004E6FE3" w:rsidP="004E6FE3">
      <w:pPr>
        <w:widowControl/>
        <w:numPr>
          <w:ilvl w:val="0"/>
          <w:numId w:val="74"/>
        </w:numPr>
        <w:ind w:left="0" w:firstLine="720"/>
        <w:rPr>
          <w:rFonts w:ascii="Times New Roman" w:hAnsi="Times New Roman"/>
          <w:szCs w:val="22"/>
          <w:lang w:val="fr-FR"/>
        </w:rPr>
      </w:pPr>
      <w:r w:rsidRPr="00623A2B">
        <w:rPr>
          <w:rFonts w:ascii="Times New Roman" w:hAnsi="Times New Roman"/>
          <w:lang w:val="fr-FR"/>
        </w:rPr>
        <w:t xml:space="preserve">De déterminer que la cinquante-deuxième session ordinaire de l'Assemblée générale aura lieu au Pérou, à une date qui sera arrêtée ultérieurement au sein du Conseil permanent de l’Organisation des États Américains. </w:t>
      </w:r>
    </w:p>
    <w:p w14:paraId="55B02CA9" w14:textId="77777777" w:rsidR="004E6FE3" w:rsidRPr="00623A2B" w:rsidRDefault="004E6FE3" w:rsidP="004E6FE3">
      <w:pPr>
        <w:widowControl/>
        <w:tabs>
          <w:tab w:val="clear" w:pos="1440"/>
        </w:tabs>
        <w:rPr>
          <w:rFonts w:ascii="Times New Roman" w:hAnsi="Times New Roman"/>
          <w:szCs w:val="22"/>
          <w:lang w:val="fr-FR" w:eastAsia="es-ES"/>
        </w:rPr>
      </w:pPr>
    </w:p>
    <w:p w14:paraId="62AE3479" w14:textId="77777777" w:rsidR="004E6FE3" w:rsidRPr="00623A2B" w:rsidRDefault="004E6FE3" w:rsidP="004E6FE3">
      <w:pPr>
        <w:widowControl/>
        <w:numPr>
          <w:ilvl w:val="0"/>
          <w:numId w:val="74"/>
        </w:numPr>
        <w:ind w:left="0" w:firstLine="720"/>
        <w:rPr>
          <w:rFonts w:ascii="Times New Roman" w:hAnsi="Times New Roman"/>
          <w:szCs w:val="22"/>
          <w:lang w:val="fr-FR"/>
        </w:rPr>
      </w:pPr>
      <w:r w:rsidRPr="00623A2B">
        <w:rPr>
          <w:rFonts w:ascii="Times New Roman" w:hAnsi="Times New Roman"/>
          <w:lang w:val="fr-FR"/>
        </w:rPr>
        <w:t>De remercier le Gouvernement du Pérou pour avoir généreusement offert d’accueillir la cinquante-deuxième session ordinaire de l’Assemblée générale.</w:t>
      </w:r>
    </w:p>
    <w:p w14:paraId="501FE112" w14:textId="77777777" w:rsidR="004E6FE3" w:rsidRPr="00623A2B" w:rsidRDefault="004E6FE3" w:rsidP="004E6FE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623A2B">
        <w:rPr>
          <w:rFonts w:ascii="Times New Roman" w:hAnsi="Times New Roman"/>
          <w:szCs w:val="22"/>
          <w:lang w:val="fr-FR"/>
        </w:rPr>
        <w:br w:type="page"/>
      </w:r>
    </w:p>
    <w:p w14:paraId="720A4494" w14:textId="77777777" w:rsidR="004E6FE3" w:rsidRPr="00623A2B" w:rsidRDefault="004E6FE3" w:rsidP="004E6FE3">
      <w:pPr>
        <w:suppressAutoHyphens/>
        <w:jc w:val="center"/>
        <w:rPr>
          <w:rFonts w:ascii="Times New Roman" w:hAnsi="Times New Roman"/>
          <w:sz w:val="20"/>
          <w:lang w:val="fr-FR"/>
        </w:rPr>
      </w:pPr>
      <w:r w:rsidRPr="00623A2B">
        <w:rPr>
          <w:rFonts w:ascii="Times New Roman" w:hAnsi="Times New Roman"/>
          <w:sz w:val="20"/>
          <w:lang w:val="fr-FR"/>
        </w:rPr>
        <w:lastRenderedPageBreak/>
        <w:t>NOTES DE BAS DE PAGE</w:t>
      </w:r>
    </w:p>
    <w:p w14:paraId="0EF5E831" w14:textId="77777777" w:rsidR="004E6FE3" w:rsidRPr="00623A2B" w:rsidRDefault="004E6FE3" w:rsidP="004E6FE3">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0AD94E2F" w14:textId="77777777" w:rsidR="004E6FE3" w:rsidRPr="00623A2B" w:rsidRDefault="004E6FE3" w:rsidP="004E6FE3">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4D992542" w14:textId="77777777" w:rsidR="004E6FE3" w:rsidRPr="00623A2B" w:rsidRDefault="004E6FE3" w:rsidP="004E6FE3">
      <w:pPr>
        <w:pStyle w:val="FootnoteText"/>
        <w:tabs>
          <w:tab w:val="clear" w:pos="360"/>
        </w:tabs>
        <w:ind w:left="0" w:firstLine="360"/>
        <w:rPr>
          <w:rFonts w:ascii="Times New Roman" w:hAnsi="Times New Roman"/>
          <w:sz w:val="20"/>
          <w:lang w:val="fr-CA"/>
        </w:rPr>
      </w:pPr>
      <w:r w:rsidRPr="00623A2B">
        <w:rPr>
          <w:rFonts w:ascii="Times New Roman" w:hAnsi="Times New Roman"/>
          <w:sz w:val="20"/>
          <w:lang w:val="fr-CA"/>
        </w:rPr>
        <w:tab/>
        <w:t>1.</w:t>
      </w:r>
      <w:r w:rsidRPr="00623A2B">
        <w:rPr>
          <w:rFonts w:ascii="Times New Roman" w:hAnsi="Times New Roman"/>
          <w:sz w:val="20"/>
          <w:lang w:val="fr-CA"/>
        </w:rPr>
        <w:tab/>
        <w:t>… Cinquante-et-unième Session ordinaire de l’Assemblée générale de l’Organisation des États Américains (OEA), lesquelles constituent des actes contraires au droit international.</w:t>
      </w:r>
    </w:p>
    <w:p w14:paraId="07373A0F" w14:textId="77777777" w:rsidR="004E6FE3" w:rsidRPr="00623A2B" w:rsidRDefault="004E6FE3" w:rsidP="004E6FE3">
      <w:pPr>
        <w:pStyle w:val="FootnoteText"/>
        <w:tabs>
          <w:tab w:val="clear" w:pos="360"/>
        </w:tabs>
        <w:ind w:left="0" w:firstLine="360"/>
        <w:rPr>
          <w:rFonts w:ascii="Times New Roman" w:hAnsi="Times New Roman"/>
          <w:sz w:val="20"/>
          <w:lang w:val="fr-CA"/>
        </w:rPr>
      </w:pPr>
    </w:p>
    <w:p w14:paraId="6CBB0632" w14:textId="77777777" w:rsidR="004E6FE3" w:rsidRPr="00623A2B" w:rsidRDefault="004E6FE3" w:rsidP="004E6FE3">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5DE9A792" w14:textId="77777777" w:rsidR="004E6FE3" w:rsidRPr="00623A2B" w:rsidRDefault="004E6FE3" w:rsidP="004E6FE3">
      <w:pPr>
        <w:pStyle w:val="FootnoteText"/>
        <w:tabs>
          <w:tab w:val="clear" w:pos="360"/>
        </w:tabs>
        <w:ind w:left="0" w:firstLine="360"/>
        <w:rPr>
          <w:rFonts w:ascii="Times New Roman" w:hAnsi="Times New Roman"/>
          <w:sz w:val="20"/>
          <w:lang w:val="fr-CA"/>
        </w:rPr>
      </w:pPr>
    </w:p>
    <w:p w14:paraId="67CE6C2C" w14:textId="77777777" w:rsidR="004E6FE3" w:rsidRPr="00623A2B" w:rsidRDefault="004E6FE3" w:rsidP="004E6FE3">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7518AF8B" w14:textId="77777777" w:rsidR="004E6FE3" w:rsidRPr="00623A2B" w:rsidRDefault="004E6FE3" w:rsidP="004E6FE3">
      <w:pPr>
        <w:pStyle w:val="FootnoteText"/>
        <w:tabs>
          <w:tab w:val="clear" w:pos="360"/>
        </w:tabs>
        <w:ind w:left="0" w:firstLine="360"/>
        <w:rPr>
          <w:rFonts w:ascii="Times New Roman" w:hAnsi="Times New Roman"/>
          <w:sz w:val="20"/>
          <w:lang w:val="fr-CA"/>
        </w:rPr>
      </w:pPr>
    </w:p>
    <w:p w14:paraId="4F136659" w14:textId="77777777" w:rsidR="004E6FE3" w:rsidRPr="00623A2B" w:rsidRDefault="004E6FE3" w:rsidP="004E6FE3">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La reconnaissance d’un gouvernement est un acte souverain des États, et non des institutions internationales. L’OEA ne possède ni ne peut s’arroger des facultés de reconnaissance collective opposable à la qualité de membre; c’est pourquoi tout acte visant à atteindre cet objectif tombe en dehors de sa compétence et est matériellement nul.</w:t>
      </w:r>
    </w:p>
    <w:p w14:paraId="364A521A" w14:textId="77777777" w:rsidR="004E6FE3" w:rsidRPr="00623A2B" w:rsidRDefault="004E6FE3" w:rsidP="004E6FE3">
      <w:pPr>
        <w:pStyle w:val="FootnoteText"/>
        <w:tabs>
          <w:tab w:val="clear" w:pos="360"/>
        </w:tabs>
        <w:ind w:left="0" w:firstLine="360"/>
        <w:rPr>
          <w:rFonts w:ascii="Times New Roman" w:hAnsi="Times New Roman"/>
          <w:sz w:val="20"/>
          <w:lang w:val="fr-CA"/>
        </w:rPr>
      </w:pPr>
    </w:p>
    <w:p w14:paraId="5C3C8D41" w14:textId="77777777" w:rsidR="004E6FE3" w:rsidRPr="00623A2B" w:rsidRDefault="004E6FE3" w:rsidP="004E6FE3">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1A03E057" w14:textId="77777777" w:rsidR="004E6FE3" w:rsidRPr="00623A2B" w:rsidRDefault="004E6FE3" w:rsidP="004E6FE3">
      <w:pPr>
        <w:pStyle w:val="FootnoteText"/>
        <w:tabs>
          <w:tab w:val="clear" w:pos="360"/>
        </w:tabs>
        <w:ind w:left="0" w:firstLine="360"/>
        <w:rPr>
          <w:rFonts w:ascii="Times New Roman" w:hAnsi="Times New Roman"/>
          <w:sz w:val="20"/>
          <w:lang w:val="fr-CA"/>
        </w:rPr>
      </w:pPr>
    </w:p>
    <w:p w14:paraId="21C22866" w14:textId="77777777" w:rsidR="004E6FE3" w:rsidRPr="00623A2B" w:rsidRDefault="004E6FE3" w:rsidP="004E6FE3">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30948CC6" w14:textId="77777777" w:rsidR="004E6FE3" w:rsidRPr="00623A2B" w:rsidRDefault="004E6FE3" w:rsidP="004E6FE3">
      <w:pPr>
        <w:pStyle w:val="FootnoteText"/>
        <w:tabs>
          <w:tab w:val="clear" w:pos="360"/>
        </w:tabs>
        <w:ind w:left="0" w:firstLine="360"/>
        <w:rPr>
          <w:rFonts w:ascii="Times New Roman" w:hAnsi="Times New Roman"/>
          <w:sz w:val="20"/>
          <w:lang w:val="fr-CA"/>
        </w:rPr>
      </w:pPr>
    </w:p>
    <w:p w14:paraId="4DE958DA" w14:textId="77777777" w:rsidR="004E6FE3" w:rsidRPr="00623A2B" w:rsidRDefault="004E6FE3" w:rsidP="004E6FE3">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0C0283A2" w14:textId="77777777" w:rsidR="004E6FE3" w:rsidRPr="00623A2B" w:rsidRDefault="004E6FE3" w:rsidP="004E6FE3">
      <w:pPr>
        <w:pStyle w:val="FootnoteText"/>
        <w:tabs>
          <w:tab w:val="clear" w:pos="360"/>
        </w:tabs>
        <w:ind w:left="0" w:firstLine="720"/>
        <w:rPr>
          <w:rFonts w:ascii="Times New Roman" w:hAnsi="Times New Roman"/>
          <w:sz w:val="20"/>
          <w:lang w:val="fr-CA"/>
        </w:rPr>
      </w:pPr>
    </w:p>
    <w:p w14:paraId="5780888F" w14:textId="77777777" w:rsidR="004E6FE3" w:rsidRPr="00623A2B" w:rsidRDefault="004E6FE3" w:rsidP="004E6FE3">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2.</w:t>
      </w:r>
      <w:r w:rsidRPr="00623A2B">
        <w:rPr>
          <w:rFonts w:ascii="Times New Roman" w:hAnsi="Times New Roman"/>
          <w:sz w:val="20"/>
          <w:lang w:val="fr-CA"/>
        </w:rPr>
        <w:tab/>
        <w:t xml:space="preserve">… de personnes qui prétendent usurper la représentation légale de la République bolivarienne du Venezuela et du Gouvernement légitime du Président </w:t>
      </w:r>
      <w:proofErr w:type="spellStart"/>
      <w:r w:rsidRPr="00623A2B">
        <w:rPr>
          <w:rFonts w:ascii="Times New Roman" w:hAnsi="Times New Roman"/>
          <w:sz w:val="20"/>
          <w:lang w:val="fr-CA"/>
        </w:rPr>
        <w:t>Nicolás</w:t>
      </w:r>
      <w:proofErr w:type="spellEnd"/>
      <w:r w:rsidRPr="00623A2B">
        <w:rPr>
          <w:rFonts w:ascii="Times New Roman" w:hAnsi="Times New Roman"/>
          <w:sz w:val="20"/>
          <w:lang w:val="fr-CA"/>
        </w:rPr>
        <w:t xml:space="preserve"> </w:t>
      </w:r>
      <w:proofErr w:type="spellStart"/>
      <w:r w:rsidRPr="00623A2B">
        <w:rPr>
          <w:rFonts w:ascii="Times New Roman" w:hAnsi="Times New Roman"/>
          <w:sz w:val="20"/>
          <w:lang w:val="fr-CA"/>
        </w:rPr>
        <w:t>Maduro</w:t>
      </w:r>
      <w:proofErr w:type="spellEnd"/>
      <w:r w:rsidRPr="00623A2B">
        <w:rPr>
          <w:rFonts w:ascii="Times New Roman" w:hAnsi="Times New Roman"/>
          <w:sz w:val="20"/>
          <w:lang w:val="fr-CA"/>
        </w:rPr>
        <w:t xml:space="preserve"> Moros. Nous demandons que notre refus soit consigné dans tous les documents qui seront traités lors de la présente Cinquante-et-unième Session de l’Assemblée générale de l’OEA.</w:t>
      </w:r>
    </w:p>
    <w:p w14:paraId="7903C451" w14:textId="77777777" w:rsidR="004E6FE3" w:rsidRPr="00623A2B" w:rsidRDefault="004E6FE3" w:rsidP="004E6FE3">
      <w:pPr>
        <w:pStyle w:val="FootnoteText"/>
        <w:tabs>
          <w:tab w:val="clear" w:pos="360"/>
        </w:tabs>
        <w:ind w:left="0" w:firstLine="720"/>
        <w:rPr>
          <w:rFonts w:ascii="Times New Roman" w:hAnsi="Times New Roman"/>
          <w:sz w:val="20"/>
          <w:lang w:val="fr-CA"/>
        </w:rPr>
      </w:pPr>
    </w:p>
    <w:p w14:paraId="208F469F" w14:textId="77777777" w:rsidR="004E6FE3" w:rsidRPr="00623A2B" w:rsidRDefault="004E6FE3" w:rsidP="004E6FE3">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3.</w:t>
      </w:r>
      <w:r w:rsidRPr="00623A2B">
        <w:rPr>
          <w:rFonts w:ascii="Times New Roman" w:hAnsi="Times New Roman"/>
          <w:sz w:val="20"/>
          <w:lang w:val="fr-CA"/>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33950A85" w14:textId="77777777" w:rsidR="004E6FE3" w:rsidRPr="00623A2B" w:rsidRDefault="004E6FE3" w:rsidP="004E6FE3">
      <w:pPr>
        <w:pStyle w:val="FootnoteText"/>
        <w:tabs>
          <w:tab w:val="clear" w:pos="360"/>
        </w:tabs>
        <w:ind w:left="0" w:firstLine="720"/>
        <w:rPr>
          <w:rFonts w:ascii="Times New Roman" w:hAnsi="Times New Roman"/>
          <w:sz w:val="20"/>
          <w:lang w:val="fr-CA"/>
        </w:rPr>
      </w:pPr>
    </w:p>
    <w:p w14:paraId="77C1521A" w14:textId="77777777" w:rsidR="004E6FE3" w:rsidRPr="00623A2B" w:rsidRDefault="004E6FE3" w:rsidP="004E6FE3">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 xml:space="preserve">Antigua-et-Barbuda n'a pas soutenu la résolution CP/RES. 1124 (2217/19) du 9 avril 2019 qui visait à nommer M. Gustavo </w:t>
      </w:r>
      <w:proofErr w:type="spellStart"/>
      <w:r w:rsidRPr="00623A2B">
        <w:rPr>
          <w:rFonts w:ascii="Times New Roman" w:hAnsi="Times New Roman"/>
          <w:sz w:val="20"/>
          <w:lang w:val="fr-CA"/>
        </w:rPr>
        <w:t>Tarre</w:t>
      </w:r>
      <w:proofErr w:type="spellEnd"/>
      <w:r w:rsidRPr="00623A2B">
        <w:rPr>
          <w:rFonts w:ascii="Times New Roman" w:hAnsi="Times New Roman"/>
          <w:sz w:val="20"/>
          <w:lang w:val="fr-CA"/>
        </w:rPr>
        <w:t xml:space="preserve"> comme représentant de l'Assemblée nationale auprès de l'OEA et n'a pas accepté les </w:t>
      </w:r>
      <w:r w:rsidRPr="00623A2B">
        <w:rPr>
          <w:rFonts w:ascii="Times New Roman" w:hAnsi="Times New Roman"/>
          <w:sz w:val="20"/>
          <w:lang w:val="fr-CA"/>
        </w:rPr>
        <w:lastRenderedPageBreak/>
        <w:t xml:space="preserve">pouvoirs des fonctionnaires ayant l'intention de représenter la République bolivarienne du Venezuela aux quarante-neuvième, cinquantième et cinquante-et-unième sessions ordinaires de l'Assemblée générale. </w:t>
      </w:r>
    </w:p>
    <w:p w14:paraId="4E779BB7" w14:textId="77777777" w:rsidR="004E6FE3" w:rsidRPr="00623A2B" w:rsidRDefault="004E6FE3" w:rsidP="004E6FE3">
      <w:pPr>
        <w:pStyle w:val="FootnoteText"/>
        <w:tabs>
          <w:tab w:val="clear" w:pos="360"/>
        </w:tabs>
        <w:ind w:left="0" w:firstLine="720"/>
        <w:rPr>
          <w:rFonts w:ascii="Times New Roman" w:hAnsi="Times New Roman"/>
          <w:sz w:val="20"/>
          <w:lang w:val="fr-CA"/>
        </w:rPr>
      </w:pPr>
    </w:p>
    <w:p w14:paraId="5D9DA773" w14:textId="77777777" w:rsidR="004E6FE3" w:rsidRPr="00623A2B" w:rsidRDefault="004E6FE3" w:rsidP="004E6FE3">
      <w:pPr>
        <w:pStyle w:val="FootnoteText"/>
        <w:tabs>
          <w:tab w:val="clear" w:pos="360"/>
        </w:tabs>
        <w:ind w:left="0" w:firstLine="720"/>
        <w:rPr>
          <w:rFonts w:ascii="Times New Roman" w:hAnsi="Times New Roman"/>
          <w:lang w:val="fr-FR"/>
        </w:rPr>
      </w:pPr>
      <w:r w:rsidRPr="00623A2B">
        <w:rPr>
          <w:rFonts w:ascii="Times New Roman" w:hAnsi="Times New Roman"/>
          <w:sz w:val="20"/>
          <w:lang w:val="fr-CA"/>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02A434D0" w14:textId="169DAFCC" w:rsidR="00AB2F4B" w:rsidRPr="00623A2B" w:rsidRDefault="00AB2F4B" w:rsidP="008507FE">
      <w:pPr>
        <w:pStyle w:val="FootnoteText"/>
        <w:tabs>
          <w:tab w:val="clear" w:pos="360"/>
        </w:tabs>
        <w:rPr>
          <w:rFonts w:ascii="Times New Roman" w:hAnsi="Times New Roman"/>
          <w:sz w:val="20"/>
          <w:lang w:val="fr-FR"/>
        </w:rPr>
      </w:pPr>
    </w:p>
    <w:p w14:paraId="25BE45C6" w14:textId="77777777" w:rsidR="004708F7" w:rsidRPr="00623A2B" w:rsidRDefault="004708F7" w:rsidP="004708F7">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4.</w:t>
      </w:r>
      <w:r w:rsidRPr="00623A2B">
        <w:rPr>
          <w:rFonts w:ascii="Times New Roman" w:hAnsi="Times New Roman"/>
          <w:sz w:val="20"/>
          <w:lang w:val="fr-CA"/>
        </w:rPr>
        <w:tab/>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0F878CF5" w14:textId="77777777" w:rsidR="004708F7" w:rsidRPr="00623A2B" w:rsidRDefault="004708F7" w:rsidP="004708F7">
      <w:pPr>
        <w:pStyle w:val="FootnoteText"/>
        <w:tabs>
          <w:tab w:val="clear" w:pos="360"/>
        </w:tabs>
        <w:ind w:left="0" w:firstLine="720"/>
        <w:rPr>
          <w:rFonts w:ascii="Times New Roman" w:hAnsi="Times New Roman"/>
          <w:sz w:val="20"/>
          <w:lang w:val="fr-CA"/>
        </w:rPr>
      </w:pPr>
    </w:p>
    <w:p w14:paraId="5E37462E" w14:textId="77777777" w:rsidR="004708F7" w:rsidRPr="00623A2B" w:rsidRDefault="004708F7" w:rsidP="004708F7">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p>
    <w:p w14:paraId="3A6DEA32" w14:textId="6C137985" w:rsidR="004708F7" w:rsidRPr="00623A2B" w:rsidRDefault="004708F7" w:rsidP="008507FE">
      <w:pPr>
        <w:pStyle w:val="FootnoteText"/>
        <w:tabs>
          <w:tab w:val="clear" w:pos="360"/>
        </w:tabs>
        <w:rPr>
          <w:rFonts w:ascii="Times New Roman" w:hAnsi="Times New Roman"/>
          <w:sz w:val="20"/>
          <w:lang w:val="fr-CA"/>
        </w:rPr>
      </w:pPr>
    </w:p>
    <w:p w14:paraId="69724A2F" w14:textId="77777777" w:rsidR="00FD4855" w:rsidRPr="00623A2B" w:rsidRDefault="00FD4855" w:rsidP="008507FE">
      <w:pPr>
        <w:pStyle w:val="FootnoteText"/>
        <w:tabs>
          <w:tab w:val="clear" w:pos="360"/>
        </w:tabs>
        <w:rPr>
          <w:rFonts w:ascii="Times New Roman" w:hAnsi="Times New Roman"/>
          <w:sz w:val="20"/>
          <w:lang w:val="fr-CA"/>
        </w:rPr>
        <w:sectPr w:rsidR="00FD4855" w:rsidRPr="00623A2B" w:rsidSect="00623A2B">
          <w:footnotePr>
            <w:numRestart w:val="eachSect"/>
          </w:footnotePr>
          <w:type w:val="oddPage"/>
          <w:pgSz w:w="12240" w:h="15840" w:code="1"/>
          <w:pgMar w:top="2160" w:right="1570" w:bottom="1296" w:left="1699" w:header="720" w:footer="720" w:gutter="0"/>
          <w:cols w:space="720"/>
          <w:titlePg/>
          <w:docGrid w:linePitch="360"/>
        </w:sectPr>
      </w:pPr>
    </w:p>
    <w:p w14:paraId="2913DD5B" w14:textId="574AB1D3" w:rsidR="007E26D2" w:rsidRPr="00623A2B" w:rsidRDefault="007E26D2" w:rsidP="00720F0E">
      <w:pPr>
        <w:pStyle w:val="Heading1"/>
        <w:spacing w:before="0"/>
        <w:jc w:val="center"/>
        <w:rPr>
          <w:rFonts w:ascii="Times New Roman" w:hAnsi="Times New Roman" w:cs="Times New Roman"/>
          <w:color w:val="auto"/>
          <w:sz w:val="22"/>
          <w:szCs w:val="22"/>
          <w:lang w:val="fr-FR"/>
        </w:rPr>
      </w:pPr>
      <w:bookmarkStart w:id="86" w:name="_Toc89177471"/>
      <w:r w:rsidRPr="00623A2B">
        <w:rPr>
          <w:rFonts w:ascii="Times New Roman" w:hAnsi="Times New Roman" w:cs="Times New Roman"/>
          <w:color w:val="auto"/>
          <w:sz w:val="22"/>
          <w:szCs w:val="22"/>
          <w:lang w:val="fr-FR"/>
        </w:rPr>
        <w:lastRenderedPageBreak/>
        <w:t>AG/RES. 2981 (LI-O/21)</w:t>
      </w:r>
      <w:r w:rsidR="00720F0E" w:rsidRPr="00623A2B">
        <w:rPr>
          <w:rFonts w:ascii="Times New Roman" w:hAnsi="Times New Roman" w:cs="Times New Roman"/>
          <w:color w:val="auto"/>
          <w:sz w:val="22"/>
          <w:szCs w:val="22"/>
          <w:lang w:val="fr-FR"/>
        </w:rPr>
        <w:br/>
      </w:r>
      <w:r w:rsidR="00720F0E" w:rsidRPr="00623A2B">
        <w:rPr>
          <w:rFonts w:ascii="Times New Roman" w:hAnsi="Times New Roman" w:cs="Times New Roman"/>
          <w:color w:val="auto"/>
          <w:sz w:val="22"/>
          <w:szCs w:val="22"/>
          <w:lang w:val="fr-FR"/>
        </w:rPr>
        <w:br/>
      </w:r>
      <w:r w:rsidRPr="00623A2B">
        <w:rPr>
          <w:rFonts w:ascii="Times New Roman" w:hAnsi="Times New Roman" w:cs="Times New Roman"/>
          <w:color w:val="auto"/>
          <w:sz w:val="22"/>
          <w:szCs w:val="22"/>
          <w:lang w:val="fr-FR"/>
        </w:rPr>
        <w:t>REMERCIEMENTS AU PEUPLE ET AU GOUVERNEMENT DU GUATEMALA</w:t>
      </w:r>
      <w:r w:rsidRPr="00623A2B">
        <w:rPr>
          <w:rStyle w:val="FootnoteReference"/>
          <w:rFonts w:ascii="Times New Roman" w:hAnsi="Times New Roman" w:cs="Times New Roman"/>
          <w:sz w:val="22"/>
          <w:szCs w:val="22"/>
          <w:u w:val="single"/>
          <w:vertAlign w:val="superscript"/>
          <w:lang w:val="pt-BR"/>
        </w:rPr>
        <w:footnoteReference w:id="130"/>
      </w:r>
      <w:r w:rsidRPr="00623A2B">
        <w:rPr>
          <w:rFonts w:ascii="Times New Roman" w:hAnsi="Times New Roman" w:cs="Times New Roman"/>
          <w:color w:val="auto"/>
          <w:sz w:val="22"/>
          <w:szCs w:val="22"/>
          <w:vertAlign w:val="superscript"/>
          <w:lang w:val="fr-FR"/>
        </w:rPr>
        <w:t>/</w:t>
      </w:r>
      <w:r w:rsidRPr="00623A2B">
        <w:rPr>
          <w:rStyle w:val="FootnoteReference"/>
          <w:rFonts w:ascii="Times New Roman" w:hAnsi="Times New Roman" w:cs="Times New Roman"/>
          <w:sz w:val="22"/>
          <w:szCs w:val="22"/>
          <w:u w:val="single"/>
          <w:vertAlign w:val="superscript"/>
          <w:lang w:val="pt-BR"/>
        </w:rPr>
        <w:footnoteReference w:id="131"/>
      </w:r>
      <w:r w:rsidRPr="00623A2B">
        <w:rPr>
          <w:rFonts w:ascii="Times New Roman" w:hAnsi="Times New Roman" w:cs="Times New Roman"/>
          <w:color w:val="auto"/>
          <w:sz w:val="22"/>
          <w:szCs w:val="22"/>
          <w:vertAlign w:val="superscript"/>
          <w:lang w:val="fr-FR"/>
        </w:rPr>
        <w:t>/</w:t>
      </w:r>
      <w:r w:rsidRPr="00623A2B">
        <w:rPr>
          <w:rStyle w:val="FootnoteReference"/>
          <w:rFonts w:ascii="Times New Roman" w:hAnsi="Times New Roman" w:cs="Times New Roman"/>
          <w:sz w:val="22"/>
          <w:szCs w:val="22"/>
          <w:u w:val="single"/>
          <w:vertAlign w:val="superscript"/>
          <w:lang w:val="pt-BR"/>
        </w:rPr>
        <w:footnoteReference w:id="132"/>
      </w:r>
      <w:r w:rsidRPr="00623A2B">
        <w:rPr>
          <w:rFonts w:ascii="Times New Roman" w:hAnsi="Times New Roman" w:cs="Times New Roman"/>
          <w:color w:val="auto"/>
          <w:sz w:val="22"/>
          <w:szCs w:val="22"/>
          <w:vertAlign w:val="superscript"/>
          <w:lang w:val="fr-FR"/>
        </w:rPr>
        <w:t>/</w:t>
      </w:r>
      <w:r w:rsidRPr="00623A2B">
        <w:rPr>
          <w:rStyle w:val="FootnoteReference"/>
          <w:rFonts w:ascii="Times New Roman" w:hAnsi="Times New Roman" w:cs="Times New Roman"/>
          <w:sz w:val="22"/>
          <w:szCs w:val="22"/>
          <w:u w:val="single"/>
          <w:vertAlign w:val="superscript"/>
          <w:lang w:val="pt-BR"/>
        </w:rPr>
        <w:footnoteReference w:id="133"/>
      </w:r>
      <w:r w:rsidRPr="00623A2B">
        <w:rPr>
          <w:rFonts w:ascii="Times New Roman" w:hAnsi="Times New Roman" w:cs="Times New Roman"/>
          <w:color w:val="auto"/>
          <w:sz w:val="22"/>
          <w:szCs w:val="22"/>
          <w:vertAlign w:val="superscript"/>
          <w:lang w:val="fr-FR"/>
        </w:rPr>
        <w:t>/</w:t>
      </w:r>
      <w:bookmarkEnd w:id="86"/>
    </w:p>
    <w:p w14:paraId="7A1FA706" w14:textId="77777777" w:rsidR="007E26D2" w:rsidRPr="00623A2B" w:rsidRDefault="007E26D2" w:rsidP="007E26D2">
      <w:pPr>
        <w:jc w:val="center"/>
        <w:rPr>
          <w:rFonts w:ascii="Times New Roman" w:hAnsi="Times New Roman"/>
          <w:szCs w:val="22"/>
          <w:lang w:val="fr-FR"/>
        </w:rPr>
      </w:pPr>
    </w:p>
    <w:p w14:paraId="2B578F83" w14:textId="77777777" w:rsidR="007E26D2" w:rsidRPr="00623A2B" w:rsidRDefault="007E26D2" w:rsidP="007E26D2">
      <w:pPr>
        <w:jc w:val="center"/>
        <w:rPr>
          <w:rFonts w:ascii="Times New Roman" w:hAnsi="Times New Roman"/>
          <w:szCs w:val="22"/>
          <w:lang w:val="fr-FR"/>
        </w:rPr>
      </w:pPr>
      <w:r w:rsidRPr="00623A2B">
        <w:rPr>
          <w:rFonts w:ascii="Times New Roman" w:hAnsi="Times New Roman"/>
          <w:szCs w:val="22"/>
          <w:lang w:val="fr-FR"/>
        </w:rPr>
        <w:t xml:space="preserve">(Résolution adoptée à la </w:t>
      </w:r>
      <w:r w:rsidRPr="00623A2B">
        <w:rPr>
          <w:rFonts w:ascii="Times New Roman" w:hAnsi="Times New Roman"/>
          <w:bCs/>
          <w:szCs w:val="22"/>
          <w:lang w:val="fr-FR" w:eastAsia="es-ES"/>
        </w:rPr>
        <w:t xml:space="preserve">quatrième </w:t>
      </w:r>
      <w:r w:rsidRPr="00623A2B">
        <w:rPr>
          <w:rFonts w:ascii="Times New Roman" w:hAnsi="Times New Roman"/>
          <w:szCs w:val="22"/>
          <w:lang w:val="fr-FR"/>
        </w:rPr>
        <w:t>séance plénière, le 12 novembre 2021)</w:t>
      </w:r>
    </w:p>
    <w:p w14:paraId="592951A8" w14:textId="77777777" w:rsidR="007E26D2" w:rsidRPr="00623A2B" w:rsidRDefault="007E26D2" w:rsidP="007E26D2">
      <w:pPr>
        <w:rPr>
          <w:rFonts w:ascii="Times New Roman" w:hAnsi="Times New Roman"/>
          <w:szCs w:val="22"/>
          <w:lang w:val="fr-FR"/>
        </w:rPr>
      </w:pPr>
    </w:p>
    <w:p w14:paraId="212E754C" w14:textId="77777777" w:rsidR="007E26D2" w:rsidRPr="00623A2B" w:rsidRDefault="007E26D2" w:rsidP="007E26D2">
      <w:pPr>
        <w:rPr>
          <w:rFonts w:ascii="Times New Roman" w:hAnsi="Times New Roman"/>
          <w:szCs w:val="22"/>
          <w:lang w:val="fr-FR"/>
        </w:rPr>
      </w:pPr>
    </w:p>
    <w:p w14:paraId="0E56A13B" w14:textId="77777777" w:rsidR="007E26D2" w:rsidRPr="00623A2B" w:rsidRDefault="007E26D2" w:rsidP="007E26D2">
      <w:pPr>
        <w:ind w:right="-29" w:firstLine="720"/>
        <w:rPr>
          <w:rFonts w:ascii="Times New Roman" w:hAnsi="Times New Roman"/>
          <w:noProof/>
          <w:szCs w:val="22"/>
          <w:lang w:val="fr-FR"/>
        </w:rPr>
      </w:pPr>
      <w:r w:rsidRPr="00623A2B">
        <w:rPr>
          <w:rFonts w:ascii="Times New Roman" w:hAnsi="Times New Roman"/>
          <w:szCs w:val="22"/>
          <w:lang w:val="fr-FR"/>
        </w:rPr>
        <w:t>L'ASSEMBLÉE GÉNÉRALE,</w:t>
      </w:r>
    </w:p>
    <w:p w14:paraId="2C7405E3" w14:textId="77777777" w:rsidR="007E26D2" w:rsidRPr="00623A2B" w:rsidRDefault="007E26D2" w:rsidP="007E26D2">
      <w:pPr>
        <w:rPr>
          <w:rFonts w:ascii="Times New Roman" w:hAnsi="Times New Roman"/>
          <w:szCs w:val="22"/>
          <w:lang w:val="fr-FR"/>
        </w:rPr>
      </w:pPr>
    </w:p>
    <w:p w14:paraId="7A12AACE" w14:textId="77777777" w:rsidR="007E26D2" w:rsidRPr="00623A2B" w:rsidRDefault="007E26D2" w:rsidP="007E26D2">
      <w:pPr>
        <w:rPr>
          <w:rFonts w:ascii="Times New Roman" w:hAnsi="Times New Roman"/>
          <w:szCs w:val="22"/>
          <w:lang w:val="fr-FR"/>
        </w:rPr>
      </w:pPr>
      <w:r w:rsidRPr="00623A2B">
        <w:rPr>
          <w:rFonts w:ascii="Times New Roman" w:hAnsi="Times New Roman"/>
          <w:szCs w:val="22"/>
          <w:lang w:val="fr-FR"/>
        </w:rPr>
        <w:t>CONSIDÉRANT :</w:t>
      </w:r>
    </w:p>
    <w:p w14:paraId="392F9CC5" w14:textId="77777777" w:rsidR="007E26D2" w:rsidRPr="00623A2B" w:rsidRDefault="007E26D2" w:rsidP="007E26D2">
      <w:pPr>
        <w:rPr>
          <w:rFonts w:ascii="Times New Roman" w:eastAsia="SimSun" w:hAnsi="Times New Roman"/>
          <w:szCs w:val="22"/>
          <w:lang w:val="fr-FR"/>
        </w:rPr>
      </w:pPr>
    </w:p>
    <w:p w14:paraId="729DF5D3" w14:textId="77777777" w:rsidR="007E26D2" w:rsidRPr="00623A2B" w:rsidRDefault="007E26D2" w:rsidP="007E26D2">
      <w:pPr>
        <w:rPr>
          <w:rFonts w:ascii="Times New Roman" w:hAnsi="Times New Roman"/>
          <w:szCs w:val="22"/>
          <w:lang w:val="fr-FR"/>
        </w:rPr>
      </w:pPr>
      <w:r w:rsidRPr="00623A2B">
        <w:rPr>
          <w:rFonts w:ascii="Times New Roman" w:hAnsi="Times New Roman"/>
          <w:szCs w:val="22"/>
          <w:lang w:val="fr-FR"/>
        </w:rPr>
        <w:tab/>
        <w:t>Que la cinquante-et-unième session ordinaire de l’Assemblée générale de l’Organisation des États Américains s'est déroulée en mode virtuel à Guatemala (République du Guatemala) du 10 au 12 novembre 2021 ;</w:t>
      </w:r>
    </w:p>
    <w:p w14:paraId="30EC8BB3" w14:textId="77777777" w:rsidR="007E26D2" w:rsidRPr="00623A2B" w:rsidRDefault="007E26D2" w:rsidP="007E26D2">
      <w:pPr>
        <w:rPr>
          <w:rFonts w:ascii="Times New Roman" w:hAnsi="Times New Roman"/>
          <w:szCs w:val="22"/>
          <w:lang w:val="fr-FR"/>
        </w:rPr>
      </w:pPr>
    </w:p>
    <w:p w14:paraId="7DB8292A" w14:textId="77777777" w:rsidR="007E26D2" w:rsidRPr="00623A2B" w:rsidRDefault="007E26D2" w:rsidP="007E26D2">
      <w:pPr>
        <w:ind w:firstLine="720"/>
        <w:rPr>
          <w:rFonts w:ascii="Times New Roman" w:hAnsi="Times New Roman"/>
          <w:szCs w:val="22"/>
          <w:lang w:val="fr-FR"/>
        </w:rPr>
      </w:pPr>
      <w:r w:rsidRPr="00623A2B">
        <w:rPr>
          <w:rFonts w:ascii="Times New Roman" w:hAnsi="Times New Roman"/>
          <w:szCs w:val="22"/>
          <w:lang w:val="fr-FR"/>
        </w:rPr>
        <w:t xml:space="preserve">Qu’au cours de la cinquante-et-unième session ordinaire de l’Assemblée générale, les délégations ont souligné leur profonde reconnaissance à Son Excellence l’Ambassadeur Pedro </w:t>
      </w:r>
      <w:proofErr w:type="spellStart"/>
      <w:r w:rsidRPr="00623A2B">
        <w:rPr>
          <w:rFonts w:ascii="Times New Roman" w:hAnsi="Times New Roman"/>
          <w:szCs w:val="22"/>
          <w:lang w:val="fr-FR"/>
        </w:rPr>
        <w:t>Brolo</w:t>
      </w:r>
      <w:proofErr w:type="spellEnd"/>
      <w:r w:rsidRPr="00623A2B">
        <w:rPr>
          <w:rFonts w:ascii="Times New Roman" w:hAnsi="Times New Roman"/>
          <w:szCs w:val="22"/>
          <w:lang w:val="fr-FR"/>
        </w:rPr>
        <w:t xml:space="preserve"> Vila, </w:t>
      </w:r>
      <w:proofErr w:type="gramStart"/>
      <w:r w:rsidRPr="00623A2B">
        <w:rPr>
          <w:rFonts w:ascii="Times New Roman" w:hAnsi="Times New Roman"/>
          <w:szCs w:val="22"/>
          <w:lang w:val="fr-FR"/>
        </w:rPr>
        <w:t>Ministre des relations</w:t>
      </w:r>
      <w:proofErr w:type="gramEnd"/>
      <w:r w:rsidRPr="00623A2B">
        <w:rPr>
          <w:rFonts w:ascii="Times New Roman" w:hAnsi="Times New Roman"/>
          <w:szCs w:val="22"/>
          <w:lang w:val="fr-FR"/>
        </w:rPr>
        <w:t xml:space="preserve"> extérieures de la République du Guatemala, pour la maîtrise avec laquelle il a assumé la direction des débats, ce qui a donné lieu à l’adoption d’importantes déclarations et résolutions portant sur des questions revêtant une haute priorité pour le programme continental,</w:t>
      </w:r>
    </w:p>
    <w:p w14:paraId="1D1039FA" w14:textId="77777777" w:rsidR="007E26D2" w:rsidRPr="00623A2B" w:rsidRDefault="007E26D2" w:rsidP="007E26D2">
      <w:pPr>
        <w:outlineLvl w:val="0"/>
        <w:rPr>
          <w:rFonts w:ascii="Times New Roman" w:hAnsi="Times New Roman"/>
          <w:szCs w:val="22"/>
          <w:lang w:val="fr-FR"/>
        </w:rPr>
      </w:pPr>
      <w:bookmarkStart w:id="87" w:name="_Toc200283626"/>
      <w:bookmarkStart w:id="88" w:name="_Toc200283801"/>
    </w:p>
    <w:p w14:paraId="128D0045" w14:textId="77777777" w:rsidR="007E26D2" w:rsidRPr="00623A2B" w:rsidRDefault="007E26D2" w:rsidP="007E26D2">
      <w:pPr>
        <w:ind w:firstLine="720"/>
        <w:rPr>
          <w:rFonts w:ascii="Times New Roman" w:hAnsi="Times New Roman"/>
          <w:szCs w:val="22"/>
          <w:lang w:val="fr-FR"/>
        </w:rPr>
      </w:pPr>
      <w:r w:rsidRPr="00623A2B">
        <w:rPr>
          <w:rFonts w:ascii="Times New Roman" w:hAnsi="Times New Roman"/>
          <w:szCs w:val="22"/>
          <w:lang w:val="fr-FR"/>
        </w:rPr>
        <w:t xml:space="preserve">SOULIGNANT l’accueil chaleureux du peuple et du Gouvernement guatémaltèques, </w:t>
      </w:r>
    </w:p>
    <w:bookmarkEnd w:id="87"/>
    <w:bookmarkEnd w:id="88"/>
    <w:p w14:paraId="464FFF61" w14:textId="77777777" w:rsidR="007E26D2" w:rsidRPr="00623A2B" w:rsidRDefault="007E26D2" w:rsidP="007E26D2">
      <w:pPr>
        <w:outlineLvl w:val="0"/>
        <w:rPr>
          <w:rFonts w:ascii="Times New Roman" w:hAnsi="Times New Roman"/>
          <w:szCs w:val="22"/>
          <w:lang w:val="fr-FR"/>
        </w:rPr>
      </w:pPr>
    </w:p>
    <w:p w14:paraId="0604FB71" w14:textId="77777777" w:rsidR="007E26D2" w:rsidRPr="00623A2B" w:rsidRDefault="007E26D2" w:rsidP="007E26D2">
      <w:pPr>
        <w:rPr>
          <w:rFonts w:ascii="Times New Roman" w:hAnsi="Times New Roman"/>
          <w:szCs w:val="22"/>
        </w:rPr>
      </w:pPr>
      <w:proofErr w:type="gramStart"/>
      <w:r w:rsidRPr="00623A2B">
        <w:rPr>
          <w:rFonts w:ascii="Times New Roman" w:hAnsi="Times New Roman"/>
          <w:szCs w:val="22"/>
        </w:rPr>
        <w:t>DÉCIDE :</w:t>
      </w:r>
      <w:proofErr w:type="gramEnd"/>
    </w:p>
    <w:p w14:paraId="082ED14E" w14:textId="77777777" w:rsidR="007E26D2" w:rsidRPr="00623A2B" w:rsidRDefault="007E26D2" w:rsidP="007E26D2">
      <w:pPr>
        <w:rPr>
          <w:rFonts w:ascii="Times New Roman" w:hAnsi="Times New Roman"/>
          <w:szCs w:val="22"/>
        </w:rPr>
      </w:pPr>
    </w:p>
    <w:p w14:paraId="07205A1B" w14:textId="77777777" w:rsidR="007E26D2" w:rsidRPr="00623A2B" w:rsidRDefault="007E26D2" w:rsidP="007E26D2">
      <w:pPr>
        <w:widowControl/>
        <w:numPr>
          <w:ilvl w:val="0"/>
          <w:numId w:val="75"/>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fr-FR"/>
        </w:rPr>
      </w:pPr>
      <w:r w:rsidRPr="00623A2B">
        <w:rPr>
          <w:rFonts w:ascii="Times New Roman" w:hAnsi="Times New Roman"/>
          <w:szCs w:val="22"/>
          <w:lang w:val="fr-FR"/>
        </w:rPr>
        <w:t xml:space="preserve">D’exprimer ses remerciements à Son Excellence Alejandro </w:t>
      </w:r>
      <w:proofErr w:type="spellStart"/>
      <w:r w:rsidRPr="00623A2B">
        <w:rPr>
          <w:rFonts w:ascii="Times New Roman" w:hAnsi="Times New Roman"/>
          <w:szCs w:val="22"/>
          <w:lang w:val="fr-FR"/>
        </w:rPr>
        <w:t>Giammattei</w:t>
      </w:r>
      <w:proofErr w:type="spellEnd"/>
      <w:r w:rsidRPr="00623A2B">
        <w:rPr>
          <w:rFonts w:ascii="Times New Roman" w:hAnsi="Times New Roman"/>
          <w:szCs w:val="22"/>
          <w:lang w:val="fr-FR"/>
        </w:rPr>
        <w:t>, Président de la République du Guatemala, et tout particulièrement au peuple guatémaltèque, pour la chaleureuse et généreuse hospitalité exprimée à l'endroit des participants de la cinquante-et-unième session ordinaire de l'Assemblée générale.</w:t>
      </w:r>
    </w:p>
    <w:p w14:paraId="7F2D7D32" w14:textId="77777777" w:rsidR="007E26D2" w:rsidRPr="00623A2B" w:rsidRDefault="007E26D2" w:rsidP="007E26D2">
      <w:pPr>
        <w:rPr>
          <w:rFonts w:ascii="Times New Roman" w:hAnsi="Times New Roman"/>
          <w:szCs w:val="22"/>
          <w:lang w:val="fr-FR"/>
        </w:rPr>
      </w:pPr>
    </w:p>
    <w:p w14:paraId="0F28DAA2" w14:textId="77777777" w:rsidR="007E26D2" w:rsidRPr="00623A2B" w:rsidRDefault="007E26D2" w:rsidP="007E26D2">
      <w:pPr>
        <w:widowControl/>
        <w:numPr>
          <w:ilvl w:val="0"/>
          <w:numId w:val="75"/>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fr-FR"/>
        </w:rPr>
      </w:pPr>
      <w:r w:rsidRPr="00623A2B">
        <w:rPr>
          <w:rFonts w:ascii="Times New Roman" w:hAnsi="Times New Roman"/>
          <w:szCs w:val="22"/>
          <w:lang w:val="fr-FR"/>
        </w:rPr>
        <w:t xml:space="preserve">D’exprimer sa reconnaissance et ses félicitations à Son Excellence l’Ambassadeur Pedro </w:t>
      </w:r>
      <w:proofErr w:type="spellStart"/>
      <w:r w:rsidRPr="00623A2B">
        <w:rPr>
          <w:rFonts w:ascii="Times New Roman" w:hAnsi="Times New Roman"/>
          <w:szCs w:val="22"/>
          <w:lang w:val="fr-FR"/>
        </w:rPr>
        <w:t>Brolo</w:t>
      </w:r>
      <w:proofErr w:type="spellEnd"/>
      <w:r w:rsidRPr="00623A2B">
        <w:rPr>
          <w:rFonts w:ascii="Times New Roman" w:hAnsi="Times New Roman"/>
          <w:szCs w:val="22"/>
          <w:lang w:val="fr-FR"/>
        </w:rPr>
        <w:t xml:space="preserve"> Vila, </w:t>
      </w:r>
      <w:proofErr w:type="gramStart"/>
      <w:r w:rsidRPr="00623A2B">
        <w:rPr>
          <w:rFonts w:ascii="Times New Roman" w:hAnsi="Times New Roman"/>
          <w:szCs w:val="22"/>
          <w:lang w:val="fr-FR"/>
        </w:rPr>
        <w:t>Ministre des relations</w:t>
      </w:r>
      <w:proofErr w:type="gramEnd"/>
      <w:r w:rsidRPr="00623A2B">
        <w:rPr>
          <w:rFonts w:ascii="Times New Roman" w:hAnsi="Times New Roman"/>
          <w:szCs w:val="22"/>
          <w:lang w:val="fr-FR"/>
        </w:rPr>
        <w:t xml:space="preserve"> extérieures de la République du Guatemala, pour la tâche remarquable qu’il a accomplie en qualité de Président de la cinquante-et-unième session ordinaire de l'Assemblée générale.</w:t>
      </w:r>
    </w:p>
    <w:p w14:paraId="2D5828E2" w14:textId="77777777" w:rsidR="007E26D2" w:rsidRPr="00623A2B" w:rsidRDefault="007E26D2" w:rsidP="007E26D2">
      <w:pPr>
        <w:pStyle w:val="ListParagraph"/>
        <w:rPr>
          <w:rFonts w:ascii="Times New Roman" w:hAnsi="Times New Roman"/>
          <w:szCs w:val="22"/>
          <w:lang w:val="fr-FR"/>
        </w:rPr>
      </w:pPr>
    </w:p>
    <w:p w14:paraId="2A252A23" w14:textId="15F802B5" w:rsidR="007E26D2" w:rsidRPr="00623A2B" w:rsidRDefault="007E26D2" w:rsidP="007E26D2">
      <w:pPr>
        <w:widowControl/>
        <w:numPr>
          <w:ilvl w:val="0"/>
          <w:numId w:val="75"/>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fr-FR"/>
        </w:rPr>
      </w:pPr>
      <w:r w:rsidRPr="00623A2B">
        <w:rPr>
          <w:rFonts w:ascii="Times New Roman" w:hAnsi="Times New Roman"/>
          <w:szCs w:val="22"/>
          <w:lang w:val="fr-FR"/>
        </w:rPr>
        <w:t xml:space="preserve">D’exprimer sa reconnaissance et sa gratitude à l’Ambassadrice Rita Claverie de </w:t>
      </w:r>
      <w:proofErr w:type="spellStart"/>
      <w:r w:rsidRPr="00623A2B">
        <w:rPr>
          <w:rFonts w:ascii="Times New Roman" w:hAnsi="Times New Roman"/>
          <w:szCs w:val="22"/>
          <w:lang w:val="fr-FR"/>
        </w:rPr>
        <w:t>Sciolli</w:t>
      </w:r>
      <w:proofErr w:type="spellEnd"/>
      <w:r w:rsidRPr="00623A2B">
        <w:rPr>
          <w:rFonts w:ascii="Times New Roman" w:hAnsi="Times New Roman"/>
          <w:szCs w:val="22"/>
          <w:lang w:val="fr-FR"/>
        </w:rPr>
        <w:t xml:space="preserve">, Représentante permanente du Guatemala près l’Organisation des États Américains (OEA), aux membres de la Mission permanente du Guatemala ainsi qu’aux fonctionnaires du ministère des relations extérieures guatémaltèque qui, avec beaucoup d’efficacité, de dévouement et de </w:t>
      </w:r>
      <w:r w:rsidRPr="00623A2B">
        <w:rPr>
          <w:rFonts w:ascii="Times New Roman" w:hAnsi="Times New Roman"/>
          <w:szCs w:val="22"/>
          <w:lang w:val="fr-FR"/>
        </w:rPr>
        <w:lastRenderedPageBreak/>
        <w:t>professionnalisme, ont contribué au déroulement fructueux de la cinquante-et-unième session ordinaire de l'Assemblée générale.</w:t>
      </w:r>
    </w:p>
    <w:p w14:paraId="6ECE57DB" w14:textId="77777777" w:rsidR="007E26D2" w:rsidRPr="00623A2B" w:rsidRDefault="007E26D2" w:rsidP="007E26D2">
      <w:pPr>
        <w:rPr>
          <w:rFonts w:ascii="Times New Roman" w:hAnsi="Times New Roman"/>
          <w:szCs w:val="22"/>
          <w:lang w:val="fr-FR"/>
        </w:rPr>
      </w:pPr>
    </w:p>
    <w:p w14:paraId="7D0D4FE9" w14:textId="77777777" w:rsidR="007E26D2" w:rsidRPr="00623A2B" w:rsidRDefault="007E26D2" w:rsidP="007E26D2">
      <w:pPr>
        <w:widowControl/>
        <w:numPr>
          <w:ilvl w:val="0"/>
          <w:numId w:val="75"/>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fr-FR"/>
        </w:rPr>
      </w:pPr>
      <w:r w:rsidRPr="00623A2B">
        <w:rPr>
          <w:rFonts w:ascii="Times New Roman" w:hAnsi="Times New Roman"/>
          <w:szCs w:val="22"/>
          <w:lang w:val="fr-FR"/>
        </w:rPr>
        <w:t>De témoigner sa reconnaissance pour le travail accompli par le Secrétariat général de l’OEA en vue du succès de la cinquante-et-unième session ordinaire de l’Assemblée générale.</w:t>
      </w:r>
    </w:p>
    <w:p w14:paraId="02BF9875" w14:textId="77777777" w:rsidR="007E26D2" w:rsidRPr="00623A2B" w:rsidRDefault="007E26D2" w:rsidP="007E26D2">
      <w:pPr>
        <w:rPr>
          <w:rFonts w:ascii="Times New Roman" w:hAnsi="Times New Roman"/>
          <w:lang w:val="fr-FR"/>
        </w:rPr>
      </w:pPr>
      <w:r w:rsidRPr="00623A2B">
        <w:rPr>
          <w:rFonts w:ascii="Times New Roman" w:hAnsi="Times New Roman"/>
          <w:lang w:val="fr-FR"/>
        </w:rPr>
        <w:br w:type="page"/>
      </w:r>
    </w:p>
    <w:p w14:paraId="0B4868E5" w14:textId="77777777" w:rsidR="007E26D2" w:rsidRPr="00623A2B" w:rsidRDefault="007E26D2" w:rsidP="007E26D2">
      <w:pPr>
        <w:suppressAutoHyphens/>
        <w:jc w:val="center"/>
        <w:rPr>
          <w:rFonts w:ascii="Times New Roman" w:hAnsi="Times New Roman"/>
          <w:sz w:val="20"/>
          <w:lang w:val="fr-FR"/>
        </w:rPr>
      </w:pPr>
      <w:r w:rsidRPr="00623A2B">
        <w:rPr>
          <w:rFonts w:ascii="Times New Roman" w:hAnsi="Times New Roman"/>
          <w:sz w:val="20"/>
          <w:lang w:val="fr-FR"/>
        </w:rPr>
        <w:lastRenderedPageBreak/>
        <w:t>NOTES DE BAS DE PAGE</w:t>
      </w:r>
    </w:p>
    <w:p w14:paraId="73ECC8FF" w14:textId="77777777" w:rsidR="007E26D2" w:rsidRPr="00623A2B" w:rsidRDefault="007E26D2" w:rsidP="007E26D2">
      <w:pPr>
        <w:rPr>
          <w:rFonts w:ascii="Times New Roman" w:hAnsi="Times New Roman"/>
          <w:sz w:val="20"/>
          <w:lang w:val="fr-FR"/>
        </w:rPr>
      </w:pPr>
    </w:p>
    <w:p w14:paraId="5DE7CB1F" w14:textId="77777777" w:rsidR="007E26D2" w:rsidRPr="00623A2B" w:rsidRDefault="007E26D2" w:rsidP="007E26D2">
      <w:pPr>
        <w:rPr>
          <w:rFonts w:ascii="Times New Roman" w:hAnsi="Times New Roman"/>
          <w:sz w:val="20"/>
          <w:lang w:val="fr-FR"/>
        </w:rPr>
      </w:pPr>
    </w:p>
    <w:p w14:paraId="206855EE" w14:textId="77777777" w:rsidR="007E26D2" w:rsidRPr="00623A2B" w:rsidRDefault="007E26D2" w:rsidP="007E26D2">
      <w:pPr>
        <w:pStyle w:val="FootnoteText"/>
        <w:tabs>
          <w:tab w:val="clear" w:pos="360"/>
        </w:tabs>
        <w:ind w:left="0" w:firstLine="360"/>
        <w:rPr>
          <w:rFonts w:ascii="Times New Roman" w:hAnsi="Times New Roman"/>
          <w:sz w:val="20"/>
          <w:lang w:val="fr-CA"/>
        </w:rPr>
      </w:pPr>
      <w:r w:rsidRPr="00623A2B">
        <w:rPr>
          <w:rFonts w:ascii="Times New Roman" w:hAnsi="Times New Roman"/>
          <w:sz w:val="20"/>
          <w:lang w:val="fr-CA"/>
        </w:rPr>
        <w:tab/>
        <w:t>1.</w:t>
      </w:r>
      <w:r w:rsidRPr="00623A2B">
        <w:rPr>
          <w:rFonts w:ascii="Times New Roman" w:hAnsi="Times New Roman"/>
          <w:sz w:val="20"/>
          <w:lang w:val="fr-CA"/>
        </w:rPr>
        <w:tab/>
        <w:t>… Cinquante-et-unième Session ordinaire de l’Assemblée générale de l’Organisation des États Américains (OEA), lesquelles constituent des actes contraires au droit international.</w:t>
      </w:r>
    </w:p>
    <w:p w14:paraId="5DB553FD" w14:textId="77777777" w:rsidR="007E26D2" w:rsidRPr="00623A2B" w:rsidRDefault="007E26D2" w:rsidP="007E26D2">
      <w:pPr>
        <w:pStyle w:val="FootnoteText"/>
        <w:tabs>
          <w:tab w:val="clear" w:pos="360"/>
        </w:tabs>
        <w:ind w:left="0" w:firstLine="360"/>
        <w:rPr>
          <w:rFonts w:ascii="Times New Roman" w:hAnsi="Times New Roman"/>
          <w:sz w:val="20"/>
          <w:lang w:val="fr-CA"/>
        </w:rPr>
      </w:pPr>
    </w:p>
    <w:p w14:paraId="10640A86" w14:textId="77777777" w:rsidR="007E26D2" w:rsidRPr="00623A2B" w:rsidRDefault="007E26D2" w:rsidP="007E26D2">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68F46296" w14:textId="77777777" w:rsidR="007E26D2" w:rsidRPr="00623A2B" w:rsidRDefault="007E26D2" w:rsidP="007E26D2">
      <w:pPr>
        <w:pStyle w:val="FootnoteText"/>
        <w:tabs>
          <w:tab w:val="clear" w:pos="360"/>
        </w:tabs>
        <w:ind w:left="0" w:firstLine="360"/>
        <w:rPr>
          <w:rFonts w:ascii="Times New Roman" w:hAnsi="Times New Roman"/>
          <w:sz w:val="20"/>
          <w:lang w:val="fr-CA"/>
        </w:rPr>
      </w:pPr>
    </w:p>
    <w:p w14:paraId="0276FF45" w14:textId="77777777" w:rsidR="007E26D2" w:rsidRPr="00623A2B" w:rsidRDefault="007E26D2" w:rsidP="007E26D2">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2A2BA753" w14:textId="77777777" w:rsidR="007E26D2" w:rsidRPr="00623A2B" w:rsidRDefault="007E26D2" w:rsidP="007E26D2">
      <w:pPr>
        <w:pStyle w:val="FootnoteText"/>
        <w:tabs>
          <w:tab w:val="clear" w:pos="360"/>
        </w:tabs>
        <w:ind w:left="0" w:firstLine="360"/>
        <w:rPr>
          <w:rFonts w:ascii="Times New Roman" w:hAnsi="Times New Roman"/>
          <w:sz w:val="20"/>
          <w:lang w:val="fr-CA"/>
        </w:rPr>
      </w:pPr>
    </w:p>
    <w:p w14:paraId="67BEE9E7" w14:textId="77777777" w:rsidR="007E26D2" w:rsidRPr="00623A2B" w:rsidRDefault="007E26D2" w:rsidP="007E26D2">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La reconnaissance d’un gouvernement est un acte souverain des États, et non des institutions internationales. L’OEA ne possède ni ne peut s’arroger des facultés de reconnaissance collective opposable à la qualité de membre; c’est pourquoi tout acte visant à atteindre cet objectif tombe en dehors de sa compétence et est matériellement nul.</w:t>
      </w:r>
    </w:p>
    <w:p w14:paraId="22203017" w14:textId="77777777" w:rsidR="007E26D2" w:rsidRPr="00623A2B" w:rsidRDefault="007E26D2" w:rsidP="007E26D2">
      <w:pPr>
        <w:pStyle w:val="FootnoteText"/>
        <w:tabs>
          <w:tab w:val="clear" w:pos="360"/>
        </w:tabs>
        <w:ind w:left="0" w:firstLine="360"/>
        <w:rPr>
          <w:rFonts w:ascii="Times New Roman" w:hAnsi="Times New Roman"/>
          <w:sz w:val="20"/>
          <w:lang w:val="fr-CA"/>
        </w:rPr>
      </w:pPr>
    </w:p>
    <w:p w14:paraId="47E1AEC8" w14:textId="77777777" w:rsidR="007E26D2" w:rsidRPr="00623A2B" w:rsidRDefault="007E26D2" w:rsidP="007E26D2">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37FB12FC" w14:textId="77777777" w:rsidR="007E26D2" w:rsidRPr="00623A2B" w:rsidRDefault="007E26D2" w:rsidP="007E26D2">
      <w:pPr>
        <w:pStyle w:val="FootnoteText"/>
        <w:tabs>
          <w:tab w:val="clear" w:pos="360"/>
        </w:tabs>
        <w:ind w:left="0" w:firstLine="360"/>
        <w:rPr>
          <w:rFonts w:ascii="Times New Roman" w:hAnsi="Times New Roman"/>
          <w:sz w:val="20"/>
          <w:lang w:val="fr-CA"/>
        </w:rPr>
      </w:pPr>
    </w:p>
    <w:p w14:paraId="36142FB4" w14:textId="77777777" w:rsidR="007E26D2" w:rsidRPr="00623A2B" w:rsidRDefault="007E26D2" w:rsidP="007E26D2">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3F76E448" w14:textId="77777777" w:rsidR="007E26D2" w:rsidRPr="00623A2B" w:rsidRDefault="007E26D2" w:rsidP="007E26D2">
      <w:pPr>
        <w:pStyle w:val="FootnoteText"/>
        <w:tabs>
          <w:tab w:val="clear" w:pos="360"/>
        </w:tabs>
        <w:ind w:left="0" w:firstLine="360"/>
        <w:rPr>
          <w:rFonts w:ascii="Times New Roman" w:hAnsi="Times New Roman"/>
          <w:sz w:val="20"/>
          <w:lang w:val="fr-CA"/>
        </w:rPr>
      </w:pPr>
    </w:p>
    <w:p w14:paraId="4F207A78" w14:textId="77777777" w:rsidR="007E26D2" w:rsidRPr="00623A2B" w:rsidRDefault="007E26D2" w:rsidP="007E26D2">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2C071F0B" w14:textId="77777777" w:rsidR="007E26D2" w:rsidRPr="00623A2B" w:rsidRDefault="007E26D2" w:rsidP="007E26D2">
      <w:pPr>
        <w:pStyle w:val="FootnoteText"/>
        <w:tabs>
          <w:tab w:val="clear" w:pos="360"/>
        </w:tabs>
        <w:ind w:left="0" w:firstLine="720"/>
        <w:rPr>
          <w:rFonts w:ascii="Times New Roman" w:hAnsi="Times New Roman"/>
          <w:sz w:val="20"/>
          <w:lang w:val="fr-CA"/>
        </w:rPr>
      </w:pPr>
    </w:p>
    <w:p w14:paraId="283EAD7B" w14:textId="77777777" w:rsidR="007E26D2" w:rsidRPr="00623A2B" w:rsidRDefault="007E26D2" w:rsidP="007E26D2">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2.</w:t>
      </w:r>
      <w:r w:rsidRPr="00623A2B">
        <w:rPr>
          <w:rFonts w:ascii="Times New Roman" w:hAnsi="Times New Roman"/>
          <w:sz w:val="20"/>
          <w:lang w:val="fr-CA"/>
        </w:rPr>
        <w:tab/>
        <w:t xml:space="preserve">… de personnes qui prétendent usurper la représentation légale de la République bolivarienne du Venezuela et du Gouvernement légitime du Président </w:t>
      </w:r>
      <w:proofErr w:type="spellStart"/>
      <w:r w:rsidRPr="00623A2B">
        <w:rPr>
          <w:rFonts w:ascii="Times New Roman" w:hAnsi="Times New Roman"/>
          <w:sz w:val="20"/>
          <w:lang w:val="fr-CA"/>
        </w:rPr>
        <w:t>Nicolás</w:t>
      </w:r>
      <w:proofErr w:type="spellEnd"/>
      <w:r w:rsidRPr="00623A2B">
        <w:rPr>
          <w:rFonts w:ascii="Times New Roman" w:hAnsi="Times New Roman"/>
          <w:sz w:val="20"/>
          <w:lang w:val="fr-CA"/>
        </w:rPr>
        <w:t xml:space="preserve"> </w:t>
      </w:r>
      <w:proofErr w:type="spellStart"/>
      <w:r w:rsidRPr="00623A2B">
        <w:rPr>
          <w:rFonts w:ascii="Times New Roman" w:hAnsi="Times New Roman"/>
          <w:sz w:val="20"/>
          <w:lang w:val="fr-CA"/>
        </w:rPr>
        <w:t>Maduro</w:t>
      </w:r>
      <w:proofErr w:type="spellEnd"/>
      <w:r w:rsidRPr="00623A2B">
        <w:rPr>
          <w:rFonts w:ascii="Times New Roman" w:hAnsi="Times New Roman"/>
          <w:sz w:val="20"/>
          <w:lang w:val="fr-CA"/>
        </w:rPr>
        <w:t xml:space="preserve"> Moros. Nous demandons que notre refus soit consigné dans tous les documents qui seront traités lors de la présente Cinquante-et-unième Session de l’Assemblée générale de l’OEA.</w:t>
      </w:r>
    </w:p>
    <w:p w14:paraId="07922247" w14:textId="77777777" w:rsidR="007E26D2" w:rsidRPr="00623A2B" w:rsidRDefault="007E26D2" w:rsidP="007E26D2">
      <w:pPr>
        <w:pStyle w:val="FootnoteText"/>
        <w:tabs>
          <w:tab w:val="clear" w:pos="360"/>
        </w:tabs>
        <w:ind w:left="0" w:firstLine="720"/>
        <w:rPr>
          <w:rFonts w:ascii="Times New Roman" w:hAnsi="Times New Roman"/>
          <w:sz w:val="20"/>
          <w:lang w:val="fr-CA"/>
        </w:rPr>
      </w:pPr>
    </w:p>
    <w:p w14:paraId="0C39A210" w14:textId="77777777" w:rsidR="007E26D2" w:rsidRPr="00623A2B" w:rsidRDefault="007E26D2" w:rsidP="007E26D2">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3.</w:t>
      </w:r>
      <w:r w:rsidRPr="00623A2B">
        <w:rPr>
          <w:rFonts w:ascii="Times New Roman" w:hAnsi="Times New Roman"/>
          <w:sz w:val="20"/>
          <w:lang w:val="fr-CA"/>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1A0AEFFE" w14:textId="77777777" w:rsidR="007E26D2" w:rsidRPr="00623A2B" w:rsidRDefault="007E26D2" w:rsidP="007E26D2">
      <w:pPr>
        <w:pStyle w:val="FootnoteText"/>
        <w:tabs>
          <w:tab w:val="clear" w:pos="360"/>
        </w:tabs>
        <w:ind w:left="0" w:firstLine="720"/>
        <w:rPr>
          <w:rFonts w:ascii="Times New Roman" w:hAnsi="Times New Roman"/>
          <w:sz w:val="20"/>
          <w:lang w:val="fr-CA"/>
        </w:rPr>
      </w:pPr>
    </w:p>
    <w:p w14:paraId="30A5B53F" w14:textId="77777777" w:rsidR="007E26D2" w:rsidRPr="00623A2B" w:rsidRDefault="007E26D2" w:rsidP="007E26D2">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 xml:space="preserve">Antigua-et-Barbuda n'a pas soutenu la résolution CP/RES. 1124 (2217/19) du 9 avril 2019 qui visait à nommer M. Gustavo </w:t>
      </w:r>
      <w:proofErr w:type="spellStart"/>
      <w:r w:rsidRPr="00623A2B">
        <w:rPr>
          <w:rFonts w:ascii="Times New Roman" w:hAnsi="Times New Roman"/>
          <w:sz w:val="20"/>
          <w:lang w:val="fr-CA"/>
        </w:rPr>
        <w:t>Tarre</w:t>
      </w:r>
      <w:proofErr w:type="spellEnd"/>
      <w:r w:rsidRPr="00623A2B">
        <w:rPr>
          <w:rFonts w:ascii="Times New Roman" w:hAnsi="Times New Roman"/>
          <w:sz w:val="20"/>
          <w:lang w:val="fr-CA"/>
        </w:rPr>
        <w:t xml:space="preserve"> comme représentant de l'Assemblée nationale auprès de l'OEA et n'a pas accepté les </w:t>
      </w:r>
      <w:r w:rsidRPr="00623A2B">
        <w:rPr>
          <w:rFonts w:ascii="Times New Roman" w:hAnsi="Times New Roman"/>
          <w:sz w:val="20"/>
          <w:lang w:val="fr-CA"/>
        </w:rPr>
        <w:lastRenderedPageBreak/>
        <w:t xml:space="preserve">pouvoirs des fonctionnaires ayant l'intention de représenter la République bolivarienne du Venezuela aux quarante-neuvième, cinquantième et cinquante-et-unième sessions ordinaires de l'Assemblée générale. </w:t>
      </w:r>
    </w:p>
    <w:p w14:paraId="602700C9" w14:textId="77777777" w:rsidR="007E26D2" w:rsidRPr="00623A2B" w:rsidRDefault="007E26D2" w:rsidP="007E26D2">
      <w:pPr>
        <w:pStyle w:val="FootnoteText"/>
        <w:tabs>
          <w:tab w:val="clear" w:pos="360"/>
        </w:tabs>
        <w:ind w:left="0" w:firstLine="720"/>
        <w:rPr>
          <w:rFonts w:ascii="Times New Roman" w:hAnsi="Times New Roman"/>
          <w:sz w:val="20"/>
          <w:lang w:val="fr-CA"/>
        </w:rPr>
      </w:pPr>
    </w:p>
    <w:p w14:paraId="5356031F" w14:textId="28BB09C5" w:rsidR="007E26D2" w:rsidRPr="00623A2B" w:rsidRDefault="007E26D2" w:rsidP="007E26D2">
      <w:pPr>
        <w:pStyle w:val="FootnoteText"/>
        <w:tabs>
          <w:tab w:val="clear" w:pos="360"/>
        </w:tabs>
        <w:ind w:left="0" w:firstLine="720"/>
        <w:rPr>
          <w:rFonts w:ascii="Times New Roman" w:hAnsi="Times New Roman"/>
          <w:lang w:val="fr-FR"/>
        </w:rPr>
      </w:pPr>
      <w:r w:rsidRPr="00623A2B">
        <w:rPr>
          <w:rFonts w:ascii="Times New Roman" w:hAnsi="Times New Roman"/>
          <w:sz w:val="20"/>
          <w:lang w:val="fr-CA"/>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25C2AFE1" w14:textId="19BF77B8" w:rsidR="007E26D2" w:rsidRPr="00623A2B" w:rsidRDefault="007E26D2" w:rsidP="007E26D2">
      <w:pPr>
        <w:rPr>
          <w:rFonts w:ascii="Times New Roman" w:hAnsi="Times New Roman"/>
          <w:lang w:val="fr-FR"/>
        </w:rPr>
      </w:pPr>
    </w:p>
    <w:p w14:paraId="38E208A1" w14:textId="77777777" w:rsidR="007E26D2" w:rsidRPr="00623A2B" w:rsidRDefault="007E26D2" w:rsidP="007E26D2">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4.</w:t>
      </w:r>
      <w:r w:rsidRPr="00623A2B">
        <w:rPr>
          <w:rFonts w:ascii="Times New Roman" w:hAnsi="Times New Roman"/>
          <w:sz w:val="20"/>
          <w:lang w:val="fr-CA"/>
        </w:rPr>
        <w:tab/>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5271E3AD" w14:textId="49F95166" w:rsidR="007E26D2" w:rsidRPr="00623A2B" w:rsidRDefault="007E26D2" w:rsidP="007E26D2">
      <w:pPr>
        <w:pStyle w:val="FootnoteText"/>
        <w:tabs>
          <w:tab w:val="clear" w:pos="360"/>
        </w:tabs>
        <w:ind w:left="0" w:firstLine="720"/>
        <w:rPr>
          <w:rFonts w:ascii="Times New Roman" w:hAnsi="Times New Roman"/>
          <w:sz w:val="20"/>
          <w:lang w:val="fr-CA"/>
        </w:rPr>
      </w:pPr>
    </w:p>
    <w:p w14:paraId="76383FDB" w14:textId="32F8E071" w:rsidR="007E26D2" w:rsidRPr="00623A2B" w:rsidRDefault="007E26D2" w:rsidP="007E26D2">
      <w:pPr>
        <w:pStyle w:val="FootnoteText"/>
        <w:tabs>
          <w:tab w:val="clear" w:pos="360"/>
        </w:tabs>
        <w:ind w:left="0" w:firstLine="720"/>
        <w:rPr>
          <w:rFonts w:ascii="Times New Roman" w:hAnsi="Times New Roman"/>
          <w:sz w:val="20"/>
          <w:lang w:val="fr-CA"/>
        </w:rPr>
      </w:pPr>
      <w:r w:rsidRPr="00623A2B">
        <w:rPr>
          <w:rFonts w:ascii="Times New Roman" w:hAnsi="Times New Roman"/>
          <w:sz w:val="20"/>
          <w:lang w:val="fr-CA"/>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p>
    <w:p w14:paraId="66F6B6DB" w14:textId="77777777" w:rsidR="007E26D2" w:rsidRPr="00623A2B" w:rsidRDefault="007E26D2" w:rsidP="007E26D2">
      <w:pPr>
        <w:rPr>
          <w:rFonts w:ascii="Times New Roman" w:hAnsi="Times New Roman"/>
          <w:lang w:val="fr-FR"/>
        </w:rPr>
      </w:pPr>
    </w:p>
    <w:p w14:paraId="21D1EAF8" w14:textId="1F96A341" w:rsidR="007E26D2" w:rsidRPr="00623A2B" w:rsidRDefault="007E26D2" w:rsidP="007E26D2">
      <w:pPr>
        <w:rPr>
          <w:rFonts w:ascii="Times New Roman" w:hAnsi="Times New Roman"/>
          <w:lang w:val="fr-FR"/>
        </w:rPr>
      </w:pPr>
    </w:p>
    <w:p w14:paraId="0D2FE5CB" w14:textId="77777777" w:rsidR="007E26D2" w:rsidRPr="00623A2B" w:rsidRDefault="007E26D2" w:rsidP="007E26D2">
      <w:pPr>
        <w:rPr>
          <w:rFonts w:ascii="Times New Roman" w:hAnsi="Times New Roman"/>
          <w:lang w:val="fr-FR"/>
        </w:rPr>
      </w:pPr>
    </w:p>
    <w:p w14:paraId="018F4AFB" w14:textId="020D679F" w:rsidR="007E26D2" w:rsidRPr="00623A2B" w:rsidRDefault="007E26D2" w:rsidP="007E26D2">
      <w:pPr>
        <w:rPr>
          <w:rFonts w:ascii="Times New Roman" w:hAnsi="Times New Roman"/>
          <w:lang w:val="fr-FR"/>
        </w:rPr>
      </w:pPr>
    </w:p>
    <w:p w14:paraId="713C356E" w14:textId="207CD78C" w:rsidR="007E26D2" w:rsidRPr="00623A2B" w:rsidRDefault="007E26D2" w:rsidP="007E26D2">
      <w:pPr>
        <w:rPr>
          <w:rFonts w:ascii="Times New Roman" w:hAnsi="Times New Roman"/>
          <w:lang w:val="fr-FR"/>
        </w:rPr>
      </w:pPr>
    </w:p>
    <w:p w14:paraId="2DDAAA49" w14:textId="4992260E" w:rsidR="007E26D2" w:rsidRPr="00623A2B" w:rsidRDefault="007E26D2" w:rsidP="007E26D2">
      <w:pPr>
        <w:rPr>
          <w:rFonts w:ascii="Times New Roman" w:hAnsi="Times New Roman"/>
          <w:lang w:val="fr-FR"/>
        </w:rPr>
      </w:pPr>
    </w:p>
    <w:p w14:paraId="38C37222" w14:textId="6625343F" w:rsidR="007E26D2" w:rsidRPr="00623A2B" w:rsidRDefault="007E26D2" w:rsidP="007E26D2">
      <w:pPr>
        <w:rPr>
          <w:rFonts w:ascii="Times New Roman" w:hAnsi="Times New Roman"/>
          <w:lang w:val="fr-FR"/>
        </w:rPr>
      </w:pPr>
    </w:p>
    <w:p w14:paraId="3CFE645C" w14:textId="77777777" w:rsidR="007E26D2" w:rsidRPr="00623A2B" w:rsidRDefault="007E26D2" w:rsidP="007E26D2">
      <w:pPr>
        <w:rPr>
          <w:rFonts w:ascii="Times New Roman" w:hAnsi="Times New Roman"/>
          <w:lang w:val="fr-FR"/>
        </w:rPr>
      </w:pPr>
    </w:p>
    <w:p w14:paraId="065CE761" w14:textId="0659256C" w:rsidR="007E26D2" w:rsidRPr="00623A2B" w:rsidRDefault="007E26D2" w:rsidP="007E26D2">
      <w:pPr>
        <w:rPr>
          <w:rFonts w:ascii="Times New Roman" w:hAnsi="Times New Roman"/>
          <w:lang w:val="fr-FR"/>
        </w:rPr>
      </w:pPr>
    </w:p>
    <w:p w14:paraId="3525326E" w14:textId="77777777" w:rsidR="007E26D2" w:rsidRPr="00623A2B" w:rsidRDefault="007E26D2" w:rsidP="007E26D2">
      <w:pPr>
        <w:rPr>
          <w:rFonts w:ascii="Times New Roman" w:hAnsi="Times New Roman"/>
          <w:lang w:val="fr-FR"/>
        </w:rPr>
      </w:pPr>
    </w:p>
    <w:p w14:paraId="6F0C76A8" w14:textId="4B04538B" w:rsidR="007E26D2" w:rsidRPr="00623A2B" w:rsidRDefault="007E26D2" w:rsidP="007E26D2">
      <w:pPr>
        <w:rPr>
          <w:rFonts w:ascii="Times New Roman" w:hAnsi="Times New Roman"/>
          <w:lang w:val="fr-FR"/>
        </w:rPr>
      </w:pPr>
    </w:p>
    <w:p w14:paraId="4C30FCEC" w14:textId="061788A0" w:rsidR="007E26D2" w:rsidRPr="00623A2B" w:rsidRDefault="007E26D2" w:rsidP="007E26D2">
      <w:pPr>
        <w:rPr>
          <w:rFonts w:ascii="Times New Roman" w:hAnsi="Times New Roman"/>
          <w:lang w:val="fr-FR"/>
        </w:rPr>
      </w:pPr>
    </w:p>
    <w:p w14:paraId="0E63C72C" w14:textId="77777777" w:rsidR="007E26D2" w:rsidRPr="00623A2B" w:rsidRDefault="007E26D2" w:rsidP="007E26D2">
      <w:pPr>
        <w:rPr>
          <w:rFonts w:ascii="Times New Roman" w:hAnsi="Times New Roman"/>
          <w:lang w:val="fr-FR"/>
        </w:rPr>
      </w:pPr>
    </w:p>
    <w:p w14:paraId="24DCA9DE" w14:textId="19990DAC" w:rsidR="007E26D2" w:rsidRPr="00623A2B" w:rsidRDefault="007E26D2" w:rsidP="007E26D2">
      <w:pPr>
        <w:tabs>
          <w:tab w:val="left" w:pos="1005"/>
        </w:tabs>
        <w:rPr>
          <w:rFonts w:ascii="Times New Roman" w:hAnsi="Times New Roman"/>
          <w:lang w:val="fr-FR"/>
        </w:rPr>
      </w:pPr>
      <w:r w:rsidRPr="00623A2B">
        <w:rPr>
          <w:rFonts w:ascii="Times New Roman" w:hAnsi="Times New Roman"/>
          <w:lang w:val="fr-FR"/>
        </w:rPr>
        <w:tab/>
      </w:r>
    </w:p>
    <w:p w14:paraId="4229D163" w14:textId="0BD80629" w:rsidR="00FD4855" w:rsidRDefault="00B94C51" w:rsidP="008507FE">
      <w:pPr>
        <w:pStyle w:val="FootnoteText"/>
        <w:tabs>
          <w:tab w:val="clear" w:pos="360"/>
        </w:tabs>
        <w:rPr>
          <w:rFonts w:ascii="Times New Roman" w:hAnsi="Times New Roman"/>
          <w:sz w:val="20"/>
          <w:lang w:val="fr-CA"/>
        </w:rPr>
      </w:pPr>
      <w:r>
        <w:rPr>
          <w:noProof/>
        </w:rPr>
        <w:drawing>
          <wp:anchor distT="0" distB="0" distL="114300" distR="114300" simplePos="0" relativeHeight="251751424" behindDoc="0" locked="0" layoutInCell="1" allowOverlap="1" wp14:anchorId="0273A642" wp14:editId="5CD40960">
            <wp:simplePos x="0" y="0"/>
            <wp:positionH relativeFrom="margin">
              <wp:posOffset>5044770</wp:posOffset>
            </wp:positionH>
            <wp:positionV relativeFrom="page">
              <wp:posOffset>8789766</wp:posOffset>
            </wp:positionV>
            <wp:extent cx="713105" cy="713105"/>
            <wp:effectExtent l="0" t="0" r="0" b="0"/>
            <wp:wrapNone/>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lang w:val="fr-CA"/>
        </w:rPr>
        <mc:AlternateContent>
          <mc:Choice Requires="wps">
            <w:drawing>
              <wp:anchor distT="0" distB="0" distL="114300" distR="114300" simplePos="0" relativeHeight="251749376" behindDoc="0" locked="1" layoutInCell="1" allowOverlap="1" wp14:anchorId="21D920ED" wp14:editId="6051E839">
                <wp:simplePos x="0" y="0"/>
                <wp:positionH relativeFrom="column">
                  <wp:posOffset>-91440</wp:posOffset>
                </wp:positionH>
                <wp:positionV relativeFrom="page">
                  <wp:posOffset>9144000</wp:posOffset>
                </wp:positionV>
                <wp:extent cx="338328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4B45886" w14:textId="4E195519" w:rsidR="00B94C51" w:rsidRPr="00B94C51" w:rsidRDefault="00B94C5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AG08461F01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D920ED" id="Text Box 12" o:spid="_x0000_s1031" type="#_x0000_t202" style="position:absolute;left:0;text-align:left;margin-left:-7.2pt;margin-top:10in;width:266.4pt;height:18pt;z-index:2517493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BgwIAAAs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" filled="f" stroked="f">
                <v:stroke joinstyle="round"/>
                <v:textbox>
                  <w:txbxContent>
                    <w:p w14:paraId="54B45886" w14:textId="4E195519" w:rsidR="00B94C51" w:rsidRPr="00B94C51" w:rsidRDefault="00B94C5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AG08461F01</w:t>
                      </w:r>
                      <w:r>
                        <w:rPr>
                          <w:rFonts w:ascii="Times New Roman" w:hAnsi="Times New Roman"/>
                          <w:sz w:val="18"/>
                        </w:rPr>
                        <w:fldChar w:fldCharType="end"/>
                      </w:r>
                    </w:p>
                  </w:txbxContent>
                </v:textbox>
                <w10:wrap anchory="page"/>
                <w10:anchorlock/>
              </v:shape>
            </w:pict>
          </mc:Fallback>
        </mc:AlternateContent>
      </w:r>
    </w:p>
    <w:p w14:paraId="79710757" w14:textId="00339A82" w:rsidR="00B94C51" w:rsidRPr="00B94C51" w:rsidRDefault="00B94C51" w:rsidP="00B94C51">
      <w:pPr>
        <w:rPr>
          <w:lang w:val="fr-CA"/>
        </w:rPr>
      </w:pPr>
    </w:p>
    <w:p w14:paraId="56BB111E" w14:textId="618C85F6" w:rsidR="00B94C51" w:rsidRPr="00B94C51" w:rsidRDefault="00B94C51" w:rsidP="00B94C51">
      <w:pPr>
        <w:rPr>
          <w:lang w:val="fr-CA"/>
        </w:rPr>
      </w:pPr>
    </w:p>
    <w:p w14:paraId="66FC2354" w14:textId="71E43C1B" w:rsidR="00B94C51" w:rsidRDefault="00B94C51" w:rsidP="00B94C51">
      <w:pPr>
        <w:rPr>
          <w:rFonts w:ascii="Times New Roman" w:hAnsi="Times New Roman"/>
          <w:sz w:val="20"/>
          <w:lang w:val="fr-CA"/>
        </w:rPr>
      </w:pPr>
    </w:p>
    <w:p w14:paraId="5BE2DBE8" w14:textId="291B361D" w:rsidR="00B94C51" w:rsidRPr="00B94C51" w:rsidRDefault="00B94C51" w:rsidP="00B94C51">
      <w:pPr>
        <w:tabs>
          <w:tab w:val="clear" w:pos="720"/>
          <w:tab w:val="clear" w:pos="1440"/>
          <w:tab w:val="clear" w:pos="2160"/>
          <w:tab w:val="clear" w:pos="2880"/>
          <w:tab w:val="clear" w:pos="3600"/>
          <w:tab w:val="clear" w:pos="4320"/>
          <w:tab w:val="clear" w:pos="5760"/>
          <w:tab w:val="clear" w:pos="6480"/>
          <w:tab w:val="clear" w:pos="7920"/>
        </w:tabs>
        <w:rPr>
          <w:lang w:val="fr-CA"/>
        </w:rPr>
      </w:pPr>
      <w:r>
        <w:rPr>
          <w:lang w:val="fr-CA"/>
        </w:rPr>
        <w:tab/>
      </w:r>
    </w:p>
    <w:sectPr w:rsidR="00B94C51" w:rsidRPr="00B94C51" w:rsidSect="00623A2B">
      <w:footnotePr>
        <w:numRestart w:val="eachSect"/>
      </w:footnotePr>
      <w:type w:val="oddPage"/>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C711" w14:textId="77777777" w:rsidR="00573617" w:rsidRDefault="00573617">
      <w:pPr>
        <w:spacing w:line="20" w:lineRule="exact"/>
      </w:pPr>
    </w:p>
  </w:endnote>
  <w:endnote w:type="continuationSeparator" w:id="0">
    <w:p w14:paraId="34475AF4" w14:textId="77777777" w:rsidR="00573617" w:rsidRDefault="00573617">
      <w:r>
        <w:t xml:space="preserve"> </w:t>
      </w:r>
    </w:p>
  </w:endnote>
  <w:endnote w:type="continuationNotice" w:id="1">
    <w:p w14:paraId="324C0C17" w14:textId="77777777" w:rsidR="00573617" w:rsidRDefault="005736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887213"/>
      <w:docPartObj>
        <w:docPartGallery w:val="Page Numbers (Bottom of Page)"/>
        <w:docPartUnique/>
      </w:docPartObj>
    </w:sdtPr>
    <w:sdtEndPr>
      <w:rPr>
        <w:noProof/>
      </w:rPr>
    </w:sdtEndPr>
    <w:sdtContent>
      <w:p w14:paraId="5515854E" w14:textId="056789D0" w:rsidR="00AC1929" w:rsidRDefault="00AC19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840A5C" w14:textId="77777777" w:rsidR="00AC1929" w:rsidRDefault="00AC1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C10E" w14:textId="77777777" w:rsidR="00AC1929" w:rsidRDefault="00AC1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078C" w14:textId="611D6C31" w:rsidR="004A2119" w:rsidRDefault="004A2119">
    <w:pPr>
      <w:pStyle w:val="Footer"/>
      <w:jc w:val="center"/>
    </w:pPr>
  </w:p>
  <w:p w14:paraId="3F676DEF" w14:textId="0DC6340B" w:rsidR="004A2119" w:rsidRDefault="004A2119" w:rsidP="00B94C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A717" w14:textId="77777777" w:rsidR="00AC1929" w:rsidRDefault="00AC1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0B56" w14:textId="77777777" w:rsidR="00573617" w:rsidRDefault="00573617">
      <w:r>
        <w:separator/>
      </w:r>
    </w:p>
  </w:footnote>
  <w:footnote w:type="continuationSeparator" w:id="0">
    <w:p w14:paraId="18B4B336" w14:textId="77777777" w:rsidR="00573617" w:rsidRDefault="00573617">
      <w:r>
        <w:continuationSeparator/>
      </w:r>
    </w:p>
  </w:footnote>
  <w:footnote w:id="1">
    <w:p w14:paraId="14DC1A36" w14:textId="16E51D24" w:rsidR="00D06B11" w:rsidRPr="00A63078" w:rsidRDefault="00D06B11" w:rsidP="00D06B11">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Le Mexique relève avec préoccupation une fois de plus, des inconsistances et des irrégularités dans le Rapport du Secrétaire général sur la présentation des pouvoirs des délégations participant à la…</w:t>
      </w:r>
    </w:p>
  </w:footnote>
  <w:footnote w:id="2">
    <w:p w14:paraId="5AE64303" w14:textId="4869A9A8" w:rsidR="00D06B11" w:rsidRPr="00A63078" w:rsidRDefault="00D06B11" w:rsidP="00D06B11">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Le Nicaragua se prévaut des déclarations des délégations de Saint-Vincent-et-Grenadines, des États-Unis du Mexique ainsi que de l’État plurinational de Bolivie et rejette l’accréditation irrégulière…</w:t>
      </w:r>
    </w:p>
  </w:footnote>
  <w:footnote w:id="3">
    <w:p w14:paraId="4EA5A92C" w14:textId="62C6273C" w:rsidR="00D06B11" w:rsidRPr="00A63078" w:rsidRDefault="00D06B11" w:rsidP="00AA5FCE">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r>
      <w:r w:rsidR="00AA5FCE" w:rsidRPr="00A63078">
        <w:rPr>
          <w:rFonts w:ascii="Times New Roman" w:hAnsi="Times New Roman"/>
          <w:sz w:val="20"/>
          <w:lang w:val="fr-CA"/>
        </w:rPr>
        <w:t>Antigua-et-Barbuda considère que la République bolivarienne du Venezuela n'est pas un État membre de l'Organisation des États Américains puisque, le 27 avril 2017, le gouvernement de la République…</w:t>
      </w:r>
    </w:p>
  </w:footnote>
  <w:footnote w:id="4">
    <w:p w14:paraId="38F47C3A" w14:textId="5C5EF500" w:rsidR="00386C91" w:rsidRPr="00A63078" w:rsidRDefault="00386C91" w:rsidP="006E4500">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r>
      <w:r w:rsidR="006E4500" w:rsidRPr="00A63078">
        <w:rPr>
          <w:rFonts w:ascii="Times New Roman" w:hAnsi="Times New Roman"/>
          <w:sz w:val="20"/>
          <w:lang w:val="fr-CA"/>
        </w:rPr>
        <w:t>Saint-Vincent fait état de sa non-reconnaissance et de sa non-acceptation des pouvoirs de la prétendue délégation de l'Assemblée nationale de la République bolivarienne du Venezuela. En 2017, le…</w:t>
      </w:r>
    </w:p>
  </w:footnote>
  <w:footnote w:id="5">
    <w:p w14:paraId="6A388C89" w14:textId="77777777" w:rsidR="00653C3B" w:rsidRPr="00A63078" w:rsidRDefault="00653C3B" w:rsidP="00653C3B">
      <w:pPr>
        <w:pStyle w:val="FootnoteText"/>
        <w:ind w:left="720"/>
        <w:rPr>
          <w:rFonts w:ascii="Times New Roman" w:hAnsi="Times New Roman"/>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Le Mexique relève avec préoccupation une fois de plus, des inconsistances et des irrégularités dans le Rapport du Secrétaire général sur la présentation des pouvoirs des délégations participant à la…</w:t>
      </w:r>
    </w:p>
  </w:footnote>
  <w:footnote w:id="6">
    <w:p w14:paraId="167450DE" w14:textId="77777777" w:rsidR="00653C3B" w:rsidRPr="00A63078" w:rsidRDefault="00653C3B" w:rsidP="00653C3B">
      <w:pPr>
        <w:pStyle w:val="FootnoteText"/>
        <w:ind w:left="720"/>
        <w:rPr>
          <w:rFonts w:ascii="Times New Roman" w:hAnsi="Times New Roman"/>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Le Nicaragua se prévaut des déclarations des délégations de Saint-Vincent-et-Grenadines, des États-Unis du Mexique ainsi que de l’État plurinational de Bolivie et rejette l’accréditation irrégulière…</w:t>
      </w:r>
    </w:p>
  </w:footnote>
  <w:footnote w:id="7">
    <w:p w14:paraId="074F1A1C" w14:textId="77777777" w:rsidR="00653C3B" w:rsidRPr="00A63078" w:rsidRDefault="00653C3B" w:rsidP="00653C3B">
      <w:pPr>
        <w:pStyle w:val="FootnoteText"/>
        <w:ind w:left="720"/>
        <w:rPr>
          <w:rFonts w:ascii="Times New Roman" w:hAnsi="Times New Roman"/>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Antigua-et-Barbuda considère que la République bolivarienne du Venezuela n'est pas un État membre de l'Organisation des États Américains puisque, le 27 avril 2017, le gouvernement de la République…</w:t>
      </w:r>
    </w:p>
  </w:footnote>
  <w:footnote w:id="8">
    <w:p w14:paraId="00A96643" w14:textId="77777777" w:rsidR="00653C3B" w:rsidRPr="00A63078" w:rsidRDefault="00653C3B" w:rsidP="00653C3B">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Saint-Vincent fait état de sa non-reconnaissance et de sa non-acceptation des pouvoirs de la prétendue délégation de l'Assemblée nationale de la République bolivarienne du Venezuela. En 2017, le…</w:t>
      </w:r>
    </w:p>
  </w:footnote>
  <w:footnote w:id="9">
    <w:p w14:paraId="7DC4D3C1" w14:textId="77777777" w:rsidR="00653C3B" w:rsidRPr="00A63078" w:rsidRDefault="00653C3B" w:rsidP="00653C3B">
      <w:pPr>
        <w:pStyle w:val="FootnoteText"/>
        <w:ind w:left="720"/>
        <w:rPr>
          <w:rFonts w:ascii="Times New Roman" w:hAnsi="Times New Roman"/>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La Colombie réitère sa position concernant la référence au « droit au développement ». Selon elle, il s’agit d’une obligation progressive qui requière des mesures proactives à mettre en œuvre pour…</w:t>
      </w:r>
    </w:p>
  </w:footnote>
  <w:footnote w:id="10">
    <w:p w14:paraId="2FFCB910" w14:textId="77777777" w:rsidR="005B51B9" w:rsidRPr="00A63078" w:rsidRDefault="005B51B9" w:rsidP="005B51B9">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Le Mexique relève avec préoccupation une fois de plus, des inconsistances et des irrégularités dans le Rapport du Secrétaire général sur la présentation des pouvoirs des délégations participant à la…</w:t>
      </w:r>
    </w:p>
  </w:footnote>
  <w:footnote w:id="11">
    <w:p w14:paraId="0D547375" w14:textId="77777777" w:rsidR="005B51B9" w:rsidRPr="00A63078" w:rsidRDefault="005B51B9" w:rsidP="005B51B9">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Le Nicaragua se prévaut des déclarations des délégations de Saint-Vincent-et-Grenadines, des États-Unis du Mexique ainsi que de l’État plurinational de Bolivie et rejette l’accréditation irrégulière…</w:t>
      </w:r>
    </w:p>
  </w:footnote>
  <w:footnote w:id="12">
    <w:p w14:paraId="7BDDFE68" w14:textId="77777777" w:rsidR="005B51B9" w:rsidRPr="00A63078" w:rsidRDefault="005B51B9" w:rsidP="005B51B9">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Antigua-et-Barbuda considère que la République bolivarienne du Venezuela n'est pas un État membre de l'Organisation des États Américains puisque, le 27 avril 2017, le gouvernement de la République…</w:t>
      </w:r>
    </w:p>
  </w:footnote>
  <w:footnote w:id="13">
    <w:p w14:paraId="0E75D0BF" w14:textId="77777777" w:rsidR="005B51B9" w:rsidRPr="00A63078" w:rsidRDefault="005B51B9" w:rsidP="005B51B9">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Saint-Vincent fait état de sa non-reconnaissance et de sa non-acceptation des pouvoirs de la prétendue délégation de l'Assemblée nationale de la République bolivarienne du Venezuela. En 2017, le…</w:t>
      </w:r>
    </w:p>
  </w:footnote>
  <w:footnote w:id="14">
    <w:p w14:paraId="58D5F7B1" w14:textId="77777777" w:rsidR="005B51B9" w:rsidRPr="00A63078" w:rsidRDefault="005B51B9" w:rsidP="005B51B9">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Saint-Vincent-et-les-Grenadines soutient la déclaration sur « La situation en Haïti », en notant que son élaboration a impliqué l'État membre concerné lui-même. Saint-Vincent-et-les-Grenadines souligne…</w:t>
      </w:r>
    </w:p>
  </w:footnote>
  <w:footnote w:id="15">
    <w:p w14:paraId="7AE2A8C5" w14:textId="77777777" w:rsidR="002C5FB4" w:rsidRPr="00A63078" w:rsidRDefault="002C5FB4" w:rsidP="002C5FB4">
      <w:pPr>
        <w:pStyle w:val="FootnoteText"/>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Le Mexique relève avec préoccupation une fois de plus, des inconsistances et des irrégularités dans le Rapport du Secrétaire général sur la présentation des pouvoirs des délégations participant à la…</w:t>
      </w:r>
    </w:p>
  </w:footnote>
  <w:footnote w:id="16">
    <w:p w14:paraId="64717B2F" w14:textId="77777777" w:rsidR="002C5FB4" w:rsidRPr="00A63078" w:rsidRDefault="002C5FB4" w:rsidP="002C5FB4">
      <w:pPr>
        <w:pStyle w:val="FootnoteText"/>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Le Nicaragua se prévaut des déclarations des délégations de Saint-Vincent-et-Grenadines, des États-Unis du Mexique ainsi que de l’État plurinational de Bolivie et rejette l’accréditation irrégulière…</w:t>
      </w:r>
    </w:p>
  </w:footnote>
  <w:footnote w:id="17">
    <w:p w14:paraId="708FB062" w14:textId="77777777" w:rsidR="002C5FB4" w:rsidRPr="00A63078" w:rsidRDefault="002C5FB4" w:rsidP="002C5FB4">
      <w:pPr>
        <w:pStyle w:val="FootnoteText"/>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Antigua-et-Barbuda considère que la République bolivarienne du Venezuela n'est pas un État membre de l'Organisation des États Américains puisque, le 27 avril 2017, le gouvernement de la République…</w:t>
      </w:r>
    </w:p>
  </w:footnote>
  <w:footnote w:id="18">
    <w:p w14:paraId="536E9889" w14:textId="77777777" w:rsidR="002C5FB4" w:rsidRPr="00A63078" w:rsidRDefault="002C5FB4" w:rsidP="002C5FB4">
      <w:pPr>
        <w:pStyle w:val="FootnoteText"/>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Saint-Vincent fait état de sa non-reconnaissance et de sa non-acceptation des pouvoirs de la prétendue délégation de l'Assemblée nationale de la République bolivarienne du Venezuela. En 2017, le…</w:t>
      </w:r>
    </w:p>
  </w:footnote>
  <w:footnote w:id="19">
    <w:p w14:paraId="0310F6AE" w14:textId="77777777" w:rsidR="00672B0B" w:rsidRPr="00A63078" w:rsidRDefault="00672B0B" w:rsidP="00672B0B">
      <w:pPr>
        <w:pStyle w:val="FootnoteText"/>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Le Mexique relève avec préoccupation une fois de plus, des inconsistances et des irrégularités dans le Rapport du Secrétaire général sur la présentation des pouvoirs des délégations participant à la…</w:t>
      </w:r>
    </w:p>
  </w:footnote>
  <w:footnote w:id="20">
    <w:p w14:paraId="3CD41E2B" w14:textId="77777777" w:rsidR="00672B0B" w:rsidRPr="00A63078" w:rsidRDefault="00672B0B" w:rsidP="00672B0B">
      <w:pPr>
        <w:pStyle w:val="FootnoteText"/>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Le Nicaragua se prévaut des déclarations des délégations de Saint-Vincent-et-Grenadines, des États-Unis du Mexique ainsi que de l’État plurinational de Bolivie et rejette l’accréditation irrégulière…</w:t>
      </w:r>
    </w:p>
  </w:footnote>
  <w:footnote w:id="21">
    <w:p w14:paraId="309630DD" w14:textId="77777777" w:rsidR="00672B0B" w:rsidRPr="00A63078" w:rsidRDefault="00672B0B" w:rsidP="00672B0B">
      <w:pPr>
        <w:pStyle w:val="FootnoteText"/>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Antigua-et-Barbuda considère que la République bolivarienne du Venezuela n'est pas un État membre de l'Organisation des États Américains puisque, le 27 avril 2017, le gouvernement de la République…</w:t>
      </w:r>
    </w:p>
  </w:footnote>
  <w:footnote w:id="22">
    <w:p w14:paraId="0CDD6594" w14:textId="77777777" w:rsidR="00672B0B" w:rsidRPr="00A63078" w:rsidRDefault="00672B0B" w:rsidP="00672B0B">
      <w:pPr>
        <w:pStyle w:val="FootnoteText"/>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Saint-Vincent fait état de sa non-reconnaissance et de sa non-acceptation des pouvoirs de la prétendue délégation de l'Assemblée nationale de la République bolivarienne du Venezuela. En 2017, le…</w:t>
      </w:r>
    </w:p>
  </w:footnote>
  <w:footnote w:id="23">
    <w:p w14:paraId="0B9C14A5" w14:textId="77777777" w:rsidR="00A84B93" w:rsidRPr="00A63078" w:rsidRDefault="00A84B93" w:rsidP="00A84B93">
      <w:pPr>
        <w:pStyle w:val="FootnoteText"/>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Le Mexique relève avec préoccupation une fois de plus, des inconsistances et des irrégularités dans le Rapport du Secrétaire général sur la présentation des pouvoirs des délégations participant à la…</w:t>
      </w:r>
    </w:p>
  </w:footnote>
  <w:footnote w:id="24">
    <w:p w14:paraId="7DD0B888" w14:textId="77777777" w:rsidR="00A84B93" w:rsidRPr="00A63078" w:rsidRDefault="00A84B93" w:rsidP="00A84B93">
      <w:pPr>
        <w:pStyle w:val="FootnoteText"/>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Le Nicaragua se prévaut des déclarations des délégations de Saint-Vincent-et-Grenadines, des États-Unis du Mexique ainsi que de l’État plurinational de Bolivie et rejette l’accréditation irrégulière…</w:t>
      </w:r>
    </w:p>
  </w:footnote>
  <w:footnote w:id="25">
    <w:p w14:paraId="4B443B42" w14:textId="77777777" w:rsidR="00A84B93" w:rsidRPr="00A63078" w:rsidRDefault="00A84B93" w:rsidP="00A84B93">
      <w:pPr>
        <w:pStyle w:val="FootnoteText"/>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Antigua-et-Barbuda considère que la République bolivarienne du Venezuela n'est pas un État membre de l'Organisation des États Américains puisque, le 27 avril 2017, le gouvernement de la République…</w:t>
      </w:r>
    </w:p>
  </w:footnote>
  <w:footnote w:id="26">
    <w:p w14:paraId="13A22494" w14:textId="77777777" w:rsidR="00A84B93" w:rsidRPr="00A63078" w:rsidRDefault="00A84B93" w:rsidP="00A84B93">
      <w:pPr>
        <w:pStyle w:val="FootnoteText"/>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Saint-Vincent fait état de sa non-reconnaissance et de sa non-acceptation des pouvoirs de la prétendue délégation de l'Assemblée nationale de la République bolivarienne du Venezuela. En 2017, le…</w:t>
      </w:r>
    </w:p>
  </w:footnote>
  <w:footnote w:id="27">
    <w:p w14:paraId="4E61EDD3" w14:textId="77777777" w:rsidR="00A84B93" w:rsidRPr="00A63078" w:rsidRDefault="00A84B93" w:rsidP="00A84B93">
      <w:pPr>
        <w:pStyle w:val="FootnoteText"/>
        <w:ind w:left="720"/>
        <w:rPr>
          <w:rFonts w:ascii="Times New Roman" w:hAnsi="Times New Roman"/>
          <w:sz w:val="20"/>
          <w:lang w:val="fr-FR"/>
        </w:rPr>
      </w:pPr>
      <w:r w:rsidRPr="00A63078">
        <w:rPr>
          <w:rStyle w:val="FootnoteReference"/>
          <w:rFonts w:ascii="Times New Roman" w:hAnsi="Times New Roman"/>
          <w:sz w:val="20"/>
          <w:lang w:val="fr-FR"/>
        </w:rPr>
        <w:footnoteRef/>
      </w:r>
      <w:r w:rsidRPr="00A63078">
        <w:rPr>
          <w:rFonts w:ascii="Times New Roman" w:hAnsi="Times New Roman"/>
          <w:sz w:val="20"/>
          <w:lang w:val="fr-FR"/>
        </w:rPr>
        <w:t xml:space="preserve">. </w:t>
      </w:r>
      <w:r w:rsidRPr="00A63078">
        <w:rPr>
          <w:rFonts w:ascii="Times New Roman" w:hAnsi="Times New Roman"/>
          <w:sz w:val="20"/>
          <w:lang w:val="fr-FR"/>
        </w:rPr>
        <w:tab/>
        <w:t>Conformément à l’énoncé de l'objectif 17, paragraphe 33 du Pacte mondial pour des migrations sûres, ordonnées et régulières, qui stipule : « Nous nous engageons à éliminer toutes les formes de…</w:t>
      </w:r>
    </w:p>
  </w:footnote>
  <w:footnote w:id="28">
    <w:p w14:paraId="1DED8A00" w14:textId="77777777" w:rsidR="00A84B93" w:rsidRPr="00A63078" w:rsidRDefault="00A84B93" w:rsidP="00A84B93">
      <w:pPr>
        <w:pStyle w:val="FootnoteText"/>
        <w:tabs>
          <w:tab w:val="left" w:pos="720"/>
        </w:tabs>
        <w:ind w:left="720"/>
        <w:rPr>
          <w:rFonts w:ascii="Times New Roman" w:hAnsi="Times New Roman"/>
          <w:sz w:val="20"/>
          <w:lang w:val="fr-CA"/>
        </w:rPr>
      </w:pPr>
      <w:r w:rsidRPr="00A63078">
        <w:rPr>
          <w:rStyle w:val="FootnoteReference"/>
          <w:rFonts w:ascii="Times New Roman" w:hAnsi="Times New Roman"/>
          <w:sz w:val="20"/>
        </w:rPr>
        <w:footnoteRef/>
      </w:r>
      <w:r w:rsidRPr="00A63078">
        <w:rPr>
          <w:rFonts w:ascii="Times New Roman" w:hAnsi="Times New Roman"/>
          <w:sz w:val="20"/>
          <w:lang w:val="fr-CA"/>
        </w:rPr>
        <w:t>.</w:t>
      </w:r>
      <w:r w:rsidRPr="00A63078">
        <w:rPr>
          <w:rFonts w:ascii="Times New Roman" w:hAnsi="Times New Roman"/>
          <w:sz w:val="20"/>
          <w:lang w:val="fr-CA"/>
        </w:rPr>
        <w:tab/>
        <w:t>Les États-Unis sont fermement attachés à la protection des droits humains de toutes les personnes, y compris les migrants aux États-Unis. Alors que les États ont le droit souverain de contrôler…</w:t>
      </w:r>
    </w:p>
  </w:footnote>
  <w:footnote w:id="29">
    <w:p w14:paraId="3CD3ED61" w14:textId="77777777" w:rsidR="00A84B93" w:rsidRPr="00A63078" w:rsidRDefault="00A84B93" w:rsidP="00A84B93">
      <w:pPr>
        <w:pStyle w:val="FootnoteText"/>
        <w:ind w:left="720"/>
        <w:rPr>
          <w:rFonts w:ascii="Times New Roman" w:hAnsi="Times New Roman"/>
          <w:sz w:val="20"/>
          <w:lang w:val="fr-CA"/>
        </w:rPr>
      </w:pPr>
      <w:r w:rsidRPr="00A63078">
        <w:rPr>
          <w:rStyle w:val="FootnoteReference"/>
          <w:rFonts w:ascii="Times New Roman" w:hAnsi="Times New Roman"/>
          <w:sz w:val="20"/>
        </w:rPr>
        <w:footnoteRef/>
      </w:r>
      <w:r w:rsidRPr="00A63078">
        <w:rPr>
          <w:rFonts w:ascii="Times New Roman" w:hAnsi="Times New Roman"/>
          <w:sz w:val="20"/>
          <w:lang w:val="fr-CA"/>
        </w:rPr>
        <w:t xml:space="preserve">. </w:t>
      </w:r>
      <w:r w:rsidRPr="00A63078">
        <w:rPr>
          <w:rFonts w:ascii="Times New Roman" w:hAnsi="Times New Roman"/>
          <w:sz w:val="20"/>
          <w:lang w:val="fr-CA"/>
        </w:rPr>
        <w:tab/>
        <w:t>Les États-Unis estiment que les financements les plus concessionnels devraient être concentrés sur les pays les plus nécessiteux et les moins capables de mobiliser des financements auprès d'autres sources.</w:t>
      </w:r>
    </w:p>
  </w:footnote>
  <w:footnote w:id="30">
    <w:p w14:paraId="3D214F66" w14:textId="77777777" w:rsidR="009073D5" w:rsidRPr="00A63078" w:rsidRDefault="009073D5" w:rsidP="009073D5">
      <w:pPr>
        <w:pStyle w:val="FootnoteText"/>
        <w:ind w:left="720"/>
        <w:rPr>
          <w:rFonts w:ascii="Times New Roman" w:hAnsi="Times New Roman"/>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Le Mexique relève avec préoccupation une fois de plus, des inconsistances et des irrégularités dans le Rapport du Secrétaire général sur la présentation des pouvoirs des délégations participant à la…</w:t>
      </w:r>
    </w:p>
  </w:footnote>
  <w:footnote w:id="31">
    <w:p w14:paraId="41EFDD29" w14:textId="77777777" w:rsidR="009073D5" w:rsidRPr="00A63078" w:rsidRDefault="009073D5" w:rsidP="009073D5">
      <w:pPr>
        <w:pStyle w:val="FootnoteText"/>
        <w:ind w:left="720"/>
        <w:rPr>
          <w:rFonts w:ascii="Times New Roman" w:hAnsi="Times New Roman"/>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Le Nicaragua se prévaut des déclarations des délégations de Saint-Vincent-et-Grenadines, des États-Unis du Mexique ainsi que de l’État plurinational de Bolivie et rejette l’accréditation irrégulière…</w:t>
      </w:r>
    </w:p>
  </w:footnote>
  <w:footnote w:id="32">
    <w:p w14:paraId="2A045752" w14:textId="77777777" w:rsidR="009073D5" w:rsidRPr="00A63078" w:rsidRDefault="009073D5" w:rsidP="009073D5">
      <w:pPr>
        <w:pStyle w:val="FootnoteText"/>
        <w:ind w:left="720"/>
        <w:rPr>
          <w:rFonts w:ascii="Times New Roman" w:hAnsi="Times New Roman"/>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Antigua-et-Barbuda considère que la République bolivarienne du Venezuela n'est pas un État membre de l'Organisation des États Américains puisque, le 27 avril 2017, le gouvernement de la République…</w:t>
      </w:r>
    </w:p>
  </w:footnote>
  <w:footnote w:id="33">
    <w:p w14:paraId="0396AE13" w14:textId="77777777" w:rsidR="009073D5" w:rsidRPr="00A63078" w:rsidRDefault="009073D5" w:rsidP="009073D5">
      <w:pPr>
        <w:pStyle w:val="FootnoteText"/>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Saint-Vincent fait état de sa non-reconnaissance et de sa non-acceptation des pouvoirs de la prétendue délégation de l'Assemblée nationale de la République bolivarienne du Venezuela. En 2017, le…</w:t>
      </w:r>
    </w:p>
  </w:footnote>
  <w:footnote w:id="34">
    <w:p w14:paraId="2F10763C" w14:textId="77777777" w:rsidR="00236661" w:rsidRPr="00A63078" w:rsidRDefault="00236661" w:rsidP="00236661">
      <w:pPr>
        <w:pStyle w:val="FootnoteText"/>
        <w:ind w:left="720"/>
        <w:rPr>
          <w:rFonts w:ascii="Times New Roman" w:hAnsi="Times New Roman"/>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Le Mexique relève avec préoccupation une fois de plus, des inconsistances et des irrégularités dans le Rapport du Secrétaire général sur la présentation des pouvoirs des délégations participant à la…</w:t>
      </w:r>
    </w:p>
  </w:footnote>
  <w:footnote w:id="35">
    <w:p w14:paraId="2594B5A3" w14:textId="77777777" w:rsidR="00236661" w:rsidRPr="00A63078" w:rsidRDefault="00236661" w:rsidP="00236661">
      <w:pPr>
        <w:pStyle w:val="FootnoteText"/>
        <w:ind w:left="720"/>
        <w:rPr>
          <w:rFonts w:ascii="Times New Roman" w:hAnsi="Times New Roman"/>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Le Nicaragua se prévaut des déclarations des délégations de Saint-Vincent-et-Grenadines, des États-Unis du Mexique ainsi que de l’État plurinational de Bolivie et rejette l’accréditation irrégulière…</w:t>
      </w:r>
    </w:p>
  </w:footnote>
  <w:footnote w:id="36">
    <w:p w14:paraId="5508FFE3" w14:textId="77777777" w:rsidR="00236661" w:rsidRPr="00A63078" w:rsidRDefault="00236661" w:rsidP="00236661">
      <w:pPr>
        <w:pStyle w:val="FootnoteText"/>
        <w:ind w:left="720"/>
        <w:rPr>
          <w:rFonts w:ascii="Times New Roman" w:hAnsi="Times New Roman"/>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Antigua-et-Barbuda considère que la République bolivarienne du Venezuela n'est pas un État membre de l'Organisation des États Américains puisque, le 27 avril 2017, le gouvernement de la République…</w:t>
      </w:r>
    </w:p>
  </w:footnote>
  <w:footnote w:id="37">
    <w:p w14:paraId="554D80DA" w14:textId="77777777" w:rsidR="00236661" w:rsidRPr="00A63078" w:rsidRDefault="00236661" w:rsidP="00236661">
      <w:pPr>
        <w:pStyle w:val="FootnoteText"/>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Saint-Vincent fait état de sa non-reconnaissance et de sa non-acceptation des pouvoirs de la prétendue délégation de l'Assemblée nationale de la République bolivarienne du Venezuela. En 2017, le…</w:t>
      </w:r>
    </w:p>
  </w:footnote>
  <w:footnote w:id="38">
    <w:p w14:paraId="0CCE5716" w14:textId="77777777" w:rsidR="00DF2371" w:rsidRPr="00A63078" w:rsidRDefault="00DF2371" w:rsidP="00DF2371">
      <w:pPr>
        <w:pStyle w:val="FootnoteText"/>
        <w:ind w:left="720"/>
        <w:rPr>
          <w:rFonts w:ascii="Times New Roman" w:hAnsi="Times New Roman"/>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Le Mexique relève avec préoccupation une fois de plus, des inconsistances et des irrégularités dans le Rapport du Secrétaire général sur la présentation des pouvoirs des délégations participant à la…</w:t>
      </w:r>
    </w:p>
  </w:footnote>
  <w:footnote w:id="39">
    <w:p w14:paraId="62EFAC39" w14:textId="77777777" w:rsidR="00DF2371" w:rsidRPr="00A63078" w:rsidRDefault="00DF2371" w:rsidP="00DF2371">
      <w:pPr>
        <w:pStyle w:val="FootnoteText"/>
        <w:ind w:left="720"/>
        <w:rPr>
          <w:rFonts w:ascii="Times New Roman" w:hAnsi="Times New Roman"/>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Le Nicaragua se prévaut des déclarations des délégations de Saint-Vincent-et-Grenadines, des États-Unis du Mexique ainsi que de l’État plurinational de Bolivie et rejette l’accréditation irrégulière…</w:t>
      </w:r>
    </w:p>
  </w:footnote>
  <w:footnote w:id="40">
    <w:p w14:paraId="1FAF009E" w14:textId="77777777" w:rsidR="00DF2371" w:rsidRPr="00A63078" w:rsidRDefault="00DF2371" w:rsidP="00DF2371">
      <w:pPr>
        <w:pStyle w:val="FootnoteText"/>
        <w:ind w:left="720"/>
        <w:rPr>
          <w:rFonts w:ascii="Times New Roman" w:hAnsi="Times New Roman"/>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Antigua-et-Barbuda considère que la République bolivarienne du Venezuela n'est pas un État membre de l'Organisation des États Américains puisque, le 27 avril 2017, le gouvernement de la République…</w:t>
      </w:r>
    </w:p>
  </w:footnote>
  <w:footnote w:id="41">
    <w:p w14:paraId="17B7752F" w14:textId="77777777" w:rsidR="00DF2371" w:rsidRPr="00A63078" w:rsidRDefault="00DF2371" w:rsidP="00DF2371">
      <w:pPr>
        <w:pStyle w:val="FootnoteText"/>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Saint-Vincent fait état de sa non-reconnaissance et de sa non-acceptation des pouvoirs de la prétendue délégation de l'Assemblée nationale de la République bolivarienne du Venezuela. En 2017, le…</w:t>
      </w:r>
    </w:p>
  </w:footnote>
  <w:footnote w:id="42">
    <w:p w14:paraId="74173FFF" w14:textId="77777777" w:rsidR="00DF2371" w:rsidRPr="00A63078" w:rsidRDefault="00DF2371" w:rsidP="00DF2371">
      <w:pPr>
        <w:pStyle w:val="FootnoteText"/>
        <w:tabs>
          <w:tab w:val="clear" w:pos="360"/>
        </w:tabs>
        <w:ind w:left="720"/>
        <w:rPr>
          <w:rFonts w:ascii="Times New Roman" w:hAnsi="Times New Roman"/>
          <w:sz w:val="20"/>
          <w:lang w:val="fr-FR"/>
        </w:rPr>
      </w:pPr>
      <w:r w:rsidRPr="00A63078">
        <w:rPr>
          <w:rStyle w:val="FootnoteReference"/>
          <w:rFonts w:ascii="Times New Roman" w:hAnsi="Times New Roman"/>
          <w:sz w:val="20"/>
          <w:lang w:val="fr-FR"/>
        </w:rPr>
        <w:footnoteRef/>
      </w:r>
      <w:r w:rsidRPr="00A63078">
        <w:rPr>
          <w:rFonts w:ascii="Times New Roman" w:hAnsi="Times New Roman"/>
          <w:sz w:val="20"/>
          <w:lang w:val="fr-FR"/>
        </w:rPr>
        <w:t>.</w:t>
      </w:r>
      <w:r w:rsidRPr="00A63078">
        <w:rPr>
          <w:rFonts w:ascii="Times New Roman" w:hAnsi="Times New Roman"/>
          <w:sz w:val="20"/>
          <w:lang w:val="fr-FR"/>
        </w:rPr>
        <w:tab/>
        <w:t xml:space="preserve">Soixante-huitième Session ordinaire de la CICAD, à Bogota, D.C. (Colombie), du 9 au 11 décembre 2020 ; Vingtième Réunion ordinaire du Comité consultatif de la </w:t>
      </w:r>
      <w:proofErr w:type="gramStart"/>
      <w:r w:rsidRPr="00A63078">
        <w:rPr>
          <w:rFonts w:ascii="Times New Roman" w:hAnsi="Times New Roman"/>
          <w:sz w:val="20"/>
          <w:lang w:val="fr-FR"/>
        </w:rPr>
        <w:t>CIFTA,…</w:t>
      </w:r>
      <w:proofErr w:type="gramEnd"/>
    </w:p>
  </w:footnote>
  <w:footnote w:id="43">
    <w:p w14:paraId="3AFF151F" w14:textId="77777777" w:rsidR="00DF2371" w:rsidRPr="00A63078" w:rsidRDefault="00DF2371" w:rsidP="00DF2371">
      <w:pPr>
        <w:pStyle w:val="FootnoteText"/>
        <w:tabs>
          <w:tab w:val="clear" w:pos="360"/>
        </w:tabs>
        <w:ind w:left="720"/>
        <w:rPr>
          <w:rFonts w:ascii="Times New Roman" w:hAnsi="Times New Roman"/>
          <w:sz w:val="20"/>
          <w:lang w:val="fr-FR"/>
        </w:rPr>
      </w:pPr>
      <w:r w:rsidRPr="00A63078">
        <w:rPr>
          <w:rStyle w:val="FootnoteReference"/>
          <w:rFonts w:ascii="Times New Roman" w:hAnsi="Times New Roman"/>
          <w:sz w:val="20"/>
          <w:lang w:val="fr-FR"/>
        </w:rPr>
        <w:footnoteRef/>
      </w:r>
      <w:r w:rsidRPr="00A63078">
        <w:rPr>
          <w:rFonts w:ascii="Times New Roman" w:hAnsi="Times New Roman"/>
          <w:sz w:val="20"/>
          <w:lang w:val="fr-FR"/>
        </w:rPr>
        <w:t>.</w:t>
      </w:r>
      <w:r w:rsidRPr="00A63078">
        <w:rPr>
          <w:rFonts w:ascii="Times New Roman" w:hAnsi="Times New Roman"/>
          <w:sz w:val="20"/>
          <w:lang w:val="fr-FR"/>
        </w:rPr>
        <w:tab/>
        <w:t xml:space="preserve">Les États-Unis ne sont pas </w:t>
      </w:r>
      <w:proofErr w:type="gramStart"/>
      <w:r w:rsidRPr="00A63078">
        <w:rPr>
          <w:rFonts w:ascii="Times New Roman" w:hAnsi="Times New Roman"/>
          <w:sz w:val="20"/>
          <w:lang w:val="fr-FR"/>
        </w:rPr>
        <w:t>partie</w:t>
      </w:r>
      <w:proofErr w:type="gramEnd"/>
      <w:r w:rsidRPr="00A63078">
        <w:rPr>
          <w:rFonts w:ascii="Times New Roman" w:hAnsi="Times New Roman"/>
          <w:sz w:val="20"/>
          <w:lang w:val="fr-FR"/>
        </w:rPr>
        <w:t xml:space="preserve"> à la Convention sur l'interdiction de l'emploi, du stockage, de la production et du transfert des mines antipersonnel et sur leur destruction. Les États-Unis sont le plus …</w:t>
      </w:r>
    </w:p>
  </w:footnote>
  <w:footnote w:id="44">
    <w:p w14:paraId="66DA06EC" w14:textId="5360E8A2" w:rsidR="00DF2371" w:rsidRPr="00A63078" w:rsidRDefault="00DF2371" w:rsidP="00DF2371">
      <w:pPr>
        <w:pStyle w:val="FootnoteText"/>
        <w:tabs>
          <w:tab w:val="clear" w:pos="360"/>
        </w:tabs>
        <w:ind w:left="720"/>
        <w:rPr>
          <w:rFonts w:ascii="Times New Roman" w:hAnsi="Times New Roman"/>
          <w:sz w:val="20"/>
          <w:lang w:val="fr-FR"/>
        </w:rPr>
      </w:pPr>
      <w:r w:rsidRPr="00A63078">
        <w:rPr>
          <w:rStyle w:val="FootnoteReference"/>
          <w:rFonts w:ascii="Times New Roman" w:hAnsi="Times New Roman"/>
          <w:sz w:val="20"/>
          <w:lang w:val="fr-FR"/>
        </w:rPr>
        <w:footnoteRef/>
      </w:r>
      <w:r w:rsidRPr="00A63078">
        <w:rPr>
          <w:rFonts w:ascii="Times New Roman" w:hAnsi="Times New Roman"/>
          <w:sz w:val="20"/>
          <w:lang w:val="fr-FR"/>
        </w:rPr>
        <w:t>.</w:t>
      </w:r>
      <w:r w:rsidRPr="00A63078">
        <w:rPr>
          <w:rFonts w:ascii="Times New Roman" w:hAnsi="Times New Roman"/>
          <w:sz w:val="20"/>
          <w:lang w:val="fr-FR"/>
        </w:rPr>
        <w:tab/>
        <w:t xml:space="preserve">Le Paraguay prendra en considération la présente section à condition qu’elle n'entre pas en conflit avec ses règles en vigueur, n'acceptant pas les définitions ou les termes non prévus </w:t>
      </w:r>
      <w:r w:rsidR="00486FF7" w:rsidRPr="00A63078">
        <w:rPr>
          <w:rFonts w:ascii="Times New Roman" w:hAnsi="Times New Roman"/>
          <w:sz w:val="20"/>
          <w:lang w:val="fr-FR"/>
        </w:rPr>
        <w:t>…</w:t>
      </w:r>
    </w:p>
  </w:footnote>
  <w:footnote w:id="45">
    <w:p w14:paraId="55488292" w14:textId="77777777" w:rsidR="00DF2371" w:rsidRPr="00A63078" w:rsidRDefault="00DF2371" w:rsidP="00DF2371">
      <w:pPr>
        <w:pStyle w:val="FootnoteText"/>
        <w:tabs>
          <w:tab w:val="clear" w:pos="360"/>
        </w:tabs>
        <w:ind w:left="720"/>
        <w:rPr>
          <w:rFonts w:ascii="Times New Roman" w:hAnsi="Times New Roman"/>
          <w:sz w:val="20"/>
          <w:lang w:val="fr-FR"/>
        </w:rPr>
      </w:pPr>
      <w:r w:rsidRPr="00A63078">
        <w:rPr>
          <w:rStyle w:val="FootnoteReference"/>
          <w:rFonts w:ascii="Times New Roman" w:hAnsi="Times New Roman"/>
          <w:sz w:val="20"/>
          <w:lang w:val="fr-FR"/>
        </w:rPr>
        <w:footnoteRef/>
      </w:r>
      <w:r w:rsidRPr="00A63078">
        <w:rPr>
          <w:rFonts w:ascii="Times New Roman" w:hAnsi="Times New Roman"/>
          <w:sz w:val="20"/>
          <w:lang w:val="fr-FR"/>
        </w:rPr>
        <w:t>.</w:t>
      </w:r>
      <w:r w:rsidRPr="00A63078">
        <w:rPr>
          <w:rFonts w:ascii="Times New Roman" w:hAnsi="Times New Roman"/>
          <w:sz w:val="20"/>
          <w:lang w:val="fr-FR"/>
        </w:rPr>
        <w:tab/>
      </w:r>
      <w:r w:rsidRPr="00A63078">
        <w:rPr>
          <w:rStyle w:val="FootnoteReference"/>
          <w:rFonts w:ascii="Times New Roman" w:hAnsi="Times New Roman"/>
          <w:sz w:val="20"/>
          <w:lang w:val="fr-FR"/>
        </w:rPr>
        <w:t>Antigua-et-Barbuda ne collecte pas de telles données. Aucun texte de loi n'autorise la collecte de telles données.</w:t>
      </w:r>
    </w:p>
  </w:footnote>
  <w:footnote w:id="46">
    <w:p w14:paraId="59C5F806" w14:textId="4B934F80" w:rsidR="00DF2371" w:rsidRPr="00A63078" w:rsidRDefault="00DF2371" w:rsidP="00DF2371">
      <w:pPr>
        <w:pStyle w:val="FootnoteText"/>
        <w:tabs>
          <w:tab w:val="clear" w:pos="360"/>
        </w:tabs>
        <w:ind w:left="720"/>
        <w:rPr>
          <w:rFonts w:ascii="Times New Roman" w:hAnsi="Times New Roman"/>
          <w:sz w:val="20"/>
          <w:lang w:val="fr-FR"/>
        </w:rPr>
      </w:pPr>
      <w:r w:rsidRPr="00A63078">
        <w:rPr>
          <w:rStyle w:val="FootnoteReference"/>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r>
      <w:r w:rsidRPr="00A63078">
        <w:rPr>
          <w:rStyle w:val="FootnoteReference"/>
          <w:rFonts w:ascii="Times New Roman" w:hAnsi="Times New Roman"/>
          <w:sz w:val="20"/>
          <w:lang w:val="fr-FR"/>
        </w:rPr>
        <w:t xml:space="preserve">Trinité-et-Tobago n'est pas en mesure de se joindre au consensus sur ce paragraphe en raison d'un conflit avec la </w:t>
      </w:r>
      <w:r w:rsidRPr="00A63078">
        <w:rPr>
          <w:rStyle w:val="FootnoteReference"/>
          <w:rFonts w:ascii="Times New Roman" w:hAnsi="Times New Roman"/>
          <w:spacing w:val="-2"/>
          <w:sz w:val="20"/>
          <w:lang w:val="fr-FR"/>
        </w:rPr>
        <w:t xml:space="preserve">législation nationale existante. Le Gouvernement de Trinité-et-Tobago reste fermement </w:t>
      </w:r>
      <w:r w:rsidRPr="00A63078">
        <w:rPr>
          <w:rFonts w:ascii="Times New Roman" w:hAnsi="Times New Roman"/>
          <w:spacing w:val="-2"/>
          <w:sz w:val="20"/>
          <w:lang w:val="fr-FR"/>
        </w:rPr>
        <w:t>…</w:t>
      </w:r>
      <w:r w:rsidRPr="00A63078">
        <w:rPr>
          <w:rStyle w:val="FootnoteReference"/>
          <w:rFonts w:ascii="Times New Roman" w:hAnsi="Times New Roman"/>
          <w:sz w:val="20"/>
          <w:lang w:val="fr-FR"/>
        </w:rPr>
        <w:t xml:space="preserve"> </w:t>
      </w:r>
    </w:p>
  </w:footnote>
  <w:footnote w:id="47">
    <w:p w14:paraId="1AC8E7FB" w14:textId="77777777" w:rsidR="00DF2371" w:rsidRPr="00A63078" w:rsidRDefault="00DF2371" w:rsidP="00DF2371">
      <w:pPr>
        <w:pStyle w:val="FootnoteText"/>
        <w:tabs>
          <w:tab w:val="clear" w:pos="360"/>
        </w:tabs>
        <w:ind w:left="720"/>
        <w:rPr>
          <w:rStyle w:val="FootnoteReference"/>
          <w:rFonts w:ascii="Times New Roman" w:hAnsi="Times New Roman"/>
          <w:sz w:val="20"/>
          <w:lang w:val="fr-FR"/>
        </w:rPr>
      </w:pPr>
      <w:r w:rsidRPr="00A63078">
        <w:rPr>
          <w:rStyle w:val="FootnoteReference"/>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r>
      <w:r w:rsidRPr="00A63078">
        <w:rPr>
          <w:rStyle w:val="FootnoteReference"/>
          <w:rFonts w:ascii="Times New Roman" w:hAnsi="Times New Roman"/>
          <w:sz w:val="20"/>
          <w:lang w:val="fr-FR"/>
        </w:rPr>
        <w:t xml:space="preserve">Le Guatemala se réserve le droit d'interpréter les termes contenus dans cette section et se dissocie des parties incompatibles et/ou contraires à la législation nationale en vigueur. </w:t>
      </w:r>
    </w:p>
  </w:footnote>
  <w:footnote w:id="48">
    <w:p w14:paraId="28784DF2" w14:textId="3193E441" w:rsidR="00DF2371" w:rsidRPr="00A63078" w:rsidRDefault="00DF2371" w:rsidP="00DF2371">
      <w:pPr>
        <w:pStyle w:val="FootnoteText"/>
        <w:tabs>
          <w:tab w:val="clear" w:pos="360"/>
        </w:tabs>
        <w:ind w:left="720"/>
        <w:rPr>
          <w:rStyle w:val="FootnoteReference"/>
          <w:rFonts w:ascii="Times New Roman" w:hAnsi="Times New Roman"/>
          <w:sz w:val="20"/>
          <w:lang w:val="fr-FR"/>
        </w:rPr>
      </w:pPr>
      <w:r w:rsidRPr="00A63078">
        <w:rPr>
          <w:rStyle w:val="FootnoteReference"/>
          <w:rFonts w:ascii="Times New Roman" w:hAnsi="Times New Roman"/>
          <w:sz w:val="20"/>
          <w:lang w:val="fr-FR"/>
        </w:rPr>
        <w:footnoteRef/>
      </w:r>
      <w:r w:rsidRPr="00A63078">
        <w:rPr>
          <w:rStyle w:val="FootnoteReference"/>
          <w:rFonts w:ascii="Times New Roman" w:hAnsi="Times New Roman"/>
          <w:sz w:val="20"/>
          <w:lang w:val="fr-FR"/>
        </w:rPr>
        <w:t>.</w:t>
      </w:r>
      <w:r w:rsidRPr="00A63078">
        <w:rPr>
          <w:rStyle w:val="FootnoteReference"/>
          <w:rFonts w:ascii="Times New Roman" w:hAnsi="Times New Roman"/>
          <w:sz w:val="20"/>
          <w:lang w:val="fr-FR"/>
        </w:rPr>
        <w:tab/>
        <w:t>La République du Honduras déclare son engagement en faveur les droits de la personne et des conventions internationales et, en ce qui concerne les dispositions contenues dans la présente</w:t>
      </w:r>
      <w:r w:rsidRPr="00A63078">
        <w:rPr>
          <w:rFonts w:ascii="Times New Roman" w:hAnsi="Times New Roman"/>
          <w:sz w:val="20"/>
          <w:lang w:val="fr-FR"/>
        </w:rPr>
        <w:t>..</w:t>
      </w:r>
      <w:r w:rsidRPr="00A63078">
        <w:rPr>
          <w:rStyle w:val="FootnoteReference"/>
          <w:rFonts w:ascii="Times New Roman" w:hAnsi="Times New Roman"/>
          <w:sz w:val="20"/>
          <w:lang w:val="fr-FR"/>
        </w:rPr>
        <w:t xml:space="preserve"> </w:t>
      </w:r>
    </w:p>
  </w:footnote>
  <w:footnote w:id="49">
    <w:p w14:paraId="2A52F483" w14:textId="77777777" w:rsidR="00DF2371" w:rsidRPr="00A63078" w:rsidRDefault="00DF2371" w:rsidP="00DF2371">
      <w:pPr>
        <w:pStyle w:val="FootnoteText"/>
        <w:tabs>
          <w:tab w:val="clear" w:pos="360"/>
        </w:tabs>
        <w:ind w:left="720"/>
        <w:rPr>
          <w:rFonts w:ascii="Times New Roman" w:hAnsi="Times New Roman"/>
          <w:sz w:val="20"/>
          <w:lang w:val="fr-FR"/>
        </w:rPr>
      </w:pPr>
      <w:r w:rsidRPr="00A63078">
        <w:rPr>
          <w:rStyle w:val="FootnoteReference"/>
          <w:rFonts w:ascii="Times New Roman" w:hAnsi="Times New Roman"/>
          <w:sz w:val="20"/>
          <w:lang w:val="fr-FR"/>
        </w:rPr>
        <w:footnoteRef/>
      </w:r>
      <w:r w:rsidRPr="00A63078">
        <w:rPr>
          <w:rStyle w:val="FootnoteReference"/>
          <w:rFonts w:ascii="Times New Roman" w:hAnsi="Times New Roman"/>
          <w:sz w:val="20"/>
          <w:lang w:val="fr-FR"/>
        </w:rPr>
        <w:t>.</w:t>
      </w:r>
      <w:r w:rsidRPr="00A63078">
        <w:rPr>
          <w:rStyle w:val="FootnoteReference"/>
          <w:rFonts w:ascii="Times New Roman" w:hAnsi="Times New Roman"/>
          <w:sz w:val="20"/>
          <w:lang w:val="fr-FR"/>
        </w:rPr>
        <w:tab/>
        <w:t>Le Gouvernement de la Jamaïque interprète le présent paragraphe à la lumière de la législation nationale et comme s'appliquant uniquement lorsque les règlements et les circonstances nationales le permettent</w:t>
      </w:r>
      <w:r w:rsidRPr="00A63078">
        <w:rPr>
          <w:rFonts w:ascii="Times New Roman" w:hAnsi="Times New Roman"/>
          <w:sz w:val="20"/>
          <w:lang w:val="fr-FR"/>
        </w:rPr>
        <w:t>.</w:t>
      </w:r>
    </w:p>
  </w:footnote>
  <w:footnote w:id="50">
    <w:p w14:paraId="4B7B16E3" w14:textId="4B91D220" w:rsidR="00DF2371" w:rsidRPr="00A63078" w:rsidRDefault="00DF2371" w:rsidP="00DF2371">
      <w:pPr>
        <w:pStyle w:val="FootnoteText"/>
        <w:tabs>
          <w:tab w:val="clear" w:pos="360"/>
        </w:tabs>
        <w:ind w:left="720"/>
        <w:rPr>
          <w:rStyle w:val="FootnoteReference"/>
          <w:rFonts w:ascii="Times New Roman" w:hAnsi="Times New Roman"/>
          <w:sz w:val="20"/>
          <w:lang w:val="fr-FR"/>
        </w:rPr>
      </w:pPr>
      <w:r w:rsidRPr="00A63078">
        <w:rPr>
          <w:rStyle w:val="FootnoteReference"/>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r>
      <w:r w:rsidRPr="00A63078">
        <w:rPr>
          <w:rStyle w:val="FootnoteReference"/>
          <w:rFonts w:ascii="Times New Roman" w:hAnsi="Times New Roman"/>
          <w:sz w:val="20"/>
          <w:lang w:val="fr-FR"/>
        </w:rPr>
        <w:t xml:space="preserve">Sainte-Lucie n'accepte pas non plus les définitions ou les termes qui ne sont pas prévus dans ses lois nationales. Sainte-Lucie prend note de cette section et la prendra en considération, à condition … </w:t>
      </w:r>
    </w:p>
  </w:footnote>
  <w:footnote w:id="51">
    <w:p w14:paraId="4C29DF60" w14:textId="48BCBF75" w:rsidR="00DF2371" w:rsidRPr="00A63078" w:rsidRDefault="00DF2371" w:rsidP="00DF2371">
      <w:pPr>
        <w:pStyle w:val="FootnoteText"/>
        <w:tabs>
          <w:tab w:val="clear" w:pos="360"/>
        </w:tabs>
        <w:ind w:left="720"/>
        <w:rPr>
          <w:rFonts w:ascii="Times New Roman" w:hAnsi="Times New Roman"/>
          <w:sz w:val="20"/>
          <w:lang w:val="fr-FR"/>
        </w:rPr>
      </w:pPr>
      <w:r w:rsidRPr="00A63078">
        <w:rPr>
          <w:rStyle w:val="FootnoteReference"/>
          <w:rFonts w:ascii="Times New Roman" w:hAnsi="Times New Roman"/>
          <w:sz w:val="20"/>
        </w:rPr>
        <w:footnoteRef/>
      </w:r>
      <w:r w:rsidRPr="00A63078">
        <w:rPr>
          <w:rStyle w:val="FootnoteReference"/>
          <w:rFonts w:ascii="Times New Roman" w:hAnsi="Times New Roman"/>
          <w:sz w:val="20"/>
        </w:rPr>
        <w:t>.</w:t>
      </w:r>
      <w:r w:rsidRPr="00A63078">
        <w:rPr>
          <w:rStyle w:val="FootnoteReference"/>
          <w:rFonts w:ascii="Times New Roman" w:hAnsi="Times New Roman"/>
          <w:sz w:val="20"/>
        </w:rPr>
        <w:tab/>
        <w:t>Saint-Vincent-et-les-</w:t>
      </w:r>
      <w:proofErr w:type="spellStart"/>
      <w:r w:rsidRPr="00A63078">
        <w:rPr>
          <w:rStyle w:val="FootnoteReference"/>
          <w:rFonts w:ascii="Times New Roman" w:hAnsi="Times New Roman"/>
          <w:sz w:val="20"/>
        </w:rPr>
        <w:t>Grenadines</w:t>
      </w:r>
      <w:proofErr w:type="spellEnd"/>
      <w:r w:rsidRPr="00A63078">
        <w:rPr>
          <w:rStyle w:val="FootnoteReference"/>
          <w:rFonts w:ascii="Times New Roman" w:hAnsi="Times New Roman"/>
          <w:sz w:val="20"/>
        </w:rPr>
        <w:t xml:space="preserve"> </w:t>
      </w:r>
      <w:proofErr w:type="spellStart"/>
      <w:r w:rsidRPr="00A63078">
        <w:rPr>
          <w:rStyle w:val="FootnoteReference"/>
          <w:rFonts w:ascii="Times New Roman" w:hAnsi="Times New Roman"/>
          <w:sz w:val="20"/>
        </w:rPr>
        <w:t>soutient</w:t>
      </w:r>
      <w:proofErr w:type="spellEnd"/>
      <w:r w:rsidRPr="00A63078">
        <w:rPr>
          <w:rStyle w:val="FootnoteReference"/>
          <w:rFonts w:ascii="Times New Roman" w:hAnsi="Times New Roman"/>
          <w:sz w:val="20"/>
        </w:rPr>
        <w:t xml:space="preserve">, </w:t>
      </w:r>
      <w:proofErr w:type="spellStart"/>
      <w:r w:rsidRPr="00A63078">
        <w:rPr>
          <w:rStyle w:val="FootnoteReference"/>
          <w:rFonts w:ascii="Times New Roman" w:hAnsi="Times New Roman"/>
          <w:sz w:val="20"/>
        </w:rPr>
        <w:t>pratique</w:t>
      </w:r>
      <w:proofErr w:type="spellEnd"/>
      <w:r w:rsidRPr="00A63078">
        <w:rPr>
          <w:rStyle w:val="FootnoteReference"/>
          <w:rFonts w:ascii="Times New Roman" w:hAnsi="Times New Roman"/>
          <w:sz w:val="20"/>
        </w:rPr>
        <w:t xml:space="preserve"> et </w:t>
      </w:r>
      <w:proofErr w:type="spellStart"/>
      <w:r w:rsidRPr="00A63078">
        <w:rPr>
          <w:rStyle w:val="FootnoteReference"/>
          <w:rFonts w:ascii="Times New Roman" w:hAnsi="Times New Roman"/>
          <w:sz w:val="20"/>
        </w:rPr>
        <w:t>promeut</w:t>
      </w:r>
      <w:proofErr w:type="spellEnd"/>
      <w:r w:rsidRPr="00A63078">
        <w:rPr>
          <w:rStyle w:val="FootnoteReference"/>
          <w:rFonts w:ascii="Times New Roman" w:hAnsi="Times New Roman"/>
          <w:sz w:val="20"/>
        </w:rPr>
        <w:t xml:space="preserve"> la </w:t>
      </w:r>
      <w:proofErr w:type="spellStart"/>
      <w:r w:rsidRPr="00A63078">
        <w:rPr>
          <w:rStyle w:val="FootnoteReference"/>
          <w:rFonts w:ascii="Times New Roman" w:hAnsi="Times New Roman"/>
          <w:sz w:val="20"/>
        </w:rPr>
        <w:t>collecte</w:t>
      </w:r>
      <w:proofErr w:type="spellEnd"/>
      <w:r w:rsidRPr="00A63078">
        <w:rPr>
          <w:rStyle w:val="FootnoteReference"/>
          <w:rFonts w:ascii="Times New Roman" w:hAnsi="Times New Roman"/>
          <w:sz w:val="20"/>
        </w:rPr>
        <w:t xml:space="preserve"> de </w:t>
      </w:r>
      <w:proofErr w:type="spellStart"/>
      <w:r w:rsidRPr="00A63078">
        <w:rPr>
          <w:rStyle w:val="FootnoteReference"/>
          <w:rFonts w:ascii="Times New Roman" w:hAnsi="Times New Roman"/>
          <w:sz w:val="20"/>
        </w:rPr>
        <w:t>statistiques</w:t>
      </w:r>
      <w:proofErr w:type="spellEnd"/>
      <w:r w:rsidRPr="00A63078">
        <w:rPr>
          <w:rStyle w:val="FootnoteReference"/>
          <w:rFonts w:ascii="Times New Roman" w:hAnsi="Times New Roman"/>
          <w:sz w:val="20"/>
        </w:rPr>
        <w:t xml:space="preserve"> sur la </w:t>
      </w:r>
      <w:proofErr w:type="spellStart"/>
      <w:r w:rsidRPr="00A63078">
        <w:rPr>
          <w:rStyle w:val="FootnoteReference"/>
          <w:rFonts w:ascii="Times New Roman" w:hAnsi="Times New Roman"/>
          <w:sz w:val="20"/>
        </w:rPr>
        <w:t>criminalité</w:t>
      </w:r>
      <w:proofErr w:type="spellEnd"/>
      <w:r w:rsidRPr="00A63078">
        <w:rPr>
          <w:rStyle w:val="FootnoteReference"/>
          <w:rFonts w:ascii="Times New Roman" w:hAnsi="Times New Roman"/>
          <w:sz w:val="20"/>
        </w:rPr>
        <w:t xml:space="preserve">.  </w:t>
      </w:r>
      <w:proofErr w:type="spellStart"/>
      <w:r w:rsidRPr="00A63078">
        <w:rPr>
          <w:rStyle w:val="FootnoteReference"/>
          <w:rFonts w:ascii="Times New Roman" w:hAnsi="Times New Roman"/>
          <w:sz w:val="20"/>
        </w:rPr>
        <w:t>Toutefois</w:t>
      </w:r>
      <w:proofErr w:type="spellEnd"/>
      <w:r w:rsidRPr="00A63078">
        <w:rPr>
          <w:rStyle w:val="FootnoteReference"/>
          <w:rFonts w:ascii="Times New Roman" w:hAnsi="Times New Roman"/>
          <w:sz w:val="20"/>
        </w:rPr>
        <w:t xml:space="preserve">, le </w:t>
      </w:r>
      <w:proofErr w:type="spellStart"/>
      <w:r w:rsidRPr="00A63078">
        <w:rPr>
          <w:rStyle w:val="FootnoteReference"/>
          <w:rFonts w:ascii="Times New Roman" w:hAnsi="Times New Roman"/>
          <w:sz w:val="20"/>
        </w:rPr>
        <w:t>libellé</w:t>
      </w:r>
      <w:proofErr w:type="spellEnd"/>
      <w:r w:rsidRPr="00A63078">
        <w:rPr>
          <w:rStyle w:val="FootnoteReference"/>
          <w:rFonts w:ascii="Times New Roman" w:hAnsi="Times New Roman"/>
          <w:sz w:val="20"/>
        </w:rPr>
        <w:t xml:space="preserve"> de ce </w:t>
      </w:r>
      <w:proofErr w:type="spellStart"/>
      <w:r w:rsidRPr="00A63078">
        <w:rPr>
          <w:rStyle w:val="FootnoteReference"/>
          <w:rFonts w:ascii="Times New Roman" w:hAnsi="Times New Roman"/>
          <w:sz w:val="20"/>
        </w:rPr>
        <w:t>paragraphe</w:t>
      </w:r>
      <w:proofErr w:type="spellEnd"/>
      <w:r w:rsidRPr="00A63078">
        <w:rPr>
          <w:rStyle w:val="FootnoteReference"/>
          <w:rFonts w:ascii="Times New Roman" w:hAnsi="Times New Roman"/>
          <w:sz w:val="20"/>
        </w:rPr>
        <w:t xml:space="preserve"> </w:t>
      </w:r>
      <w:proofErr w:type="spellStart"/>
      <w:r w:rsidRPr="00A63078">
        <w:rPr>
          <w:rStyle w:val="FootnoteReference"/>
          <w:rFonts w:ascii="Times New Roman" w:hAnsi="Times New Roman"/>
          <w:sz w:val="20"/>
        </w:rPr>
        <w:t>dépassant</w:t>
      </w:r>
      <w:proofErr w:type="spellEnd"/>
      <w:r w:rsidRPr="00A63078">
        <w:rPr>
          <w:rStyle w:val="FootnoteReference"/>
          <w:rFonts w:ascii="Times New Roman" w:hAnsi="Times New Roman"/>
          <w:sz w:val="20"/>
        </w:rPr>
        <w:t xml:space="preserve"> les </w:t>
      </w:r>
      <w:proofErr w:type="spellStart"/>
      <w:r w:rsidRPr="00A63078">
        <w:rPr>
          <w:rStyle w:val="FootnoteReference"/>
          <w:rFonts w:ascii="Times New Roman" w:hAnsi="Times New Roman"/>
          <w:sz w:val="20"/>
        </w:rPr>
        <w:t>limites</w:t>
      </w:r>
      <w:proofErr w:type="spellEnd"/>
      <w:r w:rsidRPr="00A63078">
        <w:rPr>
          <w:rStyle w:val="FootnoteReference"/>
          <w:rFonts w:ascii="Times New Roman" w:hAnsi="Times New Roman"/>
          <w:sz w:val="20"/>
        </w:rPr>
        <w:t xml:space="preserve"> de nos </w:t>
      </w:r>
      <w:proofErr w:type="spellStart"/>
      <w:r w:rsidRPr="00A63078">
        <w:rPr>
          <w:rStyle w:val="FootnoteReference"/>
          <w:rFonts w:ascii="Times New Roman" w:hAnsi="Times New Roman"/>
          <w:sz w:val="20"/>
        </w:rPr>
        <w:t>lois</w:t>
      </w:r>
      <w:proofErr w:type="spellEnd"/>
      <w:r w:rsidRPr="00A63078">
        <w:rPr>
          <w:rStyle w:val="FootnoteReference"/>
          <w:rFonts w:ascii="Times New Roman" w:hAnsi="Times New Roman"/>
          <w:sz w:val="20"/>
        </w:rPr>
        <w:t xml:space="preserve"> </w:t>
      </w:r>
      <w:proofErr w:type="spellStart"/>
      <w:r w:rsidRPr="00A63078">
        <w:rPr>
          <w:rStyle w:val="FootnoteReference"/>
          <w:rFonts w:ascii="Times New Roman" w:hAnsi="Times New Roman"/>
          <w:sz w:val="20"/>
        </w:rPr>
        <w:t>nationales</w:t>
      </w:r>
      <w:proofErr w:type="spellEnd"/>
      <w:r w:rsidRPr="00A63078">
        <w:rPr>
          <w:rStyle w:val="FootnoteReference"/>
          <w:rFonts w:ascii="Times New Roman" w:hAnsi="Times New Roman"/>
          <w:sz w:val="20"/>
        </w:rPr>
        <w:t xml:space="preserve"> …</w:t>
      </w:r>
    </w:p>
  </w:footnote>
  <w:footnote w:id="52">
    <w:p w14:paraId="17D111A3" w14:textId="55DA3A87" w:rsidR="00A74375" w:rsidRPr="00A63078" w:rsidRDefault="00DF2371" w:rsidP="00A74375">
      <w:pPr>
        <w:tabs>
          <w:tab w:val="clear" w:pos="720"/>
        </w:tabs>
        <w:ind w:left="720" w:hanging="360"/>
        <w:rPr>
          <w:rFonts w:ascii="Times New Roman" w:hAnsi="Times New Roman"/>
          <w:sz w:val="20"/>
          <w:lang w:val="fr-FR"/>
        </w:rPr>
      </w:pPr>
      <w:r w:rsidRPr="00A63078">
        <w:rPr>
          <w:rStyle w:val="FootnoteReference"/>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 xml:space="preserve">Note de bas de page présenté par la délégation </w:t>
      </w:r>
      <w:r w:rsidRPr="00A63078">
        <w:rPr>
          <w:rFonts w:ascii="Times New Roman" w:hAnsi="Times New Roman"/>
          <w:bCs/>
          <w:sz w:val="20"/>
          <w:lang w:val="fr-FR"/>
        </w:rPr>
        <w:t xml:space="preserve">la République du Nicaragua à la cinquante-et-unième session ordinaire de l’Assemblée générale de </w:t>
      </w:r>
      <w:proofErr w:type="gramStart"/>
      <w:r w:rsidRPr="00A63078">
        <w:rPr>
          <w:rFonts w:ascii="Times New Roman" w:hAnsi="Times New Roman"/>
          <w:bCs/>
          <w:sz w:val="20"/>
          <w:lang w:val="fr-FR"/>
        </w:rPr>
        <w:t>l’OEA:</w:t>
      </w:r>
      <w:proofErr w:type="gramEnd"/>
      <w:r w:rsidRPr="00A63078">
        <w:rPr>
          <w:rFonts w:ascii="Times New Roman" w:hAnsi="Times New Roman"/>
          <w:sz w:val="20"/>
          <w:lang w:val="fr-FR"/>
        </w:rPr>
        <w:t xml:space="preserve">  Dans le cadre du Système d'intégration… </w:t>
      </w:r>
    </w:p>
    <w:p w14:paraId="4A9E5196" w14:textId="1D0125A9" w:rsidR="00DF2371" w:rsidRPr="00A63078" w:rsidRDefault="00DF2371" w:rsidP="00A74375">
      <w:pPr>
        <w:pStyle w:val="FootnoteText"/>
        <w:ind w:left="720"/>
        <w:rPr>
          <w:rFonts w:ascii="Times New Roman" w:hAnsi="Times New Roman"/>
          <w:sz w:val="20"/>
          <w:lang w:val="fr-FR"/>
        </w:rPr>
      </w:pPr>
    </w:p>
  </w:footnote>
  <w:footnote w:id="53">
    <w:p w14:paraId="36ACCA40" w14:textId="77777777" w:rsidR="00DF2371" w:rsidRPr="00A63078" w:rsidRDefault="00DF2371" w:rsidP="00DF2371">
      <w:pPr>
        <w:pStyle w:val="FootnoteText"/>
        <w:ind w:left="720"/>
        <w:rPr>
          <w:rFonts w:ascii="Times New Roman" w:hAnsi="Times New Roman"/>
          <w:sz w:val="20"/>
          <w:lang w:val="fr-FR"/>
        </w:rPr>
      </w:pPr>
      <w:r w:rsidRPr="00A63078">
        <w:rPr>
          <w:rStyle w:val="FootnoteReference"/>
          <w:rFonts w:ascii="Times New Roman" w:hAnsi="Times New Roman"/>
          <w:sz w:val="20"/>
          <w:lang w:val="fr-FR"/>
        </w:rPr>
        <w:footnoteRef/>
      </w:r>
      <w:r w:rsidRPr="00A63078">
        <w:rPr>
          <w:rFonts w:ascii="Times New Roman" w:hAnsi="Times New Roman"/>
          <w:sz w:val="20"/>
          <w:lang w:val="fr-FR"/>
        </w:rPr>
        <w:t>.</w:t>
      </w:r>
      <w:r w:rsidRPr="00A63078">
        <w:rPr>
          <w:rFonts w:ascii="Times New Roman" w:hAnsi="Times New Roman"/>
          <w:sz w:val="20"/>
          <w:lang w:val="fr-FR"/>
        </w:rPr>
        <w:tab/>
        <w:t xml:space="preserve">La délégation du Brésil se dissocie du texte actuel de ce chapitre, à commencer par le titre, « Incidences du changement climatique en matière de sécurité », qui </w:t>
      </w:r>
      <w:r w:rsidRPr="00A63078">
        <w:rPr>
          <w:rFonts w:ascii="Times New Roman" w:eastAsia="MS Mincho" w:hAnsi="Times New Roman"/>
          <w:sz w:val="20"/>
          <w:lang w:val="fr-FR" w:eastAsia="es-ES_tradnl"/>
        </w:rPr>
        <w:t xml:space="preserve">n’est pas étayé par le vocabulaire </w:t>
      </w:r>
      <w:r w:rsidRPr="00A63078">
        <w:rPr>
          <w:rFonts w:ascii="Times New Roman" w:hAnsi="Times New Roman"/>
          <w:sz w:val="20"/>
          <w:lang w:val="fr-FR"/>
        </w:rPr>
        <w:t>…</w:t>
      </w:r>
    </w:p>
  </w:footnote>
  <w:footnote w:id="54">
    <w:p w14:paraId="1DD7BC2A" w14:textId="77777777" w:rsidR="00DF2371" w:rsidRPr="00A63078" w:rsidRDefault="00DF2371" w:rsidP="00DF2371">
      <w:pPr>
        <w:pStyle w:val="FootnoteText"/>
        <w:ind w:left="720"/>
        <w:rPr>
          <w:rFonts w:ascii="Times New Roman" w:hAnsi="Times New Roman"/>
          <w:b/>
          <w:bCs/>
          <w:sz w:val="20"/>
          <w:lang w:val="fr-FR"/>
        </w:rPr>
      </w:pPr>
      <w:r w:rsidRPr="00A63078">
        <w:rPr>
          <w:rStyle w:val="FootnoteReference"/>
          <w:rFonts w:ascii="Times New Roman" w:hAnsi="Times New Roman"/>
          <w:sz w:val="20"/>
          <w:lang w:val="fr-FR"/>
        </w:rPr>
        <w:footnoteRef/>
      </w:r>
      <w:r w:rsidRPr="00A63078">
        <w:rPr>
          <w:rFonts w:ascii="Times New Roman" w:hAnsi="Times New Roman"/>
          <w:sz w:val="20"/>
          <w:lang w:val="fr-FR"/>
        </w:rPr>
        <w:t>.</w:t>
      </w:r>
      <w:r w:rsidRPr="00A63078">
        <w:rPr>
          <w:rFonts w:ascii="Times New Roman" w:hAnsi="Times New Roman"/>
          <w:b/>
          <w:bCs/>
          <w:sz w:val="20"/>
          <w:lang w:val="fr-FR"/>
        </w:rPr>
        <w:tab/>
      </w:r>
      <w:r w:rsidRPr="00A63078">
        <w:rPr>
          <w:rFonts w:ascii="Times New Roman" w:hAnsi="Times New Roman"/>
          <w:sz w:val="20"/>
          <w:lang w:val="fr-FR"/>
        </w:rPr>
        <w:t xml:space="preserve">Les États-Unis continuent de soutenir les États parties dans leurs efforts collectifs pour mettre pleinement en œuvre la CIFTA. À cette fin, nous soutenons les parties des Recommandations </w:t>
      </w:r>
      <w:r w:rsidRPr="00A63078">
        <w:rPr>
          <w:rFonts w:ascii="Times New Roman" w:hAnsi="Times New Roman"/>
          <w:bCs/>
          <w:sz w:val="20"/>
          <w:lang w:val="fr-FR"/>
        </w:rPr>
        <w:t>…</w:t>
      </w:r>
    </w:p>
  </w:footnote>
  <w:footnote w:id="55">
    <w:p w14:paraId="785A5299" w14:textId="77777777" w:rsidR="00DF2371" w:rsidRPr="00A63078" w:rsidRDefault="00DF2371" w:rsidP="00DF2371">
      <w:pPr>
        <w:pStyle w:val="FootnoteText"/>
        <w:tabs>
          <w:tab w:val="clear" w:pos="360"/>
        </w:tabs>
        <w:ind w:left="720"/>
        <w:rPr>
          <w:rFonts w:ascii="Times New Roman" w:hAnsi="Times New Roman"/>
          <w:sz w:val="20"/>
          <w:lang w:val="fr-FR"/>
        </w:rPr>
      </w:pPr>
      <w:r w:rsidRPr="00A63078">
        <w:rPr>
          <w:rStyle w:val="FootnoteReference"/>
          <w:rFonts w:ascii="Times New Roman" w:hAnsi="Times New Roman"/>
          <w:sz w:val="20"/>
          <w:lang w:val="fr-FR"/>
        </w:rPr>
        <w:footnoteRef/>
      </w:r>
      <w:r w:rsidRPr="00A63078">
        <w:rPr>
          <w:rFonts w:ascii="Times New Roman" w:hAnsi="Times New Roman"/>
          <w:sz w:val="20"/>
          <w:lang w:val="fr-FR"/>
        </w:rPr>
        <w:t>.</w:t>
      </w:r>
      <w:r w:rsidRPr="00A63078">
        <w:rPr>
          <w:rFonts w:ascii="Times New Roman" w:hAnsi="Times New Roman"/>
          <w:sz w:val="20"/>
          <w:lang w:val="fr-FR"/>
        </w:rPr>
        <w:tab/>
        <w:t>Liste provisoire des réunions.</w:t>
      </w:r>
    </w:p>
  </w:footnote>
  <w:footnote w:id="56">
    <w:p w14:paraId="4A3214F7" w14:textId="77777777" w:rsidR="004E5820" w:rsidRPr="00A63078" w:rsidRDefault="004E5820" w:rsidP="004E5820">
      <w:pPr>
        <w:pStyle w:val="FootnoteText"/>
        <w:ind w:left="720"/>
        <w:rPr>
          <w:rFonts w:ascii="Times New Roman" w:hAnsi="Times New Roman"/>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Le Mexique relève avec préoccupation une fois de plus, des inconsistances et des irrégularités dans le Rapport du Secrétaire général sur la présentation des pouvoirs des délégations participant à la…</w:t>
      </w:r>
    </w:p>
  </w:footnote>
  <w:footnote w:id="57">
    <w:p w14:paraId="7E5B1820" w14:textId="77777777" w:rsidR="004E5820" w:rsidRPr="00A63078" w:rsidRDefault="004E5820" w:rsidP="004E5820">
      <w:pPr>
        <w:pStyle w:val="FootnoteText"/>
        <w:ind w:left="720"/>
        <w:rPr>
          <w:rFonts w:ascii="Times New Roman" w:hAnsi="Times New Roman"/>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Le Nicaragua se prévaut des déclarations des délégations de Saint-Vincent-et-Grenadines, des États-Unis du Mexique ainsi que de l’État plurinational de Bolivie et rejette l’accréditation irrégulière…</w:t>
      </w:r>
    </w:p>
  </w:footnote>
  <w:footnote w:id="58">
    <w:p w14:paraId="07B98002" w14:textId="77777777" w:rsidR="004E5820" w:rsidRPr="00A63078" w:rsidRDefault="004E5820" w:rsidP="004E5820">
      <w:pPr>
        <w:pStyle w:val="FootnoteText"/>
        <w:ind w:left="720"/>
        <w:rPr>
          <w:rFonts w:ascii="Times New Roman" w:hAnsi="Times New Roman"/>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Antigua-et-Barbuda considère que la République bolivarienne du Venezuela n'est pas un État membre de l'Organisation des États Américains puisque, le 27 avril 2017, le gouvernement de la République…</w:t>
      </w:r>
    </w:p>
  </w:footnote>
  <w:footnote w:id="59">
    <w:p w14:paraId="72709448" w14:textId="77777777" w:rsidR="004E5820" w:rsidRPr="00A63078" w:rsidRDefault="004E5820" w:rsidP="004E5820">
      <w:pPr>
        <w:pStyle w:val="FootnoteText"/>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Saint-Vincent fait état de sa non-reconnaissance et de sa non-acceptation des pouvoirs de la prétendue délégation de l'Assemblée nationale de la République bolivarienne du Venezuela. En 2017, le…</w:t>
      </w:r>
    </w:p>
  </w:footnote>
  <w:footnote w:id="60">
    <w:p w14:paraId="20B071FE" w14:textId="593A0DE1" w:rsidR="008B1794" w:rsidRPr="00A63078" w:rsidRDefault="00F13A02" w:rsidP="008B1794">
      <w:pPr>
        <w:pStyle w:val="FootnoteText"/>
        <w:tabs>
          <w:tab w:val="clear" w:pos="360"/>
          <w:tab w:val="left" w:pos="708"/>
        </w:tabs>
        <w:ind w:left="720" w:right="-389"/>
        <w:rPr>
          <w:rFonts w:ascii="Times New Roman" w:hAnsi="Times New Roman"/>
          <w:sz w:val="20"/>
          <w:lang w:val="fr-FR"/>
        </w:rPr>
      </w:pPr>
      <w:r w:rsidRPr="00A63078">
        <w:rPr>
          <w:rStyle w:val="FootnoteReference"/>
          <w:rFonts w:ascii="Times New Roman" w:hAnsi="Times New Roman"/>
          <w:sz w:val="20"/>
          <w:lang w:val="fr-FR"/>
        </w:rPr>
        <w:t>5</w:t>
      </w:r>
      <w:r w:rsidR="008B1794" w:rsidRPr="00A63078">
        <w:rPr>
          <w:rFonts w:ascii="Times New Roman" w:hAnsi="Times New Roman"/>
          <w:sz w:val="20"/>
          <w:lang w:val="fr-FR"/>
        </w:rPr>
        <w:t>.</w:t>
      </w:r>
      <w:r w:rsidR="008B1794" w:rsidRPr="00A63078">
        <w:rPr>
          <w:rFonts w:ascii="Times New Roman" w:hAnsi="Times New Roman"/>
          <w:sz w:val="20"/>
          <w:lang w:val="fr-FR"/>
        </w:rPr>
        <w:tab/>
        <w:t>Ces postes demeureront des postes de confiance jusqu’à ce que l’Assemblée générale adopte les modifications aux statuts correspondants qui sont requis pour que le Secrétaire exécutif soit sélectionné par voie de concours.</w:t>
      </w:r>
    </w:p>
  </w:footnote>
  <w:footnote w:id="61">
    <w:p w14:paraId="2C11D279" w14:textId="053359BD" w:rsidR="008B1794" w:rsidRPr="00213B6A" w:rsidRDefault="00F13A02" w:rsidP="008B1794">
      <w:pPr>
        <w:pStyle w:val="FootnoteText"/>
        <w:tabs>
          <w:tab w:val="clear" w:pos="360"/>
          <w:tab w:val="left" w:pos="708"/>
        </w:tabs>
        <w:ind w:left="720" w:right="-389"/>
        <w:rPr>
          <w:rFonts w:ascii="Times New Roman" w:hAnsi="Times New Roman"/>
          <w:sz w:val="20"/>
          <w:lang w:val="fr-FR"/>
        </w:rPr>
      </w:pPr>
      <w:r w:rsidRPr="00213B6A">
        <w:rPr>
          <w:rStyle w:val="FootnoteReference"/>
          <w:rFonts w:ascii="Times New Roman" w:hAnsi="Times New Roman"/>
          <w:sz w:val="20"/>
          <w:lang w:val="fr-FR"/>
        </w:rPr>
        <w:t>6</w:t>
      </w:r>
      <w:r w:rsidR="008B1794" w:rsidRPr="00213B6A">
        <w:rPr>
          <w:rFonts w:ascii="Times New Roman" w:hAnsi="Times New Roman"/>
          <w:sz w:val="20"/>
          <w:lang w:val="fr-FR"/>
        </w:rPr>
        <w:t>.</w:t>
      </w:r>
      <w:r w:rsidR="008B1794" w:rsidRPr="00213B6A">
        <w:rPr>
          <w:rFonts w:ascii="Times New Roman" w:hAnsi="Times New Roman"/>
          <w:sz w:val="20"/>
          <w:lang w:val="fr-FR"/>
        </w:rPr>
        <w:tab/>
        <w:t>Idem.</w:t>
      </w:r>
    </w:p>
  </w:footnote>
  <w:footnote w:id="62">
    <w:p w14:paraId="02659C38" w14:textId="77777777" w:rsidR="00446FC8" w:rsidRPr="00A63078" w:rsidRDefault="00446FC8" w:rsidP="00446FC8">
      <w:pPr>
        <w:pStyle w:val="FootnoteText"/>
        <w:ind w:left="720"/>
        <w:rPr>
          <w:rFonts w:ascii="Times New Roman" w:hAnsi="Times New Roman"/>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r>
      <w:r w:rsidRPr="00A63078">
        <w:rPr>
          <w:rFonts w:ascii="Times New Roman" w:hAnsi="Times New Roman"/>
          <w:snapToGrid w:val="0"/>
          <w:sz w:val="20"/>
          <w:lang w:val="fr-FR"/>
        </w:rPr>
        <w:t>Le</w:t>
      </w:r>
      <w:r w:rsidRPr="00A63078">
        <w:rPr>
          <w:rFonts w:ascii="Times New Roman" w:hAnsi="Times New Roman"/>
          <w:sz w:val="20"/>
          <w:lang w:val="fr-FR"/>
        </w:rPr>
        <w:t xml:space="preserve"> Mexique relève avec préoccupation une fois de plus, des inconsistances et des irrégularités dans le Rapport du Secrétaire général sur la présentation des pouvoirs des délégations participant à la…</w:t>
      </w:r>
    </w:p>
  </w:footnote>
  <w:footnote w:id="63">
    <w:p w14:paraId="0F26CFE3" w14:textId="77777777" w:rsidR="00446FC8" w:rsidRPr="00A63078" w:rsidRDefault="00446FC8" w:rsidP="00446FC8">
      <w:pPr>
        <w:pStyle w:val="FootnoteText"/>
        <w:ind w:left="720"/>
        <w:rPr>
          <w:rFonts w:ascii="Times New Roman" w:hAnsi="Times New Roman"/>
          <w:snapToGrid w:val="0"/>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napToGrid w:val="0"/>
          <w:sz w:val="20"/>
          <w:lang w:val="fr-FR"/>
        </w:rPr>
        <w:tab/>
        <w:t>Le Nicaragua se prévaut des déclarations des délégations de Saint-Vincent-et-Grenadines, des États-Unis du Mexique ainsi que de l’État plurinational de Bolivie et rejette l’accréditation irrégulière…</w:t>
      </w:r>
    </w:p>
  </w:footnote>
  <w:footnote w:id="64">
    <w:p w14:paraId="5F01EC24" w14:textId="77777777" w:rsidR="00446FC8" w:rsidRPr="00A63078" w:rsidRDefault="00446FC8" w:rsidP="00446FC8">
      <w:pPr>
        <w:pStyle w:val="FootnoteText"/>
        <w:ind w:left="720"/>
        <w:rPr>
          <w:rFonts w:ascii="Times New Roman" w:hAnsi="Times New Roman"/>
          <w:snapToGrid w:val="0"/>
          <w:sz w:val="20"/>
          <w:lang w:val="fr-FR"/>
        </w:rPr>
      </w:pPr>
      <w:r w:rsidRPr="00A63078">
        <w:rPr>
          <w:rFonts w:ascii="Times New Roman" w:hAnsi="Times New Roman"/>
          <w:snapToGrid w:val="0"/>
          <w:sz w:val="20"/>
          <w:lang w:val="fr-FR"/>
        </w:rPr>
        <w:footnoteRef/>
      </w:r>
      <w:r w:rsidRPr="00A63078">
        <w:rPr>
          <w:rFonts w:ascii="Times New Roman" w:hAnsi="Times New Roman"/>
          <w:snapToGrid w:val="0"/>
          <w:sz w:val="20"/>
          <w:lang w:val="fr-FR"/>
        </w:rPr>
        <w:t>.</w:t>
      </w:r>
      <w:r w:rsidRPr="00A63078">
        <w:rPr>
          <w:rFonts w:ascii="Times New Roman" w:hAnsi="Times New Roman"/>
          <w:snapToGrid w:val="0"/>
          <w:sz w:val="20"/>
          <w:lang w:val="fr-FR"/>
        </w:rPr>
        <w:tab/>
        <w:t>Antigua-et-Barbuda considère que la République bolivarienne du Venezuela n'est pas un État membre de l'Organisation des États Américains puisque, le 27 avril 2017, le gouvernement de la République…</w:t>
      </w:r>
    </w:p>
  </w:footnote>
  <w:footnote w:id="65">
    <w:p w14:paraId="67CD0627" w14:textId="77777777" w:rsidR="00446FC8" w:rsidRPr="00A63078" w:rsidRDefault="00446FC8" w:rsidP="00446FC8">
      <w:pPr>
        <w:pStyle w:val="FootnoteText"/>
        <w:ind w:left="720"/>
        <w:rPr>
          <w:rFonts w:ascii="Times New Roman" w:hAnsi="Times New Roman"/>
          <w:sz w:val="20"/>
          <w:lang w:val="fr-CA"/>
        </w:rPr>
      </w:pPr>
      <w:r w:rsidRPr="00A63078">
        <w:rPr>
          <w:rFonts w:ascii="Times New Roman" w:hAnsi="Times New Roman"/>
          <w:snapToGrid w:val="0"/>
          <w:sz w:val="20"/>
          <w:lang w:val="fr-FR"/>
        </w:rPr>
        <w:footnoteRef/>
      </w:r>
      <w:r w:rsidRPr="00A63078">
        <w:rPr>
          <w:rFonts w:ascii="Times New Roman" w:hAnsi="Times New Roman"/>
          <w:snapToGrid w:val="0"/>
          <w:sz w:val="20"/>
          <w:lang w:val="fr-FR"/>
        </w:rPr>
        <w:t>.</w:t>
      </w:r>
      <w:r w:rsidRPr="00A63078">
        <w:rPr>
          <w:rFonts w:ascii="Times New Roman" w:hAnsi="Times New Roman"/>
          <w:snapToGrid w:val="0"/>
          <w:sz w:val="20"/>
          <w:lang w:val="fr-FR"/>
        </w:rPr>
        <w:tab/>
        <w:t>Saint-Vincent fait état de sa non-reconnaissance et de sa non-acceptation des pouvoirs de la prétendue délégation de l'Assemblée nationale de la République bolivarienne du Venezuela. En 2017, le…</w:t>
      </w:r>
    </w:p>
  </w:footnote>
  <w:footnote w:id="66">
    <w:p w14:paraId="207D8477" w14:textId="77777777" w:rsidR="000414CF" w:rsidRPr="00A63078" w:rsidRDefault="000414CF" w:rsidP="000414CF">
      <w:pPr>
        <w:pStyle w:val="FootnoteText"/>
        <w:ind w:left="720"/>
        <w:rPr>
          <w:rFonts w:ascii="Times New Roman" w:hAnsi="Times New Roman"/>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r>
      <w:r w:rsidRPr="00A63078">
        <w:rPr>
          <w:rFonts w:ascii="Times New Roman" w:hAnsi="Times New Roman"/>
          <w:snapToGrid w:val="0"/>
          <w:sz w:val="20"/>
          <w:lang w:val="fr-FR"/>
        </w:rPr>
        <w:t>Le</w:t>
      </w:r>
      <w:r w:rsidRPr="00A63078">
        <w:rPr>
          <w:rFonts w:ascii="Times New Roman" w:hAnsi="Times New Roman"/>
          <w:sz w:val="20"/>
          <w:lang w:val="fr-FR"/>
        </w:rPr>
        <w:t xml:space="preserve"> Mexique relève avec préoccupation une fois de plus, des inconsistances et des irrégularités dans le Rapport du Secrétaire général sur la présentation des pouvoirs des délégations participant à la…</w:t>
      </w:r>
    </w:p>
  </w:footnote>
  <w:footnote w:id="67">
    <w:p w14:paraId="0A4F9908" w14:textId="77777777" w:rsidR="000414CF" w:rsidRPr="00A63078" w:rsidRDefault="000414CF" w:rsidP="000414CF">
      <w:pPr>
        <w:pStyle w:val="FootnoteText"/>
        <w:ind w:left="720"/>
        <w:rPr>
          <w:rFonts w:ascii="Times New Roman" w:hAnsi="Times New Roman"/>
          <w:snapToGrid w:val="0"/>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napToGrid w:val="0"/>
          <w:sz w:val="20"/>
          <w:lang w:val="fr-FR"/>
        </w:rPr>
        <w:tab/>
        <w:t>Le Nicaragua se prévaut des déclarations des délégations de Saint-Vincent-et-Grenadines, des États-Unis du Mexique ainsi que de l’État plurinational de Bolivie et rejette l’accréditation irrégulière…</w:t>
      </w:r>
    </w:p>
  </w:footnote>
  <w:footnote w:id="68">
    <w:p w14:paraId="2AAE8C8B" w14:textId="77777777" w:rsidR="000414CF" w:rsidRPr="00A63078" w:rsidRDefault="000414CF" w:rsidP="000414CF">
      <w:pPr>
        <w:pStyle w:val="FootnoteText"/>
        <w:ind w:left="720"/>
        <w:rPr>
          <w:rFonts w:ascii="Times New Roman" w:hAnsi="Times New Roman"/>
          <w:snapToGrid w:val="0"/>
          <w:sz w:val="20"/>
          <w:lang w:val="fr-FR"/>
        </w:rPr>
      </w:pPr>
      <w:r w:rsidRPr="00A63078">
        <w:rPr>
          <w:rFonts w:ascii="Times New Roman" w:hAnsi="Times New Roman"/>
          <w:snapToGrid w:val="0"/>
          <w:sz w:val="20"/>
          <w:lang w:val="fr-FR"/>
        </w:rPr>
        <w:footnoteRef/>
      </w:r>
      <w:r w:rsidRPr="00A63078">
        <w:rPr>
          <w:rFonts w:ascii="Times New Roman" w:hAnsi="Times New Roman"/>
          <w:snapToGrid w:val="0"/>
          <w:sz w:val="20"/>
          <w:lang w:val="fr-FR"/>
        </w:rPr>
        <w:t>.</w:t>
      </w:r>
      <w:r w:rsidRPr="00A63078">
        <w:rPr>
          <w:rFonts w:ascii="Times New Roman" w:hAnsi="Times New Roman"/>
          <w:snapToGrid w:val="0"/>
          <w:sz w:val="20"/>
          <w:lang w:val="fr-FR"/>
        </w:rPr>
        <w:tab/>
        <w:t>Antigua-et-Barbuda considère que la République bolivarienne du Venezuela n'est pas un État membre de l'Organisation des États Américains puisque, le 27 avril 2017, le gouvernement de la République…</w:t>
      </w:r>
    </w:p>
  </w:footnote>
  <w:footnote w:id="69">
    <w:p w14:paraId="055272A9" w14:textId="77777777" w:rsidR="000414CF" w:rsidRPr="00A63078" w:rsidRDefault="000414CF" w:rsidP="000414CF">
      <w:pPr>
        <w:pStyle w:val="FootnoteText"/>
        <w:ind w:left="720"/>
        <w:rPr>
          <w:rFonts w:ascii="Times New Roman" w:hAnsi="Times New Roman"/>
          <w:sz w:val="20"/>
          <w:lang w:val="fr-CA"/>
        </w:rPr>
      </w:pPr>
      <w:r w:rsidRPr="00A63078">
        <w:rPr>
          <w:rFonts w:ascii="Times New Roman" w:hAnsi="Times New Roman"/>
          <w:snapToGrid w:val="0"/>
          <w:sz w:val="20"/>
          <w:lang w:val="fr-FR"/>
        </w:rPr>
        <w:footnoteRef/>
      </w:r>
      <w:r w:rsidRPr="00A63078">
        <w:rPr>
          <w:rFonts w:ascii="Times New Roman" w:hAnsi="Times New Roman"/>
          <w:snapToGrid w:val="0"/>
          <w:sz w:val="20"/>
          <w:lang w:val="fr-FR"/>
        </w:rPr>
        <w:t>.</w:t>
      </w:r>
      <w:r w:rsidRPr="00A63078">
        <w:rPr>
          <w:rFonts w:ascii="Times New Roman" w:hAnsi="Times New Roman"/>
          <w:snapToGrid w:val="0"/>
          <w:sz w:val="20"/>
          <w:lang w:val="fr-FR"/>
        </w:rPr>
        <w:tab/>
        <w:t>Saint-Vincent fait état de sa non-reconnaissance et de sa non-acceptation des pouvoirs de la prétendue délégation de l'Assemblée nationale de la République bolivarienne du Venezuela. En 2017, le…</w:t>
      </w:r>
    </w:p>
  </w:footnote>
  <w:footnote w:id="70">
    <w:p w14:paraId="47057FC8" w14:textId="77777777" w:rsidR="000414CF" w:rsidRPr="00A63078" w:rsidRDefault="000414CF" w:rsidP="000414CF">
      <w:pPr>
        <w:pStyle w:val="FootnoteText"/>
        <w:ind w:left="720"/>
        <w:rPr>
          <w:rFonts w:ascii="Times New Roman" w:hAnsi="Times New Roman"/>
          <w:sz w:val="20"/>
          <w:lang w:val="fr-FR"/>
        </w:rPr>
      </w:pPr>
      <w:r w:rsidRPr="00A63078">
        <w:rPr>
          <w:rStyle w:val="FootnoteReference"/>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 xml:space="preserve">Le gouvernement nicaraguayen a consigné sa réserve expresse à la Déclaration du Cinquième Sommet des Amériques, tenu à Port of Spain (Trinité-et-Tobago) en 2009 et au dénommé Sommet de Cartagena de </w:t>
      </w:r>
      <w:proofErr w:type="spellStart"/>
      <w:r w:rsidRPr="00A63078">
        <w:rPr>
          <w:rFonts w:ascii="Times New Roman" w:hAnsi="Times New Roman"/>
          <w:sz w:val="20"/>
          <w:lang w:val="fr-FR"/>
        </w:rPr>
        <w:t>Indias</w:t>
      </w:r>
      <w:proofErr w:type="spellEnd"/>
      <w:r w:rsidRPr="00A63078">
        <w:rPr>
          <w:rFonts w:ascii="Times New Roman" w:hAnsi="Times New Roman"/>
          <w:sz w:val="20"/>
          <w:lang w:val="fr-FR"/>
        </w:rPr>
        <w:t xml:space="preserve">… </w:t>
      </w:r>
    </w:p>
    <w:p w14:paraId="3903F2F3" w14:textId="77777777" w:rsidR="000414CF" w:rsidRPr="00A63078" w:rsidRDefault="000414CF" w:rsidP="000414CF">
      <w:pPr>
        <w:pStyle w:val="FootnoteText"/>
        <w:ind w:left="720"/>
        <w:rPr>
          <w:rFonts w:ascii="Times New Roman" w:hAnsi="Times New Roman"/>
          <w:sz w:val="20"/>
          <w:lang w:val="fr-FR"/>
        </w:rPr>
      </w:pPr>
    </w:p>
  </w:footnote>
  <w:footnote w:id="71">
    <w:p w14:paraId="678C1F34" w14:textId="77777777" w:rsidR="000414CF" w:rsidRPr="00A63078" w:rsidRDefault="000414CF" w:rsidP="00DD002B">
      <w:pPr>
        <w:pStyle w:val="FootnoteText"/>
        <w:ind w:left="720"/>
        <w:rPr>
          <w:rFonts w:ascii="Times New Roman" w:hAnsi="Times New Roman"/>
          <w:sz w:val="20"/>
          <w:lang w:val="fr-FR"/>
        </w:rPr>
      </w:pPr>
      <w:r w:rsidRPr="00A63078">
        <w:rPr>
          <w:rStyle w:val="FootnoteReference"/>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 xml:space="preserve">Le gouvernement du Nicaragua porte à la connaissance des Chefs d’État et de </w:t>
      </w:r>
      <w:proofErr w:type="gramStart"/>
      <w:r w:rsidRPr="00A63078">
        <w:rPr>
          <w:rFonts w:ascii="Times New Roman" w:hAnsi="Times New Roman"/>
          <w:sz w:val="20"/>
          <w:lang w:val="fr-FR"/>
        </w:rPr>
        <w:t>gouvernement présents</w:t>
      </w:r>
      <w:proofErr w:type="gramEnd"/>
      <w:r w:rsidRPr="00A63078">
        <w:rPr>
          <w:rFonts w:ascii="Times New Roman" w:hAnsi="Times New Roman"/>
          <w:sz w:val="20"/>
          <w:lang w:val="fr-FR"/>
        </w:rPr>
        <w:t xml:space="preserve"> au Huitième Sommet des Amériques que le Nicaragua ne donne pas son approbation à …</w:t>
      </w:r>
    </w:p>
  </w:footnote>
  <w:footnote w:id="72">
    <w:p w14:paraId="0596004F" w14:textId="77777777" w:rsidR="000414CF" w:rsidRPr="00A63078" w:rsidRDefault="000414CF" w:rsidP="00DD002B">
      <w:pPr>
        <w:pStyle w:val="FootnoteText"/>
        <w:ind w:left="720"/>
        <w:rPr>
          <w:rFonts w:ascii="Times New Roman" w:hAnsi="Times New Roman"/>
          <w:sz w:val="20"/>
          <w:lang w:val="fr-FR"/>
        </w:rPr>
      </w:pPr>
      <w:r w:rsidRPr="00A63078">
        <w:rPr>
          <w:rStyle w:val="FootnoteReference"/>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r>
      <w:proofErr w:type="spellStart"/>
      <w:r w:rsidRPr="00A63078">
        <w:rPr>
          <w:rFonts w:ascii="Times New Roman" w:hAnsi="Times New Roman"/>
          <w:sz w:val="20"/>
          <w:lang w:val="fr-FR"/>
        </w:rPr>
        <w:t>Ídem</w:t>
      </w:r>
      <w:proofErr w:type="spellEnd"/>
      <w:r w:rsidRPr="00A63078">
        <w:rPr>
          <w:rFonts w:ascii="Times New Roman" w:hAnsi="Times New Roman"/>
          <w:sz w:val="20"/>
          <w:lang w:val="fr-FR"/>
        </w:rPr>
        <w:t>.</w:t>
      </w:r>
    </w:p>
  </w:footnote>
  <w:footnote w:id="73">
    <w:p w14:paraId="0F4928A3" w14:textId="77777777" w:rsidR="004803EA" w:rsidRPr="00A63078" w:rsidRDefault="004803EA" w:rsidP="004803EA">
      <w:pPr>
        <w:pStyle w:val="FootnoteText"/>
        <w:ind w:left="720"/>
        <w:rPr>
          <w:rFonts w:ascii="Times New Roman" w:hAnsi="Times New Roman"/>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r>
      <w:r w:rsidRPr="00A63078">
        <w:rPr>
          <w:rFonts w:ascii="Times New Roman" w:hAnsi="Times New Roman"/>
          <w:snapToGrid w:val="0"/>
          <w:sz w:val="20"/>
          <w:lang w:val="fr-FR"/>
        </w:rPr>
        <w:t>Le</w:t>
      </w:r>
      <w:r w:rsidRPr="00A63078">
        <w:rPr>
          <w:rFonts w:ascii="Times New Roman" w:hAnsi="Times New Roman"/>
          <w:sz w:val="20"/>
          <w:lang w:val="fr-FR"/>
        </w:rPr>
        <w:t xml:space="preserve"> Mexique relève avec préoccupation une fois de plus, des inconsistances et des irrégularités dans le Rapport du Secrétaire général sur la présentation des pouvoirs des délégations participant à la…</w:t>
      </w:r>
    </w:p>
  </w:footnote>
  <w:footnote w:id="74">
    <w:p w14:paraId="04A8B0B6" w14:textId="77777777" w:rsidR="004803EA" w:rsidRPr="00A63078" w:rsidRDefault="004803EA" w:rsidP="004803EA">
      <w:pPr>
        <w:pStyle w:val="FootnoteText"/>
        <w:ind w:left="720"/>
        <w:rPr>
          <w:rFonts w:ascii="Times New Roman" w:hAnsi="Times New Roman"/>
          <w:snapToGrid w:val="0"/>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napToGrid w:val="0"/>
          <w:sz w:val="20"/>
          <w:lang w:val="fr-FR"/>
        </w:rPr>
        <w:tab/>
        <w:t>Le Nicaragua se prévaut des déclarations des délégations de Saint-Vincent-et-Grenadines, des États-Unis du Mexique ainsi que de l’État plurinational de Bolivie et rejette l’accréditation irrégulière…</w:t>
      </w:r>
    </w:p>
  </w:footnote>
  <w:footnote w:id="75">
    <w:p w14:paraId="568FF222" w14:textId="77777777" w:rsidR="004803EA" w:rsidRPr="00A63078" w:rsidRDefault="004803EA" w:rsidP="004803EA">
      <w:pPr>
        <w:pStyle w:val="FootnoteText"/>
        <w:ind w:left="720"/>
        <w:rPr>
          <w:rFonts w:ascii="Times New Roman" w:hAnsi="Times New Roman"/>
          <w:snapToGrid w:val="0"/>
          <w:sz w:val="20"/>
          <w:lang w:val="fr-FR"/>
        </w:rPr>
      </w:pPr>
      <w:r w:rsidRPr="00A63078">
        <w:rPr>
          <w:rFonts w:ascii="Times New Roman" w:hAnsi="Times New Roman"/>
          <w:snapToGrid w:val="0"/>
          <w:sz w:val="20"/>
          <w:lang w:val="fr-FR"/>
        </w:rPr>
        <w:footnoteRef/>
      </w:r>
      <w:r w:rsidRPr="00A63078">
        <w:rPr>
          <w:rFonts w:ascii="Times New Roman" w:hAnsi="Times New Roman"/>
          <w:snapToGrid w:val="0"/>
          <w:sz w:val="20"/>
          <w:lang w:val="fr-FR"/>
        </w:rPr>
        <w:t>.</w:t>
      </w:r>
      <w:r w:rsidRPr="00A63078">
        <w:rPr>
          <w:rFonts w:ascii="Times New Roman" w:hAnsi="Times New Roman"/>
          <w:snapToGrid w:val="0"/>
          <w:sz w:val="20"/>
          <w:lang w:val="fr-FR"/>
        </w:rPr>
        <w:tab/>
        <w:t>Antigua-et-Barbuda considère que la République bolivarienne du Venezuela n'est pas un État membre de l'Organisation des États Américains puisque, le 27 avril 2017, le gouvernement de la République…</w:t>
      </w:r>
    </w:p>
  </w:footnote>
  <w:footnote w:id="76">
    <w:p w14:paraId="6B48EF25" w14:textId="77777777" w:rsidR="004803EA" w:rsidRPr="00A63078" w:rsidRDefault="004803EA" w:rsidP="004803EA">
      <w:pPr>
        <w:pStyle w:val="FootnoteText"/>
        <w:ind w:left="720"/>
        <w:rPr>
          <w:rFonts w:ascii="Times New Roman" w:hAnsi="Times New Roman"/>
          <w:sz w:val="20"/>
          <w:lang w:val="fr-CA"/>
        </w:rPr>
      </w:pPr>
      <w:r w:rsidRPr="00A63078">
        <w:rPr>
          <w:rFonts w:ascii="Times New Roman" w:hAnsi="Times New Roman"/>
          <w:snapToGrid w:val="0"/>
          <w:sz w:val="20"/>
          <w:lang w:val="fr-FR"/>
        </w:rPr>
        <w:footnoteRef/>
      </w:r>
      <w:r w:rsidRPr="00A63078">
        <w:rPr>
          <w:rFonts w:ascii="Times New Roman" w:hAnsi="Times New Roman"/>
          <w:snapToGrid w:val="0"/>
          <w:sz w:val="20"/>
          <w:lang w:val="fr-FR"/>
        </w:rPr>
        <w:t>.</w:t>
      </w:r>
      <w:r w:rsidRPr="00A63078">
        <w:rPr>
          <w:rFonts w:ascii="Times New Roman" w:hAnsi="Times New Roman"/>
          <w:snapToGrid w:val="0"/>
          <w:sz w:val="20"/>
          <w:lang w:val="fr-FR"/>
        </w:rPr>
        <w:tab/>
        <w:t>Saint-Vincent fait état de sa non-reconnaissance et de sa non-acceptation des pouvoirs de la prétendue délégation de l'Assemblée nationale de la République bolivarienne du Venezuela. En 2017, le…</w:t>
      </w:r>
    </w:p>
  </w:footnote>
  <w:footnote w:id="77">
    <w:p w14:paraId="680B54C0" w14:textId="77777777" w:rsidR="004803EA" w:rsidRPr="00A63078" w:rsidRDefault="004803EA" w:rsidP="00747395">
      <w:pPr>
        <w:pStyle w:val="FootnoteText"/>
        <w:tabs>
          <w:tab w:val="clear" w:pos="360"/>
        </w:tabs>
        <w:ind w:left="810" w:hanging="450"/>
        <w:rPr>
          <w:rFonts w:ascii="Times New Roman" w:hAnsi="Times New Roman"/>
          <w:sz w:val="20"/>
          <w:lang w:val="fr-FR"/>
        </w:rPr>
      </w:pPr>
      <w:r w:rsidRPr="00A63078">
        <w:rPr>
          <w:rStyle w:val="FootnoteReference"/>
          <w:rFonts w:ascii="Times New Roman" w:hAnsi="Times New Roman"/>
          <w:sz w:val="20"/>
          <w:lang w:val="fr-FR"/>
        </w:rPr>
        <w:footnoteRef/>
      </w:r>
      <w:r w:rsidRPr="00A63078">
        <w:rPr>
          <w:rFonts w:ascii="Times New Roman" w:hAnsi="Times New Roman"/>
          <w:sz w:val="20"/>
          <w:lang w:val="fr-FR"/>
        </w:rPr>
        <w:t>.</w:t>
      </w:r>
      <w:r w:rsidRPr="00A63078">
        <w:rPr>
          <w:rFonts w:ascii="Times New Roman" w:hAnsi="Times New Roman"/>
          <w:sz w:val="20"/>
          <w:lang w:val="fr-FR"/>
        </w:rPr>
        <w:tab/>
      </w:r>
      <w:r w:rsidRPr="00A63078">
        <w:rPr>
          <w:rFonts w:ascii="Times New Roman" w:hAnsi="Times New Roman"/>
          <w:sz w:val="20"/>
          <w:shd w:val="clear" w:color="auto" w:fill="FFFFFF"/>
          <w:lang w:val="fr-FR"/>
        </w:rPr>
        <w:t>Les États-Unis notent que la Commission des questions juridiques et politiques n'a pas reçu de mandat dans le domaine de la « codification et du développement progressif du droit international privé » ….</w:t>
      </w:r>
    </w:p>
  </w:footnote>
  <w:footnote w:id="78">
    <w:p w14:paraId="15BF42C3" w14:textId="77777777" w:rsidR="004803EA" w:rsidRPr="00A63078" w:rsidRDefault="004803EA" w:rsidP="00747395">
      <w:pPr>
        <w:pStyle w:val="FootnoteText"/>
        <w:tabs>
          <w:tab w:val="clear" w:pos="360"/>
        </w:tabs>
        <w:ind w:left="720"/>
        <w:rPr>
          <w:rFonts w:ascii="Times New Roman" w:hAnsi="Times New Roman"/>
          <w:sz w:val="20"/>
          <w:lang w:val="fr-FR"/>
        </w:rPr>
      </w:pPr>
      <w:r w:rsidRPr="00A63078">
        <w:rPr>
          <w:rStyle w:val="FootnoteReference"/>
          <w:rFonts w:ascii="Times New Roman" w:hAnsi="Times New Roman"/>
          <w:sz w:val="20"/>
          <w:lang w:val="fr-FR"/>
        </w:rPr>
        <w:footnoteRef/>
      </w:r>
      <w:r w:rsidRPr="00A63078">
        <w:rPr>
          <w:rFonts w:ascii="Times New Roman" w:hAnsi="Times New Roman"/>
          <w:sz w:val="20"/>
          <w:lang w:val="fr-FR"/>
        </w:rPr>
        <w:t>.</w:t>
      </w:r>
      <w:r w:rsidRPr="00A63078">
        <w:rPr>
          <w:rFonts w:ascii="Times New Roman" w:hAnsi="Times New Roman"/>
          <w:sz w:val="20"/>
          <w:lang w:val="fr-FR"/>
        </w:rPr>
        <w:tab/>
        <w:t xml:space="preserve">Les États-Unis restent préoccupés par le fait que les « Principes actualisés relatifs à la vie privée et à la protection des données personnelles » comprennent de nombreux concepts tirés de régimes de… </w:t>
      </w:r>
    </w:p>
  </w:footnote>
  <w:footnote w:id="79">
    <w:p w14:paraId="6570F3BA" w14:textId="25B836EA" w:rsidR="004803EA" w:rsidRPr="00A63078" w:rsidRDefault="004803EA" w:rsidP="00A63078">
      <w:pPr>
        <w:pStyle w:val="FootnoteText"/>
        <w:tabs>
          <w:tab w:val="clear" w:pos="360"/>
        </w:tabs>
        <w:ind w:left="720"/>
        <w:rPr>
          <w:rFonts w:ascii="Times New Roman" w:hAnsi="Times New Roman"/>
          <w:sz w:val="20"/>
          <w:lang w:val="fr-FR"/>
        </w:rPr>
      </w:pPr>
      <w:r w:rsidRPr="00A63078">
        <w:rPr>
          <w:rStyle w:val="FootnoteReference"/>
          <w:rFonts w:ascii="Times New Roman" w:hAnsi="Times New Roman"/>
          <w:sz w:val="20"/>
          <w:lang w:val="fr-FR"/>
        </w:rPr>
        <w:footnoteRef/>
      </w:r>
      <w:r w:rsidRPr="00A63078">
        <w:rPr>
          <w:rFonts w:ascii="Times New Roman" w:hAnsi="Times New Roman"/>
          <w:sz w:val="20"/>
          <w:lang w:val="fr-FR"/>
        </w:rPr>
        <w:t>.</w:t>
      </w:r>
      <w:r w:rsidRPr="00A63078">
        <w:rPr>
          <w:rFonts w:ascii="Times New Roman" w:hAnsi="Times New Roman"/>
          <w:sz w:val="20"/>
          <w:lang w:val="fr-FR"/>
        </w:rPr>
        <w:tab/>
      </w:r>
      <w:r w:rsidRPr="00A63078">
        <w:rPr>
          <w:rFonts w:ascii="Times New Roman" w:hAnsi="Times New Roman"/>
          <w:sz w:val="20"/>
          <w:shd w:val="clear" w:color="auto" w:fill="FFFFFF"/>
          <w:lang w:val="fr-FR"/>
        </w:rPr>
        <w:t xml:space="preserve">Bien que les États-Unis ne soient pas </w:t>
      </w:r>
      <w:proofErr w:type="gramStart"/>
      <w:r w:rsidRPr="00A63078">
        <w:rPr>
          <w:rFonts w:ascii="Times New Roman" w:hAnsi="Times New Roman"/>
          <w:sz w:val="20"/>
          <w:shd w:val="clear" w:color="auto" w:fill="FFFFFF"/>
          <w:lang w:val="fr-FR"/>
        </w:rPr>
        <w:t>partie</w:t>
      </w:r>
      <w:proofErr w:type="gramEnd"/>
      <w:r w:rsidRPr="00A63078">
        <w:rPr>
          <w:rFonts w:ascii="Times New Roman" w:hAnsi="Times New Roman"/>
          <w:sz w:val="20"/>
          <w:shd w:val="clear" w:color="auto" w:fill="FFFFFF"/>
          <w:lang w:val="fr-FR"/>
        </w:rPr>
        <w:t xml:space="preserve"> au Statut de Rome, nous soulignons notre engagement ferme et profond envers la justice et la responsabilité, en particulier pour les pires crimes connus ….</w:t>
      </w:r>
    </w:p>
  </w:footnote>
  <w:footnote w:id="80">
    <w:p w14:paraId="61617EDE" w14:textId="77777777" w:rsidR="00875323" w:rsidRPr="00A63078" w:rsidRDefault="00875323" w:rsidP="00875323">
      <w:pPr>
        <w:pStyle w:val="FootnoteText"/>
        <w:ind w:left="720"/>
        <w:rPr>
          <w:rFonts w:ascii="Times New Roman" w:hAnsi="Times New Roman"/>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r>
      <w:r w:rsidRPr="00A63078">
        <w:rPr>
          <w:rFonts w:ascii="Times New Roman" w:hAnsi="Times New Roman"/>
          <w:snapToGrid w:val="0"/>
          <w:sz w:val="20"/>
          <w:lang w:val="fr-FR"/>
        </w:rPr>
        <w:t>Le</w:t>
      </w:r>
      <w:r w:rsidRPr="00A63078">
        <w:rPr>
          <w:rFonts w:ascii="Times New Roman" w:hAnsi="Times New Roman"/>
          <w:sz w:val="20"/>
          <w:lang w:val="fr-FR"/>
        </w:rPr>
        <w:t xml:space="preserve"> Mexique relève avec préoccupation une fois de plus, des inconsistances et des irrégularités dans le Rapport du Secrétaire général sur la présentation des pouvoirs des délégations participant à la…</w:t>
      </w:r>
    </w:p>
  </w:footnote>
  <w:footnote w:id="81">
    <w:p w14:paraId="744CF69E" w14:textId="77777777" w:rsidR="00875323" w:rsidRPr="00A63078" w:rsidRDefault="00875323" w:rsidP="00875323">
      <w:pPr>
        <w:pStyle w:val="FootnoteText"/>
        <w:ind w:left="720"/>
        <w:rPr>
          <w:rFonts w:ascii="Times New Roman" w:hAnsi="Times New Roman"/>
          <w:snapToGrid w:val="0"/>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napToGrid w:val="0"/>
          <w:sz w:val="20"/>
          <w:lang w:val="fr-FR"/>
        </w:rPr>
        <w:tab/>
        <w:t>Le Nicaragua se prévaut des déclarations des délégations de Saint-Vincent-et-Grenadines, des États-Unis du Mexique ainsi que de l’État plurinational de Bolivie et rejette l’accréditation irrégulière…</w:t>
      </w:r>
    </w:p>
  </w:footnote>
  <w:footnote w:id="82">
    <w:p w14:paraId="479E01C9" w14:textId="77777777" w:rsidR="00875323" w:rsidRPr="00A63078" w:rsidRDefault="00875323" w:rsidP="00875323">
      <w:pPr>
        <w:pStyle w:val="FootnoteText"/>
        <w:ind w:left="720"/>
        <w:rPr>
          <w:rFonts w:ascii="Times New Roman" w:hAnsi="Times New Roman"/>
          <w:snapToGrid w:val="0"/>
          <w:sz w:val="20"/>
          <w:lang w:val="fr-FR"/>
        </w:rPr>
      </w:pPr>
      <w:r w:rsidRPr="00A63078">
        <w:rPr>
          <w:rFonts w:ascii="Times New Roman" w:hAnsi="Times New Roman"/>
          <w:snapToGrid w:val="0"/>
          <w:sz w:val="20"/>
          <w:lang w:val="fr-FR"/>
        </w:rPr>
        <w:footnoteRef/>
      </w:r>
      <w:r w:rsidRPr="00A63078">
        <w:rPr>
          <w:rFonts w:ascii="Times New Roman" w:hAnsi="Times New Roman"/>
          <w:snapToGrid w:val="0"/>
          <w:sz w:val="20"/>
          <w:lang w:val="fr-FR"/>
        </w:rPr>
        <w:t>.</w:t>
      </w:r>
      <w:r w:rsidRPr="00A63078">
        <w:rPr>
          <w:rFonts w:ascii="Times New Roman" w:hAnsi="Times New Roman"/>
          <w:snapToGrid w:val="0"/>
          <w:sz w:val="20"/>
          <w:lang w:val="fr-FR"/>
        </w:rPr>
        <w:tab/>
        <w:t>Antigua-et-Barbuda considère que la République bolivarienne du Venezuela n'est pas un État membre de l'Organisation des États Américains puisque, le 27 avril 2017, le gouvernement de la République…</w:t>
      </w:r>
    </w:p>
  </w:footnote>
  <w:footnote w:id="83">
    <w:p w14:paraId="13B75590" w14:textId="77777777" w:rsidR="00875323" w:rsidRPr="00A63078" w:rsidRDefault="00875323" w:rsidP="00875323">
      <w:pPr>
        <w:pStyle w:val="FootnoteText"/>
        <w:ind w:left="720"/>
        <w:rPr>
          <w:rFonts w:ascii="Times New Roman" w:hAnsi="Times New Roman"/>
          <w:sz w:val="20"/>
          <w:lang w:val="fr-CA"/>
        </w:rPr>
      </w:pPr>
      <w:r w:rsidRPr="00A63078">
        <w:rPr>
          <w:rFonts w:ascii="Times New Roman" w:hAnsi="Times New Roman"/>
          <w:snapToGrid w:val="0"/>
          <w:sz w:val="20"/>
          <w:lang w:val="fr-FR"/>
        </w:rPr>
        <w:footnoteRef/>
      </w:r>
      <w:r w:rsidRPr="00A63078">
        <w:rPr>
          <w:rFonts w:ascii="Times New Roman" w:hAnsi="Times New Roman"/>
          <w:snapToGrid w:val="0"/>
          <w:sz w:val="20"/>
          <w:lang w:val="fr-FR"/>
        </w:rPr>
        <w:t>.</w:t>
      </w:r>
      <w:r w:rsidRPr="00A63078">
        <w:rPr>
          <w:rFonts w:ascii="Times New Roman" w:hAnsi="Times New Roman"/>
          <w:snapToGrid w:val="0"/>
          <w:sz w:val="20"/>
          <w:lang w:val="fr-FR"/>
        </w:rPr>
        <w:tab/>
        <w:t>Saint-Vincent fait état de sa non-reconnaissance et de sa non-acceptation des pouvoirs de la prétendue délégation de l'Assemblée nationale de la République bolivarienne du Venezuela. En 2017, le…</w:t>
      </w:r>
    </w:p>
  </w:footnote>
  <w:footnote w:id="84">
    <w:p w14:paraId="7B5A2B1C" w14:textId="0B3FD487" w:rsidR="00875323" w:rsidRPr="00A63078" w:rsidRDefault="00875323" w:rsidP="00875323">
      <w:pPr>
        <w:pStyle w:val="FootnoteText"/>
        <w:ind w:left="720"/>
        <w:rPr>
          <w:rFonts w:ascii="Times New Roman" w:hAnsi="Times New Roman"/>
          <w:sz w:val="20"/>
          <w:lang w:val="fr-FR"/>
        </w:rPr>
      </w:pPr>
      <w:r w:rsidRPr="00A63078">
        <w:rPr>
          <w:rStyle w:val="FootnoteReference"/>
          <w:rFonts w:ascii="Times New Roman" w:hAnsi="Times New Roman"/>
          <w:sz w:val="20"/>
          <w:lang w:val="fr-FR"/>
        </w:rPr>
        <w:footnoteRef/>
      </w:r>
      <w:r w:rsidRPr="00A63078">
        <w:rPr>
          <w:rFonts w:ascii="Times New Roman" w:hAnsi="Times New Roman"/>
          <w:sz w:val="20"/>
          <w:lang w:val="fr-FR"/>
        </w:rPr>
        <w:t>.</w:t>
      </w:r>
      <w:r w:rsidRPr="00A63078">
        <w:rPr>
          <w:rFonts w:ascii="Times New Roman" w:hAnsi="Times New Roman"/>
          <w:sz w:val="20"/>
          <w:lang w:val="fr-FR"/>
        </w:rPr>
        <w:tab/>
      </w:r>
      <w:r w:rsidRPr="00A63078">
        <w:rPr>
          <w:rFonts w:ascii="Times New Roman" w:hAnsi="Times New Roman"/>
          <w:snapToGrid w:val="0"/>
          <w:sz w:val="20"/>
          <w:lang w:val="fr-FR"/>
        </w:rPr>
        <w:t>Les</w:t>
      </w:r>
      <w:r w:rsidRPr="00A63078">
        <w:rPr>
          <w:rFonts w:ascii="Times New Roman" w:hAnsi="Times New Roman"/>
          <w:sz w:val="20"/>
          <w:lang w:val="fr-FR"/>
        </w:rPr>
        <w:t xml:space="preserve"> États-Unis notent qu'il n'existe pas de « droits du consommateur » reconnus par le droit international, y compris le droit international des droits de la personne, et considèrent que cette formulation fait</w:t>
      </w:r>
      <w:r w:rsidR="0036448D" w:rsidRPr="00A63078">
        <w:rPr>
          <w:rFonts w:ascii="Times New Roman" w:hAnsi="Times New Roman"/>
          <w:sz w:val="20"/>
          <w:lang w:val="fr-FR"/>
        </w:rPr>
        <w:t>…</w:t>
      </w:r>
      <w:r w:rsidRPr="00A63078">
        <w:rPr>
          <w:rFonts w:ascii="Times New Roman" w:hAnsi="Times New Roman"/>
          <w:sz w:val="20"/>
          <w:lang w:val="fr-FR"/>
        </w:rPr>
        <w:t xml:space="preserve"> </w:t>
      </w:r>
    </w:p>
  </w:footnote>
  <w:footnote w:id="85">
    <w:p w14:paraId="4D34BB0C" w14:textId="77777777" w:rsidR="00875323" w:rsidRPr="00A63078" w:rsidRDefault="00875323" w:rsidP="00667904">
      <w:pPr>
        <w:pStyle w:val="FootnoteText"/>
        <w:tabs>
          <w:tab w:val="clear" w:pos="360"/>
        </w:tabs>
        <w:ind w:left="720"/>
        <w:rPr>
          <w:rFonts w:ascii="Times New Roman" w:hAnsi="Times New Roman"/>
          <w:sz w:val="20"/>
          <w:lang w:val="fr-FR"/>
        </w:rPr>
      </w:pPr>
      <w:r w:rsidRPr="00A63078">
        <w:rPr>
          <w:rStyle w:val="FootnoteReference"/>
          <w:rFonts w:ascii="Times New Roman" w:hAnsi="Times New Roman"/>
          <w:sz w:val="20"/>
          <w:lang w:val="fr-FR"/>
        </w:rPr>
        <w:footnoteRef/>
      </w:r>
      <w:r w:rsidRPr="00A63078">
        <w:rPr>
          <w:rFonts w:ascii="Times New Roman" w:hAnsi="Times New Roman"/>
          <w:sz w:val="20"/>
          <w:lang w:val="fr-FR"/>
        </w:rPr>
        <w:t>.</w:t>
      </w:r>
      <w:r w:rsidRPr="00A63078">
        <w:rPr>
          <w:rFonts w:ascii="Times New Roman" w:hAnsi="Times New Roman"/>
          <w:sz w:val="20"/>
          <w:lang w:val="fr-FR"/>
        </w:rPr>
        <w:tab/>
        <w:t xml:space="preserve">La Bolivie émet une observation grave et catégorique à l’endroit de ce paragraphe sur la base de l'expérience subie en 2019, lorsque l'équipe d'audit qui a travaillé sur la base de l'accord signé entre … </w:t>
      </w:r>
    </w:p>
  </w:footnote>
  <w:footnote w:id="86">
    <w:p w14:paraId="43433BB2" w14:textId="77777777" w:rsidR="00FE0D76" w:rsidRPr="00A63078" w:rsidRDefault="00FE0D76" w:rsidP="00FE0D76">
      <w:pPr>
        <w:pStyle w:val="FootnoteText"/>
        <w:ind w:left="720"/>
        <w:rPr>
          <w:rFonts w:ascii="Times New Roman" w:hAnsi="Times New Roman"/>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r>
      <w:r w:rsidRPr="00A63078">
        <w:rPr>
          <w:rFonts w:ascii="Times New Roman" w:hAnsi="Times New Roman"/>
          <w:snapToGrid w:val="0"/>
          <w:sz w:val="20"/>
          <w:lang w:val="fr-FR"/>
        </w:rPr>
        <w:t>Le</w:t>
      </w:r>
      <w:r w:rsidRPr="00A63078">
        <w:rPr>
          <w:rFonts w:ascii="Times New Roman" w:hAnsi="Times New Roman"/>
          <w:sz w:val="20"/>
          <w:lang w:val="fr-FR"/>
        </w:rPr>
        <w:t xml:space="preserve"> Mexique relève avec préoccupation une fois de plus, des inconsistances et des irrégularités dans le Rapport du Secrétaire général sur la présentation des pouvoirs des délégations participant à la…</w:t>
      </w:r>
    </w:p>
  </w:footnote>
  <w:footnote w:id="87">
    <w:p w14:paraId="0555F00A" w14:textId="77777777" w:rsidR="00FE0D76" w:rsidRPr="00A63078" w:rsidRDefault="00FE0D76" w:rsidP="00FE0D76">
      <w:pPr>
        <w:pStyle w:val="FootnoteText"/>
        <w:ind w:left="720"/>
        <w:rPr>
          <w:rFonts w:ascii="Times New Roman" w:hAnsi="Times New Roman"/>
          <w:snapToGrid w:val="0"/>
          <w:sz w:val="20"/>
          <w:lang w:val="fr-FR"/>
        </w:rPr>
      </w:pPr>
      <w:r w:rsidRPr="00A63078">
        <w:rPr>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napToGrid w:val="0"/>
          <w:sz w:val="20"/>
          <w:lang w:val="fr-FR"/>
        </w:rPr>
        <w:tab/>
        <w:t>Le Nicaragua se prévaut des déclarations des délégations de Saint-Vincent-et-Grenadines, des États-Unis du Mexique ainsi que de l’État plurinational de Bolivie et rejette l’accréditation irrégulière…</w:t>
      </w:r>
    </w:p>
  </w:footnote>
  <w:footnote w:id="88">
    <w:p w14:paraId="4CE650FA" w14:textId="77777777" w:rsidR="00FE0D76" w:rsidRPr="00A63078" w:rsidRDefault="00FE0D76" w:rsidP="00FE0D76">
      <w:pPr>
        <w:pStyle w:val="FootnoteText"/>
        <w:ind w:left="720"/>
        <w:rPr>
          <w:rFonts w:ascii="Times New Roman" w:hAnsi="Times New Roman"/>
          <w:snapToGrid w:val="0"/>
          <w:sz w:val="20"/>
          <w:lang w:val="fr-FR"/>
        </w:rPr>
      </w:pPr>
      <w:r w:rsidRPr="00A63078">
        <w:rPr>
          <w:rFonts w:ascii="Times New Roman" w:hAnsi="Times New Roman"/>
          <w:snapToGrid w:val="0"/>
          <w:sz w:val="20"/>
          <w:lang w:val="fr-FR"/>
        </w:rPr>
        <w:footnoteRef/>
      </w:r>
      <w:r w:rsidRPr="00A63078">
        <w:rPr>
          <w:rFonts w:ascii="Times New Roman" w:hAnsi="Times New Roman"/>
          <w:snapToGrid w:val="0"/>
          <w:sz w:val="20"/>
          <w:lang w:val="fr-FR"/>
        </w:rPr>
        <w:t>.</w:t>
      </w:r>
      <w:r w:rsidRPr="00A63078">
        <w:rPr>
          <w:rFonts w:ascii="Times New Roman" w:hAnsi="Times New Roman"/>
          <w:snapToGrid w:val="0"/>
          <w:sz w:val="20"/>
          <w:lang w:val="fr-FR"/>
        </w:rPr>
        <w:tab/>
        <w:t>Antigua-et-Barbuda considère que la République bolivarienne du Venezuela n'est pas un État membre de l'Organisation des États Américains puisque, le 27 avril 2017, le gouvernement de la République…</w:t>
      </w:r>
    </w:p>
  </w:footnote>
  <w:footnote w:id="89">
    <w:p w14:paraId="3ABD5A24" w14:textId="77777777" w:rsidR="00FE0D76" w:rsidRPr="00A63078" w:rsidRDefault="00FE0D76" w:rsidP="00FE0D76">
      <w:pPr>
        <w:pStyle w:val="FootnoteText"/>
        <w:ind w:left="720"/>
        <w:rPr>
          <w:rFonts w:ascii="Times New Roman" w:hAnsi="Times New Roman"/>
          <w:sz w:val="20"/>
          <w:lang w:val="fr-CA"/>
        </w:rPr>
      </w:pPr>
      <w:r w:rsidRPr="00A63078">
        <w:rPr>
          <w:rFonts w:ascii="Times New Roman" w:hAnsi="Times New Roman"/>
          <w:snapToGrid w:val="0"/>
          <w:sz w:val="20"/>
          <w:lang w:val="fr-FR"/>
        </w:rPr>
        <w:footnoteRef/>
      </w:r>
      <w:r w:rsidRPr="00A63078">
        <w:rPr>
          <w:rFonts w:ascii="Times New Roman" w:hAnsi="Times New Roman"/>
          <w:snapToGrid w:val="0"/>
          <w:sz w:val="20"/>
          <w:lang w:val="fr-FR"/>
        </w:rPr>
        <w:t>.</w:t>
      </w:r>
      <w:r w:rsidRPr="00A63078">
        <w:rPr>
          <w:rFonts w:ascii="Times New Roman" w:hAnsi="Times New Roman"/>
          <w:snapToGrid w:val="0"/>
          <w:sz w:val="20"/>
          <w:lang w:val="fr-FR"/>
        </w:rPr>
        <w:tab/>
        <w:t>Saint-Vincent fait état de sa non-reconnaissance et de sa non-acceptation des pouvoirs de la prétendue délégation de l'Assemblée nationale de la République bolivarienne du Venezuela. En 2017, le…</w:t>
      </w:r>
    </w:p>
  </w:footnote>
  <w:footnote w:id="90">
    <w:p w14:paraId="0D37F052" w14:textId="77777777" w:rsidR="00FE0D76" w:rsidRPr="00A63078" w:rsidRDefault="00FE0D76" w:rsidP="00FE0D76">
      <w:pPr>
        <w:ind w:left="720" w:hanging="360"/>
        <w:rPr>
          <w:rFonts w:ascii="Times New Roman" w:eastAsia="Calibri" w:hAnsi="Times New Roman"/>
          <w:iCs/>
          <w:sz w:val="20"/>
          <w:lang w:val="fr-FR"/>
        </w:rPr>
      </w:pPr>
      <w:r w:rsidRPr="00A63078">
        <w:rPr>
          <w:rStyle w:val="FootnoteReference"/>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r>
      <w:r w:rsidRPr="00A63078">
        <w:rPr>
          <w:rFonts w:ascii="Times New Roman" w:hAnsi="Times New Roman"/>
          <w:iCs/>
          <w:sz w:val="20"/>
          <w:lang w:val="fr-FR"/>
        </w:rPr>
        <w:t xml:space="preserve">L'État du Guatemala déclare promouvoir et défendre les droits de la personne reconnus dans les pactes internationaux, pour tous ses citoyens, sous la protection des dispositions de la… </w:t>
      </w:r>
    </w:p>
  </w:footnote>
  <w:footnote w:id="91">
    <w:p w14:paraId="360B3A14" w14:textId="77777777" w:rsidR="00FE0D76" w:rsidRPr="00A63078" w:rsidRDefault="00FE0D76" w:rsidP="00FE0D76">
      <w:pPr>
        <w:pStyle w:val="FootnoteText"/>
        <w:tabs>
          <w:tab w:val="clear" w:pos="360"/>
        </w:tabs>
        <w:ind w:left="720"/>
        <w:rPr>
          <w:rFonts w:ascii="Times New Roman" w:hAnsi="Times New Roman"/>
          <w:iCs/>
          <w:sz w:val="20"/>
          <w:lang w:val="fr-FR"/>
        </w:rPr>
      </w:pPr>
      <w:r w:rsidRPr="00A63078">
        <w:rPr>
          <w:rStyle w:val="FootnoteReference"/>
          <w:rFonts w:ascii="Times New Roman" w:hAnsi="Times New Roman"/>
          <w:iCs/>
          <w:sz w:val="20"/>
          <w:lang w:val="fr-FR"/>
        </w:rPr>
        <w:footnoteRef/>
      </w:r>
      <w:r w:rsidRPr="00A63078">
        <w:rPr>
          <w:rFonts w:ascii="Times New Roman" w:hAnsi="Times New Roman"/>
          <w:iCs/>
          <w:sz w:val="20"/>
          <w:lang w:val="fr-FR"/>
        </w:rPr>
        <w:t>.</w:t>
      </w:r>
      <w:r w:rsidRPr="00A63078">
        <w:rPr>
          <w:rFonts w:ascii="Times New Roman" w:hAnsi="Times New Roman"/>
          <w:iCs/>
          <w:sz w:val="20"/>
          <w:lang w:val="fr-FR"/>
        </w:rPr>
        <w:tab/>
      </w:r>
      <w:r w:rsidRPr="00A63078">
        <w:rPr>
          <w:rFonts w:ascii="Times New Roman" w:hAnsi="Times New Roman"/>
          <w:sz w:val="20"/>
          <w:lang w:val="fr-FR"/>
        </w:rPr>
        <w:t>Le Gouvernement de Sainte-Lucie soutient tous les efforts visant à promouvoir et à protéger les droits de tous les citoyens et reste attaché à ses obligations en vertu de la Déclaration universelle des droits..</w:t>
      </w:r>
      <w:r w:rsidRPr="00A63078">
        <w:rPr>
          <w:rFonts w:ascii="Times New Roman" w:hAnsi="Times New Roman"/>
          <w:iCs/>
          <w:sz w:val="20"/>
          <w:lang w:val="fr-FR"/>
        </w:rPr>
        <w:t>.</w:t>
      </w:r>
    </w:p>
  </w:footnote>
  <w:footnote w:id="92">
    <w:p w14:paraId="3A705CD5" w14:textId="77777777" w:rsidR="00F723DA" w:rsidRPr="00A63078" w:rsidRDefault="00F723DA" w:rsidP="00F723DA">
      <w:pPr>
        <w:pStyle w:val="FootnoteText"/>
        <w:tabs>
          <w:tab w:val="clear" w:pos="360"/>
        </w:tabs>
        <w:ind w:left="720"/>
        <w:rPr>
          <w:rFonts w:ascii="Times New Roman" w:hAnsi="Times New Roman"/>
          <w:sz w:val="20"/>
          <w:lang w:val="fr-FR"/>
        </w:rPr>
      </w:pPr>
      <w:r w:rsidRPr="00A63078">
        <w:rPr>
          <w:rStyle w:val="FootnoteReference"/>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La délégation de la Jamaïque a annoncé qu'elle présenterait une note de bas de page.</w:t>
      </w:r>
    </w:p>
  </w:footnote>
  <w:footnote w:id="93">
    <w:p w14:paraId="03A636EB" w14:textId="77777777" w:rsidR="00F723DA" w:rsidRPr="00A63078" w:rsidRDefault="00F723DA" w:rsidP="00F723DA">
      <w:pPr>
        <w:pStyle w:val="FootnoteText"/>
        <w:tabs>
          <w:tab w:val="clear" w:pos="360"/>
        </w:tabs>
        <w:ind w:left="720"/>
        <w:rPr>
          <w:rFonts w:ascii="Times New Roman" w:hAnsi="Times New Roman"/>
          <w:sz w:val="20"/>
          <w:lang w:val="fr-FR"/>
        </w:rPr>
      </w:pPr>
      <w:r w:rsidRPr="00A63078">
        <w:rPr>
          <w:rStyle w:val="FootnoteReference"/>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La délégation de la Jamaïque a annoncé qu'elle présenterait une note de bas de page.</w:t>
      </w:r>
    </w:p>
  </w:footnote>
  <w:footnote w:id="94">
    <w:p w14:paraId="1A957930" w14:textId="77777777" w:rsidR="00F723DA" w:rsidRPr="00A63078" w:rsidRDefault="00F723DA" w:rsidP="00F723DA">
      <w:pPr>
        <w:pStyle w:val="FootnoteText"/>
        <w:tabs>
          <w:tab w:val="clear" w:pos="360"/>
        </w:tabs>
        <w:ind w:left="720"/>
        <w:jc w:val="left"/>
        <w:rPr>
          <w:rFonts w:ascii="Times New Roman" w:eastAsia="Calibri" w:hAnsi="Times New Roman"/>
          <w:b/>
          <w:bCs/>
          <w:sz w:val="20"/>
          <w:lang w:val="fr-FR"/>
        </w:rPr>
      </w:pPr>
      <w:r w:rsidRPr="00A63078">
        <w:rPr>
          <w:rStyle w:val="FootnoteReference"/>
          <w:rFonts w:ascii="Times New Roman" w:hAnsi="Times New Roman"/>
          <w:sz w:val="20"/>
        </w:rPr>
        <w:footnoteRef/>
      </w:r>
      <w:r w:rsidRPr="00A63078">
        <w:rPr>
          <w:rFonts w:ascii="Times New Roman" w:hAnsi="Times New Roman"/>
          <w:sz w:val="20"/>
          <w:lang w:val="fr-FR"/>
        </w:rPr>
        <w:t>.</w:t>
      </w:r>
      <w:r w:rsidRPr="00A63078">
        <w:rPr>
          <w:rFonts w:ascii="Times New Roman" w:hAnsi="Times New Roman"/>
          <w:b/>
          <w:bCs/>
          <w:sz w:val="20"/>
          <w:vertAlign w:val="superscript"/>
          <w:lang w:val="fr-FR"/>
        </w:rPr>
        <w:tab/>
      </w:r>
      <w:r w:rsidRPr="00A63078">
        <w:rPr>
          <w:rFonts w:ascii="Times New Roman" w:hAnsi="Times New Roman"/>
          <w:sz w:val="20"/>
          <w:lang w:val="fr-BE"/>
        </w:rPr>
        <w:t xml:space="preserve">Le Paraguay se joint au consensus pour l'adoption de la section xii. </w:t>
      </w:r>
      <w:proofErr w:type="gramStart"/>
      <w:r w:rsidRPr="00A63078">
        <w:rPr>
          <w:rFonts w:ascii="Times New Roman" w:hAnsi="Times New Roman"/>
          <w:sz w:val="20"/>
          <w:lang w:val="fr-BE"/>
        </w:rPr>
        <w:t>et</w:t>
      </w:r>
      <w:proofErr w:type="gramEnd"/>
      <w:r w:rsidRPr="00A63078">
        <w:rPr>
          <w:rFonts w:ascii="Times New Roman" w:hAnsi="Times New Roman"/>
          <w:sz w:val="20"/>
          <w:lang w:val="fr-BE"/>
        </w:rPr>
        <w:t xml:space="preserve"> de la section xiii. </w:t>
      </w:r>
      <w:proofErr w:type="gramStart"/>
      <w:r w:rsidRPr="00A63078">
        <w:rPr>
          <w:rFonts w:ascii="Times New Roman" w:hAnsi="Times New Roman"/>
          <w:sz w:val="20"/>
          <w:lang w:val="fr-BE"/>
        </w:rPr>
        <w:t>conformément</w:t>
      </w:r>
      <w:proofErr w:type="gramEnd"/>
      <w:r w:rsidRPr="00A63078">
        <w:rPr>
          <w:rFonts w:ascii="Times New Roman" w:hAnsi="Times New Roman"/>
          <w:sz w:val="20"/>
          <w:lang w:val="fr-BE"/>
        </w:rPr>
        <w:t xml:space="preserve"> à sa législation en vigueur, mais donne acte qu’il n'accepte pas expressément les définitions ou ...</w:t>
      </w:r>
    </w:p>
  </w:footnote>
  <w:footnote w:id="95">
    <w:p w14:paraId="7356F988" w14:textId="77777777" w:rsidR="00F723DA" w:rsidRPr="00A63078" w:rsidRDefault="00F723DA" w:rsidP="00F723DA">
      <w:pPr>
        <w:pStyle w:val="FootnoteText"/>
        <w:tabs>
          <w:tab w:val="clear" w:pos="360"/>
        </w:tabs>
        <w:ind w:left="720"/>
        <w:jc w:val="left"/>
        <w:rPr>
          <w:rFonts w:ascii="Times New Roman" w:hAnsi="Times New Roman"/>
          <w:sz w:val="20"/>
          <w:lang w:val="fr-FR"/>
        </w:rPr>
      </w:pPr>
      <w:r w:rsidRPr="00A63078">
        <w:rPr>
          <w:rStyle w:val="FootnoteReference"/>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 xml:space="preserve">Trinité-et-Tobago n’est pas en mesure de se joindre au consensus concernant le paragraphe 2 du dispositif de cette section en raison d’un conflit avec sa législation nationale en vigueur. Le … </w:t>
      </w:r>
    </w:p>
  </w:footnote>
  <w:footnote w:id="96">
    <w:p w14:paraId="6AAFC11A" w14:textId="77777777" w:rsidR="00F723DA" w:rsidRPr="00A63078" w:rsidRDefault="00F723DA" w:rsidP="00F723DA">
      <w:pPr>
        <w:ind w:left="720" w:hanging="360"/>
        <w:rPr>
          <w:rFonts w:ascii="Times New Roman" w:hAnsi="Times New Roman"/>
          <w:sz w:val="20"/>
          <w:lang w:val="fr-FR"/>
        </w:rPr>
      </w:pPr>
      <w:r w:rsidRPr="00A63078">
        <w:rPr>
          <w:rStyle w:val="FootnoteReference"/>
          <w:rFonts w:ascii="Times New Roman" w:hAnsi="Times New Roman"/>
          <w:sz w:val="20"/>
          <w:lang w:val="fr-FR"/>
        </w:rPr>
        <w:footnoteRef/>
      </w:r>
      <w:r w:rsidRPr="00A63078">
        <w:rPr>
          <w:rFonts w:ascii="Times New Roman" w:hAnsi="Times New Roman"/>
          <w:sz w:val="20"/>
          <w:lang w:val="fr-FR"/>
        </w:rPr>
        <w:t>.</w:t>
      </w:r>
      <w:r w:rsidRPr="00A63078">
        <w:rPr>
          <w:rFonts w:ascii="Times New Roman" w:hAnsi="Times New Roman"/>
          <w:sz w:val="20"/>
          <w:lang w:val="fr-FR"/>
        </w:rPr>
        <w:tab/>
        <w:t xml:space="preserve">Le Paraguay se joint au consensus pour l'adoption de la section xii. </w:t>
      </w:r>
      <w:proofErr w:type="gramStart"/>
      <w:r w:rsidRPr="00A63078">
        <w:rPr>
          <w:rFonts w:ascii="Times New Roman" w:hAnsi="Times New Roman"/>
          <w:sz w:val="20"/>
          <w:lang w:val="fr-FR"/>
        </w:rPr>
        <w:t>et</w:t>
      </w:r>
      <w:proofErr w:type="gramEnd"/>
      <w:r w:rsidRPr="00A63078">
        <w:rPr>
          <w:rFonts w:ascii="Times New Roman" w:hAnsi="Times New Roman"/>
          <w:sz w:val="20"/>
          <w:lang w:val="fr-FR"/>
        </w:rPr>
        <w:t xml:space="preserve"> de la section xiii. </w:t>
      </w:r>
      <w:proofErr w:type="gramStart"/>
      <w:r w:rsidRPr="00A63078">
        <w:rPr>
          <w:rFonts w:ascii="Times New Roman" w:hAnsi="Times New Roman"/>
          <w:sz w:val="20"/>
          <w:lang w:val="fr-FR"/>
        </w:rPr>
        <w:t>conformément</w:t>
      </w:r>
      <w:proofErr w:type="gramEnd"/>
      <w:r w:rsidRPr="00A63078">
        <w:rPr>
          <w:rFonts w:ascii="Times New Roman" w:hAnsi="Times New Roman"/>
          <w:sz w:val="20"/>
          <w:lang w:val="fr-FR"/>
        </w:rPr>
        <w:t xml:space="preserve"> à sa législation en vigueur, mais donne acte qu’il n'accepte pas expressément les définitions ou …</w:t>
      </w:r>
    </w:p>
  </w:footnote>
  <w:footnote w:id="97">
    <w:p w14:paraId="738FF575" w14:textId="77777777" w:rsidR="00F723DA" w:rsidRPr="00A63078" w:rsidRDefault="00F723DA" w:rsidP="00F723DA">
      <w:pPr>
        <w:shd w:val="clear" w:color="auto" w:fill="FFFFFF"/>
        <w:ind w:left="720" w:hanging="360"/>
        <w:rPr>
          <w:rFonts w:ascii="Times New Roman" w:hAnsi="Times New Roman"/>
          <w:sz w:val="20"/>
          <w:lang w:val="fr-FR"/>
        </w:rPr>
      </w:pPr>
      <w:r w:rsidRPr="00A63078">
        <w:rPr>
          <w:rStyle w:val="FootnoteReference"/>
          <w:rFonts w:ascii="Times New Roman" w:hAnsi="Times New Roman"/>
          <w:sz w:val="20"/>
          <w:lang w:val="fr-FR"/>
        </w:rPr>
        <w:footnoteRef/>
      </w:r>
      <w:r w:rsidRPr="00A63078">
        <w:rPr>
          <w:rFonts w:ascii="Times New Roman" w:hAnsi="Times New Roman"/>
          <w:sz w:val="20"/>
          <w:lang w:val="fr-FR"/>
        </w:rPr>
        <w:t>.</w:t>
      </w:r>
      <w:r w:rsidRPr="00A63078">
        <w:rPr>
          <w:rFonts w:ascii="Times New Roman" w:hAnsi="Times New Roman"/>
          <w:sz w:val="20"/>
          <w:lang w:val="fr-FR"/>
        </w:rPr>
        <w:tab/>
        <w:t xml:space="preserve">La section « Droits de la personne et environnement » de la résolution AG/RES. 2961 (L-O/20), qui prend note du droit de vivre dans un environnement sain et exhorte les autres États membres à … </w:t>
      </w:r>
    </w:p>
  </w:footnote>
  <w:footnote w:id="98">
    <w:p w14:paraId="74C882BC" w14:textId="77777777" w:rsidR="00F723DA" w:rsidRPr="00A63078" w:rsidRDefault="00F723DA" w:rsidP="00F723DA">
      <w:pPr>
        <w:shd w:val="clear" w:color="auto" w:fill="FFFFFF"/>
        <w:ind w:left="720" w:hanging="360"/>
        <w:rPr>
          <w:rFonts w:ascii="Times New Roman" w:hAnsi="Times New Roman"/>
          <w:sz w:val="20"/>
          <w:lang w:val="fr-FR"/>
        </w:rPr>
      </w:pPr>
      <w:r w:rsidRPr="00A63078">
        <w:rPr>
          <w:rStyle w:val="FootnoteReference"/>
          <w:rFonts w:ascii="Times New Roman" w:hAnsi="Times New Roman"/>
          <w:sz w:val="20"/>
          <w:lang w:val="fr-FR"/>
        </w:rPr>
        <w:footnoteRef/>
      </w:r>
      <w:r w:rsidRPr="00A63078">
        <w:rPr>
          <w:rFonts w:ascii="Times New Roman" w:hAnsi="Times New Roman"/>
          <w:sz w:val="20"/>
          <w:lang w:val="fr-FR"/>
        </w:rPr>
        <w:t>.</w:t>
      </w:r>
      <w:r w:rsidRPr="00A63078">
        <w:rPr>
          <w:rFonts w:ascii="Times New Roman" w:hAnsi="Times New Roman"/>
          <w:sz w:val="20"/>
          <w:lang w:val="fr-FR"/>
        </w:rPr>
        <w:tab/>
      </w:r>
      <w:r w:rsidRPr="00A63078">
        <w:rPr>
          <w:rFonts w:ascii="Times New Roman" w:hAnsi="Times New Roman"/>
          <w:sz w:val="20"/>
          <w:lang w:val="fr-FR" w:eastAsia="x-none"/>
        </w:rPr>
        <w:t xml:space="preserve">Concernant le paragraphe 3, de la section xiv visée, de la résolution AG/RES. 2961 (L-O/20), intitulée « Droits de la personne et environnement », la République du Chili précise qu’elle n’a pas souscrit… </w:t>
      </w:r>
    </w:p>
  </w:footnote>
  <w:footnote w:id="99">
    <w:p w14:paraId="4B4C629A" w14:textId="77777777" w:rsidR="00F723DA" w:rsidRPr="00A63078" w:rsidRDefault="00F723DA" w:rsidP="00F723DA">
      <w:pPr>
        <w:pStyle w:val="FootnoteText"/>
        <w:ind w:left="720"/>
        <w:rPr>
          <w:rFonts w:ascii="Times New Roman" w:eastAsia="Calibri" w:hAnsi="Times New Roman"/>
          <w:sz w:val="20"/>
          <w:lang w:val="fr-FR"/>
        </w:rPr>
      </w:pPr>
      <w:r w:rsidRPr="00A63078">
        <w:rPr>
          <w:rStyle w:val="FootnoteReference"/>
          <w:rFonts w:ascii="Times New Roman" w:hAnsi="Times New Roman"/>
          <w:sz w:val="20"/>
          <w:lang w:val="fr-FR"/>
        </w:rPr>
        <w:footnoteRef/>
      </w:r>
      <w:r w:rsidRPr="00A63078">
        <w:rPr>
          <w:rFonts w:ascii="Times New Roman" w:hAnsi="Times New Roman"/>
          <w:sz w:val="20"/>
          <w:lang w:val="fr-FR"/>
        </w:rPr>
        <w:t>.</w:t>
      </w:r>
      <w:r w:rsidRPr="00A63078">
        <w:rPr>
          <w:rFonts w:ascii="Times New Roman" w:hAnsi="Times New Roman"/>
          <w:sz w:val="20"/>
          <w:lang w:val="fr-FR"/>
        </w:rPr>
        <w:tab/>
        <w:t xml:space="preserve">“Le Gouvernement de la Barbade déclare que cette section de la présente résolution comporte un certain nombre de concepts et de termes qui ne sont pas prévus dans sa législation nationale et … </w:t>
      </w:r>
    </w:p>
  </w:footnote>
  <w:footnote w:id="100">
    <w:p w14:paraId="4C6F94F9" w14:textId="77777777" w:rsidR="00F723DA" w:rsidRPr="00A63078" w:rsidRDefault="00F723DA" w:rsidP="00F723DA">
      <w:pPr>
        <w:pStyle w:val="FootnoteText"/>
        <w:ind w:left="720"/>
        <w:rPr>
          <w:rFonts w:ascii="Times New Roman" w:hAnsi="Times New Roman"/>
          <w:sz w:val="20"/>
          <w:lang w:val="fr-FR"/>
        </w:rPr>
      </w:pPr>
      <w:r w:rsidRPr="00A63078">
        <w:rPr>
          <w:rStyle w:val="FootnoteReference"/>
          <w:rFonts w:ascii="Times New Roman" w:hAnsi="Times New Roman"/>
          <w:sz w:val="20"/>
          <w:lang w:val="fr-FR"/>
        </w:rPr>
        <w:footnoteRef/>
      </w:r>
      <w:r w:rsidRPr="00A63078">
        <w:rPr>
          <w:rFonts w:ascii="Times New Roman" w:hAnsi="Times New Roman"/>
          <w:sz w:val="20"/>
          <w:lang w:val="fr-FR"/>
        </w:rPr>
        <w:t>.</w:t>
      </w:r>
      <w:r w:rsidRPr="00A63078">
        <w:rPr>
          <w:rFonts w:ascii="Times New Roman" w:hAnsi="Times New Roman"/>
          <w:sz w:val="20"/>
          <w:lang w:val="fr-FR"/>
        </w:rPr>
        <w:tab/>
      </w:r>
      <w:r w:rsidRPr="00A63078">
        <w:rPr>
          <w:rFonts w:ascii="Times New Roman" w:hAnsi="Times New Roman"/>
          <w:sz w:val="20"/>
          <w:shd w:val="clear" w:color="auto" w:fill="FFFFFF"/>
          <w:lang w:val="fr-FR"/>
        </w:rPr>
        <w:t>La République du Paraguay réitère son engagement en faveur des principes de la Déclaration universelle des droits de l’homme et des conventions internationales souscrites en la matière et …</w:t>
      </w:r>
    </w:p>
  </w:footnote>
  <w:footnote w:id="101">
    <w:p w14:paraId="6FB2E4ED" w14:textId="77777777" w:rsidR="00F723DA" w:rsidRPr="00A63078" w:rsidRDefault="00F723DA" w:rsidP="00F723DA">
      <w:pPr>
        <w:pStyle w:val="FootnoteText"/>
        <w:ind w:left="720"/>
        <w:rPr>
          <w:rFonts w:ascii="Times New Roman" w:hAnsi="Times New Roman"/>
          <w:sz w:val="20"/>
          <w:lang w:val="fr-FR"/>
        </w:rPr>
      </w:pPr>
      <w:r w:rsidRPr="00A63078">
        <w:rPr>
          <w:rStyle w:val="FootnoteReference"/>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La République du Honduras déclare son engagement envers les droits de la personne et les conventions internationales et, en ce qui concerne les dispositions contenues dans la présente résolution, …</w:t>
      </w:r>
    </w:p>
  </w:footnote>
  <w:footnote w:id="102">
    <w:p w14:paraId="3D055B73" w14:textId="77777777" w:rsidR="00F723DA" w:rsidRPr="00A63078" w:rsidRDefault="00F723DA" w:rsidP="00F723DA">
      <w:pPr>
        <w:pStyle w:val="FootnoteText"/>
        <w:ind w:left="720"/>
        <w:rPr>
          <w:rFonts w:ascii="Times New Roman" w:hAnsi="Times New Roman"/>
          <w:sz w:val="20"/>
          <w:lang w:val="fr-FR"/>
        </w:rPr>
      </w:pPr>
      <w:r w:rsidRPr="00A63078">
        <w:rPr>
          <w:rStyle w:val="FootnoteReference"/>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 xml:space="preserve">Le Gouvernement de Sainte-Lucie reste attaché à ses obligations en vertu de la Déclaration universelle des droits de l'homme et des conventions internationales connexes dont Sainte-Lucie est signataire. … </w:t>
      </w:r>
    </w:p>
  </w:footnote>
  <w:footnote w:id="103">
    <w:p w14:paraId="11920E4A" w14:textId="77777777" w:rsidR="00F723DA" w:rsidRPr="00A63078" w:rsidRDefault="00F723DA" w:rsidP="00F723DA">
      <w:pPr>
        <w:pStyle w:val="FootnoteText"/>
        <w:ind w:left="720"/>
        <w:rPr>
          <w:rFonts w:ascii="Times New Roman" w:hAnsi="Times New Roman"/>
          <w:iCs/>
          <w:sz w:val="20"/>
          <w:lang w:val="fr-FR"/>
        </w:rPr>
      </w:pPr>
      <w:r w:rsidRPr="00A63078">
        <w:rPr>
          <w:rStyle w:val="FootnoteReference"/>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r>
      <w:r w:rsidRPr="00A63078">
        <w:rPr>
          <w:rFonts w:ascii="Times New Roman" w:hAnsi="Times New Roman"/>
          <w:iCs/>
          <w:sz w:val="20"/>
          <w:lang w:val="fr-FR"/>
        </w:rPr>
        <w:t xml:space="preserve">Saint-Vincent-et-Grenadines n'est pas en mesure de se joindre au consensus sur l’approbation de cette section de la présente résolution. Saint-Vincent-et-Grenadines promeut et défend les droits… </w:t>
      </w:r>
    </w:p>
  </w:footnote>
  <w:footnote w:id="104">
    <w:p w14:paraId="2B3AF99C" w14:textId="77777777" w:rsidR="00F723DA" w:rsidRPr="00A63078" w:rsidRDefault="00F723DA" w:rsidP="00F723DA">
      <w:pPr>
        <w:pStyle w:val="FootnoteText"/>
        <w:ind w:left="720"/>
        <w:rPr>
          <w:rFonts w:ascii="Times New Roman" w:hAnsi="Times New Roman"/>
          <w:sz w:val="20"/>
          <w:lang w:val="fr-FR"/>
        </w:rPr>
      </w:pPr>
      <w:r w:rsidRPr="00A63078">
        <w:rPr>
          <w:rStyle w:val="FootnoteReference"/>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 xml:space="preserve">Trinité-et-Tobago n’est pas en mesure de se joindre au consensus concernant cette section en raison d’un conflit avec sa législation nationale en vigueur. Le Gouvernement de la République de… </w:t>
      </w:r>
    </w:p>
  </w:footnote>
  <w:footnote w:id="105">
    <w:p w14:paraId="1086AF84" w14:textId="77777777" w:rsidR="00F723DA" w:rsidRPr="00A63078" w:rsidRDefault="00F723DA" w:rsidP="00F723DA">
      <w:pPr>
        <w:pStyle w:val="FootnoteText"/>
        <w:tabs>
          <w:tab w:val="clear" w:pos="360"/>
        </w:tabs>
        <w:ind w:left="720"/>
        <w:rPr>
          <w:rFonts w:ascii="Times New Roman" w:hAnsi="Times New Roman"/>
          <w:sz w:val="20"/>
          <w:lang w:val="fr-FR"/>
        </w:rPr>
      </w:pPr>
      <w:r w:rsidRPr="00A63078">
        <w:rPr>
          <w:rStyle w:val="FootnoteReference"/>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La délégation de la Jamaïque a annoncé qu'elle présenterait une note de bas de page.</w:t>
      </w:r>
    </w:p>
  </w:footnote>
  <w:footnote w:id="106">
    <w:p w14:paraId="1A080644" w14:textId="77777777" w:rsidR="00F723DA" w:rsidRPr="00A63078" w:rsidRDefault="00F723DA" w:rsidP="00F723DA">
      <w:pPr>
        <w:pStyle w:val="FootnoteText"/>
        <w:tabs>
          <w:tab w:val="clear" w:pos="360"/>
        </w:tabs>
        <w:ind w:left="720"/>
        <w:rPr>
          <w:rFonts w:ascii="Times New Roman" w:hAnsi="Times New Roman"/>
          <w:sz w:val="20"/>
          <w:lang w:val="fr-FR"/>
        </w:rPr>
      </w:pPr>
      <w:r w:rsidRPr="00A63078">
        <w:rPr>
          <w:rStyle w:val="FootnoteReference"/>
          <w:rFonts w:ascii="Times New Roman" w:hAnsi="Times New Roman"/>
          <w:sz w:val="20"/>
        </w:rPr>
        <w:footnoteRef/>
      </w:r>
      <w:r w:rsidRPr="00A63078">
        <w:rPr>
          <w:rFonts w:ascii="Times New Roman" w:hAnsi="Times New Roman"/>
          <w:sz w:val="20"/>
          <w:lang w:val="fr-FR"/>
        </w:rPr>
        <w:t>.</w:t>
      </w:r>
      <w:r w:rsidRPr="00A63078">
        <w:rPr>
          <w:rFonts w:ascii="Times New Roman" w:hAnsi="Times New Roman"/>
          <w:sz w:val="20"/>
          <w:lang w:val="fr-FR"/>
        </w:rPr>
        <w:tab/>
        <w:t>La délégation du Suriname a annoncé qu'elle présenterait une note de bas de page.</w:t>
      </w:r>
    </w:p>
  </w:footnote>
  <w:footnote w:id="107">
    <w:p w14:paraId="40E511BB" w14:textId="77777777" w:rsidR="00F723DA" w:rsidRPr="00A63078" w:rsidRDefault="00F723DA" w:rsidP="00F723DA">
      <w:pPr>
        <w:ind w:left="720" w:hanging="360"/>
        <w:rPr>
          <w:rFonts w:ascii="Times New Roman" w:hAnsi="Times New Roman"/>
          <w:sz w:val="20"/>
          <w:lang w:val="fr-FR"/>
        </w:rPr>
      </w:pPr>
      <w:r w:rsidRPr="00A63078">
        <w:rPr>
          <w:rStyle w:val="FootnoteReference"/>
          <w:rFonts w:ascii="Times New Roman" w:hAnsi="Times New Roman"/>
          <w:sz w:val="20"/>
          <w:lang w:val="fr-FR"/>
        </w:rPr>
        <w:footnoteRef/>
      </w:r>
      <w:r w:rsidRPr="00A63078">
        <w:rPr>
          <w:rFonts w:ascii="Times New Roman" w:hAnsi="Times New Roman"/>
          <w:sz w:val="20"/>
          <w:lang w:val="fr-FR"/>
        </w:rPr>
        <w:t>.</w:t>
      </w:r>
      <w:r w:rsidRPr="00A63078">
        <w:rPr>
          <w:rFonts w:ascii="Times New Roman" w:hAnsi="Times New Roman"/>
          <w:sz w:val="20"/>
          <w:lang w:val="fr-FR"/>
        </w:rPr>
        <w:tab/>
        <w:t xml:space="preserve">Le Nicaragua est connu à travers le monde pour sa vocation pacifique et a été reconnu comme le pays le plus sûr de la région, le pays qui a réduit le plus rapidement le taux de pauvreté et … </w:t>
      </w:r>
    </w:p>
    <w:p w14:paraId="2EE60129" w14:textId="77777777" w:rsidR="00F723DA" w:rsidRPr="00A63078" w:rsidRDefault="00F723DA" w:rsidP="00F723DA">
      <w:pPr>
        <w:pStyle w:val="FootnoteText"/>
        <w:ind w:left="720"/>
        <w:rPr>
          <w:rFonts w:ascii="Times New Roman" w:hAnsi="Times New Roman"/>
          <w:sz w:val="20"/>
          <w:lang w:val="fr-FR"/>
        </w:rPr>
      </w:pPr>
    </w:p>
  </w:footnote>
  <w:footnote w:id="108">
    <w:p w14:paraId="48C74DA6" w14:textId="77777777" w:rsidR="00F723DA" w:rsidRPr="00A63078" w:rsidRDefault="00F723DA" w:rsidP="00F723DA">
      <w:pPr>
        <w:ind w:left="720" w:hanging="360"/>
        <w:rPr>
          <w:rFonts w:ascii="Times New Roman" w:hAnsi="Times New Roman"/>
          <w:sz w:val="20"/>
          <w:lang w:val="fr-FR"/>
        </w:rPr>
      </w:pPr>
      <w:r w:rsidRPr="00A63078">
        <w:rPr>
          <w:rStyle w:val="FootnoteReference"/>
          <w:rFonts w:ascii="Times New Roman" w:hAnsi="Times New Roman"/>
          <w:sz w:val="20"/>
          <w:lang w:val="fr-FR"/>
        </w:rPr>
        <w:footnoteRef/>
      </w:r>
      <w:r w:rsidRPr="00A63078">
        <w:rPr>
          <w:rFonts w:ascii="Times New Roman" w:hAnsi="Times New Roman"/>
          <w:sz w:val="20"/>
          <w:lang w:val="fr-FR"/>
        </w:rPr>
        <w:t>.</w:t>
      </w:r>
      <w:r w:rsidRPr="00A63078">
        <w:rPr>
          <w:rFonts w:ascii="Times New Roman" w:hAnsi="Times New Roman"/>
          <w:sz w:val="20"/>
          <w:lang w:val="fr-FR"/>
        </w:rPr>
        <w:tab/>
      </w:r>
      <w:r w:rsidRPr="00A63078">
        <w:rPr>
          <w:rFonts w:ascii="Times New Roman" w:hAnsi="Times New Roman"/>
          <w:sz w:val="20"/>
          <w:shd w:val="clear" w:color="auto" w:fill="FFFFFF"/>
          <w:lang w:val="fr-FR"/>
        </w:rPr>
        <w:t>Les États-Unis rappellent la distinction entre les droits de la personne, dont les bénéficiaires sont les individus, et les droits collectifs, dont les bénéficiaires sont les peuples. Les États-Unis …</w:t>
      </w:r>
    </w:p>
  </w:footnote>
  <w:footnote w:id="109">
    <w:p w14:paraId="20FAA549" w14:textId="77777777" w:rsidR="00F723DA" w:rsidRPr="00A63078" w:rsidRDefault="00F723DA" w:rsidP="00F723DA">
      <w:pPr>
        <w:shd w:val="clear" w:color="auto" w:fill="FFFFFF"/>
        <w:ind w:left="720" w:hanging="360"/>
        <w:rPr>
          <w:rFonts w:ascii="Times New Roman" w:hAnsi="Times New Roman"/>
          <w:sz w:val="20"/>
          <w:lang w:val="fr-FR"/>
        </w:rPr>
      </w:pPr>
      <w:r w:rsidRPr="00A63078">
        <w:rPr>
          <w:rStyle w:val="FootnoteReference"/>
          <w:rFonts w:ascii="Times New Roman" w:hAnsi="Times New Roman"/>
          <w:sz w:val="20"/>
          <w:lang w:val="fr-FR"/>
        </w:rPr>
        <w:footnoteRef/>
      </w:r>
      <w:r w:rsidRPr="00A63078">
        <w:rPr>
          <w:rFonts w:ascii="Times New Roman" w:hAnsi="Times New Roman"/>
          <w:sz w:val="20"/>
          <w:lang w:val="fr-FR"/>
        </w:rPr>
        <w:t>.</w:t>
      </w:r>
      <w:r w:rsidRPr="00A63078">
        <w:rPr>
          <w:rFonts w:ascii="Times New Roman" w:hAnsi="Times New Roman"/>
          <w:sz w:val="20"/>
          <w:lang w:val="fr-FR"/>
        </w:rPr>
        <w:tab/>
      </w:r>
      <w:r w:rsidRPr="00A63078">
        <w:rPr>
          <w:rFonts w:ascii="Times New Roman" w:hAnsi="Times New Roman"/>
          <w:sz w:val="20"/>
          <w:shd w:val="clear" w:color="auto" w:fill="FFFFFF"/>
          <w:lang w:val="fr-FR"/>
        </w:rPr>
        <w:t xml:space="preserve">Les États-Unis notent que le premier paragraphe du préambule de cette section et le premier paragraphe du dispositif de cette section font état de « droits » non prévus dans le droit international coutumier ni… </w:t>
      </w:r>
    </w:p>
  </w:footnote>
  <w:footnote w:id="110">
    <w:p w14:paraId="50481249" w14:textId="77777777" w:rsidR="00BD2D6F" w:rsidRPr="00A63078" w:rsidRDefault="00BD2D6F" w:rsidP="00BD2D6F">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Le Mexique relève avec préoccupation une fois de plus, des inconsistances et des irrégularités dans le Rapport du Secrétaire général sur la présentation des pouvoirs des délégations participant à la…</w:t>
      </w:r>
    </w:p>
  </w:footnote>
  <w:footnote w:id="111">
    <w:p w14:paraId="77F262E4" w14:textId="77777777" w:rsidR="00BD2D6F" w:rsidRPr="00A63078" w:rsidRDefault="00BD2D6F" w:rsidP="00BD2D6F">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Le Nicaragua se prévaut des déclarations des délégations de Saint-Vincent-et-Grenadines, des États-Unis du Mexique ainsi que de l’État plurinational de Bolivie et rejette l’accréditation irrégulière…</w:t>
      </w:r>
    </w:p>
  </w:footnote>
  <w:footnote w:id="112">
    <w:p w14:paraId="28C8C602" w14:textId="77777777" w:rsidR="00BD2D6F" w:rsidRPr="00A63078" w:rsidRDefault="00BD2D6F" w:rsidP="00BD2D6F">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Antigua-et-Barbuda considère que la République bolivarienne du Venezuela n'est pas un État membre de l'Organisation des États Américains puisque, le 27 avril 2017, le gouvernement de la République…</w:t>
      </w:r>
    </w:p>
  </w:footnote>
  <w:footnote w:id="113">
    <w:p w14:paraId="3960F3E6" w14:textId="77777777" w:rsidR="00BD2D6F" w:rsidRPr="00A63078" w:rsidRDefault="00BD2D6F" w:rsidP="00BD2D6F">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Saint-Vincent fait état de sa non-reconnaissance et de sa non-acceptation des pouvoirs de la prétendue délégation de l'Assemblée nationale de la République bolivarienne du Venezuela. En 2017, le…</w:t>
      </w:r>
    </w:p>
    <w:p w14:paraId="577988BC" w14:textId="77777777" w:rsidR="00BD2D6F" w:rsidRPr="00A63078" w:rsidRDefault="00BD2D6F" w:rsidP="00BD2D6F">
      <w:pPr>
        <w:pStyle w:val="FootnoteText"/>
        <w:tabs>
          <w:tab w:val="clear" w:pos="360"/>
        </w:tabs>
        <w:ind w:left="720"/>
        <w:rPr>
          <w:rFonts w:ascii="Times New Roman" w:hAnsi="Times New Roman"/>
          <w:sz w:val="20"/>
          <w:lang w:val="fr-CA"/>
        </w:rPr>
      </w:pPr>
    </w:p>
  </w:footnote>
  <w:footnote w:id="114">
    <w:p w14:paraId="6C7F6764" w14:textId="77777777" w:rsidR="00BD2D6F" w:rsidRPr="00A63078" w:rsidRDefault="00BD2D6F" w:rsidP="00BD2D6F">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r>
      <w:r w:rsidRPr="00A63078">
        <w:rPr>
          <w:rFonts w:ascii="Times New Roman" w:hAnsi="Times New Roman"/>
          <w:noProof/>
          <w:sz w:val="20"/>
          <w:lang w:val="fr-FR"/>
        </w:rPr>
        <w:t>Les États-Unis estiment que les financements consentis aux conditions les plus favorables devraient être concentrés sur les pays qui en ont le plus besoin et qui sont le moins à même de mobiliser des…</w:t>
      </w:r>
    </w:p>
  </w:footnote>
  <w:footnote w:id="115">
    <w:p w14:paraId="764E2332" w14:textId="77777777" w:rsidR="00E95600" w:rsidRPr="00A63078" w:rsidRDefault="00E95600" w:rsidP="00E95600">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Le Mexique relève avec préoccupation une fois de plus, des inconsistances et des irrégularités dans le Rapport du Secrétaire général sur la présentation des pouvoirs des délégations participant à la…</w:t>
      </w:r>
    </w:p>
  </w:footnote>
  <w:footnote w:id="116">
    <w:p w14:paraId="2EA93CDC" w14:textId="77777777" w:rsidR="00E95600" w:rsidRPr="00A63078" w:rsidRDefault="00E95600" w:rsidP="00E95600">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Le Nicaragua se prévaut des déclarations des délégations de Saint-Vincent-et-Grenadines, des États-Unis du Mexique ainsi que de l’État plurinational de Bolivie et rejette l’accréditation irrégulière…</w:t>
      </w:r>
    </w:p>
  </w:footnote>
  <w:footnote w:id="117">
    <w:p w14:paraId="2D909BF7" w14:textId="77777777" w:rsidR="00E95600" w:rsidRPr="00A63078" w:rsidRDefault="00E95600" w:rsidP="00E95600">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Antigua-et-Barbuda considère que la République bolivarienne du Venezuela n'est pas un État membre de l'Organisation des États Américains puisque, le 27 avril 2017, le gouvernement de la République…</w:t>
      </w:r>
    </w:p>
  </w:footnote>
  <w:footnote w:id="118">
    <w:p w14:paraId="1FBC169E" w14:textId="77777777" w:rsidR="00E95600" w:rsidRPr="00A63078" w:rsidRDefault="00E95600" w:rsidP="00E95600">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Saint-Vincent fait état de sa non-reconnaissance et de sa non-acceptation des pouvoirs de la prétendue délégation de l'Assemblée nationale de la République bolivarienne du Venezuela. En 2017, le…</w:t>
      </w:r>
    </w:p>
  </w:footnote>
  <w:footnote w:id="119">
    <w:p w14:paraId="0DBC749B" w14:textId="77777777" w:rsidR="00E95600" w:rsidRPr="00A63078" w:rsidRDefault="00E95600" w:rsidP="00E95600">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Saint-Vincent-et-les-Grenadines continue d'adhérer strictement au principe fondamental de non-ingérence dans les affaires intérieures des États, tel qu'il est consacré à l'article 1 de la Charte de…</w:t>
      </w:r>
    </w:p>
  </w:footnote>
  <w:footnote w:id="120">
    <w:p w14:paraId="4FA2F18A" w14:textId="4BCB0EFE" w:rsidR="00ED42D8" w:rsidRPr="00837737" w:rsidRDefault="00ED42D8" w:rsidP="00AB7EB2">
      <w:pPr>
        <w:pStyle w:val="FootnoteText"/>
        <w:tabs>
          <w:tab w:val="clear" w:pos="360"/>
        </w:tabs>
        <w:ind w:left="720"/>
        <w:rPr>
          <w:rFonts w:ascii="Times New Roman" w:hAnsi="Times New Roman"/>
          <w:sz w:val="20"/>
          <w:lang w:val="fr-CA"/>
        </w:rPr>
      </w:pPr>
      <w:r w:rsidRPr="00837737">
        <w:rPr>
          <w:rFonts w:ascii="Times New Roman" w:hAnsi="Times New Roman"/>
          <w:sz w:val="20"/>
          <w:lang w:val="fr-CA"/>
        </w:rPr>
        <w:footnoteRef/>
      </w:r>
      <w:r w:rsidR="00AB7EB2" w:rsidRPr="00837737">
        <w:rPr>
          <w:rFonts w:ascii="Times New Roman" w:hAnsi="Times New Roman"/>
          <w:sz w:val="20"/>
          <w:lang w:val="fr-CA"/>
        </w:rPr>
        <w:t>.</w:t>
      </w:r>
      <w:r w:rsidRPr="00837737">
        <w:rPr>
          <w:rFonts w:ascii="Times New Roman" w:hAnsi="Times New Roman"/>
          <w:sz w:val="20"/>
          <w:lang w:val="fr-CA"/>
        </w:rPr>
        <w:t xml:space="preserve"> </w:t>
      </w:r>
      <w:r w:rsidR="00837737" w:rsidRPr="00837737">
        <w:rPr>
          <w:rFonts w:ascii="Times New Roman" w:hAnsi="Times New Roman"/>
          <w:sz w:val="20"/>
          <w:lang w:val="fr-CA"/>
        </w:rPr>
        <w:tab/>
        <w:t>Intervention de la délégation du Gouvernement de Réconciliation et d'Unité nationale de la République du Nicaragua à la cinquante-et-unième session ordinaire de l’assemblée générale de</w:t>
      </w:r>
      <w:r w:rsidR="00837737">
        <w:rPr>
          <w:rFonts w:ascii="Times New Roman" w:hAnsi="Times New Roman"/>
          <w:sz w:val="20"/>
          <w:lang w:val="fr-CA"/>
        </w:rPr>
        <w:t>…</w:t>
      </w:r>
      <w:r w:rsidR="00837737" w:rsidRPr="00837737">
        <w:rPr>
          <w:rFonts w:ascii="Times New Roman" w:hAnsi="Times New Roman"/>
          <w:sz w:val="20"/>
          <w:lang w:val="fr-CA"/>
        </w:rPr>
        <w:t xml:space="preserve"> </w:t>
      </w:r>
    </w:p>
  </w:footnote>
  <w:footnote w:id="121">
    <w:p w14:paraId="07869C24" w14:textId="14A5FD43" w:rsidR="00E95600" w:rsidRPr="00A63078" w:rsidRDefault="00E95600" w:rsidP="00E95600">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r>
      <w:r w:rsidR="0025165D" w:rsidRPr="00A63078">
        <w:rPr>
          <w:rFonts w:ascii="Times New Roman" w:hAnsi="Times New Roman"/>
          <w:sz w:val="20"/>
          <w:lang w:val="fr-CA"/>
        </w:rPr>
        <w:t>E</w:t>
      </w:r>
      <w:r w:rsidR="0025165D" w:rsidRPr="00A63078">
        <w:rPr>
          <w:rFonts w:ascii="Times New Roman" w:hAnsi="Times New Roman"/>
          <w:sz w:val="20"/>
          <w:lang w:val="fr-FR"/>
        </w:rPr>
        <w:t>n ce qui concerne le paragraphe 5 du dispositif, la délégation de la Barbade estime que l'utilisation du mot « approprié » est ambiguë et ouverte quant à l'étendue des actions qui peuvent être prises à ce sujet.</w:t>
      </w:r>
    </w:p>
  </w:footnote>
  <w:footnote w:id="122">
    <w:p w14:paraId="1647AA99" w14:textId="77777777" w:rsidR="00633ADD" w:rsidRPr="00A63078" w:rsidRDefault="00633ADD" w:rsidP="00633ADD">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Le Mexique relève avec préoccupation une fois de plus, des inconsistances et des irrégularités dans le Rapport du Secrétaire général sur la présentation des pouvoirs des délégations participant à la…</w:t>
      </w:r>
    </w:p>
  </w:footnote>
  <w:footnote w:id="123">
    <w:p w14:paraId="566874AB" w14:textId="77777777" w:rsidR="00633ADD" w:rsidRPr="00A63078" w:rsidRDefault="00633ADD" w:rsidP="00633ADD">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Le Nicaragua se prévaut des déclarations des délégations de Saint-Vincent-et-Grenadines, des États-Unis du Mexique ainsi que de l’État plurinational de Bolivie et rejette l’accréditation irrégulière…</w:t>
      </w:r>
    </w:p>
  </w:footnote>
  <w:footnote w:id="124">
    <w:p w14:paraId="0050A0BD" w14:textId="77777777" w:rsidR="00633ADD" w:rsidRPr="00A63078" w:rsidRDefault="00633ADD" w:rsidP="00633ADD">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Antigua-et-Barbuda considère que la République bolivarienne du Venezuela n'est pas un État membre de l'Organisation des États Américains puisque, le 27 avril 2017, le gouvernement de la République…</w:t>
      </w:r>
    </w:p>
  </w:footnote>
  <w:footnote w:id="125">
    <w:p w14:paraId="30331341" w14:textId="77777777" w:rsidR="00633ADD" w:rsidRPr="00A63078" w:rsidRDefault="00633ADD" w:rsidP="00633ADD">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Saint-Vincent fait état de sa non-reconnaissance et de sa non-acceptation des pouvoirs de la prétendue délégation de l'Assemblée nationale de la République bolivarienne du Venezuela. En 2017, le…</w:t>
      </w:r>
    </w:p>
  </w:footnote>
  <w:footnote w:id="126">
    <w:p w14:paraId="042DDD2B" w14:textId="77777777" w:rsidR="004E6FE3" w:rsidRPr="00A63078" w:rsidRDefault="004E6FE3" w:rsidP="004E6FE3">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Le Mexique relève avec préoccupation une fois de plus, des inconsistances et des irrégularités dans le Rapport du Secrétaire général sur la présentation des pouvoirs des délégations participant à la…</w:t>
      </w:r>
    </w:p>
  </w:footnote>
  <w:footnote w:id="127">
    <w:p w14:paraId="6E8A6DCB" w14:textId="77777777" w:rsidR="004E6FE3" w:rsidRPr="00A63078" w:rsidRDefault="004E6FE3" w:rsidP="004E6FE3">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Le Nicaragua se prévaut des déclarations des délégations de Saint-Vincent-et-Grenadines, des États-Unis du Mexique ainsi que de l’État plurinational de Bolivie et rejette l’accréditation irrégulière…</w:t>
      </w:r>
    </w:p>
  </w:footnote>
  <w:footnote w:id="128">
    <w:p w14:paraId="4FA30745" w14:textId="77777777" w:rsidR="004E6FE3" w:rsidRPr="00A63078" w:rsidRDefault="004E6FE3" w:rsidP="004E6FE3">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Antigua-et-Barbuda considère que la République bolivarienne du Venezuela n'est pas un État membre de l'Organisation des États Américains puisque, le 27 avril 2017, le gouvernement de la République…</w:t>
      </w:r>
    </w:p>
  </w:footnote>
  <w:footnote w:id="129">
    <w:p w14:paraId="46B26487" w14:textId="77777777" w:rsidR="0070196C" w:rsidRPr="00A63078" w:rsidRDefault="0070196C" w:rsidP="0070196C">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Saint-Vincent fait état de sa non-reconnaissance et de sa non-acceptation des pouvoirs de la prétendue délégation de l'Assemblée nationale de la République bolivarienne du Venezuela. En 2017, le…</w:t>
      </w:r>
    </w:p>
  </w:footnote>
  <w:footnote w:id="130">
    <w:p w14:paraId="406D7D0B" w14:textId="77777777" w:rsidR="007E26D2" w:rsidRPr="00A63078" w:rsidRDefault="007E26D2" w:rsidP="007E26D2">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Le Mexique relève avec préoccupation une fois de plus, des inconsistances et des irrégularités dans le Rapport du Secrétaire général sur la présentation des pouvoirs des délégations participant à la…</w:t>
      </w:r>
    </w:p>
  </w:footnote>
  <w:footnote w:id="131">
    <w:p w14:paraId="4362EF34" w14:textId="77777777" w:rsidR="007E26D2" w:rsidRPr="00A63078" w:rsidRDefault="007E26D2" w:rsidP="007E26D2">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Le Nicaragua se prévaut des déclarations des délégations de Saint-Vincent-et-Grenadines, des États-Unis du Mexique ainsi que de l’État plurinational de Bolivie et rejette l’accréditation irrégulière…</w:t>
      </w:r>
    </w:p>
  </w:footnote>
  <w:footnote w:id="132">
    <w:p w14:paraId="457F806C" w14:textId="77777777" w:rsidR="007E26D2" w:rsidRPr="00A63078" w:rsidRDefault="007E26D2" w:rsidP="007E26D2">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Antigua-et-Barbuda considère que la République bolivarienne du Venezuela n'est pas un État membre de l'Organisation des États Américains puisque, le 27 avril 2017, le gouvernement de la République…</w:t>
      </w:r>
    </w:p>
  </w:footnote>
  <w:footnote w:id="133">
    <w:p w14:paraId="476E839A" w14:textId="77777777" w:rsidR="007E26D2" w:rsidRPr="00A63078" w:rsidRDefault="007E26D2" w:rsidP="007E26D2">
      <w:pPr>
        <w:pStyle w:val="FootnoteText"/>
        <w:tabs>
          <w:tab w:val="clear" w:pos="360"/>
        </w:tabs>
        <w:ind w:left="720"/>
        <w:rPr>
          <w:rFonts w:ascii="Times New Roman" w:hAnsi="Times New Roman"/>
          <w:sz w:val="20"/>
          <w:lang w:val="fr-CA"/>
        </w:rPr>
      </w:pPr>
      <w:r w:rsidRPr="00A63078">
        <w:rPr>
          <w:rFonts w:ascii="Times New Roman" w:hAnsi="Times New Roman"/>
          <w:sz w:val="20"/>
          <w:lang w:val="fr-CA"/>
        </w:rPr>
        <w:footnoteRef/>
      </w:r>
      <w:r w:rsidRPr="00A63078">
        <w:rPr>
          <w:rFonts w:ascii="Times New Roman" w:hAnsi="Times New Roman"/>
          <w:sz w:val="20"/>
          <w:lang w:val="fr-CA"/>
        </w:rPr>
        <w:t>.</w:t>
      </w:r>
      <w:r w:rsidRPr="00A63078">
        <w:rPr>
          <w:rFonts w:ascii="Times New Roman" w:hAnsi="Times New Roman"/>
          <w:sz w:val="20"/>
          <w:lang w:val="fr-CA"/>
        </w:rPr>
        <w:tab/>
        <w:t>Saint-Vincent fait état de sa non-reconnaissance et de sa non-acceptation des pouvoirs de la prétendue délégation de l'Assemblée nationale de la République bolivarienne du Venezuela. En 2017, 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9631" w14:textId="7CEC0F63" w:rsidR="005E7896" w:rsidRPr="00F51E1B" w:rsidRDefault="005E7896" w:rsidP="00003188">
    <w:pPr>
      <w:pStyle w:val="Header"/>
      <w:tabs>
        <w:tab w:val="clear" w:pos="4320"/>
        <w:tab w:val="clear" w:pos="8640"/>
      </w:tabs>
      <w:jc w:val="center"/>
      <w:rPr>
        <w:rFonts w:ascii="Times New Roman" w:hAnsi="Times New Roman"/>
      </w:rPr>
    </w:pPr>
    <w:r w:rsidRPr="00F51E1B">
      <w:rPr>
        <w:rFonts w:ascii="Times New Roman" w:hAnsi="Times New Roman"/>
      </w:rPr>
      <w:t xml:space="preserve">- </w:t>
    </w:r>
    <w:sdt>
      <w:sdtPr>
        <w:rPr>
          <w:rFonts w:ascii="Times New Roman" w:hAnsi="Times New Roman"/>
        </w:rPr>
        <w:id w:val="1980488781"/>
        <w:docPartObj>
          <w:docPartGallery w:val="Page Numbers (Top of Page)"/>
          <w:docPartUnique/>
        </w:docPartObj>
      </w:sdtPr>
      <w:sdtEndPr>
        <w:rPr>
          <w:noProof/>
        </w:rPr>
      </w:sdtEndPr>
      <w:sdtContent>
        <w:r w:rsidRPr="00F51E1B">
          <w:rPr>
            <w:rFonts w:ascii="Times New Roman" w:hAnsi="Times New Roman"/>
          </w:rPr>
          <w:fldChar w:fldCharType="begin"/>
        </w:r>
        <w:r w:rsidRPr="00F51E1B">
          <w:rPr>
            <w:rFonts w:ascii="Times New Roman" w:hAnsi="Times New Roman"/>
          </w:rPr>
          <w:instrText xml:space="preserve"> PAGE   \* MERGEFORMAT </w:instrText>
        </w:r>
        <w:r w:rsidRPr="00F51E1B">
          <w:rPr>
            <w:rFonts w:ascii="Times New Roman" w:hAnsi="Times New Roman"/>
          </w:rPr>
          <w:fldChar w:fldCharType="separate"/>
        </w:r>
        <w:r w:rsidRPr="00F51E1B">
          <w:rPr>
            <w:rFonts w:ascii="Times New Roman" w:hAnsi="Times New Roman"/>
            <w:noProof/>
          </w:rPr>
          <w:t>2</w:t>
        </w:r>
        <w:r w:rsidRPr="00F51E1B">
          <w:rPr>
            <w:rFonts w:ascii="Times New Roman" w:hAnsi="Times New Roman"/>
            <w:noProof/>
          </w:rPr>
          <w:fldChar w:fldCharType="end"/>
        </w:r>
        <w:r w:rsidRPr="00F51E1B">
          <w:rPr>
            <w:rFonts w:ascii="Times New Roman" w:hAnsi="Times New Roman"/>
            <w:noProof/>
          </w:rPr>
          <w:t xml:space="preserve"> -</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82453494"/>
      <w:docPartObj>
        <w:docPartGallery w:val="Page Numbers (Top of Page)"/>
        <w:docPartUnique/>
      </w:docPartObj>
    </w:sdtPr>
    <w:sdtEndPr>
      <w:rPr>
        <w:noProof/>
      </w:rPr>
    </w:sdtEndPr>
    <w:sdtContent>
      <w:p w14:paraId="62DA198C" w14:textId="77777777" w:rsidR="008B1794" w:rsidRPr="00F206E4" w:rsidRDefault="008B1794">
        <w:pPr>
          <w:pStyle w:val="Header"/>
          <w:jc w:val="center"/>
          <w:rPr>
            <w:rFonts w:ascii="Times New Roman" w:hAnsi="Times New Roman"/>
          </w:rPr>
        </w:pPr>
        <w:r w:rsidRPr="00F206E4">
          <w:rPr>
            <w:rFonts w:ascii="Times New Roman" w:hAnsi="Times New Roman"/>
          </w:rPr>
          <w:t xml:space="preserve">- </w:t>
        </w:r>
        <w:r w:rsidRPr="00F206E4">
          <w:rPr>
            <w:rFonts w:ascii="Times New Roman" w:hAnsi="Times New Roman"/>
            <w:color w:val="2B579A"/>
          </w:rPr>
          <w:fldChar w:fldCharType="begin"/>
        </w:r>
        <w:r w:rsidRPr="00F206E4">
          <w:rPr>
            <w:rFonts w:ascii="Times New Roman" w:hAnsi="Times New Roman"/>
          </w:rPr>
          <w:instrText xml:space="preserve"> PAGE   \* MERGEFORMAT </w:instrText>
        </w:r>
        <w:r w:rsidRPr="00F206E4">
          <w:rPr>
            <w:rFonts w:ascii="Times New Roman" w:hAnsi="Times New Roman"/>
            <w:color w:val="2B579A"/>
          </w:rPr>
          <w:fldChar w:fldCharType="separate"/>
        </w:r>
        <w:r w:rsidRPr="00F206E4">
          <w:rPr>
            <w:rFonts w:ascii="Times New Roman" w:hAnsi="Times New Roman"/>
            <w:noProof/>
          </w:rPr>
          <w:t>48</w:t>
        </w:r>
        <w:r w:rsidRPr="00F206E4">
          <w:rPr>
            <w:rFonts w:ascii="Times New Roman" w:hAnsi="Times New Roman"/>
            <w:color w:val="2B579A"/>
          </w:rPr>
          <w:fldChar w:fldCharType="end"/>
        </w:r>
        <w:r w:rsidRPr="00F206E4">
          <w:rPr>
            <w:rFonts w:ascii="Times New Roman" w:hAnsi="Times New Roman"/>
            <w:noProof/>
          </w:rPr>
          <w:t xml:space="preserve"> -</w: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07A5" w14:textId="77777777" w:rsidR="00082C81" w:rsidRDefault="00B94C51" w:rsidP="006253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9C19FD" w14:textId="77777777" w:rsidR="00082C81" w:rsidRDefault="004A47F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E6E8" w14:textId="77777777" w:rsidR="00082C81" w:rsidRPr="00A9462A" w:rsidRDefault="00B94C51" w:rsidP="00934567">
    <w:pPr>
      <w:pStyle w:val="Header"/>
      <w:jc w:val="center"/>
      <w:rPr>
        <w:rFonts w:ascii="Times New Roman" w:hAnsi="Times New Roman"/>
      </w:rPr>
    </w:pPr>
    <w:r>
      <w:rPr>
        <w:rFonts w:ascii="Times New Roman" w:hAnsi="Times New Roman"/>
      </w:rPr>
      <w:t xml:space="preserve">- </w:t>
    </w:r>
    <w:r w:rsidRPr="00A9462A">
      <w:rPr>
        <w:rStyle w:val="PageNumber"/>
        <w:rFonts w:ascii="Times New Roman" w:hAnsi="Times New Roman"/>
      </w:rPr>
      <w:fldChar w:fldCharType="begin"/>
    </w:r>
    <w:r w:rsidRPr="00A9462A">
      <w:rPr>
        <w:rStyle w:val="PageNumber"/>
        <w:rFonts w:ascii="Times New Roman" w:hAnsi="Times New Roman"/>
      </w:rPr>
      <w:instrText xml:space="preserve"> PAGE </w:instrText>
    </w:r>
    <w:r w:rsidRPr="00A9462A">
      <w:rPr>
        <w:rStyle w:val="PageNumber"/>
        <w:rFonts w:ascii="Times New Roman" w:hAnsi="Times New Roman"/>
      </w:rPr>
      <w:fldChar w:fldCharType="separate"/>
    </w:r>
    <w:r>
      <w:rPr>
        <w:rStyle w:val="PageNumber"/>
        <w:rFonts w:ascii="Times New Roman" w:hAnsi="Times New Roman"/>
      </w:rPr>
      <w:t>2</w:t>
    </w:r>
    <w:r w:rsidRPr="00A9462A">
      <w:rPr>
        <w:rStyle w:val="PageNumber"/>
        <w:rFonts w:ascii="Times New Roman" w:hAnsi="Times New Roman"/>
      </w:rPr>
      <w:fldChar w:fldCharType="end"/>
    </w:r>
    <w:r>
      <w:rPr>
        <w:rStyle w:val="PageNumber"/>
        <w:rFonts w:ascii="Times New Roman" w:hAnsi="Times New Roman"/>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982F" w14:textId="77777777" w:rsidR="00082C81" w:rsidRDefault="00B94C51" w:rsidP="006253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5939D6" w14:textId="77777777" w:rsidR="00082C81" w:rsidRDefault="004A47F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AC65" w14:textId="77777777" w:rsidR="00956833" w:rsidRDefault="004A47F0" w:rsidP="00934567">
    <w:pPr>
      <w:pStyle w:val="Header"/>
      <w:jc w:val="center"/>
      <w:rPr>
        <w:rFonts w:ascii="Times New Roman" w:hAnsi="Times New Roman"/>
      </w:rPr>
    </w:pPr>
  </w:p>
  <w:p w14:paraId="5E708A70" w14:textId="77777777" w:rsidR="00082C81" w:rsidRPr="00A9462A" w:rsidRDefault="00B94C51" w:rsidP="00934567">
    <w:pPr>
      <w:pStyle w:val="Header"/>
      <w:jc w:val="center"/>
      <w:rPr>
        <w:rFonts w:ascii="Times New Roman" w:hAnsi="Times New Roman"/>
      </w:rPr>
    </w:pPr>
    <w:r>
      <w:rPr>
        <w:rFonts w:ascii="Times New Roman" w:hAnsi="Times New Roman"/>
      </w:rPr>
      <w:t xml:space="preserve">- </w:t>
    </w:r>
    <w:r w:rsidRPr="00A9462A">
      <w:rPr>
        <w:rStyle w:val="PageNumber"/>
        <w:rFonts w:ascii="Times New Roman" w:hAnsi="Times New Roman"/>
      </w:rPr>
      <w:fldChar w:fldCharType="begin"/>
    </w:r>
    <w:r w:rsidRPr="00A9462A">
      <w:rPr>
        <w:rStyle w:val="PageNumber"/>
        <w:rFonts w:ascii="Times New Roman" w:hAnsi="Times New Roman"/>
      </w:rPr>
      <w:instrText xml:space="preserve"> PAGE </w:instrText>
    </w:r>
    <w:r w:rsidRPr="00A9462A">
      <w:rPr>
        <w:rStyle w:val="PageNumber"/>
        <w:rFonts w:ascii="Times New Roman" w:hAnsi="Times New Roman"/>
      </w:rPr>
      <w:fldChar w:fldCharType="separate"/>
    </w:r>
    <w:r>
      <w:rPr>
        <w:rStyle w:val="PageNumber"/>
        <w:rFonts w:ascii="Times New Roman" w:hAnsi="Times New Roman"/>
      </w:rPr>
      <w:t>2</w:t>
    </w:r>
    <w:r w:rsidRPr="00A9462A">
      <w:rPr>
        <w:rStyle w:val="PageNumber"/>
        <w:rFonts w:ascii="Times New Roman" w:hAnsi="Times New Roman"/>
      </w:rPr>
      <w:fldChar w:fldCharType="end"/>
    </w:r>
    <w:r>
      <w:rPr>
        <w:rStyle w:val="PageNumber"/>
        <w:rFonts w:ascii="Times New Roman" w:hAnsi="Times New Roman"/>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39E6" w14:textId="195CC54C" w:rsidR="00D056C5" w:rsidRDefault="00B94C51" w:rsidP="00CE2482">
    <w:pPr>
      <w:pStyle w:val="Header"/>
      <w:jc w:val="center"/>
    </w:pPr>
    <w:r>
      <w:t xml:space="preserve">- </w:t>
    </w:r>
    <w:sdt>
      <w:sdtPr>
        <w:id w:val="8543104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946258"/>
      <w:docPartObj>
        <w:docPartGallery w:val="Page Numbers (Top of Page)"/>
        <w:docPartUnique/>
      </w:docPartObj>
    </w:sdtPr>
    <w:sdtEndPr>
      <w:rPr>
        <w:noProof/>
      </w:rPr>
    </w:sdtEndPr>
    <w:sdtContent>
      <w:p w14:paraId="4AA39C0A" w14:textId="77777777" w:rsidR="00F23C63" w:rsidRDefault="00B94C51">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509207"/>
      <w:docPartObj>
        <w:docPartGallery w:val="Page Numbers (Top of Page)"/>
        <w:docPartUnique/>
      </w:docPartObj>
    </w:sdtPr>
    <w:sdtEndPr>
      <w:rPr>
        <w:noProof/>
      </w:rPr>
    </w:sdtEndPr>
    <w:sdtContent>
      <w:p w14:paraId="6D606549" w14:textId="67524485" w:rsidR="003D7580" w:rsidRDefault="00B94C51" w:rsidP="00623A2B">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042217"/>
      <w:docPartObj>
        <w:docPartGallery w:val="Page Numbers (Top of Page)"/>
        <w:docPartUnique/>
      </w:docPartObj>
    </w:sdtPr>
    <w:sdtEndPr>
      <w:rPr>
        <w:noProof/>
      </w:rPr>
    </w:sdtEndPr>
    <w:sdtContent>
      <w:p w14:paraId="18ED7B72" w14:textId="730E9ECF" w:rsidR="004F31B8" w:rsidRDefault="004A47F0">
        <w:pPr>
          <w:pStyle w:val="Header"/>
          <w:jc w:val="center"/>
        </w:pPr>
      </w:p>
    </w:sdtContent>
  </w:sdt>
  <w:p w14:paraId="1D696713" w14:textId="77777777" w:rsidR="004F31B8" w:rsidRDefault="004F3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56214819"/>
      <w:docPartObj>
        <w:docPartGallery w:val="Page Numbers (Top of Page)"/>
        <w:docPartUnique/>
      </w:docPartObj>
    </w:sdtPr>
    <w:sdtEndPr>
      <w:rPr>
        <w:noProof/>
      </w:rPr>
    </w:sdtEndPr>
    <w:sdtContent>
      <w:p w14:paraId="498113E9" w14:textId="79F16BD8" w:rsidR="005E7896" w:rsidRPr="00B67BBC" w:rsidRDefault="005E7896">
        <w:pPr>
          <w:pStyle w:val="Header"/>
          <w:jc w:val="center"/>
          <w:rPr>
            <w:rFonts w:ascii="Times New Roman" w:hAnsi="Times New Roman"/>
          </w:rPr>
        </w:pPr>
        <w:r w:rsidRPr="00B67BBC">
          <w:rPr>
            <w:rFonts w:ascii="Times New Roman" w:hAnsi="Times New Roman"/>
          </w:rPr>
          <w:t xml:space="preserve">- </w:t>
        </w:r>
        <w:r w:rsidRPr="00B67BBC">
          <w:rPr>
            <w:rFonts w:ascii="Times New Roman" w:hAnsi="Times New Roman"/>
          </w:rPr>
          <w:fldChar w:fldCharType="begin"/>
        </w:r>
        <w:r w:rsidRPr="00B67BBC">
          <w:rPr>
            <w:rFonts w:ascii="Times New Roman" w:hAnsi="Times New Roman"/>
          </w:rPr>
          <w:instrText xml:space="preserve"> PAGE   \* MERGEFORMAT </w:instrText>
        </w:r>
        <w:r w:rsidRPr="00B67BBC">
          <w:rPr>
            <w:rFonts w:ascii="Times New Roman" w:hAnsi="Times New Roman"/>
          </w:rPr>
          <w:fldChar w:fldCharType="separate"/>
        </w:r>
        <w:r w:rsidRPr="00B67BBC">
          <w:rPr>
            <w:rFonts w:ascii="Times New Roman" w:hAnsi="Times New Roman"/>
            <w:noProof/>
          </w:rPr>
          <w:t>2</w:t>
        </w:r>
        <w:r w:rsidRPr="00B67BBC">
          <w:rPr>
            <w:rFonts w:ascii="Times New Roman" w:hAnsi="Times New Roman"/>
            <w:noProof/>
          </w:rPr>
          <w:fldChar w:fldCharType="end"/>
        </w:r>
        <w:r w:rsidRPr="00B67BBC">
          <w:rPr>
            <w:rFonts w:ascii="Times New Roman" w:hAnsi="Times New Roman"/>
            <w:noProof/>
          </w:rPr>
          <w:t xml:space="preserve"> -</w:t>
        </w:r>
      </w:p>
    </w:sdtContent>
  </w:sdt>
  <w:p w14:paraId="02FC94E5" w14:textId="77777777" w:rsidR="00F76C9B" w:rsidRPr="00B67BBC" w:rsidRDefault="004A47F0">
    <w:pPr>
      <w:pStyle w:val="Header"/>
      <w:jc w:val="center"/>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2C7A" w14:textId="5DF0D082" w:rsidR="00F361BD" w:rsidRPr="00F361BD" w:rsidRDefault="00F361BD">
    <w:pPr>
      <w:pStyle w:val="Header"/>
      <w:jc w:val="center"/>
      <w:rPr>
        <w:rFonts w:ascii="Times New Roman" w:hAnsi="Times New Roman"/>
      </w:rPr>
    </w:pPr>
    <w:r w:rsidRPr="00F361BD">
      <w:rPr>
        <w:rFonts w:ascii="Times New Roman" w:hAnsi="Times New Roman"/>
      </w:rPr>
      <w:t xml:space="preserve">- </w:t>
    </w:r>
    <w:sdt>
      <w:sdtPr>
        <w:rPr>
          <w:rFonts w:ascii="Times New Roman" w:hAnsi="Times New Roman"/>
        </w:rPr>
        <w:id w:val="2085032768"/>
        <w:docPartObj>
          <w:docPartGallery w:val="Page Numbers (Top of Page)"/>
          <w:docPartUnique/>
        </w:docPartObj>
      </w:sdtPr>
      <w:sdtEndPr>
        <w:rPr>
          <w:noProof/>
        </w:rPr>
      </w:sdtEndPr>
      <w:sdtContent>
        <w:r w:rsidRPr="00F361BD">
          <w:rPr>
            <w:rFonts w:ascii="Times New Roman" w:hAnsi="Times New Roman"/>
          </w:rPr>
          <w:fldChar w:fldCharType="begin"/>
        </w:r>
        <w:r w:rsidRPr="00F361BD">
          <w:rPr>
            <w:rFonts w:ascii="Times New Roman" w:hAnsi="Times New Roman"/>
          </w:rPr>
          <w:instrText xml:space="preserve"> PAGE   \* MERGEFORMAT </w:instrText>
        </w:r>
        <w:r w:rsidRPr="00F361BD">
          <w:rPr>
            <w:rFonts w:ascii="Times New Roman" w:hAnsi="Times New Roman"/>
          </w:rPr>
          <w:fldChar w:fldCharType="separate"/>
        </w:r>
        <w:r w:rsidRPr="00F361BD">
          <w:rPr>
            <w:rFonts w:ascii="Times New Roman" w:hAnsi="Times New Roman"/>
            <w:noProof/>
          </w:rPr>
          <w:t>2</w:t>
        </w:r>
        <w:r w:rsidRPr="00F361BD">
          <w:rPr>
            <w:rFonts w:ascii="Times New Roman" w:hAnsi="Times New Roman"/>
            <w:noProof/>
          </w:rPr>
          <w:fldChar w:fldCharType="end"/>
        </w:r>
        <w:r w:rsidRPr="00F361BD">
          <w:rPr>
            <w:rFonts w:ascii="Times New Roman" w:hAnsi="Times New Roman"/>
            <w:noProof/>
          </w:rPr>
          <w:t xml:space="preserve"> -</w:t>
        </w:r>
      </w:sdtContent>
    </w:sdt>
  </w:p>
  <w:p w14:paraId="0E862ECA" w14:textId="77777777" w:rsidR="00F37482" w:rsidRPr="00F361BD" w:rsidRDefault="004A47F0" w:rsidP="00F361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B4BE" w14:textId="77777777" w:rsidR="00800745" w:rsidRDefault="000064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E42AC73" w14:textId="77777777" w:rsidR="00800745" w:rsidRDefault="004A47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729924300"/>
      <w:docPartObj>
        <w:docPartGallery w:val="Page Numbers (Top of Page)"/>
        <w:docPartUnique/>
      </w:docPartObj>
    </w:sdtPr>
    <w:sdtEndPr>
      <w:rPr>
        <w:noProof/>
      </w:rPr>
    </w:sdtEndPr>
    <w:sdtContent>
      <w:p w14:paraId="48767AF8" w14:textId="7998F4DF" w:rsidR="005D153B" w:rsidRPr="00A678F4" w:rsidRDefault="005D153B">
        <w:pPr>
          <w:pStyle w:val="Header"/>
          <w:jc w:val="center"/>
          <w:rPr>
            <w:rFonts w:ascii="Times New Roman" w:hAnsi="Times New Roman"/>
          </w:rPr>
        </w:pPr>
        <w:r w:rsidRPr="00A678F4">
          <w:rPr>
            <w:rFonts w:ascii="Times New Roman" w:hAnsi="Times New Roman"/>
          </w:rPr>
          <w:t xml:space="preserve">- </w:t>
        </w:r>
        <w:r w:rsidRPr="00A678F4">
          <w:rPr>
            <w:rFonts w:ascii="Times New Roman" w:hAnsi="Times New Roman"/>
          </w:rPr>
          <w:fldChar w:fldCharType="begin"/>
        </w:r>
        <w:r w:rsidRPr="00A678F4">
          <w:rPr>
            <w:rFonts w:ascii="Times New Roman" w:hAnsi="Times New Roman"/>
          </w:rPr>
          <w:instrText xml:space="preserve"> PAGE   \* MERGEFORMAT </w:instrText>
        </w:r>
        <w:r w:rsidRPr="00A678F4">
          <w:rPr>
            <w:rFonts w:ascii="Times New Roman" w:hAnsi="Times New Roman"/>
          </w:rPr>
          <w:fldChar w:fldCharType="separate"/>
        </w:r>
        <w:r w:rsidRPr="00A678F4">
          <w:rPr>
            <w:rFonts w:ascii="Times New Roman" w:hAnsi="Times New Roman"/>
            <w:noProof/>
          </w:rPr>
          <w:t>2</w:t>
        </w:r>
        <w:r w:rsidRPr="00A678F4">
          <w:rPr>
            <w:rFonts w:ascii="Times New Roman" w:hAnsi="Times New Roman"/>
            <w:noProof/>
          </w:rPr>
          <w:fldChar w:fldCharType="end"/>
        </w:r>
        <w:r w:rsidRPr="00A678F4">
          <w:rPr>
            <w:rFonts w:ascii="Times New Roman" w:hAnsi="Times New Roman"/>
            <w:noProof/>
          </w:rPr>
          <w:t xml:space="preserve"> -</w:t>
        </w:r>
      </w:p>
    </w:sdtContent>
  </w:sdt>
  <w:p w14:paraId="71B12DC5" w14:textId="77777777" w:rsidR="00484C19" w:rsidRPr="00587BE7" w:rsidRDefault="004A47F0" w:rsidP="00587B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7514" w14:textId="7B1127E2" w:rsidR="00976B5F" w:rsidRPr="00003188" w:rsidRDefault="00B0212B" w:rsidP="00003188">
    <w:pPr>
      <w:pStyle w:val="Header"/>
      <w:jc w:val="center"/>
      <w:rPr>
        <w:rFonts w:ascii="Times New Roman" w:hAnsi="Times New Roman"/>
      </w:rPr>
    </w:pPr>
    <w:r w:rsidRPr="00B0212B">
      <w:rPr>
        <w:rFonts w:ascii="Times New Roman" w:hAnsi="Times New Roman"/>
      </w:rPr>
      <w:t xml:space="preserve">- </w:t>
    </w:r>
    <w:sdt>
      <w:sdtPr>
        <w:rPr>
          <w:rFonts w:ascii="Times New Roman" w:hAnsi="Times New Roman"/>
        </w:rPr>
        <w:id w:val="-1980762271"/>
        <w:docPartObj>
          <w:docPartGallery w:val="Page Numbers (Top of Page)"/>
          <w:docPartUnique/>
        </w:docPartObj>
      </w:sdtPr>
      <w:sdtEndPr>
        <w:rPr>
          <w:noProof/>
        </w:rPr>
      </w:sdtEndPr>
      <w:sdtContent>
        <w:r w:rsidRPr="00B0212B">
          <w:rPr>
            <w:rFonts w:ascii="Times New Roman" w:hAnsi="Times New Roman"/>
          </w:rPr>
          <w:fldChar w:fldCharType="begin"/>
        </w:r>
        <w:r w:rsidRPr="00B0212B">
          <w:rPr>
            <w:rFonts w:ascii="Times New Roman" w:hAnsi="Times New Roman"/>
          </w:rPr>
          <w:instrText xml:space="preserve"> PAGE   \* MERGEFORMAT </w:instrText>
        </w:r>
        <w:r w:rsidRPr="00B0212B">
          <w:rPr>
            <w:rFonts w:ascii="Times New Roman" w:hAnsi="Times New Roman"/>
          </w:rPr>
          <w:fldChar w:fldCharType="separate"/>
        </w:r>
        <w:r w:rsidRPr="00B0212B">
          <w:rPr>
            <w:rFonts w:ascii="Times New Roman" w:hAnsi="Times New Roman"/>
            <w:noProof/>
          </w:rPr>
          <w:t>2</w:t>
        </w:r>
        <w:r w:rsidRPr="00B0212B">
          <w:rPr>
            <w:rFonts w:ascii="Times New Roman" w:hAnsi="Times New Roman"/>
            <w:noProof/>
          </w:rPr>
          <w:fldChar w:fldCharType="end"/>
        </w:r>
        <w:r w:rsidRPr="00B0212B">
          <w:rPr>
            <w:rFonts w:ascii="Times New Roman" w:hAnsi="Times New Roman"/>
            <w:noProof/>
          </w:rPr>
          <w:t xml:space="preserve"> -</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4473" w14:textId="356FBF76" w:rsidR="008B1794" w:rsidRDefault="003B7A14">
    <w:pPr>
      <w:pStyle w:val="Header"/>
      <w:jc w:val="center"/>
    </w:pPr>
    <w:r>
      <w:t xml:space="preserve">- </w:t>
    </w:r>
    <w:r w:rsidR="008B1794">
      <w:fldChar w:fldCharType="begin"/>
    </w:r>
    <w:r w:rsidR="008B1794">
      <w:instrText xml:space="preserve"> PAGE   \* MERGEFORMAT </w:instrText>
    </w:r>
    <w:r w:rsidR="008B1794">
      <w:fldChar w:fldCharType="separate"/>
    </w:r>
    <w:r w:rsidR="008B1794">
      <w:rPr>
        <w:noProof/>
      </w:rPr>
      <w:t>2</w:t>
    </w:r>
    <w:r w:rsidR="008B1794">
      <w:rPr>
        <w:noProof/>
      </w:rPr>
      <w:fldChar w:fldCharType="end"/>
    </w:r>
    <w:r>
      <w:rPr>
        <w:noProof/>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8403" w14:textId="77777777" w:rsidR="008B1794" w:rsidRDefault="008B1794">
    <w:pPr>
      <w:pStyle w:val="Header"/>
      <w:jc w:val="center"/>
    </w:pPr>
    <w:r>
      <w:t xml:space="preserve">- </w:t>
    </w:r>
    <w:r>
      <w:fldChar w:fldCharType="begin"/>
    </w:r>
    <w:r>
      <w:instrText xml:space="preserve"> PAGE   \* MERGEFORMAT </w:instrText>
    </w:r>
    <w:r>
      <w:fldChar w:fldCharType="separate"/>
    </w:r>
    <w:r>
      <w:t>24</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3"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4" w15:restartNumberingAfterBreak="0">
    <w:nsid w:val="094A04D1"/>
    <w:multiLevelType w:val="hybridMultilevel"/>
    <w:tmpl w:val="E95AC0C2"/>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A56E9"/>
    <w:multiLevelType w:val="hybridMultilevel"/>
    <w:tmpl w:val="E7369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04305B8"/>
    <w:multiLevelType w:val="hybridMultilevel"/>
    <w:tmpl w:val="4B0A3526"/>
    <w:lvl w:ilvl="0" w:tplc="540A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60E6A"/>
    <w:multiLevelType w:val="hybridMultilevel"/>
    <w:tmpl w:val="A37696C2"/>
    <w:lvl w:ilvl="0" w:tplc="B61A7A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730C8F"/>
    <w:multiLevelType w:val="hybridMultilevel"/>
    <w:tmpl w:val="10E43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C2232C"/>
    <w:multiLevelType w:val="hybridMultilevel"/>
    <w:tmpl w:val="8BDCDE2C"/>
    <w:lvl w:ilvl="0" w:tplc="CAFCA25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0359A4"/>
    <w:multiLevelType w:val="hybridMultilevel"/>
    <w:tmpl w:val="24F40374"/>
    <w:lvl w:ilvl="0" w:tplc="3628FA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13" w15:restartNumberingAfterBreak="0">
    <w:nsid w:val="18507B94"/>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14" w15:restartNumberingAfterBreak="0">
    <w:nsid w:val="18A52C88"/>
    <w:multiLevelType w:val="multilevel"/>
    <w:tmpl w:val="5426B90A"/>
    <w:lvl w:ilvl="0">
      <w:start w:val="2"/>
      <w:numFmt w:val="upperRoman"/>
      <w:lvlText w:val="%1."/>
      <w:lvlJc w:val="left"/>
      <w:pPr>
        <w:ind w:left="2160" w:hanging="720"/>
      </w:pPr>
      <w:rPr>
        <w:rFonts w:ascii="CG Times" w:eastAsia="CG Times" w:hAnsi="CG Times" w:cs="CG Times" w:hint="default"/>
        <w:color w:val="00000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5" w15:restartNumberingAfterBreak="0">
    <w:nsid w:val="1C0A5DF1"/>
    <w:multiLevelType w:val="hybridMultilevel"/>
    <w:tmpl w:val="1DAE1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1CB21D1A"/>
    <w:multiLevelType w:val="hybridMultilevel"/>
    <w:tmpl w:val="6D606E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CC85242"/>
    <w:multiLevelType w:val="hybridMultilevel"/>
    <w:tmpl w:val="C650A276"/>
    <w:lvl w:ilvl="0" w:tplc="D222E908">
      <w:start w:val="1"/>
      <w:numFmt w:val="decimal"/>
      <w:lvlText w:val="%1."/>
      <w:lvlJc w:val="left"/>
      <w:pPr>
        <w:ind w:left="0" w:hanging="360"/>
      </w:pPr>
      <w:rPr>
        <w:rFonts w:cs="Times New Roman"/>
      </w:rPr>
    </w:lvl>
    <w:lvl w:ilvl="1" w:tplc="04090019">
      <w:start w:val="1"/>
      <w:numFmt w:val="lowerLetter"/>
      <w:lvlText w:val="%2."/>
      <w:lvlJc w:val="left"/>
      <w:pPr>
        <w:ind w:left="720" w:hanging="360"/>
      </w:pPr>
      <w:rPr>
        <w:b w:val="0"/>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18"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19" w15:restartNumberingAfterBreak="0">
    <w:nsid w:val="1E1B1BAE"/>
    <w:multiLevelType w:val="hybridMultilevel"/>
    <w:tmpl w:val="844CF074"/>
    <w:lvl w:ilvl="0" w:tplc="1F1A6C48">
      <w:start w:val="1"/>
      <w:numFmt w:val="lowerRoman"/>
      <w:lvlText w:val="%1."/>
      <w:lvlJc w:val="right"/>
      <w:pPr>
        <w:ind w:left="720" w:hanging="360"/>
      </w:pPr>
      <w:rPr>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301E21"/>
    <w:multiLevelType w:val="hybridMultilevel"/>
    <w:tmpl w:val="8DDE27F0"/>
    <w:lvl w:ilvl="0" w:tplc="4448EB9E">
      <w:start w:val="1"/>
      <w:numFmt w:val="upperRoman"/>
      <w:lvlText w:val="%1."/>
      <w:lvlJc w:val="left"/>
      <w:pPr>
        <w:ind w:left="1440" w:hanging="720"/>
      </w:pPr>
      <w:rPr>
        <w:rFonts w:eastAsia="Times New Roman"/>
      </w:r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21"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22" w15:restartNumberingAfterBreak="0">
    <w:nsid w:val="21BD0221"/>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21E74E4F"/>
    <w:multiLevelType w:val="multilevel"/>
    <w:tmpl w:val="E9B2F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23094747"/>
    <w:multiLevelType w:val="hybridMultilevel"/>
    <w:tmpl w:val="49744806"/>
    <w:lvl w:ilvl="0" w:tplc="B44EB214">
      <w:start w:val="1"/>
      <w:numFmt w:val="decimal"/>
      <w:lvlText w:val="%1."/>
      <w:lvlJc w:val="left"/>
      <w:pPr>
        <w:ind w:left="153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23842B07"/>
    <w:multiLevelType w:val="hybridMultilevel"/>
    <w:tmpl w:val="95FA0FDA"/>
    <w:lvl w:ilvl="0" w:tplc="0409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4FF095D"/>
    <w:multiLevelType w:val="hybridMultilevel"/>
    <w:tmpl w:val="6F105648"/>
    <w:lvl w:ilvl="0" w:tplc="D3981F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71D48A3"/>
    <w:multiLevelType w:val="hybridMultilevel"/>
    <w:tmpl w:val="FD4AC1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286F6808"/>
    <w:multiLevelType w:val="hybridMultilevel"/>
    <w:tmpl w:val="25464F80"/>
    <w:lvl w:ilvl="0" w:tplc="55A4D07E">
      <w:start w:val="1"/>
      <w:numFmt w:val="decimal"/>
      <w:lvlText w:val="%1."/>
      <w:lvlJc w:val="left"/>
      <w:pPr>
        <w:ind w:left="1426" w:hanging="360"/>
      </w:pPr>
      <w:rPr>
        <w:b w:val="0"/>
        <w:bCs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9" w15:restartNumberingAfterBreak="0">
    <w:nsid w:val="2B661D2A"/>
    <w:multiLevelType w:val="hybridMultilevel"/>
    <w:tmpl w:val="B2CEF648"/>
    <w:lvl w:ilvl="0" w:tplc="2996ED3A">
      <w:start w:val="1"/>
      <w:numFmt w:val="decimal"/>
      <w:lvlText w:val="%1."/>
      <w:lvlJc w:val="left"/>
      <w:pPr>
        <w:ind w:left="720" w:hanging="360"/>
      </w:pPr>
      <w:rPr>
        <w:rFonts w:hint="default"/>
        <w:b w:val="0"/>
        <w:bCs w:val="0"/>
        <w:i w:val="0"/>
        <w:strike w:val="0"/>
      </w:rPr>
    </w:lvl>
    <w:lvl w:ilvl="1" w:tplc="B994E440">
      <w:start w:val="1"/>
      <w:numFmt w:val="lowerLetter"/>
      <w:lvlText w:val="%2."/>
      <w:lvlJc w:val="left"/>
      <w:pPr>
        <w:ind w:left="1440" w:hanging="360"/>
      </w:pPr>
      <w:rPr>
        <w:i w:val="0"/>
        <w:i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BE2300D"/>
    <w:multiLevelType w:val="hybridMultilevel"/>
    <w:tmpl w:val="4B1284D8"/>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C3B1A9F"/>
    <w:multiLevelType w:val="hybridMultilevel"/>
    <w:tmpl w:val="E234A9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C8A6882"/>
    <w:multiLevelType w:val="hybridMultilevel"/>
    <w:tmpl w:val="0D70C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4C4D52"/>
    <w:multiLevelType w:val="hybridMultilevel"/>
    <w:tmpl w:val="4E9AF9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EF22B74"/>
    <w:multiLevelType w:val="hybridMultilevel"/>
    <w:tmpl w:val="821E43E0"/>
    <w:lvl w:ilvl="0" w:tplc="E6448362">
      <w:start w:val="1"/>
      <w:numFmt w:val="upperLetter"/>
      <w:lvlText w:val="%1."/>
      <w:lvlJc w:val="left"/>
      <w:pPr>
        <w:ind w:left="720" w:hanging="360"/>
      </w:pPr>
      <w:rPr>
        <w:rFonts w:cs="Times New Roman"/>
      </w:rPr>
    </w:lvl>
    <w:lvl w:ilvl="1" w:tplc="E9644AC6">
      <w:start w:val="1"/>
      <w:numFmt w:val="lowerLetter"/>
      <w:lvlText w:val="%2."/>
      <w:lvlJc w:val="left"/>
      <w:pPr>
        <w:ind w:left="1440" w:hanging="360"/>
      </w:pPr>
      <w:rPr>
        <w:rFonts w:cs="Times New Roman"/>
      </w:rPr>
    </w:lvl>
    <w:lvl w:ilvl="2" w:tplc="21B80234">
      <w:start w:val="1"/>
      <w:numFmt w:val="lowerRoman"/>
      <w:lvlText w:val="%3."/>
      <w:lvlJc w:val="right"/>
      <w:pPr>
        <w:ind w:left="2160" w:hanging="180"/>
      </w:pPr>
      <w:rPr>
        <w:rFonts w:cs="Times New Roman"/>
      </w:rPr>
    </w:lvl>
    <w:lvl w:ilvl="3" w:tplc="C44E87DC">
      <w:start w:val="1"/>
      <w:numFmt w:val="decimal"/>
      <w:lvlText w:val="%4."/>
      <w:lvlJc w:val="left"/>
      <w:pPr>
        <w:ind w:left="2880" w:hanging="360"/>
      </w:pPr>
      <w:rPr>
        <w:rFonts w:cs="Times New Roman"/>
      </w:rPr>
    </w:lvl>
    <w:lvl w:ilvl="4" w:tplc="AD3C636E">
      <w:start w:val="1"/>
      <w:numFmt w:val="lowerLetter"/>
      <w:lvlText w:val="%5."/>
      <w:lvlJc w:val="left"/>
      <w:pPr>
        <w:ind w:left="3600" w:hanging="360"/>
      </w:pPr>
      <w:rPr>
        <w:rFonts w:cs="Times New Roman"/>
      </w:rPr>
    </w:lvl>
    <w:lvl w:ilvl="5" w:tplc="EB1AEDDA">
      <w:start w:val="1"/>
      <w:numFmt w:val="lowerRoman"/>
      <w:lvlText w:val="%6."/>
      <w:lvlJc w:val="right"/>
      <w:pPr>
        <w:ind w:left="4320" w:hanging="180"/>
      </w:pPr>
      <w:rPr>
        <w:rFonts w:cs="Times New Roman"/>
      </w:rPr>
    </w:lvl>
    <w:lvl w:ilvl="6" w:tplc="5E74EFBC">
      <w:start w:val="1"/>
      <w:numFmt w:val="decimal"/>
      <w:lvlText w:val="%7."/>
      <w:lvlJc w:val="left"/>
      <w:pPr>
        <w:ind w:left="5040" w:hanging="360"/>
      </w:pPr>
      <w:rPr>
        <w:rFonts w:cs="Times New Roman"/>
      </w:rPr>
    </w:lvl>
    <w:lvl w:ilvl="7" w:tplc="8154F45C">
      <w:start w:val="1"/>
      <w:numFmt w:val="lowerLetter"/>
      <w:lvlText w:val="%8."/>
      <w:lvlJc w:val="left"/>
      <w:pPr>
        <w:ind w:left="5760" w:hanging="360"/>
      </w:pPr>
      <w:rPr>
        <w:rFonts w:cs="Times New Roman"/>
      </w:rPr>
    </w:lvl>
    <w:lvl w:ilvl="8" w:tplc="320EB746">
      <w:start w:val="1"/>
      <w:numFmt w:val="lowerRoman"/>
      <w:lvlText w:val="%9."/>
      <w:lvlJc w:val="right"/>
      <w:pPr>
        <w:ind w:left="6480" w:hanging="180"/>
      </w:pPr>
      <w:rPr>
        <w:rFonts w:cs="Times New Roman"/>
      </w:rPr>
    </w:lvl>
  </w:abstractNum>
  <w:abstractNum w:abstractNumId="35" w15:restartNumberingAfterBreak="0">
    <w:nsid w:val="2F662343"/>
    <w:multiLevelType w:val="hybridMultilevel"/>
    <w:tmpl w:val="A05205F8"/>
    <w:lvl w:ilvl="0" w:tplc="3628FA8A">
      <w:start w:val="1"/>
      <w:numFmt w:val="lowerLetter"/>
      <w:lvlText w:val="%1."/>
      <w:lvlJc w:val="left"/>
      <w:pPr>
        <w:ind w:left="720" w:hanging="360"/>
      </w:pPr>
      <w:rPr>
        <w:rFonts w:cs="Times New Roman"/>
      </w:rPr>
    </w:lvl>
    <w:lvl w:ilvl="1" w:tplc="23664ED0">
      <w:start w:val="1"/>
      <w:numFmt w:val="lowerLetter"/>
      <w:lvlText w:val="%2."/>
      <w:lvlJc w:val="left"/>
      <w:pPr>
        <w:ind w:left="1440" w:hanging="360"/>
      </w:pPr>
      <w:rPr>
        <w:i w:val="0"/>
      </w:rPr>
    </w:lvl>
    <w:lvl w:ilvl="2" w:tplc="FFFFFFFF">
      <w:start w:val="1"/>
      <w:numFmt w:val="lowerRoman"/>
      <w:lvlText w:val="%3."/>
      <w:lvlJc w:val="left"/>
      <w:pPr>
        <w:ind w:left="2700" w:hanging="720"/>
      </w:pPr>
      <w:rPr>
        <w:rFonts w:cs="Times New Roman" w:hint="default"/>
        <w:b w:val="0"/>
        <w:bCs w:val="0"/>
        <w:i w:val="0"/>
        <w:iCs w:val="0"/>
      </w:rPr>
    </w:lvl>
    <w:lvl w:ilvl="3" w:tplc="7D42F028">
      <w:start w:val="12"/>
      <w:numFmt w:val="decimal"/>
      <w:lvlText w:val="%4."/>
      <w:lvlJc w:val="left"/>
      <w:pPr>
        <w:ind w:left="2880" w:hanging="360"/>
      </w:pPr>
      <w:rPr>
        <w:rFonts w:eastAsia="Calibri" w:hint="default"/>
      </w:rPr>
    </w:lvl>
    <w:lvl w:ilvl="4" w:tplc="04160019" w:tentative="1">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0445961"/>
    <w:multiLevelType w:val="hybridMultilevel"/>
    <w:tmpl w:val="36E0B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500E9E"/>
    <w:multiLevelType w:val="hybridMultilevel"/>
    <w:tmpl w:val="9F2A79BE"/>
    <w:lvl w:ilvl="0" w:tplc="3628FA8A">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E95558"/>
    <w:multiLevelType w:val="hybridMultilevel"/>
    <w:tmpl w:val="AB94FCE4"/>
    <w:lvl w:ilvl="0" w:tplc="04090019">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39" w15:restartNumberingAfterBreak="0">
    <w:nsid w:val="362E45C9"/>
    <w:multiLevelType w:val="hybridMultilevel"/>
    <w:tmpl w:val="C00C0242"/>
    <w:lvl w:ilvl="0" w:tplc="F6AE05CE">
      <w:start w:val="1"/>
      <w:numFmt w:val="lowerLetter"/>
      <w:lvlText w:val="%1)"/>
      <w:lvlJc w:val="left"/>
      <w:pPr>
        <w:ind w:left="1800" w:hanging="360"/>
      </w:pPr>
      <w:rPr>
        <w:rFonts w:cs="Times New Roman"/>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3AD77C0D"/>
    <w:multiLevelType w:val="hybridMultilevel"/>
    <w:tmpl w:val="DE561B04"/>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F1086D38">
      <w:start w:val="1"/>
      <w:numFmt w:val="lowerRoman"/>
      <w:lvlText w:val="%3."/>
      <w:lvlJc w:val="right"/>
      <w:pPr>
        <w:ind w:left="2160" w:hanging="180"/>
      </w:pPr>
      <w:rPr>
        <w:b w:val="0"/>
        <w:bCs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3B881154"/>
    <w:multiLevelType w:val="hybridMultilevel"/>
    <w:tmpl w:val="1E4A531A"/>
    <w:lvl w:ilvl="0" w:tplc="B95A4144">
      <w:start w:val="5"/>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E1317B2"/>
    <w:multiLevelType w:val="multilevel"/>
    <w:tmpl w:val="5FEA0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44" w15:restartNumberingAfterBreak="0">
    <w:nsid w:val="3F864B9F"/>
    <w:multiLevelType w:val="hybridMultilevel"/>
    <w:tmpl w:val="CF68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FB41F9A"/>
    <w:multiLevelType w:val="hybridMultilevel"/>
    <w:tmpl w:val="0DE44612"/>
    <w:lvl w:ilvl="0" w:tplc="37980A72">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425F7D85"/>
    <w:multiLevelType w:val="hybridMultilevel"/>
    <w:tmpl w:val="73BA3B58"/>
    <w:lvl w:ilvl="0" w:tplc="3628FA8A">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263630"/>
    <w:multiLevelType w:val="multilevel"/>
    <w:tmpl w:val="FA565F0E"/>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49" w15:restartNumberingAfterBreak="0">
    <w:nsid w:val="4E6A7892"/>
    <w:multiLevelType w:val="multilevel"/>
    <w:tmpl w:val="99E6B5A6"/>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0" w15:restartNumberingAfterBreak="0">
    <w:nsid w:val="4EC3526F"/>
    <w:multiLevelType w:val="hybridMultilevel"/>
    <w:tmpl w:val="C9F8B1D4"/>
    <w:lvl w:ilvl="0" w:tplc="BD781D4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1" w15:restartNumberingAfterBreak="0">
    <w:nsid w:val="531C28F9"/>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15:restartNumberingAfterBreak="0">
    <w:nsid w:val="536751C8"/>
    <w:multiLevelType w:val="hybridMultilevel"/>
    <w:tmpl w:val="3402B71A"/>
    <w:lvl w:ilvl="0" w:tplc="D8E0B3FE">
      <w:start w:val="1"/>
      <w:numFmt w:val="decimal"/>
      <w:lvlText w:val="(%1)"/>
      <w:lvlJc w:val="left"/>
      <w:pPr>
        <w:ind w:left="2880" w:hanging="720"/>
      </w:pPr>
      <w:rPr>
        <w:rFonts w:cs="Times New Roman"/>
        <w:strike w:val="0"/>
        <w:dstrike w:val="0"/>
        <w:u w:val="none"/>
        <w:effect w:val="none"/>
      </w:rPr>
    </w:lvl>
    <w:lvl w:ilvl="1" w:tplc="0C0C0019">
      <w:start w:val="1"/>
      <w:numFmt w:val="lowerLetter"/>
      <w:lvlText w:val="%2."/>
      <w:lvlJc w:val="left"/>
      <w:pPr>
        <w:ind w:left="3240" w:hanging="360"/>
      </w:pPr>
      <w:rPr>
        <w:rFonts w:cs="Times New Roman"/>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53" w15:restartNumberingAfterBreak="0">
    <w:nsid w:val="553E03A4"/>
    <w:multiLevelType w:val="hybridMultilevel"/>
    <w:tmpl w:val="D0E68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6C4FB5"/>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6" w15:restartNumberingAfterBreak="0">
    <w:nsid w:val="56F3799D"/>
    <w:multiLevelType w:val="multilevel"/>
    <w:tmpl w:val="8376A94A"/>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bCs/>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58143F23"/>
    <w:multiLevelType w:val="hybridMultilevel"/>
    <w:tmpl w:val="2E0E4D14"/>
    <w:lvl w:ilvl="0" w:tplc="774E76D4">
      <w:start w:val="1"/>
      <w:numFmt w:val="decimal"/>
      <w:lvlText w:val="%1."/>
      <w:lvlJc w:val="left"/>
      <w:pPr>
        <w:ind w:left="1080" w:hanging="360"/>
      </w:pPr>
      <w:rPr>
        <w:b w:val="0"/>
        <w:bCs w:val="0"/>
      </w:r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58" w15:restartNumberingAfterBreak="0">
    <w:nsid w:val="59376746"/>
    <w:multiLevelType w:val="hybridMultilevel"/>
    <w:tmpl w:val="19227FA8"/>
    <w:lvl w:ilvl="0" w:tplc="CD0828F4">
      <w:start w:val="1"/>
      <w:numFmt w:val="decimal"/>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CBC71A7"/>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15:restartNumberingAfterBreak="0">
    <w:nsid w:val="5D8329DA"/>
    <w:multiLevelType w:val="hybridMultilevel"/>
    <w:tmpl w:val="B57C0392"/>
    <w:lvl w:ilvl="0" w:tplc="472CB4BA">
      <w:start w:val="1"/>
      <w:numFmt w:val="lowerLetter"/>
      <w:lvlText w:val="%1."/>
      <w:lvlJc w:val="left"/>
      <w:pPr>
        <w:ind w:left="144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4513955"/>
    <w:multiLevelType w:val="hybridMultilevel"/>
    <w:tmpl w:val="72B650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64" w15:restartNumberingAfterBreak="0">
    <w:nsid w:val="66830F66"/>
    <w:multiLevelType w:val="multilevel"/>
    <w:tmpl w:val="BE2E5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66" w15:restartNumberingAfterBreak="0">
    <w:nsid w:val="687A4D75"/>
    <w:multiLevelType w:val="hybridMultilevel"/>
    <w:tmpl w:val="70BA21DA"/>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6D3A2531"/>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8" w15:restartNumberingAfterBreak="0">
    <w:nsid w:val="71BA3201"/>
    <w:multiLevelType w:val="hybridMultilevel"/>
    <w:tmpl w:val="008AFBE0"/>
    <w:lvl w:ilvl="0" w:tplc="763A120E">
      <w:start w:val="1"/>
      <w:numFmt w:val="lowerLetter"/>
      <w:lvlText w:val="%1)"/>
      <w:lvlJc w:val="left"/>
      <w:pPr>
        <w:ind w:left="2160" w:hanging="360"/>
      </w:pPr>
      <w:rPr>
        <w:rFonts w:cs="Times New Roman"/>
        <w:b w:val="0"/>
        <w:bCs w:val="0"/>
        <w:i w:val="0"/>
        <w:iCs w:val="0"/>
        <w:strike w:val="0"/>
        <w:dstrike w:val="0"/>
        <w:color w:val="auto"/>
        <w:u w:val="none"/>
        <w:effect w:val="none"/>
      </w:rPr>
    </w:lvl>
    <w:lvl w:ilvl="1" w:tplc="FFFFFFFF">
      <w:start w:val="1"/>
      <w:numFmt w:val="lowerLetter"/>
      <w:lvlText w:val="%2."/>
      <w:lvlJc w:val="left"/>
      <w:pPr>
        <w:ind w:left="2880" w:hanging="360"/>
      </w:pPr>
      <w:rPr>
        <w:rFonts w:cs="Times New Roman"/>
      </w:rPr>
    </w:lvl>
    <w:lvl w:ilvl="2" w:tplc="FFFFFFFF">
      <w:start w:val="1"/>
      <w:numFmt w:val="lowerRoman"/>
      <w:lvlText w:val="%3."/>
      <w:lvlJc w:val="right"/>
      <w:pPr>
        <w:ind w:left="3600" w:hanging="180"/>
      </w:pPr>
      <w:rPr>
        <w:rFonts w:cs="Times New Roman"/>
      </w:rPr>
    </w:lvl>
    <w:lvl w:ilvl="3" w:tplc="FFFFFFFF">
      <w:start w:val="1"/>
      <w:numFmt w:val="decimal"/>
      <w:lvlText w:val="%4."/>
      <w:lvlJc w:val="left"/>
      <w:pPr>
        <w:ind w:left="4320" w:hanging="360"/>
      </w:pPr>
      <w:rPr>
        <w:rFonts w:cs="Times New Roman"/>
      </w:rPr>
    </w:lvl>
    <w:lvl w:ilvl="4" w:tplc="FFFFFFFF">
      <w:start w:val="1"/>
      <w:numFmt w:val="lowerLetter"/>
      <w:lvlText w:val="%5."/>
      <w:lvlJc w:val="left"/>
      <w:pPr>
        <w:ind w:left="5040" w:hanging="360"/>
      </w:pPr>
      <w:rPr>
        <w:rFonts w:cs="Times New Roman"/>
      </w:rPr>
    </w:lvl>
    <w:lvl w:ilvl="5" w:tplc="FFFFFFFF">
      <w:start w:val="1"/>
      <w:numFmt w:val="lowerRoman"/>
      <w:lvlText w:val="%6."/>
      <w:lvlJc w:val="right"/>
      <w:pPr>
        <w:ind w:left="5760" w:hanging="180"/>
      </w:pPr>
      <w:rPr>
        <w:rFonts w:cs="Times New Roman"/>
      </w:rPr>
    </w:lvl>
    <w:lvl w:ilvl="6" w:tplc="FFFFFFFF">
      <w:start w:val="1"/>
      <w:numFmt w:val="decimal"/>
      <w:lvlText w:val="%7."/>
      <w:lvlJc w:val="left"/>
      <w:pPr>
        <w:ind w:left="6480" w:hanging="360"/>
      </w:pPr>
      <w:rPr>
        <w:rFonts w:cs="Times New Roman"/>
      </w:rPr>
    </w:lvl>
    <w:lvl w:ilvl="7" w:tplc="FFFFFFFF">
      <w:start w:val="1"/>
      <w:numFmt w:val="lowerLetter"/>
      <w:lvlText w:val="%8."/>
      <w:lvlJc w:val="left"/>
      <w:pPr>
        <w:ind w:left="7200" w:hanging="360"/>
      </w:pPr>
      <w:rPr>
        <w:rFonts w:cs="Times New Roman"/>
      </w:rPr>
    </w:lvl>
    <w:lvl w:ilvl="8" w:tplc="FFFFFFFF">
      <w:start w:val="1"/>
      <w:numFmt w:val="lowerRoman"/>
      <w:lvlText w:val="%9."/>
      <w:lvlJc w:val="right"/>
      <w:pPr>
        <w:ind w:left="7920" w:hanging="180"/>
      </w:pPr>
      <w:rPr>
        <w:rFonts w:cs="Times New Roman"/>
      </w:rPr>
    </w:lvl>
  </w:abstractNum>
  <w:abstractNum w:abstractNumId="69" w15:restartNumberingAfterBreak="0">
    <w:nsid w:val="71C436BC"/>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70" w15:restartNumberingAfterBreak="0">
    <w:nsid w:val="739F7AB8"/>
    <w:multiLevelType w:val="hybridMultilevel"/>
    <w:tmpl w:val="1D2A55A2"/>
    <w:lvl w:ilvl="0" w:tplc="44304ACE">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71" w15:restartNumberingAfterBreak="0">
    <w:nsid w:val="789C40CF"/>
    <w:multiLevelType w:val="hybridMultilevel"/>
    <w:tmpl w:val="12489D8A"/>
    <w:lvl w:ilvl="0" w:tplc="5C8601CC">
      <w:start w:val="1"/>
      <w:numFmt w:val="decimal"/>
      <w:lvlText w:val="%1."/>
      <w:lvlJc w:val="left"/>
      <w:pPr>
        <w:ind w:left="1440" w:hanging="360"/>
      </w:pPr>
      <w:rPr>
        <w:b w:val="0"/>
        <w:bCs/>
        <w:strike w:val="0"/>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72" w15:restartNumberingAfterBreak="0">
    <w:nsid w:val="7A6C4927"/>
    <w:multiLevelType w:val="hybridMultilevel"/>
    <w:tmpl w:val="C726B1C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C034D5B"/>
    <w:multiLevelType w:val="hybridMultilevel"/>
    <w:tmpl w:val="FD4AC1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15:restartNumberingAfterBreak="0">
    <w:nsid w:val="7C232305"/>
    <w:multiLevelType w:val="hybridMultilevel"/>
    <w:tmpl w:val="83E6AD8C"/>
    <w:lvl w:ilvl="0" w:tplc="70C0EBAA">
      <w:start w:val="1"/>
      <w:numFmt w:val="decimal"/>
      <w:lvlText w:val="%1."/>
      <w:lvlJc w:val="left"/>
      <w:pPr>
        <w:ind w:left="-360" w:hanging="360"/>
      </w:pPr>
      <w:rPr>
        <w:rFonts w:hint="default"/>
      </w:r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75"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23"/>
  </w:num>
  <w:num w:numId="3">
    <w:abstractNumId w:val="64"/>
  </w:num>
  <w:num w:numId="4">
    <w:abstractNumId w:val="56"/>
  </w:num>
  <w:num w:numId="5">
    <w:abstractNumId w:val="47"/>
  </w:num>
  <w:num w:numId="6">
    <w:abstractNumId w:val="1"/>
  </w:num>
  <w:num w:numId="7">
    <w:abstractNumId w:val="14"/>
  </w:num>
  <w:num w:numId="8">
    <w:abstractNumId w:val="42"/>
  </w:num>
  <w:num w:numId="9">
    <w:abstractNumId w:val="10"/>
  </w:num>
  <w:num w:numId="10">
    <w:abstractNumId w:val="5"/>
  </w:num>
  <w:num w:numId="11">
    <w:abstractNumId w:val="36"/>
  </w:num>
  <w:num w:numId="12">
    <w:abstractNumId w:val="53"/>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num>
  <w:num w:numId="22">
    <w:abstractNumId w:val="37"/>
  </w:num>
  <w:num w:numId="23">
    <w:abstractNumId w:val="46"/>
  </w:num>
  <w:num w:numId="24">
    <w:abstractNumId w:val="4"/>
  </w:num>
  <w:num w:numId="25">
    <w:abstractNumId w:val="13"/>
  </w:num>
  <w:num w:numId="26">
    <w:abstractNumId w:val="31"/>
  </w:num>
  <w:num w:numId="27">
    <w:abstractNumId w:val="8"/>
  </w:num>
  <w:num w:numId="28">
    <w:abstractNumId w:val="33"/>
  </w:num>
  <w:num w:numId="29">
    <w:abstractNumId w:val="16"/>
  </w:num>
  <w:num w:numId="30">
    <w:abstractNumId w:val="11"/>
  </w:num>
  <w:num w:numId="31">
    <w:abstractNumId w:val="17"/>
  </w:num>
  <w:num w:numId="32">
    <w:abstractNumId w:val="35"/>
  </w:num>
  <w:num w:numId="33">
    <w:abstractNumId w:val="38"/>
  </w:num>
  <w:num w:numId="34">
    <w:abstractNumId w:val="61"/>
  </w:num>
  <w:num w:numId="35">
    <w:abstractNumId w:val="29"/>
  </w:num>
  <w:num w:numId="36">
    <w:abstractNumId w:val="40"/>
  </w:num>
  <w:num w:numId="37">
    <w:abstractNumId w:val="0"/>
  </w:num>
  <w:num w:numId="38">
    <w:abstractNumId w:val="75"/>
  </w:num>
  <w:num w:numId="39">
    <w:abstractNumId w:val="30"/>
  </w:num>
  <w:num w:numId="40">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num>
  <w:num w:numId="47">
    <w:abstractNumId w:val="50"/>
  </w:num>
  <w:num w:numId="48">
    <w:abstractNumId w:val="72"/>
  </w:num>
  <w:num w:numId="49">
    <w:abstractNumId w:val="60"/>
  </w:num>
  <w:num w:numId="50">
    <w:abstractNumId w:val="58"/>
  </w:num>
  <w:num w:numId="51">
    <w:abstractNumId w:val="26"/>
  </w:num>
  <w:num w:numId="52">
    <w:abstractNumId w:val="41"/>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num>
  <w:num w:numId="61">
    <w:abstractNumId w:val="71"/>
  </w:num>
  <w:num w:numId="62">
    <w:abstractNumId w:val="74"/>
  </w:num>
  <w:num w:numId="63">
    <w:abstractNumId w:val="7"/>
  </w:num>
  <w:num w:numId="64">
    <w:abstractNumId w:val="66"/>
  </w:num>
  <w:num w:numId="65">
    <w:abstractNumId w:val="6"/>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num>
  <w:num w:numId="69">
    <w:abstractNumId w:val="57"/>
  </w:num>
  <w:num w:numId="70">
    <w:abstractNumId w:val="19"/>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num>
  <w:num w:numId="77">
    <w:abstractNumId w:val="7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E1"/>
    <w:rsid w:val="00003188"/>
    <w:rsid w:val="00006486"/>
    <w:rsid w:val="00032C90"/>
    <w:rsid w:val="00035593"/>
    <w:rsid w:val="000414CF"/>
    <w:rsid w:val="000513D6"/>
    <w:rsid w:val="00087169"/>
    <w:rsid w:val="000A3CEE"/>
    <w:rsid w:val="000A4BF6"/>
    <w:rsid w:val="000C2788"/>
    <w:rsid w:val="000D0C0B"/>
    <w:rsid w:val="000F4430"/>
    <w:rsid w:val="001300C0"/>
    <w:rsid w:val="00136959"/>
    <w:rsid w:val="0015168F"/>
    <w:rsid w:val="00163D07"/>
    <w:rsid w:val="00164583"/>
    <w:rsid w:val="001653C2"/>
    <w:rsid w:val="00187484"/>
    <w:rsid w:val="001942DE"/>
    <w:rsid w:val="001B5A48"/>
    <w:rsid w:val="001C288F"/>
    <w:rsid w:val="001C6E52"/>
    <w:rsid w:val="001D3D18"/>
    <w:rsid w:val="001E62DB"/>
    <w:rsid w:val="001F5D49"/>
    <w:rsid w:val="00201917"/>
    <w:rsid w:val="00213B6A"/>
    <w:rsid w:val="00220D18"/>
    <w:rsid w:val="00236661"/>
    <w:rsid w:val="00244669"/>
    <w:rsid w:val="00245341"/>
    <w:rsid w:val="0025165D"/>
    <w:rsid w:val="00252142"/>
    <w:rsid w:val="0027451C"/>
    <w:rsid w:val="00286485"/>
    <w:rsid w:val="002A6031"/>
    <w:rsid w:val="002C5FB4"/>
    <w:rsid w:val="002D077E"/>
    <w:rsid w:val="002E089E"/>
    <w:rsid w:val="002F4144"/>
    <w:rsid w:val="002F5AAC"/>
    <w:rsid w:val="002F66C9"/>
    <w:rsid w:val="00300BEA"/>
    <w:rsid w:val="003019E9"/>
    <w:rsid w:val="00306611"/>
    <w:rsid w:val="00307190"/>
    <w:rsid w:val="00330327"/>
    <w:rsid w:val="00330AA9"/>
    <w:rsid w:val="003330A3"/>
    <w:rsid w:val="00356D41"/>
    <w:rsid w:val="0036448D"/>
    <w:rsid w:val="00365004"/>
    <w:rsid w:val="00373454"/>
    <w:rsid w:val="00386C91"/>
    <w:rsid w:val="00390A3A"/>
    <w:rsid w:val="003933C4"/>
    <w:rsid w:val="003954DC"/>
    <w:rsid w:val="003B64BB"/>
    <w:rsid w:val="003B7A14"/>
    <w:rsid w:val="003D25EA"/>
    <w:rsid w:val="003E5BC5"/>
    <w:rsid w:val="003F35B7"/>
    <w:rsid w:val="004169DC"/>
    <w:rsid w:val="004209BF"/>
    <w:rsid w:val="00420C46"/>
    <w:rsid w:val="00431B41"/>
    <w:rsid w:val="00442EF8"/>
    <w:rsid w:val="0044697B"/>
    <w:rsid w:val="00446FC8"/>
    <w:rsid w:val="00455157"/>
    <w:rsid w:val="00457E8B"/>
    <w:rsid w:val="004653E1"/>
    <w:rsid w:val="004708F7"/>
    <w:rsid w:val="004803EA"/>
    <w:rsid w:val="00486FB2"/>
    <w:rsid w:val="00486FF7"/>
    <w:rsid w:val="004A2119"/>
    <w:rsid w:val="004A2687"/>
    <w:rsid w:val="004A47F0"/>
    <w:rsid w:val="004C340F"/>
    <w:rsid w:val="004E1939"/>
    <w:rsid w:val="004E5820"/>
    <w:rsid w:val="004E5D09"/>
    <w:rsid w:val="004E6FE3"/>
    <w:rsid w:val="004F31B8"/>
    <w:rsid w:val="0050422D"/>
    <w:rsid w:val="00523C54"/>
    <w:rsid w:val="005274FA"/>
    <w:rsid w:val="00547C55"/>
    <w:rsid w:val="00552044"/>
    <w:rsid w:val="00553776"/>
    <w:rsid w:val="005707CF"/>
    <w:rsid w:val="00573617"/>
    <w:rsid w:val="00586FF9"/>
    <w:rsid w:val="00587BE7"/>
    <w:rsid w:val="005A11FB"/>
    <w:rsid w:val="005B51B9"/>
    <w:rsid w:val="005D153B"/>
    <w:rsid w:val="005E699F"/>
    <w:rsid w:val="005E7896"/>
    <w:rsid w:val="006078C1"/>
    <w:rsid w:val="006116BD"/>
    <w:rsid w:val="00616EE8"/>
    <w:rsid w:val="00617291"/>
    <w:rsid w:val="00622C94"/>
    <w:rsid w:val="00623A2B"/>
    <w:rsid w:val="0062745A"/>
    <w:rsid w:val="00633A93"/>
    <w:rsid w:val="00633ADD"/>
    <w:rsid w:val="00653C3B"/>
    <w:rsid w:val="00662FF2"/>
    <w:rsid w:val="00667904"/>
    <w:rsid w:val="00672B0B"/>
    <w:rsid w:val="0067707A"/>
    <w:rsid w:val="0069284F"/>
    <w:rsid w:val="00692FA2"/>
    <w:rsid w:val="006A2E22"/>
    <w:rsid w:val="006D0C1D"/>
    <w:rsid w:val="006E4500"/>
    <w:rsid w:val="006F1F5E"/>
    <w:rsid w:val="006F3E99"/>
    <w:rsid w:val="006F6A96"/>
    <w:rsid w:val="0070196C"/>
    <w:rsid w:val="00707949"/>
    <w:rsid w:val="007145F7"/>
    <w:rsid w:val="00716B30"/>
    <w:rsid w:val="00720F0E"/>
    <w:rsid w:val="00722BB2"/>
    <w:rsid w:val="0074565E"/>
    <w:rsid w:val="00747395"/>
    <w:rsid w:val="00750C1E"/>
    <w:rsid w:val="00752E5E"/>
    <w:rsid w:val="00773714"/>
    <w:rsid w:val="00777ED7"/>
    <w:rsid w:val="00796D0E"/>
    <w:rsid w:val="007B7826"/>
    <w:rsid w:val="007E26D2"/>
    <w:rsid w:val="008052B0"/>
    <w:rsid w:val="00835754"/>
    <w:rsid w:val="00837737"/>
    <w:rsid w:val="008414C1"/>
    <w:rsid w:val="00846C92"/>
    <w:rsid w:val="008507FE"/>
    <w:rsid w:val="00852EF2"/>
    <w:rsid w:val="00853888"/>
    <w:rsid w:val="008600CC"/>
    <w:rsid w:val="00874C2A"/>
    <w:rsid w:val="00875323"/>
    <w:rsid w:val="00896429"/>
    <w:rsid w:val="008B1794"/>
    <w:rsid w:val="008B23D0"/>
    <w:rsid w:val="008B476B"/>
    <w:rsid w:val="008B6FC5"/>
    <w:rsid w:val="008C46A8"/>
    <w:rsid w:val="008D2FB3"/>
    <w:rsid w:val="008D68A3"/>
    <w:rsid w:val="008E3F21"/>
    <w:rsid w:val="008E6122"/>
    <w:rsid w:val="008F3B5D"/>
    <w:rsid w:val="00906004"/>
    <w:rsid w:val="009073D5"/>
    <w:rsid w:val="00923B26"/>
    <w:rsid w:val="00930383"/>
    <w:rsid w:val="0096013F"/>
    <w:rsid w:val="00963998"/>
    <w:rsid w:val="009651F1"/>
    <w:rsid w:val="009832C7"/>
    <w:rsid w:val="009874E5"/>
    <w:rsid w:val="009A129C"/>
    <w:rsid w:val="009B4B67"/>
    <w:rsid w:val="009D765B"/>
    <w:rsid w:val="009E1AEE"/>
    <w:rsid w:val="009F6DC4"/>
    <w:rsid w:val="00A16BE1"/>
    <w:rsid w:val="00A221F9"/>
    <w:rsid w:val="00A306CF"/>
    <w:rsid w:val="00A40B4B"/>
    <w:rsid w:val="00A4404F"/>
    <w:rsid w:val="00A6051B"/>
    <w:rsid w:val="00A63078"/>
    <w:rsid w:val="00A678F4"/>
    <w:rsid w:val="00A70A20"/>
    <w:rsid w:val="00A74375"/>
    <w:rsid w:val="00A83E83"/>
    <w:rsid w:val="00A84B93"/>
    <w:rsid w:val="00AA5FCE"/>
    <w:rsid w:val="00AB2F4B"/>
    <w:rsid w:val="00AB7EB2"/>
    <w:rsid w:val="00AC1929"/>
    <w:rsid w:val="00AD1F33"/>
    <w:rsid w:val="00AD4630"/>
    <w:rsid w:val="00AE6FE6"/>
    <w:rsid w:val="00AF5D68"/>
    <w:rsid w:val="00B0212B"/>
    <w:rsid w:val="00B04CFA"/>
    <w:rsid w:val="00B16B05"/>
    <w:rsid w:val="00B20EC4"/>
    <w:rsid w:val="00B216D2"/>
    <w:rsid w:val="00B53F69"/>
    <w:rsid w:val="00B61297"/>
    <w:rsid w:val="00B67BBC"/>
    <w:rsid w:val="00B85BC9"/>
    <w:rsid w:val="00B869F3"/>
    <w:rsid w:val="00B92074"/>
    <w:rsid w:val="00B94C51"/>
    <w:rsid w:val="00BA4729"/>
    <w:rsid w:val="00BB0383"/>
    <w:rsid w:val="00BB1038"/>
    <w:rsid w:val="00BB3BC8"/>
    <w:rsid w:val="00BD2D6F"/>
    <w:rsid w:val="00BE02EB"/>
    <w:rsid w:val="00BF1DC8"/>
    <w:rsid w:val="00C05265"/>
    <w:rsid w:val="00C11C10"/>
    <w:rsid w:val="00C466A3"/>
    <w:rsid w:val="00C46FA6"/>
    <w:rsid w:val="00C53C5C"/>
    <w:rsid w:val="00C55B60"/>
    <w:rsid w:val="00C63356"/>
    <w:rsid w:val="00CD49D4"/>
    <w:rsid w:val="00CD4E5E"/>
    <w:rsid w:val="00CE2482"/>
    <w:rsid w:val="00CE2BF1"/>
    <w:rsid w:val="00CE5419"/>
    <w:rsid w:val="00D06B11"/>
    <w:rsid w:val="00D115CD"/>
    <w:rsid w:val="00D31000"/>
    <w:rsid w:val="00D4300E"/>
    <w:rsid w:val="00D50DB3"/>
    <w:rsid w:val="00D56C60"/>
    <w:rsid w:val="00D61126"/>
    <w:rsid w:val="00D87B62"/>
    <w:rsid w:val="00DB2862"/>
    <w:rsid w:val="00DC5E26"/>
    <w:rsid w:val="00DD002B"/>
    <w:rsid w:val="00DD0AA3"/>
    <w:rsid w:val="00DF2371"/>
    <w:rsid w:val="00E033E5"/>
    <w:rsid w:val="00E04EF1"/>
    <w:rsid w:val="00E2371D"/>
    <w:rsid w:val="00E539D9"/>
    <w:rsid w:val="00E66332"/>
    <w:rsid w:val="00E82A61"/>
    <w:rsid w:val="00E952AF"/>
    <w:rsid w:val="00E95600"/>
    <w:rsid w:val="00EC0BAC"/>
    <w:rsid w:val="00ED1B57"/>
    <w:rsid w:val="00ED2EA7"/>
    <w:rsid w:val="00ED42D8"/>
    <w:rsid w:val="00ED77CA"/>
    <w:rsid w:val="00EE7518"/>
    <w:rsid w:val="00EF4DB6"/>
    <w:rsid w:val="00EF7B36"/>
    <w:rsid w:val="00F0009E"/>
    <w:rsid w:val="00F02DFE"/>
    <w:rsid w:val="00F13A02"/>
    <w:rsid w:val="00F206E4"/>
    <w:rsid w:val="00F25AFC"/>
    <w:rsid w:val="00F31260"/>
    <w:rsid w:val="00F361BD"/>
    <w:rsid w:val="00F51E1B"/>
    <w:rsid w:val="00F61373"/>
    <w:rsid w:val="00F62EA9"/>
    <w:rsid w:val="00F641C7"/>
    <w:rsid w:val="00F723DA"/>
    <w:rsid w:val="00F94AE2"/>
    <w:rsid w:val="00FA0220"/>
    <w:rsid w:val="00FD29B0"/>
    <w:rsid w:val="00FD4855"/>
    <w:rsid w:val="00FD68F5"/>
    <w:rsid w:val="00FE0D76"/>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52E954E"/>
  <w15:chartTrackingRefBased/>
  <w15:docId w15:val="{9F732DCC-7836-415F-81C3-84C80254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aliases w:val="Heading 1 Char Char,Heading 1 Char1,Heading 1 Char1 Car"/>
    <w:basedOn w:val="Normal"/>
    <w:next w:val="Normal"/>
    <w:link w:val="Heading1Char"/>
    <w:qFormat/>
    <w:rsid w:val="00874C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8B179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hAnsi="Calibri Light"/>
      <w:b/>
      <w:bCs/>
      <w:i/>
      <w:iCs/>
      <w:sz w:val="28"/>
      <w:szCs w:val="28"/>
      <w:lang w:eastAsia="es-ES"/>
    </w:rPr>
  </w:style>
  <w:style w:type="paragraph" w:styleId="Heading3">
    <w:name w:val="heading 3"/>
    <w:basedOn w:val="Normal"/>
    <w:next w:val="Normal"/>
    <w:link w:val="Heading3Char"/>
    <w:unhideWhenUsed/>
    <w:qFormat/>
    <w:rsid w:val="008B179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hAnsi="Cambria"/>
      <w:b/>
      <w:bCs/>
      <w:sz w:val="26"/>
      <w:szCs w:val="26"/>
      <w:lang w:val="es-ES_tradnl"/>
    </w:rPr>
  </w:style>
  <w:style w:type="paragraph" w:styleId="Heading4">
    <w:name w:val="heading 4"/>
    <w:basedOn w:val="Normal"/>
    <w:next w:val="Normal"/>
    <w:link w:val="Heading4Char"/>
    <w:qFormat/>
    <w:rsid w:val="008B179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8B17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hAnsi="Calibri"/>
      <w:b/>
      <w:bCs/>
      <w:szCs w:val="22"/>
    </w:rPr>
  </w:style>
  <w:style w:type="paragraph" w:styleId="Heading7">
    <w:name w:val="heading 7"/>
    <w:basedOn w:val="Normal"/>
    <w:next w:val="Normal"/>
    <w:link w:val="Heading7Char"/>
    <w:semiHidden/>
    <w:unhideWhenUsed/>
    <w:qFormat/>
    <w:rsid w:val="008B17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tyle>
  <w:style w:type="character" w:styleId="EndnoteReference">
    <w:name w:val="endnote reference"/>
    <w:rPr>
      <w:vertAlign w:val="superscript"/>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qFormat/>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qFormat/>
    <w:rPr>
      <w:color w:val="auto"/>
      <w:vertAlign w:val="baseline"/>
    </w:rPr>
  </w:style>
  <w:style w:type="paragraph" w:styleId="TOC1">
    <w:name w:val="toc 1"/>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jc w:val="left"/>
    </w:pPr>
    <w:rPr>
      <w:rFonts w:asciiTheme="minorHAnsi" w:hAnsiTheme="minorHAnsi" w:cstheme="minorHAnsi"/>
      <w:b/>
      <w:bCs/>
      <w:caps/>
      <w:sz w:val="20"/>
    </w:rPr>
  </w:style>
  <w:style w:type="paragraph" w:styleId="TOC2">
    <w:name w:val="toc 2"/>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220"/>
      <w:jc w:val="left"/>
    </w:pPr>
    <w:rPr>
      <w:rFonts w:asciiTheme="minorHAnsi" w:hAnsiTheme="minorHAnsi" w:cstheme="minorHAnsi"/>
      <w:smallCaps/>
      <w:sz w:val="20"/>
    </w:rPr>
  </w:style>
  <w:style w:type="paragraph" w:styleId="TOC3">
    <w:name w:val="toc 3"/>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440"/>
      <w:jc w:val="left"/>
    </w:pPr>
    <w:rPr>
      <w:rFonts w:asciiTheme="minorHAnsi" w:hAnsiTheme="minorHAnsi" w:cstheme="minorHAnsi"/>
      <w:i/>
      <w:iCs/>
      <w:sz w:val="20"/>
    </w:rPr>
  </w:style>
  <w:style w:type="paragraph" w:styleId="TOC4">
    <w:name w:val="toc 4"/>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660"/>
      <w:jc w:val="left"/>
    </w:pPr>
    <w:rPr>
      <w:rFonts w:asciiTheme="minorHAnsi" w:hAnsiTheme="minorHAnsi" w:cstheme="minorHAnsi"/>
      <w:sz w:val="18"/>
      <w:szCs w:val="18"/>
    </w:rPr>
  </w:style>
  <w:style w:type="paragraph" w:styleId="TOC5">
    <w:name w:val="toc 5"/>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880"/>
      <w:jc w:val="left"/>
    </w:pPr>
    <w:rPr>
      <w:rFonts w:asciiTheme="minorHAnsi" w:hAnsiTheme="minorHAnsi" w:cstheme="minorHAnsi"/>
      <w:sz w:val="18"/>
      <w:szCs w:val="18"/>
    </w:rPr>
  </w:style>
  <w:style w:type="paragraph" w:styleId="TOC6">
    <w:name w:val="toc 6"/>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100"/>
      <w:jc w:val="left"/>
    </w:pPr>
    <w:rPr>
      <w:rFonts w:asciiTheme="minorHAnsi" w:hAnsiTheme="minorHAnsi" w:cstheme="minorHAnsi"/>
      <w:sz w:val="18"/>
      <w:szCs w:val="18"/>
    </w:rPr>
  </w:style>
  <w:style w:type="paragraph" w:styleId="TOC7">
    <w:name w:val="toc 7"/>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320"/>
      <w:jc w:val="left"/>
    </w:pPr>
    <w:rPr>
      <w:rFonts w:asciiTheme="minorHAnsi" w:hAnsiTheme="minorHAnsi" w:cstheme="minorHAnsi"/>
      <w:sz w:val="18"/>
      <w:szCs w:val="18"/>
    </w:rPr>
  </w:style>
  <w:style w:type="paragraph" w:styleId="TOC8">
    <w:name w:val="toc 8"/>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540"/>
      <w:jc w:val="left"/>
    </w:pPr>
    <w:rPr>
      <w:rFonts w:asciiTheme="minorHAnsi" w:hAnsiTheme="minorHAnsi" w:cstheme="minorHAnsi"/>
      <w:sz w:val="18"/>
      <w:szCs w:val="18"/>
    </w:rPr>
  </w:style>
  <w:style w:type="paragraph" w:styleId="TOC9">
    <w:name w:val="toc 9"/>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760"/>
      <w:jc w:val="left"/>
    </w:pPr>
    <w:rPr>
      <w:rFonts w:asciiTheme="minorHAnsi" w:hAnsiTheme="minorHAnsi" w:cstheme="minorHAnsi"/>
      <w:sz w:val="18"/>
      <w:szCs w:val="18"/>
    </w:r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uiPriority w:val="99"/>
  </w:style>
  <w:style w:type="paragraph" w:customStyle="1" w:styleId="CPClassification">
    <w:name w:val="CP Classification"/>
    <w:basedOn w:val="Normal"/>
    <w:qFormat/>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uiPriority w:val="99"/>
    <w:qFormat/>
    <w:pPr>
      <w:widowControl/>
      <w:tabs>
        <w:tab w:val="clear" w:pos="3600"/>
        <w:tab w:val="clear" w:pos="4320"/>
        <w:tab w:val="clear" w:pos="5760"/>
        <w:tab w:val="clear" w:pos="6480"/>
        <w:tab w:val="left" w:pos="8640"/>
      </w:tabs>
      <w:jc w:val="center"/>
    </w:pPr>
    <w:rPr>
      <w:rFonts w:ascii="Times New Roman" w:hAnsi="Times New Roman"/>
      <w:lang w:val="pt-PT"/>
    </w:rPr>
  </w:style>
  <w:style w:type="paragraph" w:customStyle="1" w:styleId="Body">
    <w:name w:val="Body"/>
    <w:rsid w:val="00EF7B36"/>
    <w:pPr>
      <w:jc w:val="both"/>
    </w:pPr>
    <w:rPr>
      <w:rFonts w:eastAsia="Arial Unicode MS"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qFormat/>
    <w:rsid w:val="00EF7B36"/>
    <w:pPr>
      <w:jc w:val="center"/>
      <w:outlineLvl w:val="0"/>
    </w:pPr>
    <w:rPr>
      <w:rFonts w:eastAsia="Arial Unicode MS" w:cs="Arial Unicode MS"/>
      <w:color w:val="000000"/>
      <w:sz w:val="22"/>
      <w:szCs w:val="22"/>
      <w:u w:color="000000"/>
      <w14:textOutline w14:w="0" w14:cap="flat" w14:cmpd="sng" w14:algn="ctr">
        <w14:noFill/>
        <w14:prstDash w14:val="solid"/>
        <w14:bevel/>
      </w14:textOutline>
    </w:rPr>
  </w:style>
  <w:style w:type="character" w:customStyle="1" w:styleId="HeaderChar">
    <w:name w:val="Header Char"/>
    <w:aliases w:val="encabezado Char"/>
    <w:basedOn w:val="DefaultParagraphFont"/>
    <w:link w:val="Header"/>
    <w:uiPriority w:val="99"/>
    <w:rsid w:val="00EF7B36"/>
    <w:rPr>
      <w:rFonts w:ascii="CG Times" w:hAnsi="CG Times"/>
      <w:sz w:val="22"/>
      <w:lang w:val="es-ES"/>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Car1 Char"/>
    <w:basedOn w:val="DefaultParagraphFont"/>
    <w:link w:val="FootnoteText"/>
    <w:rsid w:val="00D06B11"/>
    <w:rPr>
      <w:rFonts w:ascii="CG Times" w:hAnsi="CG Times"/>
      <w:sz w:val="18"/>
      <w:lang w:val="es-ES"/>
    </w:rPr>
  </w:style>
  <w:style w:type="character" w:customStyle="1" w:styleId="CharacterStyle2">
    <w:name w:val="Character Style 2"/>
    <w:uiPriority w:val="99"/>
    <w:rsid w:val="00D06B11"/>
    <w:rPr>
      <w:sz w:val="20"/>
      <w:szCs w:val="20"/>
    </w:rPr>
  </w:style>
  <w:style w:type="character" w:styleId="FollowedHyperlink">
    <w:name w:val="FollowedHyperlink"/>
    <w:basedOn w:val="DefaultParagraphFont"/>
    <w:uiPriority w:val="99"/>
    <w:unhideWhenUsed/>
    <w:rsid w:val="00D06B11"/>
    <w:rPr>
      <w:color w:val="954F72" w:themeColor="followedHyperlink"/>
      <w:u w:val="single"/>
    </w:rPr>
  </w:style>
  <w:style w:type="paragraph" w:styleId="ListParagraph">
    <w:name w:val="List Paragraph"/>
    <w:basedOn w:val="Normal"/>
    <w:link w:val="ListParagraphChar"/>
    <w:uiPriority w:val="34"/>
    <w:qFormat/>
    <w:rsid w:val="00D06B11"/>
    <w:pPr>
      <w:ind w:left="720"/>
      <w:contextualSpacing/>
    </w:pPr>
  </w:style>
  <w:style w:type="character" w:customStyle="1" w:styleId="Heading1Char">
    <w:name w:val="Heading 1 Char"/>
    <w:aliases w:val="Heading 1 Char Char Char,Heading 1 Char1 Char,Heading 1 Char1 Car Char"/>
    <w:basedOn w:val="DefaultParagraphFont"/>
    <w:link w:val="Heading1"/>
    <w:qFormat/>
    <w:rsid w:val="00874C2A"/>
    <w:rPr>
      <w:rFonts w:asciiTheme="majorHAnsi" w:eastAsiaTheme="majorEastAsia" w:hAnsiTheme="majorHAnsi" w:cstheme="majorBidi"/>
      <w:color w:val="2F5496" w:themeColor="accent1" w:themeShade="BF"/>
      <w:sz w:val="32"/>
      <w:szCs w:val="32"/>
      <w:lang w:val="es-ES"/>
    </w:rPr>
  </w:style>
  <w:style w:type="paragraph" w:styleId="TOCHeading">
    <w:name w:val="TOC Heading"/>
    <w:basedOn w:val="Heading1"/>
    <w:next w:val="Normal"/>
    <w:uiPriority w:val="39"/>
    <w:unhideWhenUsed/>
    <w:qFormat/>
    <w:rsid w:val="00874C2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outlineLvl w:val="9"/>
    </w:pPr>
    <w:rPr>
      <w:lang w:val="en-US"/>
    </w:rPr>
  </w:style>
  <w:style w:type="character" w:styleId="Hyperlink">
    <w:name w:val="Hyperlink"/>
    <w:basedOn w:val="DefaultParagraphFont"/>
    <w:unhideWhenUsed/>
    <w:rsid w:val="009D765B"/>
    <w:rPr>
      <w:color w:val="0563C1" w:themeColor="hyperlink"/>
      <w:u w:val="single"/>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fr-CA"/>
    </w:rPr>
  </w:style>
  <w:style w:type="paragraph" w:customStyle="1" w:styleId="xmsonormal">
    <w:name w:val="x_msonormal"/>
    <w:basedOn w:val="Normal"/>
    <w:uiPriority w:val="99"/>
    <w:qFormat/>
    <w:rsid w:val="00653C3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fr-CA"/>
    </w:rPr>
  </w:style>
  <w:style w:type="character" w:customStyle="1" w:styleId="ListParagraphChar">
    <w:name w:val="List Paragraph Char"/>
    <w:link w:val="ListParagraph"/>
    <w:uiPriority w:val="34"/>
    <w:qFormat/>
    <w:locked/>
    <w:rsid w:val="002C5FB4"/>
    <w:rPr>
      <w:rFonts w:ascii="CG Times" w:hAnsi="CG Times"/>
      <w:sz w:val="22"/>
      <w:lang w:val="es-ES"/>
    </w:rPr>
  </w:style>
  <w:style w:type="character" w:customStyle="1" w:styleId="Heading3Char">
    <w:name w:val="Heading 3 Char"/>
    <w:link w:val="Heading3"/>
    <w:locked/>
    <w:rsid w:val="002C5FB4"/>
    <w:rPr>
      <w:rFonts w:ascii="Cambria" w:hAnsi="Cambria" w:cs="Times New Roman" w:hint="default"/>
      <w:b/>
      <w:bCs/>
      <w:sz w:val="26"/>
      <w:szCs w:val="26"/>
      <w:lang w:val="es-ES_tradnl"/>
    </w:rPr>
  </w:style>
  <w:style w:type="character" w:customStyle="1" w:styleId="FooterChar">
    <w:name w:val="Footer Char"/>
    <w:basedOn w:val="DefaultParagraphFont"/>
    <w:link w:val="Footer"/>
    <w:uiPriority w:val="99"/>
    <w:rsid w:val="00236661"/>
    <w:rPr>
      <w:rFonts w:ascii="CG Times" w:hAnsi="CG Times"/>
      <w:sz w:val="22"/>
      <w:lang w:val="es-ES"/>
    </w:rPr>
  </w:style>
  <w:style w:type="character" w:styleId="Emphasis">
    <w:name w:val="Emphasis"/>
    <w:basedOn w:val="DefaultParagraphFont"/>
    <w:uiPriority w:val="20"/>
    <w:qFormat/>
    <w:rsid w:val="00236661"/>
    <w:rPr>
      <w:i/>
      <w:iCs/>
    </w:rPr>
  </w:style>
  <w:style w:type="paragraph" w:customStyle="1" w:styleId="TitleUppercase">
    <w:name w:val="Title Uppercase"/>
    <w:basedOn w:val="Normal"/>
    <w:qFormat/>
    <w:rsid w:val="00236661"/>
    <w:pPr>
      <w:widowControl/>
      <w:tabs>
        <w:tab w:val="clear" w:pos="3600"/>
        <w:tab w:val="clear" w:pos="4320"/>
        <w:tab w:val="clear" w:pos="5760"/>
        <w:tab w:val="clear" w:pos="6480"/>
        <w:tab w:val="left" w:pos="8640"/>
      </w:tabs>
      <w:jc w:val="center"/>
    </w:pPr>
    <w:rPr>
      <w:rFonts w:ascii="Times New Roman" w:eastAsia="SimSun" w:hAnsi="Times New Roman"/>
      <w:snapToGrid w:val="0"/>
      <w:lang w:val="fr-CA" w:eastAsia="zh-CN"/>
    </w:rPr>
  </w:style>
  <w:style w:type="character" w:customStyle="1" w:styleId="EndnoteTextChar">
    <w:name w:val="Endnote Text Char"/>
    <w:link w:val="EndnoteText"/>
    <w:locked/>
    <w:rsid w:val="00DF2371"/>
    <w:rPr>
      <w:rFonts w:ascii="CG Times" w:hAnsi="CG Times"/>
      <w:sz w:val="22"/>
      <w:lang w:val="es-ES"/>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DF2371"/>
    <w:rPr>
      <w:sz w:val="24"/>
      <w:szCs w:val="24"/>
      <w:lang w:val="fr-CA"/>
    </w:rPr>
  </w:style>
  <w:style w:type="paragraph" w:styleId="BalloonText">
    <w:name w:val="Balloon Text"/>
    <w:basedOn w:val="Normal"/>
    <w:link w:val="BalloonTextChar"/>
    <w:uiPriority w:val="99"/>
    <w:rsid w:val="00DF2371"/>
    <w:rPr>
      <w:rFonts w:ascii="Segoe UI" w:hAnsi="Segoe UI"/>
      <w:sz w:val="18"/>
      <w:szCs w:val="18"/>
    </w:rPr>
  </w:style>
  <w:style w:type="character" w:customStyle="1" w:styleId="BalloonTextChar">
    <w:name w:val="Balloon Text Char"/>
    <w:basedOn w:val="DefaultParagraphFont"/>
    <w:link w:val="BalloonText"/>
    <w:uiPriority w:val="99"/>
    <w:rsid w:val="00DF2371"/>
    <w:rPr>
      <w:rFonts w:ascii="Segoe UI" w:hAnsi="Segoe UI"/>
      <w:sz w:val="18"/>
      <w:szCs w:val="18"/>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34"/>
    <w:qFormat/>
    <w:rsid w:val="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 w:val="20"/>
    </w:rPr>
  </w:style>
  <w:style w:type="paragraph" w:customStyle="1" w:styleId="Default">
    <w:name w:val="Default"/>
    <w:qFormat/>
    <w:rsid w:val="00DF2371"/>
    <w:pPr>
      <w:autoSpaceDE w:val="0"/>
      <w:autoSpaceDN w:val="0"/>
      <w:adjustRightInd w:val="0"/>
    </w:pPr>
    <w:rPr>
      <w:color w:val="000000"/>
      <w:sz w:val="24"/>
      <w:szCs w:val="24"/>
      <w:lang w:val="es-ES"/>
    </w:rPr>
  </w:style>
  <w:style w:type="character" w:customStyle="1" w:styleId="s7">
    <w:name w:val="s7"/>
    <w:rsid w:val="00DF2371"/>
  </w:style>
  <w:style w:type="paragraph" w:styleId="Revision">
    <w:name w:val="Revision"/>
    <w:hidden/>
    <w:uiPriority w:val="99"/>
    <w:semiHidden/>
    <w:rsid w:val="00DF2371"/>
    <w:rPr>
      <w:rFonts w:ascii="CG Times" w:hAnsi="CG Times"/>
      <w:sz w:val="22"/>
      <w:lang w:val="es-ES"/>
    </w:rPr>
  </w:style>
  <w:style w:type="paragraph" w:styleId="CommentText">
    <w:name w:val="annotation text"/>
    <w:basedOn w:val="Normal"/>
    <w:link w:val="CommentTextChar"/>
    <w:uiPriority w:val="99"/>
    <w:rsid w:val="00DF2371"/>
    <w:rPr>
      <w:sz w:val="20"/>
    </w:rPr>
  </w:style>
  <w:style w:type="character" w:customStyle="1" w:styleId="CommentTextChar">
    <w:name w:val="Comment Text Char"/>
    <w:basedOn w:val="DefaultParagraphFont"/>
    <w:link w:val="CommentText"/>
    <w:uiPriority w:val="99"/>
    <w:rsid w:val="00DF2371"/>
    <w:rPr>
      <w:rFonts w:ascii="CG Times" w:hAnsi="CG Times"/>
      <w:lang w:val="es-ES"/>
    </w:rPr>
  </w:style>
  <w:style w:type="paragraph" w:customStyle="1" w:styleId="msonormalcxspmiddle">
    <w:name w:val="msonormalcxspmiddle"/>
    <w:basedOn w:val="Normal"/>
    <w:uiPriority w:val="99"/>
    <w:rsid w:val="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basedOn w:val="DefaultParagraphFont"/>
    <w:link w:val="PlainText"/>
    <w:uiPriority w:val="99"/>
    <w:rsid w:val="00DF2371"/>
    <w:rPr>
      <w:rFonts w:ascii="Calibri" w:hAnsi="Calibri"/>
      <w:sz w:val="22"/>
      <w:szCs w:val="21"/>
      <w:lang w:val="es-ES"/>
    </w:rPr>
  </w:style>
  <w:style w:type="character" w:customStyle="1" w:styleId="UnresolvedMention1">
    <w:name w:val="Unresolved Mention1"/>
    <w:uiPriority w:val="99"/>
    <w:rsid w:val="00DF2371"/>
    <w:rPr>
      <w:rFonts w:cs="Times New Roman"/>
      <w:color w:val="605E5C"/>
      <w:shd w:val="clear" w:color="auto" w:fill="E1DFDD"/>
    </w:rPr>
  </w:style>
  <w:style w:type="paragraph" w:customStyle="1" w:styleId="null1">
    <w:name w:val="null1"/>
    <w:basedOn w:val="Normal"/>
    <w:uiPriority w:val="99"/>
    <w:rsid w:val="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rsid w:val="00DF2371"/>
    <w:rPr>
      <w:rFonts w:cs="Times New Roman"/>
    </w:rPr>
  </w:style>
  <w:style w:type="paragraph" w:styleId="NoSpacing">
    <w:name w:val="No Spacing"/>
    <w:uiPriority w:val="99"/>
    <w:qFormat/>
    <w:rsid w:val="00DF2371"/>
    <w:rPr>
      <w:rFonts w:ascii="Calibri" w:hAnsi="Calibri"/>
      <w:sz w:val="22"/>
      <w:szCs w:val="22"/>
    </w:rPr>
  </w:style>
  <w:style w:type="paragraph" w:customStyle="1" w:styleId="msonormalcxsplast">
    <w:name w:val="msonormalcxsplast"/>
    <w:basedOn w:val="Normal"/>
    <w:rsid w:val="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rPr>
  </w:style>
  <w:style w:type="character" w:customStyle="1" w:styleId="UnresolvedMention2">
    <w:name w:val="Unresolved Mention2"/>
    <w:basedOn w:val="DefaultParagraphFont"/>
    <w:uiPriority w:val="99"/>
    <w:semiHidden/>
    <w:unhideWhenUsed/>
    <w:rsid w:val="00DF2371"/>
    <w:rPr>
      <w:color w:val="605E5C"/>
      <w:shd w:val="clear" w:color="auto" w:fill="E1DFDD"/>
    </w:rPr>
  </w:style>
  <w:style w:type="paragraph" w:styleId="BodyTextIndent3">
    <w:name w:val="Body Text Indent 3"/>
    <w:basedOn w:val="Normal"/>
    <w:link w:val="BodyTextIndent3Char"/>
    <w:rsid w:val="00DF237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ind w:left="90" w:firstLine="630"/>
    </w:pPr>
    <w:rPr>
      <w:rFonts w:ascii="Times New Roman" w:hAnsi="Times New Roman"/>
      <w:snapToGrid w:val="0"/>
      <w:szCs w:val="22"/>
      <w:lang w:val="fr-FR" w:eastAsia="es-ES"/>
    </w:rPr>
  </w:style>
  <w:style w:type="character" w:customStyle="1" w:styleId="BodyTextIndent3Char">
    <w:name w:val="Body Text Indent 3 Char"/>
    <w:basedOn w:val="DefaultParagraphFont"/>
    <w:link w:val="BodyTextIndent3"/>
    <w:rsid w:val="00DF2371"/>
    <w:rPr>
      <w:snapToGrid w:val="0"/>
      <w:sz w:val="22"/>
      <w:szCs w:val="22"/>
      <w:lang w:val="fr-FR" w:eastAsia="es-ES"/>
    </w:rPr>
  </w:style>
  <w:style w:type="character" w:styleId="UnresolvedMention">
    <w:name w:val="Unresolved Mention"/>
    <w:basedOn w:val="DefaultParagraphFont"/>
    <w:uiPriority w:val="99"/>
    <w:semiHidden/>
    <w:unhideWhenUsed/>
    <w:rsid w:val="00DF2371"/>
    <w:rPr>
      <w:color w:val="605E5C"/>
      <w:shd w:val="clear" w:color="auto" w:fill="E1DFDD"/>
    </w:rPr>
  </w:style>
  <w:style w:type="character" w:customStyle="1" w:styleId="Heading2Char">
    <w:name w:val="Heading 2 Char"/>
    <w:basedOn w:val="DefaultParagraphFont"/>
    <w:link w:val="Heading2"/>
    <w:rsid w:val="008B1794"/>
    <w:rPr>
      <w:rFonts w:ascii="Calibri Light" w:hAnsi="Calibri Light"/>
      <w:b/>
      <w:bCs/>
      <w:i/>
      <w:iCs/>
      <w:sz w:val="28"/>
      <w:szCs w:val="28"/>
      <w:lang w:val="es-ES" w:eastAsia="es-ES"/>
    </w:rPr>
  </w:style>
  <w:style w:type="character" w:customStyle="1" w:styleId="Heading3Char1">
    <w:name w:val="Heading 3 Char1"/>
    <w:basedOn w:val="DefaultParagraphFont"/>
    <w:uiPriority w:val="9"/>
    <w:semiHidden/>
    <w:rsid w:val="008B1794"/>
    <w:rPr>
      <w:rFonts w:asciiTheme="majorHAnsi" w:eastAsiaTheme="majorEastAsia" w:hAnsiTheme="majorHAnsi" w:cstheme="majorBidi"/>
      <w:color w:val="1F3763" w:themeColor="accent1" w:themeShade="7F"/>
      <w:sz w:val="24"/>
      <w:szCs w:val="24"/>
      <w:lang w:val="es-ES"/>
    </w:rPr>
  </w:style>
  <w:style w:type="character" w:customStyle="1" w:styleId="Heading4Char">
    <w:name w:val="Heading 4 Char"/>
    <w:basedOn w:val="DefaultParagraphFont"/>
    <w:link w:val="Heading4"/>
    <w:rsid w:val="008B1794"/>
    <w:rPr>
      <w:rFonts w:eastAsia="Batang"/>
      <w:bCs/>
      <w:sz w:val="22"/>
      <w:szCs w:val="28"/>
      <w:lang w:val="es-ES_tradnl" w:eastAsia="x-none"/>
    </w:rPr>
  </w:style>
  <w:style w:type="character" w:customStyle="1" w:styleId="Heading6Char">
    <w:name w:val="Heading 6 Char"/>
    <w:basedOn w:val="DefaultParagraphFont"/>
    <w:link w:val="Heading6"/>
    <w:semiHidden/>
    <w:rsid w:val="008B1794"/>
    <w:rPr>
      <w:rFonts w:ascii="Calibri" w:hAnsi="Calibri"/>
      <w:b/>
      <w:bCs/>
      <w:sz w:val="22"/>
      <w:szCs w:val="22"/>
      <w:lang w:val="es-ES"/>
    </w:rPr>
  </w:style>
  <w:style w:type="character" w:customStyle="1" w:styleId="Heading7Char">
    <w:name w:val="Heading 7 Char"/>
    <w:basedOn w:val="DefaultParagraphFont"/>
    <w:link w:val="Heading7"/>
    <w:semiHidden/>
    <w:rsid w:val="008B1794"/>
    <w:rPr>
      <w:rFonts w:ascii="Calibri" w:hAnsi="Calibri"/>
      <w:sz w:val="24"/>
      <w:szCs w:val="24"/>
      <w:lang w:val="es-ES"/>
    </w:rPr>
  </w:style>
  <w:style w:type="numbering" w:customStyle="1" w:styleId="NoList1">
    <w:name w:val="No List1"/>
    <w:next w:val="NoList"/>
    <w:uiPriority w:val="99"/>
    <w:semiHidden/>
    <w:unhideWhenUsed/>
    <w:rsid w:val="008B1794"/>
  </w:style>
  <w:style w:type="character" w:customStyle="1" w:styleId="Hyperlink1">
    <w:name w:val="Hyperlink1"/>
    <w:basedOn w:val="DefaultParagraphFont"/>
    <w:uiPriority w:val="99"/>
    <w:unhideWhenUsed/>
    <w:rsid w:val="008B1794"/>
    <w:rPr>
      <w:color w:val="0000FF"/>
      <w:u w:val="single"/>
    </w:rPr>
  </w:style>
  <w:style w:type="paragraph" w:customStyle="1" w:styleId="yiv6969577381ydp55b6f93cyiv1108822727ydpc3e487cbmsonormal">
    <w:name w:val="yiv6969577381ydp55b6f93cyiv1108822727ydpc3e487cbmsonormal"/>
    <w:basedOn w:val="Normal"/>
    <w:rsid w:val="008B17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MX" w:eastAsia="es-MX"/>
    </w:rPr>
  </w:style>
  <w:style w:type="character" w:customStyle="1" w:styleId="CommentTextChar1">
    <w:name w:val="Comment Text Char1"/>
    <w:basedOn w:val="DefaultParagraphFont"/>
    <w:semiHidden/>
    <w:rsid w:val="008B1794"/>
    <w:rPr>
      <w:sz w:val="20"/>
      <w:szCs w:val="20"/>
    </w:rPr>
  </w:style>
  <w:style w:type="paragraph" w:customStyle="1" w:styleId="xxwordsection1">
    <w:name w:val="x_x_wordsection1"/>
    <w:basedOn w:val="Normal"/>
    <w:uiPriority w:val="99"/>
    <w:rsid w:val="008B17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8B1794"/>
  </w:style>
  <w:style w:type="character" w:styleId="Strong">
    <w:name w:val="Strong"/>
    <w:qFormat/>
    <w:rsid w:val="008B1794"/>
    <w:rPr>
      <w:rFonts w:cs="Times New Roman"/>
      <w:b/>
      <w:bCs/>
    </w:rPr>
  </w:style>
  <w:style w:type="paragraph" w:styleId="BodyText">
    <w:name w:val="Body Text"/>
    <w:basedOn w:val="Normal"/>
    <w:link w:val="BodyTextChar"/>
    <w:unhideWhenUsed/>
    <w:rsid w:val="008B179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lang w:val="es-ES_tradnl"/>
    </w:rPr>
  </w:style>
  <w:style w:type="character" w:customStyle="1" w:styleId="BodyTextChar">
    <w:name w:val="Body Text Char"/>
    <w:basedOn w:val="DefaultParagraphFont"/>
    <w:link w:val="BodyText"/>
    <w:rsid w:val="008B1794"/>
    <w:rPr>
      <w:rFonts w:cs="Arial"/>
      <w:spacing w:val="-2"/>
      <w:sz w:val="16"/>
      <w:szCs w:val="24"/>
      <w:lang w:val="es-ES_tradnl"/>
    </w:rPr>
  </w:style>
  <w:style w:type="numbering" w:customStyle="1" w:styleId="NoList11">
    <w:name w:val="No List11"/>
    <w:next w:val="NoList"/>
    <w:uiPriority w:val="99"/>
    <w:semiHidden/>
    <w:unhideWhenUsed/>
    <w:rsid w:val="008B1794"/>
  </w:style>
  <w:style w:type="character" w:customStyle="1" w:styleId="Heading1Char2">
    <w:name w:val="Heading 1 Char2"/>
    <w:aliases w:val="Heading 1 Char Char Char1,Heading 1 Char1 Char1,Heading 1 Char1 Car Char1"/>
    <w:rsid w:val="008B1794"/>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8B1794"/>
    <w:rPr>
      <w:sz w:val="20"/>
      <w:szCs w:val="20"/>
    </w:rPr>
  </w:style>
  <w:style w:type="character" w:customStyle="1" w:styleId="DateChar">
    <w:name w:val="Date Char"/>
    <w:basedOn w:val="DefaultParagraphFont"/>
    <w:link w:val="Date"/>
    <w:semiHidden/>
    <w:locked/>
    <w:rsid w:val="008B1794"/>
  </w:style>
  <w:style w:type="character" w:customStyle="1" w:styleId="DocumentMapChar">
    <w:name w:val="Document Map Char"/>
    <w:link w:val="DocumentMap"/>
    <w:semiHidden/>
    <w:locked/>
    <w:rsid w:val="008B1794"/>
    <w:rPr>
      <w:rFonts w:ascii="Tahoma" w:hAnsi="Tahoma" w:cs="Tahoma"/>
      <w:sz w:val="16"/>
      <w:szCs w:val="16"/>
    </w:rPr>
  </w:style>
  <w:style w:type="character" w:customStyle="1" w:styleId="CommentSubjectChar">
    <w:name w:val="Comment Subject Char"/>
    <w:link w:val="CommentSubject"/>
    <w:uiPriority w:val="99"/>
    <w:locked/>
    <w:rsid w:val="008B1794"/>
    <w:rPr>
      <w:b/>
      <w:bCs/>
    </w:rPr>
  </w:style>
  <w:style w:type="paragraph" w:customStyle="1" w:styleId="xmsonormal0">
    <w:name w:val="xmsonormal"/>
    <w:basedOn w:val="Normal"/>
    <w:uiPriority w:val="99"/>
    <w:qFormat/>
    <w:rsid w:val="008B17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uiPriority w:val="99"/>
    <w:qFormat/>
    <w:rsid w:val="008B1794"/>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8B1794"/>
    <w:rPr>
      <w:iCs/>
      <w:caps/>
    </w:rPr>
  </w:style>
  <w:style w:type="paragraph" w:customStyle="1" w:styleId="Style2">
    <w:name w:val="Style2"/>
    <w:basedOn w:val="Heading2"/>
    <w:link w:val="Style2Char"/>
    <w:autoRedefine/>
    <w:qFormat/>
    <w:rsid w:val="008B1794"/>
    <w:pPr>
      <w:keepNext w:val="0"/>
      <w:spacing w:before="0" w:after="0"/>
      <w:jc w:val="center"/>
    </w:pPr>
    <w:rPr>
      <w:rFonts w:ascii="Times New Roman" w:hAnsi="Times New Roman"/>
      <w:b w:val="0"/>
      <w:bCs w:val="0"/>
      <w:i w:val="0"/>
      <w:caps/>
      <w:sz w:val="20"/>
      <w:szCs w:val="20"/>
      <w:lang w:val="en-US" w:eastAsia="en-US"/>
    </w:rPr>
  </w:style>
  <w:style w:type="character" w:customStyle="1" w:styleId="HeaderChar1">
    <w:name w:val="Header Char1"/>
    <w:basedOn w:val="DefaultParagraphFont"/>
    <w:uiPriority w:val="99"/>
    <w:semiHidden/>
    <w:rsid w:val="008B1794"/>
  </w:style>
  <w:style w:type="character" w:customStyle="1" w:styleId="BodyTextIndent3Char1">
    <w:name w:val="Body Text Indent 3 Char1"/>
    <w:basedOn w:val="DefaultParagraphFont"/>
    <w:semiHidden/>
    <w:rsid w:val="008B1794"/>
    <w:rPr>
      <w:sz w:val="16"/>
      <w:szCs w:val="16"/>
    </w:rPr>
  </w:style>
  <w:style w:type="character" w:customStyle="1" w:styleId="FooterChar1">
    <w:name w:val="Footer Char1"/>
    <w:basedOn w:val="DefaultParagraphFont"/>
    <w:uiPriority w:val="99"/>
    <w:semiHidden/>
    <w:rsid w:val="008B1794"/>
  </w:style>
  <w:style w:type="paragraph" w:styleId="Date">
    <w:name w:val="Date"/>
    <w:basedOn w:val="Normal"/>
    <w:next w:val="Normal"/>
    <w:link w:val="DateChar"/>
    <w:semiHidden/>
    <w:unhideWhenUsed/>
    <w:rsid w:val="008B1794"/>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imes New Roman" w:hAnsi="Times New Roman"/>
      <w:sz w:val="20"/>
      <w:lang w:val="en-US"/>
    </w:rPr>
  </w:style>
  <w:style w:type="character" w:customStyle="1" w:styleId="DateChar1">
    <w:name w:val="Date Char1"/>
    <w:basedOn w:val="DefaultParagraphFont"/>
    <w:semiHidden/>
    <w:rsid w:val="008B1794"/>
    <w:rPr>
      <w:rFonts w:ascii="CG Times" w:hAnsi="CG Times"/>
      <w:sz w:val="22"/>
      <w:lang w:val="es-ES"/>
    </w:rPr>
  </w:style>
  <w:style w:type="character" w:customStyle="1" w:styleId="EndnoteTextChar1">
    <w:name w:val="Endnote Text Char1"/>
    <w:semiHidden/>
    <w:rsid w:val="008B1794"/>
    <w:rPr>
      <w:sz w:val="20"/>
      <w:szCs w:val="20"/>
    </w:rPr>
  </w:style>
  <w:style w:type="character" w:customStyle="1" w:styleId="hps">
    <w:name w:val="hps"/>
    <w:rsid w:val="008B1794"/>
  </w:style>
  <w:style w:type="character" w:customStyle="1" w:styleId="tw4winMark">
    <w:name w:val="tw4winMark"/>
    <w:rsid w:val="008B1794"/>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8B1794"/>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ahoma" w:hAnsi="Tahoma" w:cs="Tahoma"/>
      <w:sz w:val="16"/>
      <w:szCs w:val="16"/>
      <w:lang w:val="en-US"/>
    </w:rPr>
  </w:style>
  <w:style w:type="character" w:customStyle="1" w:styleId="DocumentMapChar1">
    <w:name w:val="Document Map Char1"/>
    <w:basedOn w:val="DefaultParagraphFont"/>
    <w:semiHidden/>
    <w:rsid w:val="008B1794"/>
    <w:rPr>
      <w:rFonts w:ascii="Segoe UI" w:hAnsi="Segoe UI" w:cs="Segoe UI"/>
      <w:sz w:val="16"/>
      <w:szCs w:val="16"/>
      <w:lang w:val="es-ES"/>
    </w:rPr>
  </w:style>
  <w:style w:type="character" w:customStyle="1" w:styleId="BalloonTextChar1">
    <w:name w:val="Balloon Text Char1"/>
    <w:semiHidden/>
    <w:rsid w:val="008B1794"/>
    <w:rPr>
      <w:rFonts w:ascii="Tahoma" w:hAnsi="Tahoma" w:cs="Tahoma"/>
      <w:sz w:val="16"/>
      <w:szCs w:val="16"/>
    </w:rPr>
  </w:style>
  <w:style w:type="character" w:customStyle="1" w:styleId="PlainTextChar1">
    <w:name w:val="Plain Text Char1"/>
    <w:uiPriority w:val="99"/>
    <w:semiHidden/>
    <w:rsid w:val="008B1794"/>
    <w:rPr>
      <w:rFonts w:ascii="Consolas" w:hAnsi="Consolas" w:cs="Consolas"/>
      <w:sz w:val="21"/>
      <w:szCs w:val="21"/>
    </w:rPr>
  </w:style>
  <w:style w:type="paragraph" w:styleId="CommentSubject">
    <w:name w:val="annotation subject"/>
    <w:basedOn w:val="CommentText"/>
    <w:next w:val="CommentText"/>
    <w:link w:val="CommentSubjectChar"/>
    <w:uiPriority w:val="99"/>
    <w:unhideWhenUsed/>
    <w:rsid w:val="008B1794"/>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imes New Roman" w:hAnsi="Times New Roman"/>
      <w:b/>
      <w:bCs/>
      <w:lang w:val="en-US"/>
    </w:rPr>
  </w:style>
  <w:style w:type="character" w:customStyle="1" w:styleId="CommentSubjectChar1">
    <w:name w:val="Comment Subject Char1"/>
    <w:basedOn w:val="CommentTextChar"/>
    <w:semiHidden/>
    <w:rsid w:val="008B1794"/>
    <w:rPr>
      <w:rFonts w:ascii="CG Times" w:hAnsi="CG Times"/>
      <w:b/>
      <w:bCs/>
      <w:lang w:val="es-ES"/>
    </w:rPr>
  </w:style>
  <w:style w:type="table" w:styleId="TableList4">
    <w:name w:val="Table List 4"/>
    <w:basedOn w:val="TableNormal"/>
    <w:semiHidden/>
    <w:unhideWhenUsed/>
    <w:rsid w:val="008B1794"/>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8B1794"/>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8B1794"/>
    <w:pPr>
      <w:widowControl w:val="0"/>
      <w:spacing w:line="368" w:lineRule="atLeast"/>
    </w:pPr>
    <w:rPr>
      <w:rFonts w:ascii="Arial" w:hAnsi="Arial"/>
      <w:color w:val="auto"/>
      <w:lang w:val="en-US"/>
    </w:rPr>
  </w:style>
  <w:style w:type="paragraph" w:customStyle="1" w:styleId="CM9">
    <w:name w:val="CM9"/>
    <w:basedOn w:val="Default"/>
    <w:next w:val="Default"/>
    <w:rsid w:val="008B1794"/>
    <w:pPr>
      <w:widowControl w:val="0"/>
    </w:pPr>
    <w:rPr>
      <w:rFonts w:ascii="Arial" w:hAnsi="Arial"/>
      <w:color w:val="auto"/>
      <w:lang w:val="en-US"/>
    </w:rPr>
  </w:style>
  <w:style w:type="paragraph" w:customStyle="1" w:styleId="HeaderFooter">
    <w:name w:val="Header &amp; Footer"/>
    <w:uiPriority w:val="99"/>
    <w:rsid w:val="008B179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8B17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hAnsi="Times New Roman"/>
    </w:rPr>
  </w:style>
  <w:style w:type="character" w:customStyle="1" w:styleId="BodyTextIndentChar">
    <w:name w:val="Body Text Indent Char"/>
    <w:basedOn w:val="DefaultParagraphFont"/>
    <w:link w:val="BodyTextIndent"/>
    <w:rsid w:val="008B1794"/>
    <w:rPr>
      <w:sz w:val="22"/>
      <w:lang w:val="es-ES"/>
    </w:rPr>
  </w:style>
  <w:style w:type="paragraph" w:customStyle="1" w:styleId="Body1">
    <w:name w:val="Body 1"/>
    <w:rsid w:val="008B1794"/>
    <w:pPr>
      <w:spacing w:after="200" w:line="276" w:lineRule="auto"/>
      <w:outlineLvl w:val="0"/>
    </w:pPr>
    <w:rPr>
      <w:rFonts w:ascii="Helvetica" w:eastAsia="Arial Unicode MS" w:hAnsi="Helvetica"/>
      <w:color w:val="000000"/>
      <w:sz w:val="22"/>
      <w:u w:color="000000"/>
      <w:lang w:val="en-CA" w:eastAsia="en-CA"/>
    </w:rPr>
  </w:style>
  <w:style w:type="paragraph" w:customStyle="1" w:styleId="Prrafodelista">
    <w:name w:val="Párrafo de lista"/>
    <w:basedOn w:val="Normal"/>
    <w:uiPriority w:val="34"/>
    <w:qFormat/>
    <w:rsid w:val="008B17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eastAsia="es-ES"/>
    </w:rPr>
  </w:style>
  <w:style w:type="paragraph" w:customStyle="1" w:styleId="SingleTxt">
    <w:name w:val="__Single Txt"/>
    <w:basedOn w:val="Normal"/>
    <w:rsid w:val="008B179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hAnsi="Times New Roman"/>
      <w:spacing w:val="4"/>
      <w:w w:val="103"/>
      <w:kern w:val="2"/>
      <w:sz w:val="20"/>
      <w:lang w:val="fr-CA" w:eastAsia="ar-SA"/>
    </w:rPr>
  </w:style>
  <w:style w:type="paragraph" w:customStyle="1" w:styleId="Prrafodelista1">
    <w:name w:val="Párrafo de lista1"/>
    <w:basedOn w:val="Normal"/>
    <w:qFormat/>
    <w:rsid w:val="008B17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pPr>
    <w:rPr>
      <w:rFonts w:ascii="Cambria" w:eastAsia="MS Mincho" w:hAnsi="Cambria"/>
      <w:sz w:val="24"/>
      <w:szCs w:val="24"/>
      <w:lang w:val="es-ES_tradnl" w:eastAsia="es-ES"/>
    </w:rPr>
  </w:style>
  <w:style w:type="paragraph" w:styleId="BodyTextIndent2">
    <w:name w:val="Body Text Indent 2"/>
    <w:basedOn w:val="Normal"/>
    <w:link w:val="BodyTextIndent2Char"/>
    <w:rsid w:val="008B17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hAnsi="Times New Roman"/>
      <w:sz w:val="24"/>
      <w:szCs w:val="24"/>
    </w:rPr>
  </w:style>
  <w:style w:type="character" w:customStyle="1" w:styleId="BodyTextIndent2Char">
    <w:name w:val="Body Text Indent 2 Char"/>
    <w:basedOn w:val="DefaultParagraphFont"/>
    <w:link w:val="BodyTextIndent2"/>
    <w:rsid w:val="008B1794"/>
    <w:rPr>
      <w:sz w:val="24"/>
      <w:szCs w:val="24"/>
      <w:lang w:val="es-ES"/>
    </w:rPr>
  </w:style>
  <w:style w:type="paragraph" w:styleId="BodyText3">
    <w:name w:val="Body Text 3"/>
    <w:basedOn w:val="Normal"/>
    <w:link w:val="BodyText3Char"/>
    <w:rsid w:val="008B17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8B1794"/>
    <w:rPr>
      <w:sz w:val="16"/>
      <w:szCs w:val="16"/>
      <w:lang w:val="es-ES"/>
    </w:rPr>
  </w:style>
  <w:style w:type="paragraph" w:customStyle="1" w:styleId="Prrafodelista2">
    <w:name w:val="Párrafo de lista2"/>
    <w:basedOn w:val="Normal"/>
    <w:qFormat/>
    <w:rsid w:val="008B17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paragraph" w:customStyle="1" w:styleId="Predeterminado">
    <w:name w:val="Predeterminado"/>
    <w:rsid w:val="008B1794"/>
    <w:pPr>
      <w:tabs>
        <w:tab w:val="left" w:pos="720"/>
      </w:tabs>
      <w:suppressAutoHyphens/>
      <w:spacing w:after="160" w:line="256" w:lineRule="auto"/>
    </w:pPr>
    <w:rPr>
      <w:rFonts w:ascii="Calibri" w:eastAsia="SimSun" w:hAnsi="Calibri" w:cs="Calibri"/>
      <w:sz w:val="22"/>
      <w:szCs w:val="22"/>
    </w:rPr>
  </w:style>
  <w:style w:type="paragraph" w:customStyle="1" w:styleId="paragraph">
    <w:name w:val="paragraph"/>
    <w:basedOn w:val="Normal"/>
    <w:rsid w:val="008B17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heme="minorHAnsi" w:hAnsi="Times New Roman"/>
      <w:sz w:val="24"/>
      <w:szCs w:val="24"/>
      <w:lang w:val="en-US"/>
    </w:rPr>
  </w:style>
  <w:style w:type="character" w:customStyle="1" w:styleId="normaltextrun">
    <w:name w:val="normaltextrun"/>
    <w:basedOn w:val="DefaultParagraphFont"/>
    <w:rsid w:val="008B1794"/>
  </w:style>
  <w:style w:type="character" w:customStyle="1" w:styleId="eop">
    <w:name w:val="eop"/>
    <w:basedOn w:val="DefaultParagraphFont"/>
    <w:rsid w:val="008B1794"/>
  </w:style>
  <w:style w:type="character" w:customStyle="1" w:styleId="gmail-normaltextrun">
    <w:name w:val="gmail-normaltextrun"/>
    <w:basedOn w:val="DefaultParagraphFont"/>
    <w:rsid w:val="008B1794"/>
  </w:style>
  <w:style w:type="character" w:customStyle="1" w:styleId="apple-converted-space">
    <w:name w:val="apple-converted-space"/>
    <w:basedOn w:val="DefaultParagraphFont"/>
    <w:rsid w:val="008B1794"/>
  </w:style>
  <w:style w:type="character" w:customStyle="1" w:styleId="gmaildefault">
    <w:name w:val="gmail_default"/>
    <w:basedOn w:val="DefaultParagraphFont"/>
    <w:rsid w:val="008B1794"/>
  </w:style>
  <w:style w:type="paragraph" w:styleId="HTMLPreformatted">
    <w:name w:val="HTML Preformatted"/>
    <w:basedOn w:val="Normal"/>
    <w:link w:val="HTMLPreformattedChar"/>
    <w:uiPriority w:val="99"/>
    <w:semiHidden/>
    <w:unhideWhenUsed/>
    <w:rsid w:val="008B179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B1794"/>
    <w:rPr>
      <w:rFonts w:ascii="Courier New" w:hAnsi="Courier New" w:cs="Courier New"/>
      <w:lang w:val="es-ES"/>
    </w:rPr>
  </w:style>
  <w:style w:type="character" w:customStyle="1" w:styleId="Ninguno">
    <w:name w:val="Ninguno"/>
    <w:rsid w:val="008B1794"/>
    <w:rPr>
      <w:lang w:val="pt-PT"/>
    </w:rPr>
  </w:style>
  <w:style w:type="numbering" w:customStyle="1" w:styleId="NoList2">
    <w:name w:val="No List2"/>
    <w:next w:val="NoList"/>
    <w:uiPriority w:val="99"/>
    <w:semiHidden/>
    <w:unhideWhenUsed/>
    <w:rsid w:val="008B1794"/>
  </w:style>
  <w:style w:type="numbering" w:customStyle="1" w:styleId="NoList111">
    <w:name w:val="No List111"/>
    <w:next w:val="NoList"/>
    <w:uiPriority w:val="99"/>
    <w:semiHidden/>
    <w:unhideWhenUsed/>
    <w:rsid w:val="008B1794"/>
  </w:style>
  <w:style w:type="table" w:customStyle="1" w:styleId="TableList41">
    <w:name w:val="Table List 41"/>
    <w:basedOn w:val="TableNormal"/>
    <w:next w:val="TableList4"/>
    <w:semiHidden/>
    <w:unhideWhenUsed/>
    <w:rsid w:val="008B1794"/>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8B1794"/>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B17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8B1794"/>
    <w:rPr>
      <w:color w:val="2B579A"/>
      <w:shd w:val="clear" w:color="auto" w:fill="E6E6E6"/>
    </w:rPr>
  </w:style>
  <w:style w:type="character" w:customStyle="1" w:styleId="UnresolvedMention3">
    <w:name w:val="Unresolved Mention3"/>
    <w:basedOn w:val="DefaultParagraphFont"/>
    <w:uiPriority w:val="99"/>
    <w:semiHidden/>
    <w:unhideWhenUsed/>
    <w:rsid w:val="008B1794"/>
    <w:rPr>
      <w:color w:val="605E5C"/>
      <w:shd w:val="clear" w:color="auto" w:fill="E1DFDD"/>
    </w:rPr>
  </w:style>
  <w:style w:type="character" w:customStyle="1" w:styleId="UnresolvedMention4">
    <w:name w:val="Unresolved Mention4"/>
    <w:basedOn w:val="DefaultParagraphFont"/>
    <w:uiPriority w:val="99"/>
    <w:semiHidden/>
    <w:unhideWhenUsed/>
    <w:rsid w:val="008B1794"/>
    <w:rPr>
      <w:color w:val="605E5C"/>
      <w:shd w:val="clear" w:color="auto" w:fill="E1DFDD"/>
    </w:rPr>
  </w:style>
  <w:style w:type="numbering" w:customStyle="1" w:styleId="NoList3">
    <w:name w:val="No List3"/>
    <w:next w:val="NoList"/>
    <w:uiPriority w:val="99"/>
    <w:semiHidden/>
    <w:unhideWhenUsed/>
    <w:rsid w:val="008B1794"/>
  </w:style>
  <w:style w:type="numbering" w:customStyle="1" w:styleId="NoList12">
    <w:name w:val="No List12"/>
    <w:next w:val="NoList"/>
    <w:uiPriority w:val="99"/>
    <w:semiHidden/>
    <w:unhideWhenUsed/>
    <w:rsid w:val="008B1794"/>
  </w:style>
  <w:style w:type="numbering" w:customStyle="1" w:styleId="NoList112">
    <w:name w:val="No List112"/>
    <w:next w:val="NoList"/>
    <w:uiPriority w:val="99"/>
    <w:semiHidden/>
    <w:unhideWhenUsed/>
    <w:rsid w:val="008B1794"/>
  </w:style>
  <w:style w:type="table" w:customStyle="1" w:styleId="TableList42">
    <w:name w:val="Table List 42"/>
    <w:basedOn w:val="TableNormal"/>
    <w:next w:val="TableList4"/>
    <w:semiHidden/>
    <w:unhideWhenUsed/>
    <w:rsid w:val="008B1794"/>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3">
    <w:name w:val="Table Grid3"/>
    <w:basedOn w:val="TableNormal"/>
    <w:next w:val="TableGrid"/>
    <w:uiPriority w:val="39"/>
    <w:rsid w:val="008B1794"/>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B1794"/>
  </w:style>
  <w:style w:type="numbering" w:customStyle="1" w:styleId="NoList1111">
    <w:name w:val="No List1111"/>
    <w:next w:val="NoList"/>
    <w:uiPriority w:val="99"/>
    <w:semiHidden/>
    <w:unhideWhenUsed/>
    <w:rsid w:val="008B1794"/>
  </w:style>
  <w:style w:type="table" w:customStyle="1" w:styleId="TableList411">
    <w:name w:val="Table List 411"/>
    <w:basedOn w:val="TableNormal"/>
    <w:next w:val="TableList4"/>
    <w:semiHidden/>
    <w:unhideWhenUsed/>
    <w:rsid w:val="008B1794"/>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1">
    <w:name w:val="Table Grid11"/>
    <w:basedOn w:val="TableNormal"/>
    <w:next w:val="TableGrid"/>
    <w:uiPriority w:val="59"/>
    <w:rsid w:val="008B1794"/>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B179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F723DA"/>
    <w:pPr>
      <w:suppressAutoHyphens/>
    </w:pPr>
    <w:rPr>
      <w:rFonts w:ascii="Arial" w:hAnsi="Arial"/>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350039">
      <w:bodyDiv w:val="1"/>
      <w:marLeft w:val="0"/>
      <w:marRight w:val="0"/>
      <w:marTop w:val="0"/>
      <w:marBottom w:val="0"/>
      <w:divBdr>
        <w:top w:val="none" w:sz="0" w:space="0" w:color="auto"/>
        <w:left w:val="none" w:sz="0" w:space="0" w:color="auto"/>
        <w:bottom w:val="none" w:sz="0" w:space="0" w:color="auto"/>
        <w:right w:val="none" w:sz="0" w:space="0" w:color="auto"/>
      </w:divBdr>
    </w:div>
    <w:div w:id="881360677">
      <w:bodyDiv w:val="1"/>
      <w:marLeft w:val="0"/>
      <w:marRight w:val="0"/>
      <w:marTop w:val="0"/>
      <w:marBottom w:val="0"/>
      <w:divBdr>
        <w:top w:val="none" w:sz="0" w:space="0" w:color="auto"/>
        <w:left w:val="none" w:sz="0" w:space="0" w:color="auto"/>
        <w:bottom w:val="none" w:sz="0" w:space="0" w:color="auto"/>
        <w:right w:val="none" w:sz="0" w:space="0" w:color="auto"/>
      </w:divBdr>
    </w:div>
    <w:div w:id="1292907615">
      <w:bodyDiv w:val="1"/>
      <w:marLeft w:val="0"/>
      <w:marRight w:val="0"/>
      <w:marTop w:val="0"/>
      <w:marBottom w:val="0"/>
      <w:divBdr>
        <w:top w:val="none" w:sz="0" w:space="0" w:color="auto"/>
        <w:left w:val="none" w:sz="0" w:space="0" w:color="auto"/>
        <w:bottom w:val="none" w:sz="0" w:space="0" w:color="auto"/>
        <w:right w:val="none" w:sz="0" w:space="0" w:color="auto"/>
      </w:divBdr>
    </w:div>
    <w:div w:id="1392650411">
      <w:bodyDiv w:val="1"/>
      <w:marLeft w:val="0"/>
      <w:marRight w:val="0"/>
      <w:marTop w:val="0"/>
      <w:marBottom w:val="0"/>
      <w:divBdr>
        <w:top w:val="none" w:sz="0" w:space="0" w:color="auto"/>
        <w:left w:val="none" w:sz="0" w:space="0" w:color="auto"/>
        <w:bottom w:val="none" w:sz="0" w:space="0" w:color="auto"/>
        <w:right w:val="none" w:sz="0" w:space="0" w:color="auto"/>
      </w:divBdr>
    </w:div>
    <w:div w:id="14473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XXVII.8%20cidi/REMIC-VIII/DEC&amp;classNum=1&amp;lang=f" TargetMode="External"/><Relationship Id="rId117" Type="http://schemas.openxmlformats.org/officeDocument/2006/relationships/image" Target="media/image4.png"/><Relationship Id="rId21" Type="http://schemas.openxmlformats.org/officeDocument/2006/relationships/hyperlink" Target="http://scm.oas.org/IDMS/Redirectpage.aspx?class=III.24.1%20CIDI/TUR-XXIII/DEC.&amp;classNum=1&amp;lang=f" TargetMode="External"/><Relationship Id="rId42" Type="http://schemas.openxmlformats.org/officeDocument/2006/relationships/hyperlink" Target="http://scm.oas.org/IDMS/Redirectpage.aspx?class=XII.21.1.CIDI/TRABAJO.Dec&amp;classNum=1&amp;lang=s" TargetMode="External"/><Relationship Id="rId47" Type="http://schemas.openxmlformats.org/officeDocument/2006/relationships/hyperlink" Target="http://scm.oas.org/IDMS/Redirectpage.aspx?class=XII.21.1.CIDI/TRABAJO.Doc&amp;classNum=5&amp;lang=f" TargetMode="External"/><Relationship Id="rId63" Type="http://schemas.openxmlformats.org/officeDocument/2006/relationships/header" Target="header4.xml"/><Relationship Id="rId68" Type="http://schemas.openxmlformats.org/officeDocument/2006/relationships/hyperlink" Target="http://scm.oas.org/IDMS/Redirectpage.aspx?class=CP/doc&amp;classNum=5686&amp;lang=e" TargetMode="External"/><Relationship Id="rId84" Type="http://schemas.openxmlformats.org/officeDocument/2006/relationships/hyperlink" Target="http://scm.oas.org/pdfs/2021/CP44161ECuestionario.pdf" TargetMode="External"/><Relationship Id="rId89" Type="http://schemas.openxmlformats.org/officeDocument/2006/relationships/hyperlink" Target="http://www.oas.org/consejo/GENERAL%20ASSEMBLY/Documents/pl00095f05.doc" TargetMode="External"/><Relationship Id="rId112" Type="http://schemas.openxmlformats.org/officeDocument/2006/relationships/header" Target="header10.xml"/><Relationship Id="rId16" Type="http://schemas.openxmlformats.org/officeDocument/2006/relationships/header" Target="header3.xml"/><Relationship Id="rId107" Type="http://schemas.openxmlformats.org/officeDocument/2006/relationships/hyperlink" Target="http://scm.oas.org/IDMS/Redirectpage.aspx?class=AG/RES.%20%20(XLVIII-E/14)&amp;classNum=1&amp;lang=f" TargetMode="External"/><Relationship Id="rId11" Type="http://schemas.openxmlformats.org/officeDocument/2006/relationships/footer" Target="footer2.xml"/><Relationship Id="rId32" Type="http://schemas.openxmlformats.org/officeDocument/2006/relationships/hyperlink" Target="http://scm.oas.org/IDMS/Redirectpage.aspx?class=V.13.1%20CIDI/RME/doc&amp;classNum=6&amp;lang=f" TargetMode="External"/><Relationship Id="rId37" Type="http://schemas.openxmlformats.org/officeDocument/2006/relationships/hyperlink" Target="http://scm.oas.org/IDMS/Redirectpage.aspx?class=XII.21.1.CIDI/TRABAJO.Dec&amp;classNum=1&amp;lang=s" TargetMode="External"/><Relationship Id="rId53" Type="http://schemas.openxmlformats.org/officeDocument/2006/relationships/hyperlink" Target="http://scm.oas.org/IDMS/Redirectpage.aspx?class=XII.21.1.CIDI/TRABAJO.Doc&amp;classNum=5&amp;lang=f" TargetMode="External"/><Relationship Id="rId58" Type="http://schemas.openxmlformats.org/officeDocument/2006/relationships/hyperlink" Target="http://scm.oas.org/IDMS/Redirectpage.aspx?class=XLVIII.4%20CIDI/REMDES/doc&amp;classNum=6&amp;lang=f" TargetMode="External"/><Relationship Id="rId74" Type="http://schemas.openxmlformats.org/officeDocument/2006/relationships/hyperlink" Target="file:///\\falcon5\apps\CORRESP\ARCH\INTERNET\ENGLISH\HIST_21\DPASP00068E07.docx" TargetMode="External"/><Relationship Id="rId79" Type="http://schemas.openxmlformats.org/officeDocument/2006/relationships/hyperlink" Target="http://scm.oas.org/IDMS/Redirectpage.aspx?class=AG/doc.&amp;classNum=5667&amp;lang=F" TargetMode="External"/><Relationship Id="rId102" Type="http://schemas.openxmlformats.org/officeDocument/2006/relationships/hyperlink" Target="http://scm.oas.org/doc_public/FRENCH/HIST_07/AG03796F02.doc" TargetMode="External"/><Relationship Id="rId123" Type="http://schemas.openxmlformats.org/officeDocument/2006/relationships/header" Target="header17.xml"/><Relationship Id="rId5" Type="http://schemas.openxmlformats.org/officeDocument/2006/relationships/webSettings" Target="webSettings.xml"/><Relationship Id="rId90" Type="http://schemas.openxmlformats.org/officeDocument/2006/relationships/hyperlink" Target="http://www.oas.org/consejo/GENERAL%20ASSEMBLY/Documents/pl00095f06.doc" TargetMode="External"/><Relationship Id="rId95" Type="http://schemas.openxmlformats.org/officeDocument/2006/relationships/hyperlink" Target="http://scm.oas.org/IDMS/Redirectpage.aspx?class=AG/RES.%20%20(LI-E/16)&amp;classNum=1&amp;lang=f" TargetMode="External"/><Relationship Id="rId22" Type="http://schemas.openxmlformats.org/officeDocument/2006/relationships/hyperlink" Target="http://scm.oas.org/IDMS/Redirectpage.aspx?class=III.25.1%20CIDI/TUR-XXIV/Dec&amp;classNum=1&amp;lang=f" TargetMode="External"/><Relationship Id="rId27" Type="http://schemas.openxmlformats.org/officeDocument/2006/relationships/hyperlink" Target="http://scm.oas.org/IDMS/Redirectpage.aspx?class=XIII.5%20CIDI/CIC/RPA/doc&amp;classNum=89&amp;lang=s" TargetMode="External"/><Relationship Id="rId43" Type="http://schemas.openxmlformats.org/officeDocument/2006/relationships/hyperlink" Target="http://scm.oas.org/IDMS/Redirectpage.aspx?class=XII.21.1.CIDI/TRABAJO.Dec&amp;classNum=1&amp;lang=s" TargetMode="External"/><Relationship Id="rId48" Type="http://schemas.openxmlformats.org/officeDocument/2006/relationships/hyperlink" Target="http://scm.oas.org/IDMS/Redirectpage.aspx?class=XII.21.1.CIDI/TRABAJO.Dec&amp;classNum=1&amp;lang=s" TargetMode="External"/><Relationship Id="rId64" Type="http://schemas.openxmlformats.org/officeDocument/2006/relationships/header" Target="header5.xml"/><Relationship Id="rId69" Type="http://schemas.openxmlformats.org/officeDocument/2006/relationships/hyperlink" Target="http://scm.oas.org/IDMS/Redirectpage.aspx?class=CP/doc&amp;classNum=5687&amp;lang=f" TargetMode="External"/><Relationship Id="rId113" Type="http://schemas.openxmlformats.org/officeDocument/2006/relationships/hyperlink" Target="http://scm.oas.org/pdfs/2021/CP45227E_VI.pdf" TargetMode="External"/><Relationship Id="rId118" Type="http://schemas.openxmlformats.org/officeDocument/2006/relationships/header" Target="header13.xml"/><Relationship Id="rId80" Type="http://schemas.openxmlformats.org/officeDocument/2006/relationships/hyperlink" Target="http://scm.oas.org/doc_public/FRENCH/HIST_21/RA00353F06.docx" TargetMode="External"/><Relationship Id="rId85" Type="http://schemas.openxmlformats.org/officeDocument/2006/relationships/hyperlink" Target="http://scm.oas.org/IDMS/Redirectpage.aspx?class=CP/CSH&amp;classNum=2026&amp;lang=f" TargetMode="External"/><Relationship Id="rId12" Type="http://schemas.openxmlformats.org/officeDocument/2006/relationships/header" Target="header1.xml"/><Relationship Id="rId17" Type="http://schemas.openxmlformats.org/officeDocument/2006/relationships/hyperlink" Target="http://scm.oas.org/pdfs/2021/PIDSESP.docx" TargetMode="External"/><Relationship Id="rId33" Type="http://schemas.openxmlformats.org/officeDocument/2006/relationships/hyperlink" Target="http://scm.oas.org/IDMS/Redirectpage.aspx?class=XIII.4.12/CIDI/CIP/res&amp;classNum=1&amp;lang=f" TargetMode="External"/><Relationship Id="rId38" Type="http://schemas.openxmlformats.org/officeDocument/2006/relationships/hyperlink" Target="http://scm.oas.org/IDMS/Redirectpage.aspx?class=XII.21.1.CIDI/TRABAJO.Dec&amp;classNum=1&amp;lang=f" TargetMode="External"/><Relationship Id="rId59" Type="http://schemas.openxmlformats.org/officeDocument/2006/relationships/hyperlink" Target="http://scm.oas.org/pdfs/2021/PLANESTRATEGICOOEAESP.docx" TargetMode="External"/><Relationship Id="rId103" Type="http://schemas.openxmlformats.org/officeDocument/2006/relationships/hyperlink" Target="http://scm.oas.org/doc_public/FRENCH/HIST_07/AG03796F02.doc" TargetMode="External"/><Relationship Id="rId108" Type="http://schemas.openxmlformats.org/officeDocument/2006/relationships/hyperlink" Target="http://scm.oas.org/doc_public/SPANISH/HIST_20/CP42142S03.docx" TargetMode="External"/><Relationship Id="rId124" Type="http://schemas.openxmlformats.org/officeDocument/2006/relationships/image" Target="media/image6.png"/><Relationship Id="rId54" Type="http://schemas.openxmlformats.org/officeDocument/2006/relationships/hyperlink" Target="http://scm.oas.org/IDMS/Redirectpage.aspx?class=AICD/JD%20XX.2.18/doc.&amp;classNum=177&amp;lang=s" TargetMode="External"/><Relationship Id="rId70" Type="http://schemas.openxmlformats.org/officeDocument/2006/relationships/hyperlink" Target="http://scm.oas.org/IDMS/Redirectpage.aspx?class=CP/CSH/INF&amp;classNum=548&amp;lang=F" TargetMode="External"/><Relationship Id="rId75" Type="http://schemas.openxmlformats.org/officeDocument/2006/relationships/hyperlink" Target="file:///\\falcon5\apps\CORRESP\ARCH\INTERNET\ENGLISH\HIST_21\DPASP00094E07.docx" TargetMode="External"/><Relationship Id="rId91" Type="http://schemas.openxmlformats.org/officeDocument/2006/relationships/hyperlink" Target="http://scm.oas.org/doc_public/FRENCH/HIST_07/AG03819F08.doc" TargetMode="External"/><Relationship Id="rId96" Type="http://schemas.openxmlformats.org/officeDocument/2006/relationships/hyperlink" Target="http://scm.oas.org/IDMS/Redirectpage.aspx?class=AG/RES.%20%20(LI-E/16)&amp;classNum=1&amp;lang=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m.oas.org/IDMS/Redirectpage.aspx?class=XIII.8.2%20E.CIDI/CITUR/RE/DOC&amp;classNum=6&amp;lang=f" TargetMode="External"/><Relationship Id="rId28" Type="http://schemas.openxmlformats.org/officeDocument/2006/relationships/hyperlink" Target="http://scm.oas.org/pdfs/2021/PIDSESP.docx" TargetMode="External"/><Relationship Id="rId49" Type="http://schemas.openxmlformats.org/officeDocument/2006/relationships/hyperlink" Target="http://scm.oas.org/IDMS/Redirectpage.aspx?class=XII.21.1.CIDI/TRABAJO.Dec&amp;classNum=1&amp;lang=s" TargetMode="External"/><Relationship Id="rId114" Type="http://schemas.openxmlformats.org/officeDocument/2006/relationships/image" Target="media/image3.png"/><Relationship Id="rId119" Type="http://schemas.openxmlformats.org/officeDocument/2006/relationships/header" Target="header14.xml"/><Relationship Id="rId44" Type="http://schemas.openxmlformats.org/officeDocument/2006/relationships/hyperlink" Target="http://scm.oas.org/IDMS/Redirectpage.aspx?class=XII.21.1.CIDI/TRABAJO.Dec&amp;classNum=1&amp;lang=f" TargetMode="External"/><Relationship Id="rId60" Type="http://schemas.openxmlformats.org/officeDocument/2006/relationships/hyperlink" Target="http://scm.oas.org/IDMS/Redirectpage.aspx?class=AG/RES.%20%20(LI-E/16)&amp;classNum=1&amp;lang=f" TargetMode="External"/><Relationship Id="rId65" Type="http://schemas.openxmlformats.org/officeDocument/2006/relationships/header" Target="header6.xml"/><Relationship Id="rId81" Type="http://schemas.openxmlformats.org/officeDocument/2006/relationships/hyperlink" Target="file:///\\falcon5\apps\CORRESP\ARCH\INTERNET\FRENCH\HIST_21\RA00330F03.docx" TargetMode="External"/><Relationship Id="rId86" Type="http://schemas.openxmlformats.org/officeDocument/2006/relationships/header" Target="header7.xml"/><Relationship Id="rId13" Type="http://schemas.openxmlformats.org/officeDocument/2006/relationships/footer" Target="footer3.xml"/><Relationship Id="rId18" Type="http://schemas.openxmlformats.org/officeDocument/2006/relationships/hyperlink" Target="http://scm.oas.org/pdfs/2021/PIDSESP.docx" TargetMode="External"/><Relationship Id="rId39" Type="http://schemas.openxmlformats.org/officeDocument/2006/relationships/hyperlink" Target="http://scm.oas.org/IDMS/Redirectpage.aspx?class=XII.21.1.CIDI/TRABAJO.Doc&amp;classNum=5&amp;lang=s" TargetMode="External"/><Relationship Id="rId109" Type="http://schemas.openxmlformats.org/officeDocument/2006/relationships/hyperlink" Target="http://scm.oas.org/doc_public/SPANISH/HIST_20/CP42142S03.docx" TargetMode="External"/><Relationship Id="rId34" Type="http://schemas.openxmlformats.org/officeDocument/2006/relationships/hyperlink" Target="http://scm.oas.org/IDMS/Redirectpage.aspx?class=XIII.4.12/CIDI/CIP/doc&amp;classNum=5&amp;lang=f" TargetMode="External"/><Relationship Id="rId50" Type="http://schemas.openxmlformats.org/officeDocument/2006/relationships/hyperlink" Target="http://scm.oas.org/IDMS/Redirectpage.aspx?class=XII.21.1.CIDI/TRABAJO.Dec&amp;classNum=1&amp;lang=f" TargetMode="External"/><Relationship Id="rId55" Type="http://schemas.openxmlformats.org/officeDocument/2006/relationships/hyperlink" Target="http://scm.oas.org/IDMS/Redirectpage.aspx?class=XLVIII.4%20CIDI/REMDES/doc&amp;classNum=6&amp;lang=f" TargetMode="External"/><Relationship Id="rId76" Type="http://schemas.openxmlformats.org/officeDocument/2006/relationships/hyperlink" Target="http://scm.oas.org/doc_public/ENGLISH/HIST_21/DPASP00109E03.docx" TargetMode="External"/><Relationship Id="rId97" Type="http://schemas.openxmlformats.org/officeDocument/2006/relationships/hyperlink" Target="http://scm.oas.org/doc_public/french/hist_19/cp40513f02.doc" TargetMode="External"/><Relationship Id="rId104" Type="http://schemas.openxmlformats.org/officeDocument/2006/relationships/hyperlink" Target="http://scm.oas.org/doc_public/english/hist_17/CIDRP02030e02.doc" TargetMode="External"/><Relationship Id="rId120" Type="http://schemas.openxmlformats.org/officeDocument/2006/relationships/image" Target="media/image5.png"/><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cm.oas.org/IDMS/Redirectpage.aspx?class=CP/CSH/INF&amp;classNum=539&amp;lang=f" TargetMode="External"/><Relationship Id="rId92" Type="http://schemas.openxmlformats.org/officeDocument/2006/relationships/hyperlink" Target="http://scm.oas.org/doc_public/FRENCH/HIST_07/AG03819F08.doc" TargetMode="External"/><Relationship Id="rId2" Type="http://schemas.openxmlformats.org/officeDocument/2006/relationships/numbering" Target="numbering.xml"/><Relationship Id="rId29" Type="http://schemas.openxmlformats.org/officeDocument/2006/relationships/hyperlink" Target="http://scm.oas.org/pdfs/2021/PIDSESP.docx" TargetMode="External"/><Relationship Id="rId24" Type="http://schemas.openxmlformats.org/officeDocument/2006/relationships/hyperlink" Target="http://scm.oas.org/IDMS/Redirectpage.aspx?class=III.26.1%20CIDI/TUR-XXV/Dec&amp;classNum=1&amp;lang=s" TargetMode="External"/><Relationship Id="rId40" Type="http://schemas.openxmlformats.org/officeDocument/2006/relationships/hyperlink" Target="http://scm.oas.org/IDMS/Redirectpage.aspx?class=XII.21.1.CIDI/TRABAJO.Doc&amp;classNum=5&amp;lang=s" TargetMode="External"/><Relationship Id="rId45" Type="http://schemas.openxmlformats.org/officeDocument/2006/relationships/hyperlink" Target="http://scm.oas.org/IDMS/Redirectpage.aspx?class=XII.21.1.CIDI/TRABAJO.Doc&amp;classNum=5&amp;lang=s" TargetMode="External"/><Relationship Id="rId66" Type="http://schemas.openxmlformats.org/officeDocument/2006/relationships/hyperlink" Target="http://scm.oas.org/IDMS/Redirectpage.aspx?class=AG/doc.&amp;classNum=xxxx&amp;addendum=1&amp;lang=F" TargetMode="External"/><Relationship Id="rId87" Type="http://schemas.openxmlformats.org/officeDocument/2006/relationships/hyperlink" Target="http://scm.oas.org/doc_public/ENGLISH/HIST_21/CP44625E03.docx" TargetMode="External"/><Relationship Id="rId110" Type="http://schemas.openxmlformats.org/officeDocument/2006/relationships/hyperlink" Target="http://scm.oas.org/doc_public/SPANISH/HIST_20/CP42590S03.docx" TargetMode="External"/><Relationship Id="rId115" Type="http://schemas.openxmlformats.org/officeDocument/2006/relationships/header" Target="header11.xml"/><Relationship Id="rId61" Type="http://schemas.openxmlformats.org/officeDocument/2006/relationships/hyperlink" Target="http://scm.oas.org/pdfs/2021/AGRES2956ESP.docx" TargetMode="External"/><Relationship Id="rId82" Type="http://schemas.openxmlformats.org/officeDocument/2006/relationships/hyperlink" Target="http://www.oas.org/es/sms/dps/prog-pacam.asp" TargetMode="External"/><Relationship Id="rId19" Type="http://schemas.openxmlformats.org/officeDocument/2006/relationships/hyperlink" Target="http://scm.oas.org/IDMS/Redirectpage.aspx?class=AG/RES.%20%20(LI-E/16)&amp;classNum=1&amp;lang=f" TargetMode="External"/><Relationship Id="rId14" Type="http://schemas.openxmlformats.org/officeDocument/2006/relationships/header" Target="header2.xml"/><Relationship Id="rId30" Type="http://schemas.openxmlformats.org/officeDocument/2006/relationships/hyperlink" Target="http://scm.oas.org/IDMS/Redirectpage.aspx?class=V.13.1%20CIDI/RME/doc&amp;classNum=6&amp;lang=f" TargetMode="External"/><Relationship Id="rId35" Type="http://schemas.openxmlformats.org/officeDocument/2006/relationships/hyperlink" Target="http://scm.oas.org/IDMS/Redirectpage.aspx?class=XIII.4.12/CIDI/CIP/doc&amp;classNum=5&amp;lang=f" TargetMode="External"/><Relationship Id="rId56" Type="http://schemas.openxmlformats.org/officeDocument/2006/relationships/hyperlink" Target="http://scm.oas.org/IDMS/Redirectpage.aspx?class=XIII.7%20CIDI/CIDES/doc&amp;classNum=3&amp;lang=s" TargetMode="External"/><Relationship Id="rId77" Type="http://schemas.openxmlformats.org/officeDocument/2006/relationships/hyperlink" Target="http://scm.oas.org/pdfs/2021/OASISGENERAL2021.pdf" TargetMode="External"/><Relationship Id="rId100" Type="http://schemas.openxmlformats.org/officeDocument/2006/relationships/image" Target="media/image2.emf"/><Relationship Id="rId105" Type="http://schemas.openxmlformats.org/officeDocument/2006/relationships/hyperlink" Target="http://scm.oas.org/doc_public/english/hist_18/CIDRP02360e05.doc" TargetMode="External"/><Relationship Id="rId12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scm.oas.org/IDMS/Redirectpage.aspx?class=XII.21.1.CIDI/TRABAJO.Doc&amp;classNum=5&amp;lang=s" TargetMode="External"/><Relationship Id="rId72" Type="http://schemas.openxmlformats.org/officeDocument/2006/relationships/hyperlink" Target="http://scm.oas.org/IDMS/Redirectpage.aspx?class=CP/CSH&amp;classNum=2092&amp;lang=f" TargetMode="External"/><Relationship Id="rId93" Type="http://schemas.openxmlformats.org/officeDocument/2006/relationships/hyperlink" Target="http://scm.oas.org/doc_public/ENGLISH/HIST_18/CP39515E03.doc" TargetMode="External"/><Relationship Id="rId98" Type="http://schemas.openxmlformats.org/officeDocument/2006/relationships/hyperlink" Target="http://scm.oas.org/doc_public/french/hist_19/cp40513f02.doc" TargetMode="External"/><Relationship Id="rId121" Type="http://schemas.openxmlformats.org/officeDocument/2006/relationships/header" Target="header15.xml"/><Relationship Id="rId3" Type="http://schemas.openxmlformats.org/officeDocument/2006/relationships/styles" Target="styles.xml"/><Relationship Id="rId25" Type="http://schemas.openxmlformats.org/officeDocument/2006/relationships/hyperlink" Target="http://scm.oas.org/IDMS/Redirectpage.aspx?class=III.26.1%20CIDI/TUR-XXV/Dec&amp;classNum=1&amp;lang=f" TargetMode="External"/><Relationship Id="rId46" Type="http://schemas.openxmlformats.org/officeDocument/2006/relationships/hyperlink" Target="http://scm.oas.org/IDMS/Redirectpage.aspx?class=XII.21.1.CIDI/TRABAJO.Doc&amp;classNum=5&amp;lang=s" TargetMode="External"/><Relationship Id="rId67" Type="http://schemas.openxmlformats.org/officeDocument/2006/relationships/hyperlink" Target="http://scm.oas.org/IDMS/Redirectpage.aspx?class=CP/doc&amp;classNum=5718&amp;lang=s" TargetMode="External"/><Relationship Id="rId116" Type="http://schemas.openxmlformats.org/officeDocument/2006/relationships/header" Target="header12.xml"/><Relationship Id="rId20" Type="http://schemas.openxmlformats.org/officeDocument/2006/relationships/hyperlink" Target="http://scm.oas.org/IDMS/Redirectpage.aspx?class=cidi/doc.&amp;classNum=330lang=f" TargetMode="External"/><Relationship Id="rId41" Type="http://schemas.openxmlformats.org/officeDocument/2006/relationships/hyperlink" Target="http://scm.oas.org/IDMS/Redirectpage.aspx?class=XII.21.1.CIDI/TRABAJO.Doc&amp;classNum=5&amp;lang=f" TargetMode="External"/><Relationship Id="rId62" Type="http://schemas.openxmlformats.org/officeDocument/2006/relationships/hyperlink" Target="http://scm.oas.org/pdfs/2021/AGRES2956ESP.docx" TargetMode="External"/><Relationship Id="rId83" Type="http://schemas.openxmlformats.org/officeDocument/2006/relationships/hyperlink" Target="http://scm.oas.org/pdfs/2021/CP44161SCuestionario.pdf" TargetMode="External"/><Relationship Id="rId88" Type="http://schemas.openxmlformats.org/officeDocument/2006/relationships/hyperlink" Target="http://scm.oas.org/doc_public/ENGLISH/HIST_21/CP44030E03.docx" TargetMode="External"/><Relationship Id="rId111" Type="http://schemas.openxmlformats.org/officeDocument/2006/relationships/hyperlink" Target="http://scm.oas.org/doc_public/english/HIST_20/CP42590e03.docx" TargetMode="External"/><Relationship Id="rId15" Type="http://schemas.openxmlformats.org/officeDocument/2006/relationships/footer" Target="footer4.xml"/><Relationship Id="rId36" Type="http://schemas.openxmlformats.org/officeDocument/2006/relationships/hyperlink" Target="http://scm.oas.org/IDMS/Redirectpage.aspx?class=XII.21.1.CIDI/TRABAJO.Dec&amp;classNum=1&amp;lang=s" TargetMode="External"/><Relationship Id="rId57" Type="http://schemas.openxmlformats.org/officeDocument/2006/relationships/hyperlink" Target="http://scm.oas.org/IDMS/Redirectpage.aspx?class=XLVIII.4%20CIDI/REMDES/DEC&amp;classNum=1&amp;lang=f" TargetMode="External"/><Relationship Id="rId106" Type="http://schemas.openxmlformats.org/officeDocument/2006/relationships/hyperlink" Target="http://scm.oas.org/doc_public/SPANISH/HIST_20/CP42562S03.docx" TargetMode="External"/><Relationship Id="rId10" Type="http://schemas.openxmlformats.org/officeDocument/2006/relationships/footer" Target="footer1.xml"/><Relationship Id="rId31" Type="http://schemas.openxmlformats.org/officeDocument/2006/relationships/hyperlink" Target="http://scm.oas.org/pdfs/2021/PLANTRABAJOCIE20192022ESP.docx" TargetMode="External"/><Relationship Id="rId52" Type="http://schemas.openxmlformats.org/officeDocument/2006/relationships/hyperlink" Target="http://scm.oas.org/IDMS/Redirectpage.aspx?class=XII.21.1.CIDI/TRABAJO.Doc&amp;classNum=5&amp;lang=s" TargetMode="External"/><Relationship Id="rId73" Type="http://schemas.openxmlformats.org/officeDocument/2006/relationships/hyperlink" Target="http://www.oas.org/MFCS/" TargetMode="External"/><Relationship Id="rId78" Type="http://schemas.openxmlformats.org/officeDocument/2006/relationships/hyperlink" Target="http://scm.oas.org/IDMS/Redirectpage.aspx?class=AG/doc.&amp;classNum=5667&amp;lang=f" TargetMode="External"/><Relationship Id="rId94" Type="http://schemas.openxmlformats.org/officeDocument/2006/relationships/hyperlink" Target="http://scm.oas.org/doc_public/french/HIST_18/CP39515f03.doc" TargetMode="External"/><Relationship Id="rId99" Type="http://schemas.openxmlformats.org/officeDocument/2006/relationships/header" Target="header8.xml"/><Relationship Id="rId101" Type="http://schemas.openxmlformats.org/officeDocument/2006/relationships/header" Target="header9.xml"/><Relationship Id="rId12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B7BC8-F638-4B8E-8479-5A741618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223</Pages>
  <Words>89749</Words>
  <Characters>511570</Characters>
  <Application>Microsoft Office Word</Application>
  <DocSecurity>0</DocSecurity>
  <Lines>4263</Lines>
  <Paragraphs>1200</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600119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dc:description/>
  <cp:lastModifiedBy>Mayorga, Georgina</cp:lastModifiedBy>
  <cp:revision>3</cp:revision>
  <cp:lastPrinted>1998-03-30T15:02:00Z</cp:lastPrinted>
  <dcterms:created xsi:type="dcterms:W3CDTF">2021-12-03T02:26:00Z</dcterms:created>
  <dcterms:modified xsi:type="dcterms:W3CDTF">2021-12-03T02:27:00Z</dcterms:modified>
</cp:coreProperties>
</file>