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ook w:val="04A0" w:firstRow="1" w:lastRow="0" w:firstColumn="1" w:lastColumn="0" w:noHBand="0" w:noVBand="1"/>
      </w:tblPr>
      <w:tblGrid>
        <w:gridCol w:w="6489"/>
        <w:gridCol w:w="3069"/>
      </w:tblGrid>
      <w:tr w:rsidR="005C0C9A" w:rsidRPr="005C0C9A" w14:paraId="0049EF27" w14:textId="77777777" w:rsidTr="005C0C9A">
        <w:tc>
          <w:tcPr>
            <w:tcW w:w="6489" w:type="dxa"/>
          </w:tcPr>
          <w:p w14:paraId="6B043DFB" w14:textId="77777777" w:rsidR="005C0C9A" w:rsidRPr="005C0C9A" w:rsidRDefault="005C0C9A">
            <w:pPr>
              <w:tabs>
                <w:tab w:val="center" w:pos="2880"/>
                <w:tab w:val="left" w:pos="7200"/>
                <w:tab w:val="left" w:pos="7965"/>
              </w:tabs>
              <w:jc w:val="center"/>
              <w:rPr>
                <w:sz w:val="22"/>
                <w:szCs w:val="22"/>
              </w:rPr>
            </w:pPr>
            <w:r w:rsidRPr="005C0C9A">
              <w:rPr>
                <w:sz w:val="22"/>
                <w:szCs w:val="22"/>
              </w:rPr>
              <w:t>CONSEIL PERMANENT DE</w:t>
            </w:r>
          </w:p>
          <w:p w14:paraId="1CCAA977" w14:textId="77777777" w:rsidR="005C0C9A" w:rsidRPr="005C0C9A" w:rsidRDefault="005C0C9A">
            <w:pPr>
              <w:tabs>
                <w:tab w:val="center" w:pos="2880"/>
                <w:tab w:val="left" w:pos="7200"/>
                <w:tab w:val="left" w:pos="7965"/>
              </w:tabs>
              <w:jc w:val="center"/>
              <w:rPr>
                <w:sz w:val="22"/>
                <w:szCs w:val="22"/>
              </w:rPr>
            </w:pPr>
            <w:r w:rsidRPr="005C0C9A">
              <w:rPr>
                <w:sz w:val="22"/>
                <w:szCs w:val="22"/>
              </w:rPr>
              <w:t>L’ORGANISATION DES ÉTATS AMÉRICAINS</w:t>
            </w:r>
          </w:p>
          <w:p w14:paraId="25D407A2" w14:textId="77777777" w:rsidR="005C0C9A" w:rsidRPr="005C0C9A" w:rsidRDefault="005C0C9A">
            <w:pPr>
              <w:tabs>
                <w:tab w:val="center" w:pos="2880"/>
                <w:tab w:val="left" w:pos="7200"/>
                <w:tab w:val="left" w:pos="7965"/>
              </w:tabs>
              <w:jc w:val="center"/>
              <w:rPr>
                <w:sz w:val="22"/>
                <w:szCs w:val="22"/>
              </w:rPr>
            </w:pPr>
          </w:p>
          <w:p w14:paraId="52359DAE" w14:textId="77777777" w:rsidR="005C0C9A" w:rsidRPr="005C0C9A" w:rsidRDefault="005C0C9A">
            <w:pPr>
              <w:jc w:val="center"/>
              <w:rPr>
                <w:sz w:val="22"/>
                <w:szCs w:val="22"/>
              </w:rPr>
            </w:pPr>
            <w:r w:rsidRPr="005C0C9A">
              <w:rPr>
                <w:sz w:val="22"/>
                <w:szCs w:val="22"/>
              </w:rPr>
              <w:t>COMMISSION DES QUESTIONS JURIDIQUES ET POLITIQUES</w:t>
            </w:r>
          </w:p>
        </w:tc>
        <w:tc>
          <w:tcPr>
            <w:tcW w:w="3069" w:type="dxa"/>
            <w:hideMark/>
          </w:tcPr>
          <w:p w14:paraId="6DEEEF27" w14:textId="77777777" w:rsidR="005C0C9A" w:rsidRPr="005C0C9A" w:rsidRDefault="005C0C9A">
            <w:pPr>
              <w:tabs>
                <w:tab w:val="left" w:pos="717"/>
                <w:tab w:val="center" w:pos="2880"/>
                <w:tab w:val="left" w:pos="7200"/>
                <w:tab w:val="left" w:pos="7965"/>
              </w:tabs>
              <w:ind w:left="702" w:right="-760"/>
              <w:rPr>
                <w:sz w:val="22"/>
                <w:szCs w:val="22"/>
              </w:rPr>
            </w:pPr>
            <w:r w:rsidRPr="005C0C9A">
              <w:rPr>
                <w:sz w:val="22"/>
                <w:szCs w:val="22"/>
              </w:rPr>
              <w:t>OEA/</w:t>
            </w:r>
            <w:proofErr w:type="spellStart"/>
            <w:r w:rsidRPr="005C0C9A">
              <w:rPr>
                <w:sz w:val="22"/>
                <w:szCs w:val="22"/>
              </w:rPr>
              <w:t>Ser.G</w:t>
            </w:r>
            <w:proofErr w:type="spellEnd"/>
          </w:p>
          <w:p w14:paraId="0259AE4C" w14:textId="77777777" w:rsidR="005C0C9A" w:rsidRPr="005C0C9A" w:rsidRDefault="005C0C9A">
            <w:pPr>
              <w:tabs>
                <w:tab w:val="left" w:pos="717"/>
                <w:tab w:val="center" w:pos="3591"/>
                <w:tab w:val="left" w:pos="7200"/>
                <w:tab w:val="left" w:pos="7965"/>
              </w:tabs>
              <w:ind w:left="702" w:right="-1120"/>
              <w:rPr>
                <w:sz w:val="22"/>
                <w:szCs w:val="22"/>
              </w:rPr>
            </w:pPr>
            <w:r w:rsidRPr="005C0C9A">
              <w:rPr>
                <w:sz w:val="22"/>
                <w:szCs w:val="22"/>
              </w:rPr>
              <w:t>CP/</w:t>
            </w:r>
            <w:proofErr w:type="spellStart"/>
            <w:r w:rsidRPr="005C0C9A">
              <w:rPr>
                <w:sz w:val="22"/>
                <w:szCs w:val="22"/>
              </w:rPr>
              <w:t>CAJP</w:t>
            </w:r>
            <w:proofErr w:type="spellEnd"/>
            <w:r w:rsidRPr="005C0C9A">
              <w:rPr>
                <w:sz w:val="22"/>
                <w:szCs w:val="22"/>
              </w:rPr>
              <w:t xml:space="preserve">-3590/21 </w:t>
            </w:r>
            <w:proofErr w:type="spellStart"/>
            <w:r w:rsidRPr="005C0C9A">
              <w:rPr>
                <w:sz w:val="22"/>
                <w:szCs w:val="22"/>
              </w:rPr>
              <w:t>rev</w:t>
            </w:r>
            <w:proofErr w:type="spellEnd"/>
            <w:r w:rsidRPr="005C0C9A">
              <w:rPr>
                <w:sz w:val="22"/>
                <w:szCs w:val="22"/>
              </w:rPr>
              <w:t xml:space="preserve">. 1 </w:t>
            </w:r>
          </w:p>
          <w:p w14:paraId="4580484A" w14:textId="77777777" w:rsidR="005C0C9A" w:rsidRPr="005C0C9A" w:rsidRDefault="005C0C9A">
            <w:pPr>
              <w:tabs>
                <w:tab w:val="left" w:pos="717"/>
                <w:tab w:val="center" w:pos="2880"/>
                <w:tab w:val="left" w:pos="7200"/>
                <w:tab w:val="left" w:pos="7965"/>
              </w:tabs>
              <w:ind w:left="702"/>
              <w:rPr>
                <w:sz w:val="22"/>
                <w:szCs w:val="22"/>
              </w:rPr>
            </w:pPr>
            <w:r w:rsidRPr="005C0C9A">
              <w:rPr>
                <w:sz w:val="22"/>
                <w:szCs w:val="22"/>
              </w:rPr>
              <w:t>12 mai 2021</w:t>
            </w:r>
          </w:p>
          <w:p w14:paraId="65621EF1" w14:textId="77777777" w:rsidR="005C0C9A" w:rsidRPr="005C0C9A" w:rsidRDefault="005C0C9A">
            <w:pPr>
              <w:tabs>
                <w:tab w:val="left" w:pos="717"/>
                <w:tab w:val="center" w:pos="2880"/>
                <w:tab w:val="left" w:pos="7200"/>
                <w:tab w:val="left" w:pos="7965"/>
              </w:tabs>
              <w:ind w:left="702"/>
              <w:rPr>
                <w:sz w:val="22"/>
                <w:szCs w:val="22"/>
              </w:rPr>
            </w:pPr>
            <w:r w:rsidRPr="005C0C9A">
              <w:rPr>
                <w:sz w:val="22"/>
                <w:szCs w:val="22"/>
              </w:rPr>
              <w:t>Original: espagnol</w:t>
            </w:r>
          </w:p>
        </w:tc>
      </w:tr>
    </w:tbl>
    <w:p w14:paraId="2F68585A" w14:textId="77777777" w:rsidR="005C0C9A" w:rsidRPr="005C0C9A" w:rsidRDefault="005C0C9A" w:rsidP="005C0C9A">
      <w:pPr>
        <w:widowControl w:val="0"/>
        <w:outlineLvl w:val="0"/>
        <w:rPr>
          <w:sz w:val="22"/>
          <w:szCs w:val="22"/>
        </w:rPr>
      </w:pPr>
    </w:p>
    <w:p w14:paraId="51123C7A" w14:textId="77777777" w:rsidR="005C0C9A" w:rsidRPr="005C0C9A" w:rsidRDefault="005C0C9A" w:rsidP="005C0C9A">
      <w:pPr>
        <w:pStyle w:val="TitleUppercase"/>
        <w:suppressAutoHyphens/>
        <w:jc w:val="left"/>
        <w:rPr>
          <w:szCs w:val="22"/>
          <w:lang w:val="fr-CA"/>
        </w:rPr>
      </w:pPr>
    </w:p>
    <w:p w14:paraId="43A6FCFF" w14:textId="77777777" w:rsidR="005C0C9A" w:rsidRPr="005C0C9A" w:rsidRDefault="005C0C9A" w:rsidP="005C0C9A">
      <w:pPr>
        <w:pStyle w:val="TitleUppercase"/>
        <w:suppressAutoHyphens/>
        <w:rPr>
          <w:szCs w:val="22"/>
          <w:lang w:val="fr-CA"/>
        </w:rPr>
      </w:pPr>
      <w:r w:rsidRPr="005C0C9A">
        <w:rPr>
          <w:szCs w:val="22"/>
          <w:lang w:val="fr-CA"/>
        </w:rPr>
        <w:t>PROJET D’ORDRE DU JOUR</w:t>
      </w:r>
    </w:p>
    <w:p w14:paraId="784492F5" w14:textId="77777777" w:rsidR="005C0C9A" w:rsidRPr="005C0C9A" w:rsidRDefault="005C0C9A" w:rsidP="005C0C9A">
      <w:pPr>
        <w:pStyle w:val="TitleUppercase"/>
        <w:suppressAutoHyphens/>
        <w:jc w:val="left"/>
        <w:rPr>
          <w:szCs w:val="22"/>
          <w:lang w:val="fr-CA"/>
        </w:rPr>
      </w:pPr>
    </w:p>
    <w:p w14:paraId="79C6B66A" w14:textId="77777777" w:rsidR="005C0C9A" w:rsidRPr="005C0C9A" w:rsidRDefault="005C0C9A" w:rsidP="005C0C9A">
      <w:pPr>
        <w:ind w:left="2880"/>
        <w:jc w:val="both"/>
        <w:rPr>
          <w:sz w:val="22"/>
          <w:szCs w:val="22"/>
        </w:rPr>
      </w:pPr>
      <w:r w:rsidRPr="005C0C9A">
        <w:rPr>
          <w:sz w:val="22"/>
          <w:szCs w:val="22"/>
          <w:u w:val="single"/>
        </w:rPr>
        <w:t>Date</w:t>
      </w:r>
      <w:r w:rsidRPr="005C0C9A">
        <w:rPr>
          <w:sz w:val="22"/>
          <w:szCs w:val="22"/>
        </w:rPr>
        <w:t> :</w:t>
      </w:r>
      <w:r w:rsidRPr="005C0C9A">
        <w:rPr>
          <w:sz w:val="22"/>
          <w:szCs w:val="22"/>
        </w:rPr>
        <w:tab/>
        <w:t>jeudi 13 mai 2021</w:t>
      </w:r>
    </w:p>
    <w:p w14:paraId="5750F29F" w14:textId="77777777" w:rsidR="005C0C9A" w:rsidRPr="005C0C9A" w:rsidRDefault="005C0C9A" w:rsidP="005C0C9A">
      <w:pPr>
        <w:ind w:left="2880"/>
        <w:rPr>
          <w:sz w:val="22"/>
          <w:szCs w:val="22"/>
        </w:rPr>
      </w:pPr>
      <w:r w:rsidRPr="005C0C9A">
        <w:rPr>
          <w:sz w:val="22"/>
          <w:szCs w:val="22"/>
          <w:u w:val="single"/>
        </w:rPr>
        <w:t>Heure</w:t>
      </w:r>
      <w:r w:rsidRPr="005C0C9A">
        <w:rPr>
          <w:sz w:val="22"/>
          <w:szCs w:val="22"/>
        </w:rPr>
        <w:t xml:space="preserve"> :</w:t>
      </w:r>
      <w:r w:rsidRPr="005C0C9A">
        <w:rPr>
          <w:sz w:val="22"/>
          <w:szCs w:val="22"/>
        </w:rPr>
        <w:tab/>
        <w:t>14 h 30 – 17 h 30</w:t>
      </w:r>
    </w:p>
    <w:p w14:paraId="5778B02D" w14:textId="77777777" w:rsidR="005C0C9A" w:rsidRPr="005C0C9A" w:rsidRDefault="005C0C9A" w:rsidP="005C0C9A">
      <w:pPr>
        <w:ind w:left="2880"/>
        <w:jc w:val="both"/>
        <w:rPr>
          <w:sz w:val="22"/>
          <w:szCs w:val="22"/>
        </w:rPr>
      </w:pPr>
      <w:r w:rsidRPr="005C0C9A">
        <w:rPr>
          <w:sz w:val="22"/>
          <w:szCs w:val="22"/>
          <w:u w:val="single"/>
        </w:rPr>
        <w:t>Lieu</w:t>
      </w:r>
      <w:r w:rsidRPr="005C0C9A">
        <w:rPr>
          <w:sz w:val="22"/>
          <w:szCs w:val="22"/>
        </w:rPr>
        <w:t xml:space="preserve"> :</w:t>
      </w:r>
      <w:r w:rsidRPr="005C0C9A">
        <w:rPr>
          <w:sz w:val="22"/>
          <w:szCs w:val="22"/>
        </w:rPr>
        <w:tab/>
        <w:t xml:space="preserve">virtuel </w:t>
      </w:r>
    </w:p>
    <w:p w14:paraId="4C0B9633" w14:textId="77777777" w:rsidR="005C0C9A" w:rsidRPr="005C0C9A" w:rsidRDefault="005C0C9A" w:rsidP="005C0C9A">
      <w:pPr>
        <w:jc w:val="both"/>
        <w:rPr>
          <w:sz w:val="22"/>
          <w:szCs w:val="22"/>
        </w:rPr>
      </w:pPr>
    </w:p>
    <w:p w14:paraId="738DF2EC" w14:textId="77777777" w:rsidR="005C0C9A" w:rsidRPr="005C0C9A" w:rsidRDefault="005C0C9A" w:rsidP="005C0C9A">
      <w:pPr>
        <w:numPr>
          <w:ilvl w:val="0"/>
          <w:numId w:val="42"/>
        </w:numPr>
        <w:ind w:left="720" w:hanging="720"/>
        <w:jc w:val="both"/>
        <w:rPr>
          <w:sz w:val="22"/>
          <w:szCs w:val="22"/>
        </w:rPr>
      </w:pPr>
      <w:r w:rsidRPr="005C0C9A">
        <w:rPr>
          <w:sz w:val="22"/>
          <w:szCs w:val="22"/>
        </w:rPr>
        <w:t>Examen et adoption de l’ordre du jour de la réunion (CP/CAJP-3590/21)</w:t>
      </w:r>
    </w:p>
    <w:p w14:paraId="27AD441E" w14:textId="77777777" w:rsidR="005C0C9A" w:rsidRPr="005C0C9A" w:rsidRDefault="005C0C9A" w:rsidP="005C0C9A">
      <w:pPr>
        <w:ind w:left="720" w:hanging="720"/>
        <w:jc w:val="both"/>
        <w:rPr>
          <w:sz w:val="22"/>
          <w:szCs w:val="22"/>
          <w:highlight w:val="green"/>
          <w:lang w:eastAsia="en-US"/>
        </w:rPr>
      </w:pPr>
    </w:p>
    <w:p w14:paraId="3D1AFA75" w14:textId="77777777" w:rsidR="005C0C9A" w:rsidRPr="005C0C9A" w:rsidRDefault="005C0C9A" w:rsidP="005C0C9A">
      <w:pPr>
        <w:numPr>
          <w:ilvl w:val="0"/>
          <w:numId w:val="42"/>
        </w:numPr>
        <w:ind w:left="720" w:hanging="720"/>
        <w:jc w:val="both"/>
        <w:rPr>
          <w:sz w:val="22"/>
          <w:szCs w:val="22"/>
        </w:rPr>
      </w:pPr>
      <w:r w:rsidRPr="005C0C9A">
        <w:rPr>
          <w:sz w:val="22"/>
          <w:szCs w:val="22"/>
        </w:rPr>
        <w:t>Suivi des mandats issus de la résolution AG/RES. 2961 (L-O/20), « Promotion et protection des droits de la personne »</w:t>
      </w:r>
    </w:p>
    <w:p w14:paraId="4F071FE3" w14:textId="77777777" w:rsidR="005C0C9A" w:rsidRPr="005C0C9A" w:rsidRDefault="005C0C9A" w:rsidP="005C0C9A">
      <w:pPr>
        <w:jc w:val="both"/>
        <w:rPr>
          <w:sz w:val="22"/>
          <w:szCs w:val="22"/>
          <w:lang w:eastAsia="en-US"/>
        </w:rPr>
      </w:pPr>
    </w:p>
    <w:p w14:paraId="5F5F28F2" w14:textId="77777777" w:rsidR="005C0C9A" w:rsidRPr="005C0C9A" w:rsidRDefault="005C0C9A" w:rsidP="005C0C9A">
      <w:pPr>
        <w:numPr>
          <w:ilvl w:val="0"/>
          <w:numId w:val="43"/>
        </w:numPr>
        <w:spacing w:before="20" w:after="20"/>
        <w:ind w:left="1440" w:hanging="720"/>
        <w:jc w:val="both"/>
        <w:rPr>
          <w:sz w:val="22"/>
          <w:szCs w:val="22"/>
        </w:rPr>
      </w:pPr>
      <w:proofErr w:type="gramStart"/>
      <w:r w:rsidRPr="005C0C9A">
        <w:rPr>
          <w:sz w:val="22"/>
          <w:szCs w:val="22"/>
        </w:rPr>
        <w:t>Section xii</w:t>
      </w:r>
      <w:proofErr w:type="gramEnd"/>
      <w:r w:rsidRPr="005C0C9A">
        <w:rPr>
          <w:sz w:val="22"/>
          <w:szCs w:val="22"/>
        </w:rPr>
        <w:t>, « Situation des personnes d'ascendance africaine dans le continent américain et racisme »</w:t>
      </w:r>
      <w:r w:rsidRPr="005C0C9A">
        <w:rPr>
          <w:rStyle w:val="FootnoteReference"/>
          <w:sz w:val="22"/>
          <w:szCs w:val="22"/>
          <w:vertAlign w:val="superscript"/>
          <w:lang w:eastAsia="en-US"/>
        </w:rPr>
        <w:footnoteReference w:id="1"/>
      </w:r>
      <w:r w:rsidRPr="005C0C9A">
        <w:rPr>
          <w:b/>
          <w:sz w:val="22"/>
          <w:szCs w:val="22"/>
          <w:vertAlign w:val="superscript"/>
        </w:rPr>
        <w:t>/</w:t>
      </w:r>
    </w:p>
    <w:p w14:paraId="60B2B1D1"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t>Rapport de l’Ambassadeur Nestor Mendez, Secrétaire général adjoint</w:t>
      </w:r>
    </w:p>
    <w:p w14:paraId="425C79F7"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t xml:space="preserve">Rapport du Département de l'inclusion sociale (DIS), par Roberto Rojas </w:t>
      </w:r>
      <w:proofErr w:type="spellStart"/>
      <w:r w:rsidRPr="005C0C9A">
        <w:rPr>
          <w:sz w:val="22"/>
          <w:szCs w:val="22"/>
        </w:rPr>
        <w:t>Dávila</w:t>
      </w:r>
      <w:proofErr w:type="spellEnd"/>
      <w:r w:rsidRPr="005C0C9A">
        <w:rPr>
          <w:sz w:val="22"/>
          <w:szCs w:val="22"/>
        </w:rPr>
        <w:t>, chef de la Section des groupes en situation de vulnérabilité du DIS</w:t>
      </w:r>
    </w:p>
    <w:p w14:paraId="70BFC6CE" w14:textId="77777777" w:rsidR="005C0C9A" w:rsidRPr="005C0C9A" w:rsidRDefault="005C0C9A" w:rsidP="005C0C9A">
      <w:pPr>
        <w:numPr>
          <w:ilvl w:val="3"/>
          <w:numId w:val="44"/>
        </w:numPr>
        <w:spacing w:before="20" w:after="20"/>
        <w:ind w:left="2160" w:right="144" w:hanging="450"/>
        <w:jc w:val="both"/>
        <w:rPr>
          <w:sz w:val="22"/>
          <w:szCs w:val="22"/>
        </w:rPr>
      </w:pPr>
      <w:r w:rsidRPr="005C0C9A">
        <w:rPr>
          <w:sz w:val="22"/>
          <w:szCs w:val="22"/>
        </w:rPr>
        <w:t xml:space="preserve">Rapport régional sur la situation des personnes d'ascendance africaine et les progrès réalisés dans la mise en œuvre du Plan d'action de la Décennie des personnes d'ascendance africaine dans les Amériques (2016-2025) : </w:t>
      </w:r>
    </w:p>
    <w:p w14:paraId="083AB105" w14:textId="77777777" w:rsidR="005C0C9A" w:rsidRPr="005C0C9A" w:rsidRDefault="00CC3EEA" w:rsidP="005C0C9A">
      <w:pPr>
        <w:spacing w:before="20" w:after="20"/>
        <w:ind w:left="1440" w:right="144"/>
        <w:jc w:val="both"/>
        <w:rPr>
          <w:sz w:val="22"/>
          <w:szCs w:val="22"/>
        </w:rPr>
      </w:pPr>
      <w:hyperlink r:id="rId11" w:history="1">
        <w:r w:rsidR="005C0C9A" w:rsidRPr="005C0C9A">
          <w:rPr>
            <w:rStyle w:val="Hyperlink"/>
            <w:sz w:val="22"/>
            <w:szCs w:val="22"/>
            <w:lang w:val="fr-CA"/>
          </w:rPr>
          <w:t>http://scm.oas.org/doc_public/SPANISH/HIST_21/CP43711S03.docx</w:t>
        </w:r>
      </w:hyperlink>
      <w:r w:rsidR="005C0C9A" w:rsidRPr="005C0C9A">
        <w:rPr>
          <w:sz w:val="22"/>
          <w:szCs w:val="22"/>
        </w:rPr>
        <w:t xml:space="preserve"> </w:t>
      </w:r>
    </w:p>
    <w:p w14:paraId="4EA5BABF"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t xml:space="preserve">Rapport de la Commission interaméricaine des droits de l'homme (CIDH), par la commissaire </w:t>
      </w:r>
      <w:proofErr w:type="spellStart"/>
      <w:r w:rsidRPr="005C0C9A">
        <w:rPr>
          <w:sz w:val="22"/>
          <w:szCs w:val="22"/>
        </w:rPr>
        <w:t>Margarette</w:t>
      </w:r>
      <w:proofErr w:type="spellEnd"/>
      <w:r w:rsidRPr="005C0C9A">
        <w:rPr>
          <w:sz w:val="22"/>
          <w:szCs w:val="22"/>
        </w:rPr>
        <w:t xml:space="preserve"> May Macaulay, </w:t>
      </w:r>
      <w:proofErr w:type="spellStart"/>
      <w:r w:rsidRPr="005C0C9A">
        <w:rPr>
          <w:sz w:val="22"/>
          <w:szCs w:val="22"/>
        </w:rPr>
        <w:t>Rapporteure</w:t>
      </w:r>
      <w:proofErr w:type="spellEnd"/>
      <w:r w:rsidRPr="005C0C9A">
        <w:rPr>
          <w:sz w:val="22"/>
          <w:szCs w:val="22"/>
        </w:rPr>
        <w:t xml:space="preserve"> pour les droits des personnes d'ascendance africaine et contre la discrimination raciale</w:t>
      </w:r>
    </w:p>
    <w:p w14:paraId="46FA187D"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t>Interventions des États membres</w:t>
      </w:r>
    </w:p>
    <w:p w14:paraId="038A4ADB" w14:textId="77777777" w:rsidR="005C0C9A" w:rsidRPr="005C0C9A" w:rsidRDefault="005C0C9A" w:rsidP="005C0C9A">
      <w:pPr>
        <w:spacing w:before="20" w:after="20"/>
        <w:jc w:val="both"/>
        <w:rPr>
          <w:sz w:val="22"/>
          <w:szCs w:val="22"/>
          <w:lang w:eastAsia="en-US"/>
        </w:rPr>
      </w:pPr>
    </w:p>
    <w:p w14:paraId="6B66660F" w14:textId="77777777" w:rsidR="005C0C9A" w:rsidRPr="005C0C9A" w:rsidRDefault="005C0C9A" w:rsidP="005C0C9A">
      <w:pPr>
        <w:numPr>
          <w:ilvl w:val="0"/>
          <w:numId w:val="43"/>
        </w:numPr>
        <w:spacing w:before="20" w:after="20"/>
        <w:ind w:left="1440" w:hanging="720"/>
        <w:jc w:val="both"/>
        <w:rPr>
          <w:sz w:val="22"/>
          <w:szCs w:val="22"/>
        </w:rPr>
      </w:pPr>
      <w:proofErr w:type="gramStart"/>
      <w:r w:rsidRPr="005C0C9A">
        <w:rPr>
          <w:sz w:val="22"/>
          <w:szCs w:val="22"/>
        </w:rPr>
        <w:t>Section xxii</w:t>
      </w:r>
      <w:proofErr w:type="gramEnd"/>
      <w:r w:rsidRPr="005C0C9A">
        <w:rPr>
          <w:sz w:val="22"/>
          <w:szCs w:val="22"/>
        </w:rPr>
        <w:t>., « Suivi de la mise en œuvre de la Déclaration américaine sur les droits des peuples autochtones et du Plan d'action relatif à la Déclaration américaine sur les droits des peuples autochtones (2017-2021) »</w:t>
      </w:r>
      <w:r w:rsidRPr="005C0C9A">
        <w:rPr>
          <w:rStyle w:val="FootnoteReference"/>
          <w:sz w:val="22"/>
          <w:szCs w:val="22"/>
          <w:vertAlign w:val="superscript"/>
          <w:lang w:eastAsia="en-US"/>
        </w:rPr>
        <w:footnoteReference w:id="2"/>
      </w:r>
      <w:r w:rsidRPr="005C0C9A">
        <w:rPr>
          <w:sz w:val="22"/>
          <w:szCs w:val="22"/>
          <w:vertAlign w:val="superscript"/>
        </w:rPr>
        <w:t>/</w:t>
      </w:r>
    </w:p>
    <w:p w14:paraId="5266379F"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t>Rapport de l’Ambassadeur Nestor Mendez, Secrétaire général adjoint</w:t>
      </w:r>
    </w:p>
    <w:p w14:paraId="3670B770"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lastRenderedPageBreak/>
        <w:t xml:space="preserve">Rapport du Département de l’inclusion sociale, par Roberto Rojas </w:t>
      </w:r>
      <w:proofErr w:type="spellStart"/>
      <w:r w:rsidRPr="005C0C9A">
        <w:rPr>
          <w:sz w:val="22"/>
          <w:szCs w:val="22"/>
        </w:rPr>
        <w:t>Dávila</w:t>
      </w:r>
      <w:proofErr w:type="spellEnd"/>
      <w:r w:rsidRPr="005C0C9A">
        <w:rPr>
          <w:sz w:val="22"/>
          <w:szCs w:val="22"/>
        </w:rPr>
        <w:t>, Chef de la Section des groupes en situation de vulnérabilité du DIS</w:t>
      </w:r>
    </w:p>
    <w:p w14:paraId="1D3A1403"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t xml:space="preserve">Rapport de la Commission interaméricaine des droits de l'homme (CIDH), par la commissaire Antonia </w:t>
      </w:r>
      <w:proofErr w:type="spellStart"/>
      <w:r w:rsidRPr="005C0C9A">
        <w:rPr>
          <w:sz w:val="22"/>
          <w:szCs w:val="22"/>
        </w:rPr>
        <w:t>Urrejola</w:t>
      </w:r>
      <w:proofErr w:type="spellEnd"/>
      <w:r w:rsidRPr="005C0C9A">
        <w:rPr>
          <w:sz w:val="22"/>
          <w:szCs w:val="22"/>
        </w:rPr>
        <w:t xml:space="preserve">, </w:t>
      </w:r>
      <w:proofErr w:type="spellStart"/>
      <w:r w:rsidRPr="005C0C9A">
        <w:rPr>
          <w:sz w:val="22"/>
          <w:szCs w:val="22"/>
        </w:rPr>
        <w:t>Rapporteure</w:t>
      </w:r>
      <w:proofErr w:type="spellEnd"/>
      <w:r w:rsidRPr="005C0C9A">
        <w:rPr>
          <w:sz w:val="22"/>
          <w:szCs w:val="22"/>
        </w:rPr>
        <w:t xml:space="preserve"> pour les droits des peuples autochtones et Présidente de la CIDH</w:t>
      </w:r>
    </w:p>
    <w:p w14:paraId="581E8623"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t>Interventions des États membres</w:t>
      </w:r>
    </w:p>
    <w:p w14:paraId="260CDEC2" w14:textId="77777777" w:rsidR="005C0C9A" w:rsidRPr="005C0C9A" w:rsidRDefault="005C0C9A" w:rsidP="005C0C9A">
      <w:pPr>
        <w:tabs>
          <w:tab w:val="left" w:pos="1054"/>
        </w:tabs>
        <w:spacing w:before="20" w:after="20"/>
        <w:jc w:val="both"/>
        <w:rPr>
          <w:i/>
          <w:iCs/>
          <w:sz w:val="22"/>
          <w:szCs w:val="22"/>
        </w:rPr>
      </w:pPr>
    </w:p>
    <w:p w14:paraId="56CA7D7C" w14:textId="77777777" w:rsidR="005C0C9A" w:rsidRPr="005C0C9A" w:rsidRDefault="005C0C9A" w:rsidP="005C0C9A">
      <w:pPr>
        <w:numPr>
          <w:ilvl w:val="0"/>
          <w:numId w:val="43"/>
        </w:numPr>
        <w:spacing w:before="20" w:after="20"/>
        <w:ind w:left="1440" w:hanging="720"/>
        <w:jc w:val="both"/>
        <w:rPr>
          <w:sz w:val="22"/>
          <w:szCs w:val="22"/>
        </w:rPr>
      </w:pPr>
      <w:r w:rsidRPr="005C0C9A">
        <w:rPr>
          <w:sz w:val="22"/>
          <w:szCs w:val="22"/>
        </w:rPr>
        <w:t>Section viii., « Renforcement du Mécanisme de suivi de la mise en œuvre du Protocole de San Salvador »</w:t>
      </w:r>
      <w:r w:rsidRPr="005C0C9A">
        <w:rPr>
          <w:rStyle w:val="FootnoteReference"/>
          <w:b/>
          <w:sz w:val="22"/>
          <w:szCs w:val="22"/>
          <w:vertAlign w:val="superscript"/>
        </w:rPr>
        <w:t xml:space="preserve"> </w:t>
      </w:r>
      <w:r w:rsidRPr="005C0C9A">
        <w:rPr>
          <w:rStyle w:val="FootnoteReference"/>
          <w:sz w:val="22"/>
          <w:szCs w:val="22"/>
          <w:vertAlign w:val="superscript"/>
          <w:lang w:eastAsia="en-US"/>
        </w:rPr>
        <w:footnoteReference w:id="3"/>
      </w:r>
      <w:r w:rsidRPr="005C0C9A">
        <w:rPr>
          <w:sz w:val="22"/>
          <w:szCs w:val="22"/>
          <w:vertAlign w:val="superscript"/>
        </w:rPr>
        <w:t>/</w:t>
      </w:r>
    </w:p>
    <w:p w14:paraId="313CE30D"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t xml:space="preserve">Rapport du Groupe de travail chargé d'examiner les rapports nationaux évoqués dans le Protocole de San Salvador (GTPSS) pour 2020, par Laura Elisa Pérez, Présidente du GTPSS </w:t>
      </w:r>
      <w:hyperlink r:id="rId12" w:history="1">
        <w:r w:rsidRPr="005C0C9A">
          <w:rPr>
            <w:rStyle w:val="Hyperlink"/>
            <w:sz w:val="22"/>
            <w:szCs w:val="22"/>
            <w:lang w:val="fr-CA"/>
          </w:rPr>
          <w:t>CP/CAJP-3587/21</w:t>
        </w:r>
      </w:hyperlink>
    </w:p>
    <w:p w14:paraId="07DF3DDF"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t xml:space="preserve">Rapport du Secrétariat Technique du </w:t>
      </w:r>
      <w:proofErr w:type="spellStart"/>
      <w:r w:rsidRPr="005C0C9A">
        <w:rPr>
          <w:sz w:val="22"/>
          <w:szCs w:val="22"/>
        </w:rPr>
        <w:t>GTPSS</w:t>
      </w:r>
      <w:proofErr w:type="spellEnd"/>
      <w:r w:rsidRPr="005C0C9A">
        <w:rPr>
          <w:sz w:val="22"/>
          <w:szCs w:val="22"/>
        </w:rPr>
        <w:t xml:space="preserve">, par Sara </w:t>
      </w:r>
      <w:proofErr w:type="spellStart"/>
      <w:r w:rsidRPr="005C0C9A">
        <w:rPr>
          <w:sz w:val="22"/>
          <w:szCs w:val="22"/>
        </w:rPr>
        <w:t>Betilde</w:t>
      </w:r>
      <w:proofErr w:type="spellEnd"/>
      <w:r w:rsidRPr="005C0C9A">
        <w:rPr>
          <w:sz w:val="22"/>
          <w:szCs w:val="22"/>
        </w:rPr>
        <w:t xml:space="preserve"> </w:t>
      </w:r>
      <w:proofErr w:type="spellStart"/>
      <w:r w:rsidRPr="005C0C9A">
        <w:rPr>
          <w:sz w:val="22"/>
          <w:szCs w:val="22"/>
        </w:rPr>
        <w:t>Muñoz</w:t>
      </w:r>
      <w:proofErr w:type="spellEnd"/>
      <w:r w:rsidRPr="005C0C9A">
        <w:rPr>
          <w:sz w:val="22"/>
          <w:szCs w:val="22"/>
        </w:rPr>
        <w:t xml:space="preserve"> </w:t>
      </w:r>
      <w:proofErr w:type="spellStart"/>
      <w:r w:rsidRPr="005C0C9A">
        <w:rPr>
          <w:sz w:val="22"/>
          <w:szCs w:val="22"/>
        </w:rPr>
        <w:t>Pogossian</w:t>
      </w:r>
      <w:proofErr w:type="spellEnd"/>
      <w:r w:rsidRPr="005C0C9A">
        <w:rPr>
          <w:sz w:val="22"/>
          <w:szCs w:val="22"/>
        </w:rPr>
        <w:t>, Directrice du Département de l’inclusion sociale du Secrétariat à l’accès aux droits et à l’équité (DIS/</w:t>
      </w:r>
      <w:proofErr w:type="spellStart"/>
      <w:r w:rsidRPr="005C0C9A">
        <w:rPr>
          <w:sz w:val="22"/>
          <w:szCs w:val="22"/>
        </w:rPr>
        <w:t>SADyE</w:t>
      </w:r>
      <w:proofErr w:type="spellEnd"/>
      <w:r w:rsidRPr="005C0C9A">
        <w:rPr>
          <w:sz w:val="22"/>
          <w:szCs w:val="22"/>
        </w:rPr>
        <w:t xml:space="preserve">) </w:t>
      </w:r>
    </w:p>
    <w:p w14:paraId="1A5546D1"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t xml:space="preserve">Rapport de la Commission interaméricaine des droits de l’homme (CIDH), par Soledad García </w:t>
      </w:r>
      <w:proofErr w:type="spellStart"/>
      <w:r w:rsidRPr="005C0C9A">
        <w:rPr>
          <w:sz w:val="22"/>
          <w:szCs w:val="22"/>
        </w:rPr>
        <w:t>Muñoz</w:t>
      </w:r>
      <w:proofErr w:type="spellEnd"/>
      <w:r w:rsidRPr="005C0C9A">
        <w:rPr>
          <w:sz w:val="22"/>
          <w:szCs w:val="22"/>
        </w:rPr>
        <w:t xml:space="preserve">, </w:t>
      </w:r>
      <w:proofErr w:type="spellStart"/>
      <w:r w:rsidRPr="005C0C9A">
        <w:rPr>
          <w:sz w:val="22"/>
          <w:szCs w:val="22"/>
        </w:rPr>
        <w:t>Rapporteure</w:t>
      </w:r>
      <w:proofErr w:type="spellEnd"/>
      <w:r w:rsidRPr="005C0C9A">
        <w:rPr>
          <w:sz w:val="22"/>
          <w:szCs w:val="22"/>
        </w:rPr>
        <w:t xml:space="preserve"> spéciale pour les droits économiques, sociaux, culturels et environnementaux</w:t>
      </w:r>
    </w:p>
    <w:p w14:paraId="548A793F"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t>Interventions des États membres</w:t>
      </w:r>
    </w:p>
    <w:p w14:paraId="5F5A3E00" w14:textId="77777777" w:rsidR="005C0C9A" w:rsidRPr="005C0C9A" w:rsidRDefault="005C0C9A" w:rsidP="005C0C9A">
      <w:pPr>
        <w:spacing w:before="20" w:after="20"/>
        <w:jc w:val="both"/>
        <w:rPr>
          <w:sz w:val="22"/>
          <w:szCs w:val="22"/>
          <w:lang w:eastAsia="en-US"/>
        </w:rPr>
      </w:pPr>
    </w:p>
    <w:p w14:paraId="24097738" w14:textId="77777777" w:rsidR="005C0C9A" w:rsidRPr="005C0C9A" w:rsidRDefault="005C0C9A" w:rsidP="005C0C9A">
      <w:pPr>
        <w:numPr>
          <w:ilvl w:val="0"/>
          <w:numId w:val="43"/>
        </w:numPr>
        <w:spacing w:before="20" w:after="20"/>
        <w:ind w:left="1440" w:hanging="720"/>
        <w:jc w:val="both"/>
        <w:rPr>
          <w:sz w:val="22"/>
          <w:szCs w:val="22"/>
        </w:rPr>
      </w:pPr>
      <w:proofErr w:type="gramStart"/>
      <w:r w:rsidRPr="005C0C9A">
        <w:rPr>
          <w:sz w:val="22"/>
          <w:szCs w:val="22"/>
        </w:rPr>
        <w:t>Section xvi</w:t>
      </w:r>
      <w:proofErr w:type="gramEnd"/>
      <w:r w:rsidRPr="005C0C9A">
        <w:rPr>
          <w:sz w:val="22"/>
          <w:szCs w:val="22"/>
        </w:rPr>
        <w:t>., « Programme d’action de la Décennie des Amériques pour les droits et la dignité des personnes handicapées 2016-2026 et Appui au Comité pour l’élimination de toutes les formes de discrimination contre les personnes handicapées »</w:t>
      </w:r>
    </w:p>
    <w:p w14:paraId="1A2F646E"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t>Rapport du Secrétariat technique du Comité pour l'élimination de toutes les formes de discrimination contre les personnes handicapées (CEDDIS), par Mercedes Carrillo, juriste, DIS</w:t>
      </w:r>
    </w:p>
    <w:p w14:paraId="272C9592" w14:textId="77777777" w:rsidR="005C0C9A" w:rsidRPr="005C0C9A" w:rsidRDefault="005C0C9A" w:rsidP="005C0C9A">
      <w:pPr>
        <w:numPr>
          <w:ilvl w:val="3"/>
          <w:numId w:val="44"/>
        </w:numPr>
        <w:spacing w:before="20" w:after="20"/>
        <w:ind w:left="2160" w:right="144"/>
        <w:jc w:val="both"/>
        <w:rPr>
          <w:sz w:val="22"/>
          <w:szCs w:val="22"/>
        </w:rPr>
      </w:pPr>
      <w:r w:rsidRPr="005C0C9A">
        <w:rPr>
          <w:sz w:val="22"/>
          <w:szCs w:val="22"/>
        </w:rPr>
        <w:t xml:space="preserve">Rapport final de la septième réunion extraordinaire du Comité pour l’élimination de toutes les formes de discrimination contre les personnes handicapées (CEDDIS) : </w:t>
      </w:r>
      <w:hyperlink r:id="rId13" w:history="1">
        <w:r w:rsidRPr="005C0C9A">
          <w:rPr>
            <w:rStyle w:val="Hyperlink"/>
            <w:sz w:val="22"/>
            <w:szCs w:val="22"/>
            <w:lang w:val="fr-CA"/>
          </w:rPr>
          <w:t>CP/CAJP-3589/21</w:t>
        </w:r>
      </w:hyperlink>
    </w:p>
    <w:p w14:paraId="7472D20F" w14:textId="77777777" w:rsidR="005C0C9A" w:rsidRPr="005C0C9A" w:rsidRDefault="005C0C9A" w:rsidP="005C0C9A">
      <w:pPr>
        <w:numPr>
          <w:ilvl w:val="3"/>
          <w:numId w:val="44"/>
        </w:numPr>
        <w:spacing w:before="20" w:after="20"/>
        <w:ind w:left="2160" w:right="144"/>
        <w:jc w:val="both"/>
        <w:rPr>
          <w:sz w:val="22"/>
          <w:szCs w:val="22"/>
        </w:rPr>
      </w:pPr>
      <w:r w:rsidRPr="005C0C9A">
        <w:rPr>
          <w:sz w:val="22"/>
          <w:szCs w:val="22"/>
        </w:rPr>
        <w:t xml:space="preserve">Méthodologie pour l'évaluation des rapports nationaux sur la mise en œuvre de la CIADDIS-PAD adoptée à la septième session extraordinaire du Comité pour l'élimination de toutes les formes de discrimination contre les personnes handicapées : </w:t>
      </w:r>
      <w:hyperlink r:id="rId14" w:history="1">
        <w:r w:rsidRPr="005C0C9A">
          <w:rPr>
            <w:rStyle w:val="Hyperlink"/>
            <w:sz w:val="22"/>
            <w:szCs w:val="22"/>
            <w:lang w:val="fr-CA"/>
          </w:rPr>
          <w:t>CP/CAJP-3588/21</w:t>
        </w:r>
      </w:hyperlink>
    </w:p>
    <w:p w14:paraId="73F18959"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t xml:space="preserve">Rapport de la Commission interaméricaine des droits de l'homme (CIDH), par le commissaire </w:t>
      </w:r>
      <w:proofErr w:type="spellStart"/>
      <w:r w:rsidRPr="005C0C9A">
        <w:rPr>
          <w:sz w:val="22"/>
          <w:szCs w:val="22"/>
        </w:rPr>
        <w:t>Stuardo</w:t>
      </w:r>
      <w:proofErr w:type="spellEnd"/>
      <w:r w:rsidRPr="005C0C9A">
        <w:rPr>
          <w:sz w:val="22"/>
          <w:szCs w:val="22"/>
        </w:rPr>
        <w:t xml:space="preserve"> </w:t>
      </w:r>
      <w:proofErr w:type="spellStart"/>
      <w:r w:rsidRPr="005C0C9A">
        <w:rPr>
          <w:sz w:val="22"/>
          <w:szCs w:val="22"/>
        </w:rPr>
        <w:t>Ralón</w:t>
      </w:r>
      <w:proofErr w:type="spellEnd"/>
      <w:r w:rsidRPr="005C0C9A">
        <w:rPr>
          <w:sz w:val="22"/>
          <w:szCs w:val="22"/>
        </w:rPr>
        <w:t>, Rapporteur pour les personnes handicapées</w:t>
      </w:r>
    </w:p>
    <w:p w14:paraId="142F1DEF" w14:textId="77777777" w:rsidR="005C0C9A" w:rsidRPr="005C0C9A" w:rsidRDefault="005C0C9A" w:rsidP="005C0C9A">
      <w:pPr>
        <w:numPr>
          <w:ilvl w:val="2"/>
          <w:numId w:val="44"/>
        </w:numPr>
        <w:spacing w:before="20" w:after="20"/>
        <w:ind w:left="2160" w:right="144" w:hanging="720"/>
        <w:jc w:val="both"/>
        <w:rPr>
          <w:sz w:val="22"/>
          <w:szCs w:val="22"/>
        </w:rPr>
      </w:pPr>
      <w:r w:rsidRPr="005C0C9A">
        <w:rPr>
          <w:sz w:val="22"/>
          <w:szCs w:val="22"/>
        </w:rPr>
        <w:t>Interventions des États membres</w:t>
      </w:r>
    </w:p>
    <w:p w14:paraId="6E9C2460" w14:textId="77777777" w:rsidR="005C0C9A" w:rsidRPr="005C0C9A" w:rsidRDefault="005C0C9A" w:rsidP="005C0C9A">
      <w:pPr>
        <w:spacing w:before="20" w:after="20"/>
        <w:jc w:val="both"/>
        <w:rPr>
          <w:sz w:val="22"/>
          <w:szCs w:val="22"/>
          <w:lang w:eastAsia="en-US"/>
        </w:rPr>
      </w:pPr>
    </w:p>
    <w:p w14:paraId="5398EFEB" w14:textId="5FA4469A" w:rsidR="00481DA3" w:rsidRPr="00CC3EEA" w:rsidRDefault="005C0C9A" w:rsidP="005C0C9A">
      <w:pPr>
        <w:pStyle w:val="ListParagraph"/>
        <w:numPr>
          <w:ilvl w:val="0"/>
          <w:numId w:val="42"/>
        </w:numPr>
        <w:spacing w:before="20" w:after="20"/>
        <w:ind w:left="720" w:hanging="720"/>
        <w:jc w:val="both"/>
        <w:rPr>
          <w:sz w:val="22"/>
          <w:szCs w:val="22"/>
          <w:lang w:val="fr-CA"/>
        </w:rPr>
      </w:pPr>
      <w:r w:rsidRPr="005C0C9A">
        <w:rPr>
          <w:sz w:val="22"/>
          <w:szCs w:val="22"/>
          <w:lang w:val="fr-CA"/>
        </w:rPr>
        <w:t>Autres questions</w:t>
      </w:r>
      <w:r w:rsidR="00CC3EEA">
        <w:rPr>
          <w:noProof/>
          <w:sz w:val="22"/>
          <w:szCs w:val="22"/>
          <w:lang w:val="fr-CA"/>
        </w:rPr>
        <mc:AlternateContent>
          <mc:Choice Requires="wps">
            <w:drawing>
              <wp:anchor distT="0" distB="0" distL="114300" distR="114300" simplePos="0" relativeHeight="251659264" behindDoc="0" locked="1" layoutInCell="1" allowOverlap="1" wp14:anchorId="3C3559D6" wp14:editId="09EC8EED">
                <wp:simplePos x="0" y="0"/>
                <wp:positionH relativeFrom="column">
                  <wp:posOffset>-91440</wp:posOffset>
                </wp:positionH>
                <wp:positionV relativeFrom="page">
                  <wp:posOffset>9534525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54D4189" w14:textId="479A704F" w:rsidR="00CC3EEA" w:rsidRPr="00CC3EEA" w:rsidRDefault="00CC3EEA">
                            <w:pPr>
                              <w:rPr>
                                <w:sz w:val="18"/>
                              </w:rPr>
                            </w:pPr>
                            <w:r>
                              <w:rPr>
                                <w:sz w:val="18"/>
                              </w:rPr>
                              <w:fldChar w:fldCharType="begin"/>
                            </w:r>
                            <w:r>
                              <w:rPr>
                                <w:sz w:val="18"/>
                              </w:rPr>
                              <w:instrText xml:space="preserve"> FILENAME  \* MERGEFORMAT </w:instrText>
                            </w:r>
                            <w:r>
                              <w:rPr>
                                <w:sz w:val="18"/>
                              </w:rPr>
                              <w:fldChar w:fldCharType="separate"/>
                            </w:r>
                            <w:r>
                              <w:rPr>
                                <w:noProof/>
                                <w:sz w:val="18"/>
                              </w:rPr>
                              <w:t>CP44025F04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3559D6" id="_x0000_t202" coordsize="21600,21600" o:spt="202" path="m,l,21600r21600,l21600,xe">
                <v:stroke joinstyle="miter"/>
                <v:path gradientshapeok="t" o:connecttype="rect"/>
              </v:shapetype>
              <v:shape id="Text Box 1" o:spid="_x0000_s1026" type="#_x0000_t202" style="position:absolute;left:0;text-align:left;margin-left:-7.2pt;margin-top:750.7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" filled="f" stroked="f">
                <v:stroke joinstyle="round"/>
                <v:textbox>
                  <w:txbxContent>
                    <w:p w14:paraId="354D4189" w14:textId="479A704F" w:rsidR="00CC3EEA" w:rsidRPr="00CC3EEA" w:rsidRDefault="00CC3EEA">
                      <w:pPr>
                        <w:rPr>
                          <w:sz w:val="18"/>
                        </w:rPr>
                      </w:pPr>
                      <w:r>
                        <w:rPr>
                          <w:sz w:val="18"/>
                        </w:rPr>
                        <w:fldChar w:fldCharType="begin"/>
                      </w:r>
                      <w:r>
                        <w:rPr>
                          <w:sz w:val="18"/>
                        </w:rPr>
                        <w:instrText xml:space="preserve"> FILENAME  \* MERGEFORMAT </w:instrText>
                      </w:r>
                      <w:r>
                        <w:rPr>
                          <w:sz w:val="18"/>
                        </w:rPr>
                        <w:fldChar w:fldCharType="separate"/>
                      </w:r>
                      <w:r>
                        <w:rPr>
                          <w:noProof/>
                          <w:sz w:val="18"/>
                        </w:rPr>
                        <w:t>CP44025F04</w:t>
                      </w:r>
                      <w:r>
                        <w:rPr>
                          <w:sz w:val="18"/>
                        </w:rPr>
                        <w:fldChar w:fldCharType="end"/>
                      </w:r>
                    </w:p>
                  </w:txbxContent>
                </v:textbox>
                <w10:wrap anchory="page"/>
                <w10:anchorlock/>
              </v:shape>
            </w:pict>
          </mc:Fallback>
        </mc:AlternateContent>
      </w:r>
    </w:p>
    <w:sectPr w:rsidR="00481DA3" w:rsidRPr="00CC3EEA" w:rsidSect="000E53F9">
      <w:headerReference w:type="default" r:id="rId15"/>
      <w:pgSz w:w="12240" w:h="15840" w:code="1"/>
      <w:pgMar w:top="2160" w:right="1571" w:bottom="1298" w:left="1701" w:header="1298" w:footer="1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61D9" w14:textId="77777777" w:rsidR="00696FE4" w:rsidRPr="003F39B1" w:rsidRDefault="00696FE4" w:rsidP="00000073">
      <w:r>
        <w:separator/>
      </w:r>
    </w:p>
  </w:endnote>
  <w:endnote w:type="continuationSeparator" w:id="0">
    <w:p w14:paraId="3C9D6DE2" w14:textId="77777777" w:rsidR="00696FE4" w:rsidRPr="003F39B1" w:rsidRDefault="00696FE4"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0CDD" w14:textId="77777777" w:rsidR="00696FE4" w:rsidRPr="003F39B1" w:rsidRDefault="00696FE4" w:rsidP="00000073">
      <w:r>
        <w:separator/>
      </w:r>
    </w:p>
  </w:footnote>
  <w:footnote w:type="continuationSeparator" w:id="0">
    <w:p w14:paraId="1CD92044" w14:textId="77777777" w:rsidR="00696FE4" w:rsidRPr="003F39B1" w:rsidRDefault="00696FE4" w:rsidP="00000073">
      <w:r>
        <w:continuationSeparator/>
      </w:r>
    </w:p>
  </w:footnote>
  <w:footnote w:id="1">
    <w:p w14:paraId="7E573DCD" w14:textId="77777777" w:rsidR="005C0C9A" w:rsidRDefault="005C0C9A" w:rsidP="005C0C9A">
      <w:pPr>
        <w:tabs>
          <w:tab w:val="left" w:pos="360"/>
        </w:tabs>
        <w:spacing w:before="20" w:after="20"/>
        <w:ind w:left="720" w:right="144" w:hanging="360"/>
        <w:jc w:val="both"/>
        <w:rPr>
          <w:sz w:val="20"/>
          <w:szCs w:val="20"/>
        </w:rPr>
      </w:pPr>
      <w:r>
        <w:rPr>
          <w:rStyle w:val="FootnoteReference"/>
          <w:b/>
          <w:bCs/>
          <w:sz w:val="20"/>
          <w:szCs w:val="20"/>
        </w:rPr>
        <w:footnoteRef/>
      </w:r>
      <w:r>
        <w:rPr>
          <w:sz w:val="20"/>
          <w:szCs w:val="20"/>
        </w:rPr>
        <w:t>.</w:t>
      </w:r>
      <w:r>
        <w:rPr>
          <w:sz w:val="20"/>
          <w:szCs w:val="20"/>
        </w:rPr>
        <w:tab/>
        <w:t xml:space="preserve"> Plan d'action sur les personnes d'ascendance africaine </w:t>
      </w:r>
    </w:p>
    <w:p w14:paraId="73EAE45F" w14:textId="77777777" w:rsidR="005C0C9A" w:rsidRDefault="00CC3EEA" w:rsidP="005C0C9A">
      <w:pPr>
        <w:pStyle w:val="ListParagraph"/>
        <w:tabs>
          <w:tab w:val="left" w:pos="360"/>
        </w:tabs>
        <w:ind w:hanging="360"/>
        <w:rPr>
          <w:sz w:val="20"/>
          <w:szCs w:val="20"/>
        </w:rPr>
      </w:pPr>
      <w:hyperlink r:id="rId1" w:history="1">
        <w:r w:rsidR="005C0C9A">
          <w:rPr>
            <w:rStyle w:val="Hyperlink"/>
            <w:sz w:val="20"/>
            <w:szCs w:val="20"/>
          </w:rPr>
          <w:t>https://</w:t>
        </w:r>
        <w:proofErr w:type="spellStart"/>
        <w:r w:rsidR="005C0C9A">
          <w:rPr>
            <w:rStyle w:val="Hyperlink"/>
            <w:sz w:val="20"/>
            <w:szCs w:val="20"/>
          </w:rPr>
          <w:t>www.oas.org</w:t>
        </w:r>
        <w:proofErr w:type="spellEnd"/>
        <w:r w:rsidR="005C0C9A">
          <w:rPr>
            <w:rStyle w:val="Hyperlink"/>
            <w:sz w:val="20"/>
            <w:szCs w:val="20"/>
          </w:rPr>
          <w:t>/es/</w:t>
        </w:r>
        <w:proofErr w:type="spellStart"/>
        <w:r w:rsidR="005C0C9A">
          <w:rPr>
            <w:rStyle w:val="Hyperlink"/>
            <w:sz w:val="20"/>
            <w:szCs w:val="20"/>
          </w:rPr>
          <w:t>sadye</w:t>
        </w:r>
        <w:proofErr w:type="spellEnd"/>
        <w:r w:rsidR="005C0C9A">
          <w:rPr>
            <w:rStyle w:val="Hyperlink"/>
            <w:sz w:val="20"/>
            <w:szCs w:val="20"/>
          </w:rPr>
          <w:t>/documentos/</w:t>
        </w:r>
        <w:proofErr w:type="spellStart"/>
        <w:r w:rsidR="005C0C9A">
          <w:rPr>
            <w:rStyle w:val="Hyperlink"/>
            <w:sz w:val="20"/>
            <w:szCs w:val="20"/>
          </w:rPr>
          <w:t>PA_Afrodesc_ESP.pdf</w:t>
        </w:r>
        <w:proofErr w:type="spellEnd"/>
      </w:hyperlink>
      <w:r w:rsidR="005C0C9A">
        <w:rPr>
          <w:sz w:val="20"/>
          <w:szCs w:val="20"/>
        </w:rPr>
        <w:t xml:space="preserve"> (</w:t>
      </w:r>
      <w:proofErr w:type="spellStart"/>
      <w:r w:rsidR="005C0C9A">
        <w:rPr>
          <w:sz w:val="20"/>
          <w:szCs w:val="20"/>
        </w:rPr>
        <w:t>espagnol</w:t>
      </w:r>
      <w:proofErr w:type="spellEnd"/>
      <w:r w:rsidR="005C0C9A">
        <w:rPr>
          <w:sz w:val="20"/>
          <w:szCs w:val="20"/>
        </w:rPr>
        <w:t>)</w:t>
      </w:r>
    </w:p>
    <w:p w14:paraId="1547F6F1" w14:textId="77777777" w:rsidR="005C0C9A" w:rsidRDefault="00CC3EEA" w:rsidP="005C0C9A">
      <w:pPr>
        <w:pStyle w:val="ListParagraph"/>
        <w:tabs>
          <w:tab w:val="left" w:pos="360"/>
        </w:tabs>
        <w:ind w:hanging="360"/>
        <w:rPr>
          <w:b/>
          <w:bCs/>
          <w:sz w:val="20"/>
          <w:szCs w:val="20"/>
        </w:rPr>
      </w:pPr>
      <w:hyperlink r:id="rId2" w:history="1">
        <w:r w:rsidR="005C0C9A">
          <w:rPr>
            <w:rStyle w:val="Hyperlink"/>
            <w:sz w:val="20"/>
            <w:szCs w:val="20"/>
          </w:rPr>
          <w:t>https://</w:t>
        </w:r>
        <w:proofErr w:type="spellStart"/>
        <w:r w:rsidR="005C0C9A">
          <w:rPr>
            <w:rStyle w:val="Hyperlink"/>
            <w:sz w:val="20"/>
            <w:szCs w:val="20"/>
          </w:rPr>
          <w:t>www.oas.org</w:t>
        </w:r>
        <w:proofErr w:type="spellEnd"/>
        <w:r w:rsidR="005C0C9A">
          <w:rPr>
            <w:rStyle w:val="Hyperlink"/>
            <w:sz w:val="20"/>
            <w:szCs w:val="20"/>
          </w:rPr>
          <w:t>/en/</w:t>
        </w:r>
        <w:proofErr w:type="spellStart"/>
        <w:r w:rsidR="005C0C9A">
          <w:rPr>
            <w:rStyle w:val="Hyperlink"/>
            <w:sz w:val="20"/>
            <w:szCs w:val="20"/>
          </w:rPr>
          <w:t>sare</w:t>
        </w:r>
        <w:proofErr w:type="spellEnd"/>
        <w:r w:rsidR="005C0C9A">
          <w:rPr>
            <w:rStyle w:val="Hyperlink"/>
            <w:sz w:val="20"/>
            <w:szCs w:val="20"/>
          </w:rPr>
          <w:t>/</w:t>
        </w:r>
        <w:proofErr w:type="spellStart"/>
        <w:r w:rsidR="005C0C9A">
          <w:rPr>
            <w:rStyle w:val="Hyperlink"/>
            <w:sz w:val="20"/>
            <w:szCs w:val="20"/>
          </w:rPr>
          <w:t>documents</w:t>
        </w:r>
        <w:proofErr w:type="spellEnd"/>
        <w:r w:rsidR="005C0C9A">
          <w:rPr>
            <w:rStyle w:val="Hyperlink"/>
            <w:sz w:val="20"/>
            <w:szCs w:val="20"/>
          </w:rPr>
          <w:t>/</w:t>
        </w:r>
        <w:proofErr w:type="spellStart"/>
        <w:r w:rsidR="005C0C9A">
          <w:rPr>
            <w:rStyle w:val="Hyperlink"/>
            <w:sz w:val="20"/>
            <w:szCs w:val="20"/>
          </w:rPr>
          <w:t>PA_Afrodesc_ENG.pdf</w:t>
        </w:r>
        <w:proofErr w:type="spellEnd"/>
      </w:hyperlink>
      <w:r w:rsidR="005C0C9A">
        <w:rPr>
          <w:sz w:val="20"/>
          <w:szCs w:val="20"/>
        </w:rPr>
        <w:t xml:space="preserve"> (</w:t>
      </w:r>
      <w:proofErr w:type="spellStart"/>
      <w:r w:rsidR="005C0C9A">
        <w:rPr>
          <w:sz w:val="20"/>
          <w:szCs w:val="20"/>
        </w:rPr>
        <w:t>anglais</w:t>
      </w:r>
      <w:proofErr w:type="spellEnd"/>
      <w:r w:rsidR="005C0C9A">
        <w:rPr>
          <w:sz w:val="20"/>
          <w:szCs w:val="20"/>
        </w:rPr>
        <w:t>)</w:t>
      </w:r>
    </w:p>
  </w:footnote>
  <w:footnote w:id="2">
    <w:p w14:paraId="04D93AB8" w14:textId="77777777" w:rsidR="005C0C9A" w:rsidRDefault="005C0C9A" w:rsidP="005C0C9A">
      <w:pPr>
        <w:tabs>
          <w:tab w:val="left" w:pos="360"/>
        </w:tabs>
        <w:spacing w:before="20" w:after="20"/>
        <w:ind w:left="720" w:right="144" w:hanging="360"/>
        <w:jc w:val="both"/>
        <w:rPr>
          <w:sz w:val="20"/>
          <w:szCs w:val="20"/>
        </w:rPr>
      </w:pPr>
      <w:r>
        <w:rPr>
          <w:rStyle w:val="FootnoteReference"/>
          <w:b/>
          <w:bCs/>
          <w:sz w:val="20"/>
          <w:szCs w:val="20"/>
        </w:rPr>
        <w:footnoteRef/>
      </w:r>
      <w:r>
        <w:rPr>
          <w:b/>
          <w:sz w:val="20"/>
          <w:szCs w:val="20"/>
        </w:rPr>
        <w:t>.</w:t>
      </w:r>
      <w:r>
        <w:rPr>
          <w:b/>
          <w:sz w:val="20"/>
          <w:szCs w:val="20"/>
        </w:rPr>
        <w:tab/>
      </w:r>
      <w:r>
        <w:rPr>
          <w:sz w:val="20"/>
          <w:szCs w:val="20"/>
        </w:rPr>
        <w:t xml:space="preserve">Déclaration américaine </w:t>
      </w:r>
    </w:p>
    <w:p w14:paraId="1CAE5D0B" w14:textId="77777777" w:rsidR="005C0C9A" w:rsidRDefault="00CC3EEA" w:rsidP="005C0C9A">
      <w:pPr>
        <w:pStyle w:val="ListParagraph"/>
        <w:tabs>
          <w:tab w:val="left" w:pos="360"/>
        </w:tabs>
        <w:ind w:hanging="360"/>
        <w:rPr>
          <w:sz w:val="20"/>
          <w:szCs w:val="20"/>
        </w:rPr>
      </w:pPr>
      <w:hyperlink r:id="rId3" w:history="1">
        <w:r w:rsidR="005C0C9A">
          <w:rPr>
            <w:rStyle w:val="Hyperlink"/>
            <w:sz w:val="20"/>
            <w:szCs w:val="20"/>
          </w:rPr>
          <w:t>https://</w:t>
        </w:r>
        <w:proofErr w:type="spellStart"/>
        <w:r w:rsidR="005C0C9A">
          <w:rPr>
            <w:rStyle w:val="Hyperlink"/>
            <w:sz w:val="20"/>
            <w:szCs w:val="20"/>
          </w:rPr>
          <w:t>www.oas.org</w:t>
        </w:r>
        <w:proofErr w:type="spellEnd"/>
        <w:r w:rsidR="005C0C9A">
          <w:rPr>
            <w:rStyle w:val="Hyperlink"/>
            <w:sz w:val="20"/>
            <w:szCs w:val="20"/>
          </w:rPr>
          <w:t>/es/</w:t>
        </w:r>
        <w:proofErr w:type="spellStart"/>
        <w:r w:rsidR="005C0C9A">
          <w:rPr>
            <w:rStyle w:val="Hyperlink"/>
            <w:sz w:val="20"/>
            <w:szCs w:val="20"/>
          </w:rPr>
          <w:t>sadye</w:t>
        </w:r>
        <w:proofErr w:type="spellEnd"/>
        <w:r w:rsidR="005C0C9A">
          <w:rPr>
            <w:rStyle w:val="Hyperlink"/>
            <w:sz w:val="20"/>
            <w:szCs w:val="20"/>
          </w:rPr>
          <w:t>/documentos/</w:t>
        </w:r>
        <w:proofErr w:type="spellStart"/>
        <w:r w:rsidR="005C0C9A">
          <w:rPr>
            <w:rStyle w:val="Hyperlink"/>
            <w:sz w:val="20"/>
            <w:szCs w:val="20"/>
          </w:rPr>
          <w:t>DecAmIND.pdf</w:t>
        </w:r>
        <w:proofErr w:type="spellEnd"/>
      </w:hyperlink>
      <w:r w:rsidR="005C0C9A">
        <w:rPr>
          <w:sz w:val="20"/>
          <w:szCs w:val="20"/>
        </w:rPr>
        <w:t xml:space="preserve"> (</w:t>
      </w:r>
      <w:proofErr w:type="spellStart"/>
      <w:r w:rsidR="005C0C9A">
        <w:rPr>
          <w:sz w:val="20"/>
          <w:szCs w:val="20"/>
        </w:rPr>
        <w:t>espagnol</w:t>
      </w:r>
      <w:proofErr w:type="spellEnd"/>
      <w:r w:rsidR="005C0C9A">
        <w:rPr>
          <w:sz w:val="20"/>
          <w:szCs w:val="20"/>
        </w:rPr>
        <w:t>)</w:t>
      </w:r>
    </w:p>
    <w:p w14:paraId="68342B50" w14:textId="77777777" w:rsidR="005C0C9A" w:rsidRDefault="00CC3EEA" w:rsidP="005C0C9A">
      <w:pPr>
        <w:pStyle w:val="ListParagraph"/>
        <w:tabs>
          <w:tab w:val="left" w:pos="360"/>
        </w:tabs>
        <w:ind w:hanging="360"/>
        <w:rPr>
          <w:sz w:val="20"/>
          <w:szCs w:val="20"/>
        </w:rPr>
      </w:pPr>
      <w:hyperlink r:id="rId4" w:history="1">
        <w:r w:rsidR="005C0C9A">
          <w:rPr>
            <w:rStyle w:val="Hyperlink"/>
            <w:sz w:val="20"/>
            <w:szCs w:val="20"/>
          </w:rPr>
          <w:t>https://</w:t>
        </w:r>
        <w:proofErr w:type="spellStart"/>
        <w:r w:rsidR="005C0C9A">
          <w:rPr>
            <w:rStyle w:val="Hyperlink"/>
            <w:sz w:val="20"/>
            <w:szCs w:val="20"/>
          </w:rPr>
          <w:t>www.oas.org</w:t>
        </w:r>
        <w:proofErr w:type="spellEnd"/>
        <w:r w:rsidR="005C0C9A">
          <w:rPr>
            <w:rStyle w:val="Hyperlink"/>
            <w:sz w:val="20"/>
            <w:szCs w:val="20"/>
          </w:rPr>
          <w:t>/en/</w:t>
        </w:r>
        <w:proofErr w:type="spellStart"/>
        <w:r w:rsidR="005C0C9A">
          <w:rPr>
            <w:rStyle w:val="Hyperlink"/>
            <w:sz w:val="20"/>
            <w:szCs w:val="20"/>
          </w:rPr>
          <w:t>sare</w:t>
        </w:r>
        <w:proofErr w:type="spellEnd"/>
        <w:r w:rsidR="005C0C9A">
          <w:rPr>
            <w:rStyle w:val="Hyperlink"/>
            <w:sz w:val="20"/>
            <w:szCs w:val="20"/>
          </w:rPr>
          <w:t>/</w:t>
        </w:r>
        <w:proofErr w:type="spellStart"/>
        <w:r w:rsidR="005C0C9A">
          <w:rPr>
            <w:rStyle w:val="Hyperlink"/>
            <w:sz w:val="20"/>
            <w:szCs w:val="20"/>
          </w:rPr>
          <w:t>documents</w:t>
        </w:r>
        <w:proofErr w:type="spellEnd"/>
        <w:r w:rsidR="005C0C9A">
          <w:rPr>
            <w:rStyle w:val="Hyperlink"/>
            <w:sz w:val="20"/>
            <w:szCs w:val="20"/>
          </w:rPr>
          <w:t>/</w:t>
        </w:r>
        <w:proofErr w:type="spellStart"/>
        <w:r w:rsidR="005C0C9A">
          <w:rPr>
            <w:rStyle w:val="Hyperlink"/>
            <w:sz w:val="20"/>
            <w:szCs w:val="20"/>
          </w:rPr>
          <w:t>DecAmIND.pdf</w:t>
        </w:r>
        <w:proofErr w:type="spellEnd"/>
      </w:hyperlink>
      <w:r w:rsidR="005C0C9A">
        <w:rPr>
          <w:sz w:val="20"/>
          <w:szCs w:val="20"/>
        </w:rPr>
        <w:t xml:space="preserve"> (</w:t>
      </w:r>
      <w:proofErr w:type="spellStart"/>
      <w:r w:rsidR="005C0C9A">
        <w:rPr>
          <w:sz w:val="20"/>
          <w:szCs w:val="20"/>
        </w:rPr>
        <w:t>anglais</w:t>
      </w:r>
      <w:proofErr w:type="spellEnd"/>
      <w:r w:rsidR="005C0C9A">
        <w:rPr>
          <w:sz w:val="20"/>
          <w:szCs w:val="20"/>
        </w:rPr>
        <w:t>)</w:t>
      </w:r>
    </w:p>
    <w:p w14:paraId="346E7E5F" w14:textId="77777777" w:rsidR="005C0C9A" w:rsidRDefault="005C0C9A" w:rsidP="005C0C9A">
      <w:pPr>
        <w:tabs>
          <w:tab w:val="left" w:pos="360"/>
        </w:tabs>
        <w:spacing w:before="20" w:after="20"/>
        <w:ind w:left="720" w:right="144" w:hanging="360"/>
        <w:jc w:val="both"/>
        <w:rPr>
          <w:sz w:val="20"/>
          <w:szCs w:val="20"/>
        </w:rPr>
      </w:pPr>
      <w:r>
        <w:rPr>
          <w:sz w:val="20"/>
          <w:szCs w:val="20"/>
        </w:rPr>
        <w:t xml:space="preserve">Plan d'action sur les peuples autochtones </w:t>
      </w:r>
    </w:p>
    <w:p w14:paraId="0DF2C1FB" w14:textId="77777777" w:rsidR="005C0C9A" w:rsidRDefault="00CC3EEA" w:rsidP="005C0C9A">
      <w:pPr>
        <w:pStyle w:val="ListParagraph"/>
        <w:tabs>
          <w:tab w:val="left" w:pos="360"/>
        </w:tabs>
        <w:ind w:hanging="360"/>
        <w:rPr>
          <w:sz w:val="20"/>
          <w:szCs w:val="20"/>
        </w:rPr>
      </w:pPr>
      <w:hyperlink r:id="rId5" w:history="1">
        <w:r w:rsidR="005C0C9A">
          <w:rPr>
            <w:rStyle w:val="Hyperlink"/>
            <w:sz w:val="20"/>
            <w:szCs w:val="20"/>
          </w:rPr>
          <w:t>http://scm.oas.org/References/Ref_doc_web_page/SPANISH/PlandeAcciónPueblosIndigenas.pdf</w:t>
        </w:r>
      </w:hyperlink>
      <w:r w:rsidR="005C0C9A">
        <w:rPr>
          <w:sz w:val="20"/>
          <w:szCs w:val="20"/>
        </w:rPr>
        <w:t xml:space="preserve"> (</w:t>
      </w:r>
      <w:proofErr w:type="spellStart"/>
      <w:r w:rsidR="005C0C9A">
        <w:rPr>
          <w:sz w:val="20"/>
          <w:szCs w:val="20"/>
        </w:rPr>
        <w:t>espagnol</w:t>
      </w:r>
      <w:proofErr w:type="spellEnd"/>
      <w:r w:rsidR="005C0C9A">
        <w:rPr>
          <w:sz w:val="20"/>
          <w:szCs w:val="20"/>
        </w:rPr>
        <w:t>)</w:t>
      </w:r>
    </w:p>
    <w:p w14:paraId="350867E4" w14:textId="77777777" w:rsidR="005C0C9A" w:rsidRDefault="00CC3EEA" w:rsidP="005C0C9A">
      <w:pPr>
        <w:pStyle w:val="ListParagraph"/>
        <w:tabs>
          <w:tab w:val="left" w:pos="360"/>
        </w:tabs>
        <w:ind w:hanging="360"/>
        <w:rPr>
          <w:b/>
          <w:bCs/>
          <w:sz w:val="20"/>
          <w:szCs w:val="20"/>
        </w:rPr>
      </w:pPr>
      <w:hyperlink r:id="rId6" w:history="1">
        <w:r w:rsidR="005C0C9A">
          <w:rPr>
            <w:rStyle w:val="Hyperlink"/>
            <w:sz w:val="20"/>
            <w:szCs w:val="20"/>
          </w:rPr>
          <w:t>http://scm.oas.org/References/Ref_doc_web_page/ENGLISH/PlanofActionIndigenousPeoples.pdf</w:t>
        </w:r>
      </w:hyperlink>
      <w:r w:rsidR="005C0C9A">
        <w:rPr>
          <w:sz w:val="20"/>
          <w:szCs w:val="20"/>
        </w:rPr>
        <w:t xml:space="preserve"> (</w:t>
      </w:r>
      <w:proofErr w:type="spellStart"/>
      <w:r w:rsidR="005C0C9A">
        <w:rPr>
          <w:sz w:val="20"/>
          <w:szCs w:val="20"/>
        </w:rPr>
        <w:t>anglais</w:t>
      </w:r>
      <w:proofErr w:type="spellEnd"/>
      <w:r w:rsidR="005C0C9A">
        <w:rPr>
          <w:sz w:val="20"/>
          <w:szCs w:val="20"/>
        </w:rPr>
        <w:t>)</w:t>
      </w:r>
    </w:p>
  </w:footnote>
  <w:footnote w:id="3">
    <w:p w14:paraId="1E866807" w14:textId="77777777" w:rsidR="005C0C9A" w:rsidRDefault="005C0C9A" w:rsidP="005C0C9A">
      <w:pPr>
        <w:tabs>
          <w:tab w:val="left" w:pos="360"/>
          <w:tab w:val="left" w:pos="720"/>
        </w:tabs>
        <w:spacing w:before="20" w:after="20"/>
        <w:ind w:left="720" w:right="144" w:hanging="360"/>
        <w:jc w:val="both"/>
        <w:rPr>
          <w:sz w:val="20"/>
          <w:szCs w:val="20"/>
        </w:rPr>
      </w:pPr>
      <w:r>
        <w:rPr>
          <w:rStyle w:val="FootnoteReference"/>
          <w:b/>
          <w:bCs/>
          <w:sz w:val="20"/>
          <w:szCs w:val="20"/>
        </w:rPr>
        <w:footnoteRef/>
      </w:r>
      <w:r>
        <w:rPr>
          <w:sz w:val="20"/>
          <w:szCs w:val="20"/>
        </w:rPr>
        <w:t>.</w:t>
      </w:r>
      <w:r>
        <w:rPr>
          <w:sz w:val="20"/>
          <w:szCs w:val="20"/>
        </w:rPr>
        <w:tab/>
        <w:t xml:space="preserve"> Lien vers le Protocole de San Salvador :</w:t>
      </w:r>
    </w:p>
    <w:p w14:paraId="255191FC" w14:textId="77777777" w:rsidR="005C0C9A" w:rsidRDefault="00CC3EEA" w:rsidP="005C0C9A">
      <w:pPr>
        <w:tabs>
          <w:tab w:val="left" w:pos="360"/>
          <w:tab w:val="left" w:pos="720"/>
        </w:tabs>
        <w:ind w:left="720" w:hanging="360"/>
        <w:rPr>
          <w:sz w:val="20"/>
          <w:szCs w:val="20"/>
        </w:rPr>
      </w:pPr>
      <w:hyperlink r:id="rId7" w:history="1">
        <w:r w:rsidR="005C0C9A">
          <w:rPr>
            <w:rStyle w:val="Hyperlink"/>
            <w:sz w:val="20"/>
            <w:szCs w:val="20"/>
          </w:rPr>
          <w:t>http://www.oas.org/es/sadye/inclusion-social/protocolo-ssv/docs/protocolo-san-salvador-es.pdf</w:t>
        </w:r>
      </w:hyperlink>
      <w:r w:rsidR="005C0C9A">
        <w:rPr>
          <w:sz w:val="20"/>
          <w:szCs w:val="20"/>
        </w:rPr>
        <w:t xml:space="preserve"> (espagnol)</w:t>
      </w:r>
    </w:p>
    <w:p w14:paraId="455A484A" w14:textId="77777777" w:rsidR="005C0C9A" w:rsidRDefault="00CC3EEA" w:rsidP="005C0C9A">
      <w:pPr>
        <w:tabs>
          <w:tab w:val="left" w:pos="360"/>
          <w:tab w:val="left" w:pos="720"/>
        </w:tabs>
        <w:ind w:left="720" w:hanging="360"/>
        <w:rPr>
          <w:sz w:val="20"/>
          <w:szCs w:val="20"/>
        </w:rPr>
      </w:pPr>
      <w:hyperlink r:id="rId8" w:history="1">
        <w:r w:rsidR="005C0C9A">
          <w:rPr>
            <w:rStyle w:val="Hyperlink"/>
            <w:sz w:val="20"/>
            <w:szCs w:val="20"/>
          </w:rPr>
          <w:t>http://www.oas.org/en/sare/social-inclusion/protocol-ssv/docs/protocol-san-salvador-en.pdf</w:t>
        </w:r>
      </w:hyperlink>
      <w:r w:rsidR="005C0C9A">
        <w:rPr>
          <w:sz w:val="20"/>
          <w:szCs w:val="20"/>
        </w:rPr>
        <w:t xml:space="preserve"> (anglais)</w:t>
      </w:r>
    </w:p>
    <w:p w14:paraId="33940D42" w14:textId="77777777" w:rsidR="005C0C9A" w:rsidRDefault="005C0C9A" w:rsidP="005C0C9A">
      <w:pPr>
        <w:tabs>
          <w:tab w:val="left" w:pos="360"/>
          <w:tab w:val="left" w:pos="720"/>
        </w:tabs>
        <w:spacing w:before="20" w:after="20"/>
        <w:ind w:left="720" w:right="144" w:hanging="360"/>
        <w:jc w:val="both"/>
        <w:rPr>
          <w:sz w:val="20"/>
          <w:szCs w:val="20"/>
        </w:rPr>
      </w:pPr>
      <w:r>
        <w:rPr>
          <w:sz w:val="20"/>
          <w:szCs w:val="20"/>
        </w:rPr>
        <w:t>Lien vers le GTPSS et ses rapports :</w:t>
      </w:r>
    </w:p>
    <w:p w14:paraId="51CD76AA" w14:textId="77777777" w:rsidR="005C0C9A" w:rsidRDefault="00CC3EEA" w:rsidP="005C0C9A">
      <w:pPr>
        <w:tabs>
          <w:tab w:val="left" w:pos="360"/>
          <w:tab w:val="left" w:pos="720"/>
        </w:tabs>
        <w:ind w:left="720" w:hanging="360"/>
        <w:rPr>
          <w:rStyle w:val="Hyperlink"/>
        </w:rPr>
      </w:pPr>
      <w:hyperlink r:id="rId9" w:history="1">
        <w:r w:rsidR="005C0C9A">
          <w:rPr>
            <w:rStyle w:val="Hyperlink"/>
            <w:sz w:val="20"/>
            <w:szCs w:val="20"/>
          </w:rPr>
          <w:t>http://www.oas.org/es/sadye/inclusion-social/protocolo-ssv/</w:t>
        </w:r>
      </w:hyperlink>
      <w:r w:rsidR="005C0C9A">
        <w:rPr>
          <w:rStyle w:val="Hyperlink"/>
          <w:sz w:val="20"/>
          <w:szCs w:val="20"/>
        </w:rPr>
        <w:t xml:space="preserve"> </w:t>
      </w:r>
    </w:p>
    <w:p w14:paraId="524E41DB" w14:textId="77777777" w:rsidR="005C0C9A" w:rsidRDefault="005C0C9A" w:rsidP="005C0C9A">
      <w:pPr>
        <w:tabs>
          <w:tab w:val="left" w:pos="360"/>
          <w:tab w:val="left" w:pos="720"/>
        </w:tabs>
        <w:spacing w:before="20" w:after="20"/>
        <w:ind w:left="720" w:right="144" w:hanging="360"/>
        <w:jc w:val="both"/>
      </w:pPr>
      <w:r>
        <w:rPr>
          <w:sz w:val="20"/>
          <w:szCs w:val="20"/>
        </w:rPr>
        <w:t>Rapports annuels précédents du GTPSS :</w:t>
      </w:r>
    </w:p>
    <w:p w14:paraId="1F415031" w14:textId="77777777" w:rsidR="005C0C9A" w:rsidRDefault="00CC3EEA" w:rsidP="005C0C9A">
      <w:pPr>
        <w:tabs>
          <w:tab w:val="left" w:pos="360"/>
          <w:tab w:val="left" w:pos="720"/>
        </w:tabs>
        <w:ind w:left="720" w:hanging="360"/>
        <w:rPr>
          <w:sz w:val="20"/>
          <w:szCs w:val="20"/>
        </w:rPr>
      </w:pPr>
      <w:hyperlink r:id="rId10" w:history="1">
        <w:r w:rsidR="005C0C9A">
          <w:rPr>
            <w:rStyle w:val="Hyperlink"/>
            <w:sz w:val="20"/>
            <w:szCs w:val="20"/>
          </w:rPr>
          <w:t>http://www.oas.org/es/sadye/inclusion-social/protocolo-ssv/grupo-trabajo.asp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83938236"/>
      <w:docPartObj>
        <w:docPartGallery w:val="Page Numbers (Top of Page)"/>
        <w:docPartUnique/>
      </w:docPartObj>
    </w:sdtPr>
    <w:sdtEndPr>
      <w:rPr>
        <w:noProof/>
      </w:rPr>
    </w:sdtEndPr>
    <w:sdtContent>
      <w:p w14:paraId="63277B04" w14:textId="77777777" w:rsidR="00ED3103" w:rsidRPr="003F780D" w:rsidRDefault="00ED3103">
        <w:pPr>
          <w:pStyle w:val="Header"/>
          <w:jc w:val="center"/>
          <w:rPr>
            <w:sz w:val="22"/>
            <w:szCs w:val="22"/>
          </w:rPr>
        </w:pPr>
        <w:r w:rsidRPr="003F780D">
          <w:rPr>
            <w:sz w:val="22"/>
            <w:szCs w:val="22"/>
          </w:rPr>
          <w:t xml:space="preserve">- </w:t>
        </w:r>
        <w:r w:rsidRPr="003F780D">
          <w:rPr>
            <w:sz w:val="22"/>
            <w:szCs w:val="22"/>
          </w:rPr>
          <w:fldChar w:fldCharType="begin"/>
        </w:r>
        <w:r w:rsidRPr="003F780D">
          <w:rPr>
            <w:sz w:val="22"/>
            <w:szCs w:val="22"/>
          </w:rPr>
          <w:instrText xml:space="preserve"> PAGE   \* MERGEFORMAT </w:instrText>
        </w:r>
        <w:r w:rsidRPr="003F780D">
          <w:rPr>
            <w:sz w:val="22"/>
            <w:szCs w:val="22"/>
          </w:rPr>
          <w:fldChar w:fldCharType="separate"/>
        </w:r>
        <w:r w:rsidR="00F1082C">
          <w:rPr>
            <w:noProof/>
            <w:sz w:val="22"/>
            <w:szCs w:val="22"/>
          </w:rPr>
          <w:t>2</w:t>
        </w:r>
        <w:r w:rsidRPr="003F780D">
          <w:rPr>
            <w:noProof/>
            <w:sz w:val="22"/>
            <w:szCs w:val="22"/>
          </w:rPr>
          <w:fldChar w:fldCharType="end"/>
        </w:r>
        <w:r w:rsidRPr="003F780D">
          <w:rPr>
            <w:noProof/>
            <w:sz w:val="22"/>
            <w:szCs w:val="22"/>
          </w:rPr>
          <w:t xml:space="preserve"> -</w:t>
        </w:r>
      </w:p>
    </w:sdtContent>
  </w:sdt>
  <w:p w14:paraId="7CA726C9" w14:textId="77777777" w:rsidR="00ED3103" w:rsidRDefault="00ED3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0FE4"/>
    <w:multiLevelType w:val="hybridMultilevel"/>
    <w:tmpl w:val="912605F0"/>
    <w:lvl w:ilvl="0" w:tplc="04090005">
      <w:start w:val="1"/>
      <w:numFmt w:val="bullet"/>
      <w:lvlText w:val=""/>
      <w:lvlJc w:val="left"/>
      <w:pPr>
        <w:ind w:left="3600" w:hanging="360"/>
      </w:pPr>
      <w:rPr>
        <w:rFonts w:ascii="Wingdings" w:hAnsi="Wingdings" w:hint="default"/>
      </w:rPr>
    </w:lvl>
    <w:lvl w:ilvl="1" w:tplc="580A0003" w:tentative="1">
      <w:start w:val="1"/>
      <w:numFmt w:val="bullet"/>
      <w:lvlText w:val="o"/>
      <w:lvlJc w:val="left"/>
      <w:pPr>
        <w:ind w:left="4320" w:hanging="360"/>
      </w:pPr>
      <w:rPr>
        <w:rFonts w:ascii="Courier New" w:hAnsi="Courier New" w:cs="Courier New" w:hint="default"/>
      </w:rPr>
    </w:lvl>
    <w:lvl w:ilvl="2" w:tplc="580A0005" w:tentative="1">
      <w:start w:val="1"/>
      <w:numFmt w:val="bullet"/>
      <w:lvlText w:val=""/>
      <w:lvlJc w:val="left"/>
      <w:pPr>
        <w:ind w:left="5040" w:hanging="360"/>
      </w:pPr>
      <w:rPr>
        <w:rFonts w:ascii="Wingdings" w:hAnsi="Wingdings" w:hint="default"/>
      </w:rPr>
    </w:lvl>
    <w:lvl w:ilvl="3" w:tplc="580A0001" w:tentative="1">
      <w:start w:val="1"/>
      <w:numFmt w:val="bullet"/>
      <w:lvlText w:val=""/>
      <w:lvlJc w:val="left"/>
      <w:pPr>
        <w:ind w:left="5760" w:hanging="360"/>
      </w:pPr>
      <w:rPr>
        <w:rFonts w:ascii="Symbol" w:hAnsi="Symbol" w:hint="default"/>
      </w:rPr>
    </w:lvl>
    <w:lvl w:ilvl="4" w:tplc="580A0003" w:tentative="1">
      <w:start w:val="1"/>
      <w:numFmt w:val="bullet"/>
      <w:lvlText w:val="o"/>
      <w:lvlJc w:val="left"/>
      <w:pPr>
        <w:ind w:left="6480" w:hanging="360"/>
      </w:pPr>
      <w:rPr>
        <w:rFonts w:ascii="Courier New" w:hAnsi="Courier New" w:cs="Courier New" w:hint="default"/>
      </w:rPr>
    </w:lvl>
    <w:lvl w:ilvl="5" w:tplc="580A0005" w:tentative="1">
      <w:start w:val="1"/>
      <w:numFmt w:val="bullet"/>
      <w:lvlText w:val=""/>
      <w:lvlJc w:val="left"/>
      <w:pPr>
        <w:ind w:left="7200" w:hanging="360"/>
      </w:pPr>
      <w:rPr>
        <w:rFonts w:ascii="Wingdings" w:hAnsi="Wingdings" w:hint="default"/>
      </w:rPr>
    </w:lvl>
    <w:lvl w:ilvl="6" w:tplc="580A0001" w:tentative="1">
      <w:start w:val="1"/>
      <w:numFmt w:val="bullet"/>
      <w:lvlText w:val=""/>
      <w:lvlJc w:val="left"/>
      <w:pPr>
        <w:ind w:left="7920" w:hanging="360"/>
      </w:pPr>
      <w:rPr>
        <w:rFonts w:ascii="Symbol" w:hAnsi="Symbol" w:hint="default"/>
      </w:rPr>
    </w:lvl>
    <w:lvl w:ilvl="7" w:tplc="580A0003" w:tentative="1">
      <w:start w:val="1"/>
      <w:numFmt w:val="bullet"/>
      <w:lvlText w:val="o"/>
      <w:lvlJc w:val="left"/>
      <w:pPr>
        <w:ind w:left="8640" w:hanging="360"/>
      </w:pPr>
      <w:rPr>
        <w:rFonts w:ascii="Courier New" w:hAnsi="Courier New" w:cs="Courier New" w:hint="default"/>
      </w:rPr>
    </w:lvl>
    <w:lvl w:ilvl="8" w:tplc="580A0005" w:tentative="1">
      <w:start w:val="1"/>
      <w:numFmt w:val="bullet"/>
      <w:lvlText w:val=""/>
      <w:lvlJc w:val="left"/>
      <w:pPr>
        <w:ind w:left="9360" w:hanging="360"/>
      </w:pPr>
      <w:rPr>
        <w:rFonts w:ascii="Wingdings" w:hAnsi="Wingdings" w:hint="default"/>
      </w:rPr>
    </w:lvl>
  </w:abstractNum>
  <w:abstractNum w:abstractNumId="2"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4" w15:restartNumberingAfterBreak="0">
    <w:nsid w:val="15EA65E4"/>
    <w:multiLevelType w:val="hybridMultilevel"/>
    <w:tmpl w:val="DCA8C4EC"/>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5" w15:restartNumberingAfterBreak="0">
    <w:nsid w:val="177C35C5"/>
    <w:multiLevelType w:val="hybridMultilevel"/>
    <w:tmpl w:val="F0904564"/>
    <w:lvl w:ilvl="0" w:tplc="A2EE345E">
      <w:start w:val="1"/>
      <w:numFmt w:val="decimal"/>
      <w:lvlText w:val="%1."/>
      <w:lvlJc w:val="left"/>
      <w:pPr>
        <w:ind w:left="360" w:hanging="360"/>
      </w:pPr>
      <w:rPr>
        <w:rFonts w:hint="default"/>
        <w:sz w:val="22"/>
        <w:szCs w:val="22"/>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3149D3"/>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72517"/>
    <w:multiLevelType w:val="hybridMultilevel"/>
    <w:tmpl w:val="075A851E"/>
    <w:lvl w:ilvl="0" w:tplc="64C41EF6">
      <w:start w:val="1"/>
      <w:numFmt w:val="decimal"/>
      <w:lvlText w:val="%1."/>
      <w:lvlJc w:val="left"/>
      <w:pPr>
        <w:ind w:left="720" w:hanging="360"/>
      </w:pPr>
      <w:rPr>
        <w:rFonts w:eastAsia="Times New Roman" w:hint="default"/>
      </w:rPr>
    </w:lvl>
    <w:lvl w:ilvl="1" w:tplc="04090017">
      <w:start w:val="1"/>
      <w:numFmt w:val="lowerLetter"/>
      <w:lvlText w:val="%2)"/>
      <w:lvlJc w:val="left"/>
      <w:pPr>
        <w:ind w:left="1440" w:hanging="360"/>
      </w:pPr>
    </w:lvl>
    <w:lvl w:ilvl="2" w:tplc="4A76E73E" w:tentative="1">
      <w:start w:val="1"/>
      <w:numFmt w:val="lowerRoman"/>
      <w:lvlText w:val="%3."/>
      <w:lvlJc w:val="right"/>
      <w:pPr>
        <w:ind w:left="2160" w:hanging="180"/>
      </w:pPr>
    </w:lvl>
    <w:lvl w:ilvl="3" w:tplc="C428B800" w:tentative="1">
      <w:start w:val="1"/>
      <w:numFmt w:val="decimal"/>
      <w:lvlText w:val="%4."/>
      <w:lvlJc w:val="left"/>
      <w:pPr>
        <w:ind w:left="2880" w:hanging="360"/>
      </w:pPr>
    </w:lvl>
    <w:lvl w:ilvl="4" w:tplc="58D41CF6" w:tentative="1">
      <w:start w:val="1"/>
      <w:numFmt w:val="lowerLetter"/>
      <w:lvlText w:val="%5."/>
      <w:lvlJc w:val="left"/>
      <w:pPr>
        <w:ind w:left="3600" w:hanging="360"/>
      </w:pPr>
    </w:lvl>
    <w:lvl w:ilvl="5" w:tplc="4B14A7D2" w:tentative="1">
      <w:start w:val="1"/>
      <w:numFmt w:val="lowerRoman"/>
      <w:lvlText w:val="%6."/>
      <w:lvlJc w:val="right"/>
      <w:pPr>
        <w:ind w:left="4320" w:hanging="180"/>
      </w:pPr>
    </w:lvl>
    <w:lvl w:ilvl="6" w:tplc="A6349A26" w:tentative="1">
      <w:start w:val="1"/>
      <w:numFmt w:val="decimal"/>
      <w:lvlText w:val="%7."/>
      <w:lvlJc w:val="left"/>
      <w:pPr>
        <w:ind w:left="5040" w:hanging="360"/>
      </w:pPr>
    </w:lvl>
    <w:lvl w:ilvl="7" w:tplc="2B501B8C" w:tentative="1">
      <w:start w:val="1"/>
      <w:numFmt w:val="lowerLetter"/>
      <w:lvlText w:val="%8."/>
      <w:lvlJc w:val="left"/>
      <w:pPr>
        <w:ind w:left="5760" w:hanging="360"/>
      </w:pPr>
    </w:lvl>
    <w:lvl w:ilvl="8" w:tplc="4A0E64BE" w:tentative="1">
      <w:start w:val="1"/>
      <w:numFmt w:val="lowerRoman"/>
      <w:lvlText w:val="%9."/>
      <w:lvlJc w:val="right"/>
      <w:pPr>
        <w:ind w:left="6480" w:hanging="180"/>
      </w:pPr>
    </w:lvl>
  </w:abstractNum>
  <w:abstractNum w:abstractNumId="9" w15:restartNumberingAfterBreak="0">
    <w:nsid w:val="24946B7A"/>
    <w:multiLevelType w:val="hybridMultilevel"/>
    <w:tmpl w:val="B99C3E2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8090800E">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0" w15:restartNumberingAfterBreak="0">
    <w:nsid w:val="27022825"/>
    <w:multiLevelType w:val="hybridMultilevel"/>
    <w:tmpl w:val="9520957A"/>
    <w:lvl w:ilvl="0" w:tplc="72D02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70DFE"/>
    <w:multiLevelType w:val="hybridMultilevel"/>
    <w:tmpl w:val="0306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090800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95BE1"/>
    <w:multiLevelType w:val="hybridMultilevel"/>
    <w:tmpl w:val="C9847E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25827"/>
    <w:multiLevelType w:val="hybridMultilevel"/>
    <w:tmpl w:val="2A240F3E"/>
    <w:lvl w:ilvl="0" w:tplc="04090005">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5"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6"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7"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A91153"/>
    <w:multiLevelType w:val="hybridMultilevel"/>
    <w:tmpl w:val="486E2204"/>
    <w:lvl w:ilvl="0" w:tplc="96581C9A">
      <w:start w:val="1"/>
      <w:numFmt w:val="decimal"/>
      <w:lvlText w:val="%1."/>
      <w:lvlJc w:val="left"/>
      <w:pPr>
        <w:ind w:left="360" w:hanging="360"/>
      </w:pPr>
      <w:rPr>
        <w:rFonts w:ascii="Times New Roman" w:eastAsia="Times New Roman" w:hAnsi="Times New Roman"/>
        <w:b w:val="0"/>
        <w:bCs w:val="0"/>
        <w:color w:val="000000"/>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19" w15:restartNumberingAfterBreak="0">
    <w:nsid w:val="44F0664D"/>
    <w:multiLevelType w:val="hybridMultilevel"/>
    <w:tmpl w:val="28F84110"/>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672A1C5C">
      <w:start w:val="1"/>
      <w:numFmt w:val="bullet"/>
      <w:lvlText w:val=""/>
      <w:lvlJc w:val="left"/>
      <w:pPr>
        <w:ind w:left="1834" w:hanging="360"/>
      </w:pPr>
      <w:rPr>
        <w:rFonts w:ascii="Wingdings" w:hAnsi="Wingdings" w:hint="default"/>
        <w:color w:val="auto"/>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0"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21" w15:restartNumberingAfterBreak="0">
    <w:nsid w:val="4C2E4C6B"/>
    <w:multiLevelType w:val="hybridMultilevel"/>
    <w:tmpl w:val="B99C3E2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8090800E">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2"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952B2D"/>
    <w:multiLevelType w:val="hybridMultilevel"/>
    <w:tmpl w:val="9834B276"/>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4"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60C54EF"/>
    <w:multiLevelType w:val="hybridMultilevel"/>
    <w:tmpl w:val="492CB574"/>
    <w:lvl w:ilvl="0" w:tplc="04090005">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6" w15:restartNumberingAfterBreak="0">
    <w:nsid w:val="5764527E"/>
    <w:multiLevelType w:val="hybridMultilevel"/>
    <w:tmpl w:val="DCA8C4EC"/>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27"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8A5049"/>
    <w:multiLevelType w:val="hybridMultilevel"/>
    <w:tmpl w:val="1D18757E"/>
    <w:lvl w:ilvl="0" w:tplc="04090005">
      <w:start w:val="1"/>
      <w:numFmt w:val="bullet"/>
      <w:lvlText w:val=""/>
      <w:lvlJc w:val="left"/>
      <w:pPr>
        <w:ind w:left="1066" w:hanging="360"/>
      </w:pPr>
      <w:rPr>
        <w:rFonts w:ascii="Wingdings" w:hAnsi="Wingdings" w:hint="default"/>
      </w:rPr>
    </w:lvl>
    <w:lvl w:ilvl="1" w:tplc="8090800E">
      <w:start w:val="1"/>
      <w:numFmt w:val="bullet"/>
      <w:lvlText w:val=""/>
      <w:lvlJc w:val="left"/>
      <w:pPr>
        <w:ind w:left="1786" w:hanging="360"/>
      </w:pPr>
      <w:rPr>
        <w:rFonts w:ascii="Symbol" w:hAnsi="Symbol"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9" w15:restartNumberingAfterBreak="0">
    <w:nsid w:val="60AE4920"/>
    <w:multiLevelType w:val="hybridMultilevel"/>
    <w:tmpl w:val="1E2E13B2"/>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13">
      <w:start w:val="1"/>
      <w:numFmt w:val="upperRoman"/>
      <w:lvlText w:val="%3."/>
      <w:lvlJc w:val="right"/>
      <w:pPr>
        <w:ind w:left="1834" w:hanging="360"/>
      </w:pPr>
      <w:rPr>
        <w:rFont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0" w15:restartNumberingAfterBreak="0">
    <w:nsid w:val="613A299F"/>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31" w15:restartNumberingAfterBreak="0">
    <w:nsid w:val="628855E4"/>
    <w:multiLevelType w:val="hybridMultilevel"/>
    <w:tmpl w:val="0BA04A88"/>
    <w:lvl w:ilvl="0" w:tplc="D7569CFA">
      <w:start w:val="1"/>
      <w:numFmt w:val="decimal"/>
      <w:pStyle w:val="Heading2"/>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C834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10A83"/>
    <w:multiLevelType w:val="hybridMultilevel"/>
    <w:tmpl w:val="E160BCEE"/>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15:restartNumberingAfterBreak="0">
    <w:nsid w:val="74D13E93"/>
    <w:multiLevelType w:val="hybridMultilevel"/>
    <w:tmpl w:val="8AE05430"/>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15:restartNumberingAfterBreak="0">
    <w:nsid w:val="7565725E"/>
    <w:multiLevelType w:val="hybridMultilevel"/>
    <w:tmpl w:val="C550424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8090800E">
      <w:start w:val="1"/>
      <w:numFmt w:val="bullet"/>
      <w:lvlText w:val=""/>
      <w:lvlJc w:val="left"/>
      <w:pPr>
        <w:ind w:left="1834" w:hanging="360"/>
      </w:pPr>
      <w:rPr>
        <w:rFonts w:ascii="Symbol" w:hAnsi="Symbol"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5" w15:restartNumberingAfterBreak="0">
    <w:nsid w:val="77071F3D"/>
    <w:multiLevelType w:val="hybridMultilevel"/>
    <w:tmpl w:val="AD0C3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C1936"/>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40853"/>
    <w:multiLevelType w:val="hybridMultilevel"/>
    <w:tmpl w:val="156E9B4E"/>
    <w:lvl w:ilvl="0" w:tplc="0409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27"/>
  </w:num>
  <w:num w:numId="2">
    <w:abstractNumId w:val="36"/>
  </w:num>
  <w:num w:numId="3">
    <w:abstractNumId w:val="6"/>
  </w:num>
  <w:num w:numId="4">
    <w:abstractNumId w:val="15"/>
  </w:num>
  <w:num w:numId="5">
    <w:abstractNumId w:val="2"/>
  </w:num>
  <w:num w:numId="6">
    <w:abstractNumId w:val="13"/>
  </w:num>
  <w:num w:numId="7">
    <w:abstractNumId w:val="22"/>
  </w:num>
  <w:num w:numId="8">
    <w:abstractNumId w:val="17"/>
  </w:num>
  <w:num w:numId="9">
    <w:abstractNumId w:val="0"/>
  </w:num>
  <w:num w:numId="10">
    <w:abstractNumId w:val="20"/>
  </w:num>
  <w:num w:numId="11">
    <w:abstractNumId w:val="24"/>
  </w:num>
  <w:num w:numId="12">
    <w:abstractNumId w:val="16"/>
  </w:num>
  <w:num w:numId="13">
    <w:abstractNumId w:val="21"/>
  </w:num>
  <w:num w:numId="14">
    <w:abstractNumId w:val="3"/>
  </w:num>
  <w:num w:numId="15">
    <w:abstractNumId w:val="30"/>
  </w:num>
  <w:num w:numId="16">
    <w:abstractNumId w:val="18"/>
  </w:num>
  <w:num w:numId="17">
    <w:abstractNumId w:val="37"/>
  </w:num>
  <w:num w:numId="18">
    <w:abstractNumId w:val="7"/>
  </w:num>
  <w:num w:numId="19">
    <w:abstractNumId w:val="32"/>
  </w:num>
  <w:num w:numId="20">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21">
    <w:abstractNumId w:val="11"/>
  </w:num>
  <w:num w:numId="22">
    <w:abstractNumId w:val="26"/>
  </w:num>
  <w:num w:numId="23">
    <w:abstractNumId w:val="8"/>
  </w:num>
  <w:num w:numId="24">
    <w:abstractNumId w:val="29"/>
  </w:num>
  <w:num w:numId="25">
    <w:abstractNumId w:val="3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4"/>
  </w:num>
  <w:num w:numId="29">
    <w:abstractNumId w:val="28"/>
  </w:num>
  <w:num w:numId="30">
    <w:abstractNumId w:val="9"/>
  </w:num>
  <w:num w:numId="31">
    <w:abstractNumId w:val="31"/>
  </w:num>
  <w:num w:numId="32">
    <w:abstractNumId w:val="38"/>
  </w:num>
  <w:num w:numId="33">
    <w:abstractNumId w:val="23"/>
  </w:num>
  <w:num w:numId="34">
    <w:abstractNumId w:val="35"/>
  </w:num>
  <w:num w:numId="35">
    <w:abstractNumId w:val="19"/>
  </w:num>
  <w:num w:numId="36">
    <w:abstractNumId w:val="12"/>
  </w:num>
  <w:num w:numId="37">
    <w:abstractNumId w:val="10"/>
  </w:num>
  <w:num w:numId="38">
    <w:abstractNumId w:val="39"/>
  </w:num>
  <w:num w:numId="39">
    <w:abstractNumId w:val="14"/>
  </w:num>
  <w:num w:numId="40">
    <w:abstractNumId w:val="1"/>
  </w:num>
  <w:num w:numId="41">
    <w:abstractNumId w:val="25"/>
  </w:num>
  <w:num w:numId="42">
    <w:abstractNumId w:val="26"/>
    <w:lvlOverride w:ilvl="0">
      <w:startOverride w:val="1"/>
    </w:lvlOverride>
    <w:lvlOverride w:ilvl="1"/>
    <w:lvlOverride w:ilvl="2">
      <w:startOverride w:val="1"/>
    </w:lvlOverride>
    <w:lvlOverride w:ilvl="3"/>
    <w:lvlOverride w:ilvl="4"/>
    <w:lvlOverride w:ilvl="5"/>
    <w:lvlOverride w:ilvl="6"/>
    <w:lvlOverride w:ilvl="7"/>
    <w:lvlOverride w:ilvl="8"/>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6741"/>
    <w:rsid w:val="00020E86"/>
    <w:rsid w:val="000323C6"/>
    <w:rsid w:val="000425A4"/>
    <w:rsid w:val="00046776"/>
    <w:rsid w:val="00046D5C"/>
    <w:rsid w:val="00052817"/>
    <w:rsid w:val="0006396F"/>
    <w:rsid w:val="00063FE3"/>
    <w:rsid w:val="000667CB"/>
    <w:rsid w:val="000669F4"/>
    <w:rsid w:val="00070336"/>
    <w:rsid w:val="00077CEA"/>
    <w:rsid w:val="00090500"/>
    <w:rsid w:val="00091FCC"/>
    <w:rsid w:val="00093588"/>
    <w:rsid w:val="000967A8"/>
    <w:rsid w:val="000A277F"/>
    <w:rsid w:val="000A621E"/>
    <w:rsid w:val="000B529D"/>
    <w:rsid w:val="000B53F9"/>
    <w:rsid w:val="000B5F51"/>
    <w:rsid w:val="000C0597"/>
    <w:rsid w:val="000C2479"/>
    <w:rsid w:val="000D0034"/>
    <w:rsid w:val="000D4BCA"/>
    <w:rsid w:val="000E08E6"/>
    <w:rsid w:val="000E1670"/>
    <w:rsid w:val="000E2BC9"/>
    <w:rsid w:val="000E37F7"/>
    <w:rsid w:val="000E4B58"/>
    <w:rsid w:val="000E53F9"/>
    <w:rsid w:val="000E6223"/>
    <w:rsid w:val="000F3687"/>
    <w:rsid w:val="000F5072"/>
    <w:rsid w:val="000F5988"/>
    <w:rsid w:val="000F75E2"/>
    <w:rsid w:val="001053B7"/>
    <w:rsid w:val="001118CF"/>
    <w:rsid w:val="0012594F"/>
    <w:rsid w:val="00132259"/>
    <w:rsid w:val="001369D5"/>
    <w:rsid w:val="00147585"/>
    <w:rsid w:val="00155D2F"/>
    <w:rsid w:val="00160931"/>
    <w:rsid w:val="0017310C"/>
    <w:rsid w:val="00174D1D"/>
    <w:rsid w:val="00177759"/>
    <w:rsid w:val="001803D5"/>
    <w:rsid w:val="00186DC0"/>
    <w:rsid w:val="00191FC1"/>
    <w:rsid w:val="001924E8"/>
    <w:rsid w:val="001966B2"/>
    <w:rsid w:val="001A170C"/>
    <w:rsid w:val="001A3802"/>
    <w:rsid w:val="001B38E1"/>
    <w:rsid w:val="001C0031"/>
    <w:rsid w:val="001D2913"/>
    <w:rsid w:val="001D7E86"/>
    <w:rsid w:val="001E0B60"/>
    <w:rsid w:val="001E28D1"/>
    <w:rsid w:val="001E3C99"/>
    <w:rsid w:val="001F093E"/>
    <w:rsid w:val="001F09E6"/>
    <w:rsid w:val="001F21FF"/>
    <w:rsid w:val="001F4626"/>
    <w:rsid w:val="001F6B6E"/>
    <w:rsid w:val="0020339A"/>
    <w:rsid w:val="0021364F"/>
    <w:rsid w:val="00216AAE"/>
    <w:rsid w:val="002218D3"/>
    <w:rsid w:val="00227869"/>
    <w:rsid w:val="00227A99"/>
    <w:rsid w:val="00233D6E"/>
    <w:rsid w:val="00241904"/>
    <w:rsid w:val="00253566"/>
    <w:rsid w:val="002535C1"/>
    <w:rsid w:val="002552C9"/>
    <w:rsid w:val="002561A7"/>
    <w:rsid w:val="002642D1"/>
    <w:rsid w:val="002652BB"/>
    <w:rsid w:val="0027026F"/>
    <w:rsid w:val="0027370D"/>
    <w:rsid w:val="002A0CD2"/>
    <w:rsid w:val="002B1754"/>
    <w:rsid w:val="002B44F8"/>
    <w:rsid w:val="002B63E8"/>
    <w:rsid w:val="002C66A1"/>
    <w:rsid w:val="002D0CBC"/>
    <w:rsid w:val="002D5C61"/>
    <w:rsid w:val="002D7691"/>
    <w:rsid w:val="002F3C8A"/>
    <w:rsid w:val="002F555B"/>
    <w:rsid w:val="002F6E9A"/>
    <w:rsid w:val="0030653E"/>
    <w:rsid w:val="003114E1"/>
    <w:rsid w:val="0032067A"/>
    <w:rsid w:val="003316A8"/>
    <w:rsid w:val="00333A1E"/>
    <w:rsid w:val="0033584A"/>
    <w:rsid w:val="00340F48"/>
    <w:rsid w:val="003417C1"/>
    <w:rsid w:val="00342975"/>
    <w:rsid w:val="00353942"/>
    <w:rsid w:val="00356480"/>
    <w:rsid w:val="0036594D"/>
    <w:rsid w:val="003670E0"/>
    <w:rsid w:val="00367159"/>
    <w:rsid w:val="0037242D"/>
    <w:rsid w:val="003759A9"/>
    <w:rsid w:val="00376C2B"/>
    <w:rsid w:val="003778F6"/>
    <w:rsid w:val="003805F9"/>
    <w:rsid w:val="00387166"/>
    <w:rsid w:val="0038765C"/>
    <w:rsid w:val="00390E6F"/>
    <w:rsid w:val="00394941"/>
    <w:rsid w:val="00397E48"/>
    <w:rsid w:val="003A3B37"/>
    <w:rsid w:val="003B590A"/>
    <w:rsid w:val="003B7BB0"/>
    <w:rsid w:val="003C13D4"/>
    <w:rsid w:val="003C1A9E"/>
    <w:rsid w:val="003C21DB"/>
    <w:rsid w:val="003C67B9"/>
    <w:rsid w:val="003C7DC5"/>
    <w:rsid w:val="003D06EA"/>
    <w:rsid w:val="003D50D1"/>
    <w:rsid w:val="003E731A"/>
    <w:rsid w:val="003F780D"/>
    <w:rsid w:val="0040131F"/>
    <w:rsid w:val="00401386"/>
    <w:rsid w:val="00401E9C"/>
    <w:rsid w:val="004108DF"/>
    <w:rsid w:val="00414F35"/>
    <w:rsid w:val="004270B0"/>
    <w:rsid w:val="004354A9"/>
    <w:rsid w:val="004377F0"/>
    <w:rsid w:val="0044584C"/>
    <w:rsid w:val="00446E81"/>
    <w:rsid w:val="00451F0F"/>
    <w:rsid w:val="00453963"/>
    <w:rsid w:val="00455C4C"/>
    <w:rsid w:val="00461602"/>
    <w:rsid w:val="004624B6"/>
    <w:rsid w:val="00470E28"/>
    <w:rsid w:val="00471716"/>
    <w:rsid w:val="004760FE"/>
    <w:rsid w:val="004762F3"/>
    <w:rsid w:val="00481DA3"/>
    <w:rsid w:val="00492B5C"/>
    <w:rsid w:val="004A606E"/>
    <w:rsid w:val="004B06E7"/>
    <w:rsid w:val="004B1CF2"/>
    <w:rsid w:val="004B3DA9"/>
    <w:rsid w:val="004B47B9"/>
    <w:rsid w:val="004B5A2F"/>
    <w:rsid w:val="004B790E"/>
    <w:rsid w:val="004C1633"/>
    <w:rsid w:val="004C316C"/>
    <w:rsid w:val="004C3F4F"/>
    <w:rsid w:val="004C4EB7"/>
    <w:rsid w:val="004D5626"/>
    <w:rsid w:val="004D5C2F"/>
    <w:rsid w:val="004E0E19"/>
    <w:rsid w:val="004F1FA1"/>
    <w:rsid w:val="004F4C29"/>
    <w:rsid w:val="004F551A"/>
    <w:rsid w:val="004F5C50"/>
    <w:rsid w:val="005162A8"/>
    <w:rsid w:val="0051741B"/>
    <w:rsid w:val="0052117B"/>
    <w:rsid w:val="005239EB"/>
    <w:rsid w:val="00524F3A"/>
    <w:rsid w:val="00532194"/>
    <w:rsid w:val="00533366"/>
    <w:rsid w:val="005336B3"/>
    <w:rsid w:val="00533B43"/>
    <w:rsid w:val="00534807"/>
    <w:rsid w:val="00541639"/>
    <w:rsid w:val="00550136"/>
    <w:rsid w:val="005509C9"/>
    <w:rsid w:val="00553C02"/>
    <w:rsid w:val="00556BD5"/>
    <w:rsid w:val="005611BE"/>
    <w:rsid w:val="005700DF"/>
    <w:rsid w:val="00584928"/>
    <w:rsid w:val="00585BB6"/>
    <w:rsid w:val="005A7F71"/>
    <w:rsid w:val="005B2399"/>
    <w:rsid w:val="005B7C10"/>
    <w:rsid w:val="005C0C9A"/>
    <w:rsid w:val="005C4692"/>
    <w:rsid w:val="005D3E80"/>
    <w:rsid w:val="005E1420"/>
    <w:rsid w:val="005E3816"/>
    <w:rsid w:val="005E3F5A"/>
    <w:rsid w:val="005F1A0A"/>
    <w:rsid w:val="005F5CC2"/>
    <w:rsid w:val="006010C6"/>
    <w:rsid w:val="0061172F"/>
    <w:rsid w:val="006128F7"/>
    <w:rsid w:val="00613B3F"/>
    <w:rsid w:val="006154A5"/>
    <w:rsid w:val="006169B2"/>
    <w:rsid w:val="00617BB8"/>
    <w:rsid w:val="00643E41"/>
    <w:rsid w:val="00644814"/>
    <w:rsid w:val="0065308F"/>
    <w:rsid w:val="00654785"/>
    <w:rsid w:val="00656CF7"/>
    <w:rsid w:val="00661FEE"/>
    <w:rsid w:val="00670214"/>
    <w:rsid w:val="00674818"/>
    <w:rsid w:val="00682894"/>
    <w:rsid w:val="00696FE4"/>
    <w:rsid w:val="006A354D"/>
    <w:rsid w:val="006C2C49"/>
    <w:rsid w:val="006D66F5"/>
    <w:rsid w:val="006E4A22"/>
    <w:rsid w:val="006F0BDA"/>
    <w:rsid w:val="006F293C"/>
    <w:rsid w:val="006F584E"/>
    <w:rsid w:val="00701B7E"/>
    <w:rsid w:val="00704CAF"/>
    <w:rsid w:val="00717308"/>
    <w:rsid w:val="00727FC9"/>
    <w:rsid w:val="007447AF"/>
    <w:rsid w:val="00746520"/>
    <w:rsid w:val="00770077"/>
    <w:rsid w:val="007770BD"/>
    <w:rsid w:val="007875EC"/>
    <w:rsid w:val="007909FB"/>
    <w:rsid w:val="00790F43"/>
    <w:rsid w:val="00791994"/>
    <w:rsid w:val="00797716"/>
    <w:rsid w:val="007A4644"/>
    <w:rsid w:val="007A7243"/>
    <w:rsid w:val="007B2B7C"/>
    <w:rsid w:val="007C512A"/>
    <w:rsid w:val="007D1A11"/>
    <w:rsid w:val="007D7056"/>
    <w:rsid w:val="007E0010"/>
    <w:rsid w:val="007E6EB9"/>
    <w:rsid w:val="007E7296"/>
    <w:rsid w:val="00810FF2"/>
    <w:rsid w:val="008277AB"/>
    <w:rsid w:val="00830821"/>
    <w:rsid w:val="00833CCD"/>
    <w:rsid w:val="0085022B"/>
    <w:rsid w:val="008529DC"/>
    <w:rsid w:val="00860FDB"/>
    <w:rsid w:val="00862642"/>
    <w:rsid w:val="00862F15"/>
    <w:rsid w:val="008644EE"/>
    <w:rsid w:val="0087099B"/>
    <w:rsid w:val="008801AE"/>
    <w:rsid w:val="00881D1B"/>
    <w:rsid w:val="00884973"/>
    <w:rsid w:val="008919F2"/>
    <w:rsid w:val="00892B43"/>
    <w:rsid w:val="0089488A"/>
    <w:rsid w:val="008A416E"/>
    <w:rsid w:val="008A57EB"/>
    <w:rsid w:val="008C43C8"/>
    <w:rsid w:val="008C4EA8"/>
    <w:rsid w:val="008C77A8"/>
    <w:rsid w:val="008D290D"/>
    <w:rsid w:val="008D2EC3"/>
    <w:rsid w:val="008E4F6E"/>
    <w:rsid w:val="008E5351"/>
    <w:rsid w:val="008E583E"/>
    <w:rsid w:val="008E68FE"/>
    <w:rsid w:val="008F0A69"/>
    <w:rsid w:val="008F223A"/>
    <w:rsid w:val="008F2922"/>
    <w:rsid w:val="008F63D0"/>
    <w:rsid w:val="00906795"/>
    <w:rsid w:val="009105E9"/>
    <w:rsid w:val="00913486"/>
    <w:rsid w:val="009141C3"/>
    <w:rsid w:val="00921315"/>
    <w:rsid w:val="0092465E"/>
    <w:rsid w:val="00926565"/>
    <w:rsid w:val="009316B3"/>
    <w:rsid w:val="0094580B"/>
    <w:rsid w:val="0094719C"/>
    <w:rsid w:val="00952960"/>
    <w:rsid w:val="009638D4"/>
    <w:rsid w:val="009641E0"/>
    <w:rsid w:val="00964447"/>
    <w:rsid w:val="00975128"/>
    <w:rsid w:val="00987D16"/>
    <w:rsid w:val="00992A66"/>
    <w:rsid w:val="009A0714"/>
    <w:rsid w:val="009A73FA"/>
    <w:rsid w:val="009B38AF"/>
    <w:rsid w:val="009C0D88"/>
    <w:rsid w:val="009C5B8F"/>
    <w:rsid w:val="009C7996"/>
    <w:rsid w:val="009D2067"/>
    <w:rsid w:val="009D7988"/>
    <w:rsid w:val="009E3476"/>
    <w:rsid w:val="009F0E8F"/>
    <w:rsid w:val="009F3603"/>
    <w:rsid w:val="00A00329"/>
    <w:rsid w:val="00A017FE"/>
    <w:rsid w:val="00A04979"/>
    <w:rsid w:val="00A07275"/>
    <w:rsid w:val="00A20224"/>
    <w:rsid w:val="00A20D41"/>
    <w:rsid w:val="00A2446F"/>
    <w:rsid w:val="00A447C4"/>
    <w:rsid w:val="00A4569C"/>
    <w:rsid w:val="00A45E1D"/>
    <w:rsid w:val="00A5037D"/>
    <w:rsid w:val="00A5145B"/>
    <w:rsid w:val="00A51588"/>
    <w:rsid w:val="00A552B4"/>
    <w:rsid w:val="00A71A1B"/>
    <w:rsid w:val="00A7221C"/>
    <w:rsid w:val="00A741DC"/>
    <w:rsid w:val="00AA110F"/>
    <w:rsid w:val="00AB0B8A"/>
    <w:rsid w:val="00AB634F"/>
    <w:rsid w:val="00AC75B8"/>
    <w:rsid w:val="00AD640D"/>
    <w:rsid w:val="00B108DA"/>
    <w:rsid w:val="00B27EAC"/>
    <w:rsid w:val="00B61043"/>
    <w:rsid w:val="00B6606D"/>
    <w:rsid w:val="00B67725"/>
    <w:rsid w:val="00B719C5"/>
    <w:rsid w:val="00B7545D"/>
    <w:rsid w:val="00B82FD8"/>
    <w:rsid w:val="00B90B4A"/>
    <w:rsid w:val="00BA0466"/>
    <w:rsid w:val="00BA1823"/>
    <w:rsid w:val="00BA5547"/>
    <w:rsid w:val="00BA5B70"/>
    <w:rsid w:val="00BB7C4C"/>
    <w:rsid w:val="00BC0335"/>
    <w:rsid w:val="00BC0F03"/>
    <w:rsid w:val="00BC1FCB"/>
    <w:rsid w:val="00BC4697"/>
    <w:rsid w:val="00BD1646"/>
    <w:rsid w:val="00BD30C1"/>
    <w:rsid w:val="00BD7273"/>
    <w:rsid w:val="00BD7DAF"/>
    <w:rsid w:val="00BE43A4"/>
    <w:rsid w:val="00BE74D8"/>
    <w:rsid w:val="00BE76AB"/>
    <w:rsid w:val="00C01E7D"/>
    <w:rsid w:val="00C03468"/>
    <w:rsid w:val="00C03478"/>
    <w:rsid w:val="00C05DD6"/>
    <w:rsid w:val="00C113C5"/>
    <w:rsid w:val="00C129B6"/>
    <w:rsid w:val="00C12D07"/>
    <w:rsid w:val="00C151BB"/>
    <w:rsid w:val="00C171E8"/>
    <w:rsid w:val="00C26C86"/>
    <w:rsid w:val="00C62BC3"/>
    <w:rsid w:val="00C6312E"/>
    <w:rsid w:val="00C65764"/>
    <w:rsid w:val="00C70E23"/>
    <w:rsid w:val="00C7451F"/>
    <w:rsid w:val="00C7724F"/>
    <w:rsid w:val="00C81556"/>
    <w:rsid w:val="00C8208F"/>
    <w:rsid w:val="00C84922"/>
    <w:rsid w:val="00C9093A"/>
    <w:rsid w:val="00C943BD"/>
    <w:rsid w:val="00C9490B"/>
    <w:rsid w:val="00CA280C"/>
    <w:rsid w:val="00CA5A4F"/>
    <w:rsid w:val="00CB0CF7"/>
    <w:rsid w:val="00CB22CC"/>
    <w:rsid w:val="00CB5F1D"/>
    <w:rsid w:val="00CB769D"/>
    <w:rsid w:val="00CC3EEA"/>
    <w:rsid w:val="00CC7922"/>
    <w:rsid w:val="00CD1F3E"/>
    <w:rsid w:val="00CD2F1F"/>
    <w:rsid w:val="00CD30B9"/>
    <w:rsid w:val="00CE5B8F"/>
    <w:rsid w:val="00CE6669"/>
    <w:rsid w:val="00CE7F59"/>
    <w:rsid w:val="00CF21C5"/>
    <w:rsid w:val="00CF2ECB"/>
    <w:rsid w:val="00CF3B0E"/>
    <w:rsid w:val="00D00C76"/>
    <w:rsid w:val="00D140A8"/>
    <w:rsid w:val="00D170C5"/>
    <w:rsid w:val="00D202B7"/>
    <w:rsid w:val="00D2322F"/>
    <w:rsid w:val="00D261E2"/>
    <w:rsid w:val="00D3011E"/>
    <w:rsid w:val="00D33568"/>
    <w:rsid w:val="00D36411"/>
    <w:rsid w:val="00D446F2"/>
    <w:rsid w:val="00D503A3"/>
    <w:rsid w:val="00D63D27"/>
    <w:rsid w:val="00D80635"/>
    <w:rsid w:val="00D81CD5"/>
    <w:rsid w:val="00D91A22"/>
    <w:rsid w:val="00D92216"/>
    <w:rsid w:val="00D92951"/>
    <w:rsid w:val="00D92B9C"/>
    <w:rsid w:val="00D94702"/>
    <w:rsid w:val="00D95268"/>
    <w:rsid w:val="00D961E5"/>
    <w:rsid w:val="00DB27C7"/>
    <w:rsid w:val="00DB7CD8"/>
    <w:rsid w:val="00DC6693"/>
    <w:rsid w:val="00DC7380"/>
    <w:rsid w:val="00DD5997"/>
    <w:rsid w:val="00DE2869"/>
    <w:rsid w:val="00DE389E"/>
    <w:rsid w:val="00DE3972"/>
    <w:rsid w:val="00DF0D57"/>
    <w:rsid w:val="00DF1259"/>
    <w:rsid w:val="00DF2661"/>
    <w:rsid w:val="00E02BB7"/>
    <w:rsid w:val="00E04D22"/>
    <w:rsid w:val="00E074AF"/>
    <w:rsid w:val="00E14A21"/>
    <w:rsid w:val="00E15353"/>
    <w:rsid w:val="00E15654"/>
    <w:rsid w:val="00E21B54"/>
    <w:rsid w:val="00E22C09"/>
    <w:rsid w:val="00E34C01"/>
    <w:rsid w:val="00E42B38"/>
    <w:rsid w:val="00E46EE6"/>
    <w:rsid w:val="00E50B6C"/>
    <w:rsid w:val="00E53175"/>
    <w:rsid w:val="00E54C2F"/>
    <w:rsid w:val="00E551E6"/>
    <w:rsid w:val="00E5552D"/>
    <w:rsid w:val="00E56817"/>
    <w:rsid w:val="00E61235"/>
    <w:rsid w:val="00E84158"/>
    <w:rsid w:val="00EB1899"/>
    <w:rsid w:val="00EB548D"/>
    <w:rsid w:val="00EC11E8"/>
    <w:rsid w:val="00ED1F8C"/>
    <w:rsid w:val="00ED3103"/>
    <w:rsid w:val="00ED34B6"/>
    <w:rsid w:val="00ED5322"/>
    <w:rsid w:val="00EE1F9C"/>
    <w:rsid w:val="00EE51F8"/>
    <w:rsid w:val="00EE6E40"/>
    <w:rsid w:val="00F019A7"/>
    <w:rsid w:val="00F1082C"/>
    <w:rsid w:val="00F15E1C"/>
    <w:rsid w:val="00F23D8B"/>
    <w:rsid w:val="00F23EB6"/>
    <w:rsid w:val="00F40095"/>
    <w:rsid w:val="00F42558"/>
    <w:rsid w:val="00F44E42"/>
    <w:rsid w:val="00F47B01"/>
    <w:rsid w:val="00F75C80"/>
    <w:rsid w:val="00F8151D"/>
    <w:rsid w:val="00F82A08"/>
    <w:rsid w:val="00F83A13"/>
    <w:rsid w:val="00F87817"/>
    <w:rsid w:val="00F93CD6"/>
    <w:rsid w:val="00F960FC"/>
    <w:rsid w:val="00F96A84"/>
    <w:rsid w:val="00FA27F9"/>
    <w:rsid w:val="00FA4FF6"/>
    <w:rsid w:val="00FA6F3C"/>
    <w:rsid w:val="00FB6322"/>
    <w:rsid w:val="00FB6E9B"/>
    <w:rsid w:val="00FC454E"/>
    <w:rsid w:val="00FC5526"/>
    <w:rsid w:val="00FD5E9C"/>
    <w:rsid w:val="00FE3927"/>
    <w:rsid w:val="00FE3F7D"/>
    <w:rsid w:val="00FE57AF"/>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FF678E"/>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C9A"/>
    <w:rPr>
      <w:sz w:val="24"/>
      <w:szCs w:val="24"/>
      <w:lang w:val="fr-CA" w:eastAsia="es-ES"/>
    </w:rPr>
  </w:style>
  <w:style w:type="paragraph" w:styleId="Heading2">
    <w:name w:val="heading 2"/>
    <w:basedOn w:val="Normal"/>
    <w:next w:val="Normal"/>
    <w:link w:val="Heading2Char"/>
    <w:uiPriority w:val="9"/>
    <w:unhideWhenUsed/>
    <w:qFormat/>
    <w:rsid w:val="00C03478"/>
    <w:pPr>
      <w:keepNext/>
      <w:keepLines/>
      <w:numPr>
        <w:numId w:val="31"/>
      </w:numPr>
      <w:ind w:left="360"/>
      <w:jc w:val="center"/>
      <w:outlineLvl w:val="1"/>
    </w:pPr>
    <w:rPr>
      <w:rFonts w:eastAsiaTheme="majorEastAsia" w:cstheme="majorBidi"/>
      <w:b/>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rPr>
      <w:lang w:val="es-ES"/>
    </w:r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rPr>
      <w:lang w:val="es-ES"/>
    </w:r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rPr>
      <w:lang w:val="es-ES"/>
    </w:r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lang w:val="es-ES"/>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lang w:val="es-ES"/>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val="es-ES"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paragraph" w:styleId="HTMLPreformatted">
    <w:name w:val="HTML Preformatted"/>
    <w:basedOn w:val="Normal"/>
    <w:link w:val="HTMLPreformattedChar"/>
    <w:uiPriority w:val="99"/>
    <w:unhideWhenUsed/>
    <w:rsid w:val="009C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C0D88"/>
    <w:rPr>
      <w:rFonts w:ascii="Courier New" w:hAnsi="Courier New" w:cs="Courier New"/>
    </w:rPr>
  </w:style>
  <w:style w:type="character" w:customStyle="1" w:styleId="Heading2Char">
    <w:name w:val="Heading 2 Char"/>
    <w:basedOn w:val="DefaultParagraphFont"/>
    <w:link w:val="Heading2"/>
    <w:uiPriority w:val="9"/>
    <w:rsid w:val="00C03478"/>
    <w:rPr>
      <w:rFonts w:eastAsiaTheme="majorEastAsia" w:cstheme="majorBidi"/>
      <w:b/>
      <w:sz w:val="22"/>
      <w:szCs w:val="22"/>
      <w:lang w:val="es-ES"/>
    </w:rPr>
  </w:style>
  <w:style w:type="character" w:styleId="UnresolvedMention">
    <w:name w:val="Unresolved Mention"/>
    <w:basedOn w:val="DefaultParagraphFont"/>
    <w:uiPriority w:val="99"/>
    <w:semiHidden/>
    <w:unhideWhenUsed/>
    <w:rsid w:val="004D5626"/>
    <w:rPr>
      <w:color w:val="605E5C"/>
      <w:shd w:val="clear" w:color="auto" w:fill="E1DFDD"/>
    </w:rPr>
  </w:style>
  <w:style w:type="paragraph" w:styleId="NormalWeb">
    <w:name w:val="Normal (Web)"/>
    <w:basedOn w:val="Normal"/>
    <w:uiPriority w:val="99"/>
    <w:unhideWhenUsed/>
    <w:rsid w:val="00CB0CF7"/>
    <w:pPr>
      <w:spacing w:before="100" w:beforeAutospacing="1" w:after="100" w:afterAutospacing="1"/>
    </w:pPr>
    <w:rPr>
      <w:rFonts w:ascii="Calibri" w:eastAsiaTheme="minorHAnsi" w:hAnsi="Calibri" w:cs="Calibri"/>
      <w:sz w:val="22"/>
      <w:szCs w:val="22"/>
      <w:lang w:val="es-US" w:eastAsia="es-US"/>
    </w:rPr>
  </w:style>
  <w:style w:type="paragraph" w:styleId="EndnoteText">
    <w:name w:val="endnote text"/>
    <w:basedOn w:val="Normal"/>
    <w:link w:val="EndnoteTextChar"/>
    <w:rsid w:val="00063FE3"/>
    <w:rPr>
      <w:sz w:val="20"/>
      <w:szCs w:val="20"/>
      <w:lang w:val="es-ES"/>
    </w:rPr>
  </w:style>
  <w:style w:type="character" w:customStyle="1" w:styleId="EndnoteTextChar">
    <w:name w:val="Endnote Text Char"/>
    <w:basedOn w:val="DefaultParagraphFont"/>
    <w:link w:val="EndnoteText"/>
    <w:rsid w:val="00063FE3"/>
    <w:rPr>
      <w:lang w:val="es-ES" w:eastAsia="es-ES"/>
    </w:rPr>
  </w:style>
  <w:style w:type="character" w:styleId="EndnoteReference">
    <w:name w:val="endnote reference"/>
    <w:basedOn w:val="DefaultParagraphFont"/>
    <w:rsid w:val="00063F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535">
      <w:bodyDiv w:val="1"/>
      <w:marLeft w:val="0"/>
      <w:marRight w:val="0"/>
      <w:marTop w:val="0"/>
      <w:marBottom w:val="0"/>
      <w:divBdr>
        <w:top w:val="none" w:sz="0" w:space="0" w:color="auto"/>
        <w:left w:val="none" w:sz="0" w:space="0" w:color="auto"/>
        <w:bottom w:val="none" w:sz="0" w:space="0" w:color="auto"/>
        <w:right w:val="none" w:sz="0" w:space="0" w:color="auto"/>
      </w:divBdr>
    </w:div>
    <w:div w:id="272253369">
      <w:bodyDiv w:val="1"/>
      <w:marLeft w:val="0"/>
      <w:marRight w:val="0"/>
      <w:marTop w:val="0"/>
      <w:marBottom w:val="0"/>
      <w:divBdr>
        <w:top w:val="none" w:sz="0" w:space="0" w:color="auto"/>
        <w:left w:val="none" w:sz="0" w:space="0" w:color="auto"/>
        <w:bottom w:val="none" w:sz="0" w:space="0" w:color="auto"/>
        <w:right w:val="none" w:sz="0" w:space="0" w:color="auto"/>
      </w:divBdr>
    </w:div>
    <w:div w:id="532310820">
      <w:bodyDiv w:val="1"/>
      <w:marLeft w:val="0"/>
      <w:marRight w:val="0"/>
      <w:marTop w:val="0"/>
      <w:marBottom w:val="0"/>
      <w:divBdr>
        <w:top w:val="none" w:sz="0" w:space="0" w:color="auto"/>
        <w:left w:val="none" w:sz="0" w:space="0" w:color="auto"/>
        <w:bottom w:val="none" w:sz="0" w:space="0" w:color="auto"/>
        <w:right w:val="none" w:sz="0" w:space="0" w:color="auto"/>
      </w:divBdr>
    </w:div>
    <w:div w:id="627011348">
      <w:bodyDiv w:val="1"/>
      <w:marLeft w:val="0"/>
      <w:marRight w:val="0"/>
      <w:marTop w:val="0"/>
      <w:marBottom w:val="0"/>
      <w:divBdr>
        <w:top w:val="none" w:sz="0" w:space="0" w:color="auto"/>
        <w:left w:val="none" w:sz="0" w:space="0" w:color="auto"/>
        <w:bottom w:val="none" w:sz="0" w:space="0" w:color="auto"/>
        <w:right w:val="none" w:sz="0" w:space="0" w:color="auto"/>
      </w:divBdr>
    </w:div>
    <w:div w:id="740517331">
      <w:bodyDiv w:val="1"/>
      <w:marLeft w:val="0"/>
      <w:marRight w:val="0"/>
      <w:marTop w:val="0"/>
      <w:marBottom w:val="0"/>
      <w:divBdr>
        <w:top w:val="none" w:sz="0" w:space="0" w:color="auto"/>
        <w:left w:val="none" w:sz="0" w:space="0" w:color="auto"/>
        <w:bottom w:val="none" w:sz="0" w:space="0" w:color="auto"/>
        <w:right w:val="none" w:sz="0" w:space="0" w:color="auto"/>
      </w:divBdr>
    </w:div>
    <w:div w:id="971835854">
      <w:bodyDiv w:val="1"/>
      <w:marLeft w:val="0"/>
      <w:marRight w:val="0"/>
      <w:marTop w:val="0"/>
      <w:marBottom w:val="0"/>
      <w:divBdr>
        <w:top w:val="none" w:sz="0" w:space="0" w:color="auto"/>
        <w:left w:val="none" w:sz="0" w:space="0" w:color="auto"/>
        <w:bottom w:val="none" w:sz="0" w:space="0" w:color="auto"/>
        <w:right w:val="none" w:sz="0" w:space="0" w:color="auto"/>
      </w:divBdr>
    </w:div>
    <w:div w:id="1173253292">
      <w:bodyDiv w:val="1"/>
      <w:marLeft w:val="0"/>
      <w:marRight w:val="0"/>
      <w:marTop w:val="0"/>
      <w:marBottom w:val="0"/>
      <w:divBdr>
        <w:top w:val="none" w:sz="0" w:space="0" w:color="auto"/>
        <w:left w:val="none" w:sz="0" w:space="0" w:color="auto"/>
        <w:bottom w:val="none" w:sz="0" w:space="0" w:color="auto"/>
        <w:right w:val="none" w:sz="0" w:space="0" w:color="auto"/>
      </w:divBdr>
      <w:divsChild>
        <w:div w:id="1504399696">
          <w:marLeft w:val="0"/>
          <w:marRight w:val="0"/>
          <w:marTop w:val="0"/>
          <w:marBottom w:val="0"/>
          <w:divBdr>
            <w:top w:val="none" w:sz="0" w:space="0" w:color="auto"/>
            <w:left w:val="none" w:sz="0" w:space="0" w:color="auto"/>
            <w:bottom w:val="none" w:sz="0" w:space="0" w:color="auto"/>
            <w:right w:val="none" w:sz="0" w:space="0" w:color="auto"/>
          </w:divBdr>
          <w:divsChild>
            <w:div w:id="802112132">
              <w:marLeft w:val="0"/>
              <w:marRight w:val="0"/>
              <w:marTop w:val="0"/>
              <w:marBottom w:val="0"/>
              <w:divBdr>
                <w:top w:val="none" w:sz="0" w:space="0" w:color="auto"/>
                <w:left w:val="none" w:sz="0" w:space="0" w:color="auto"/>
                <w:bottom w:val="none" w:sz="0" w:space="0" w:color="auto"/>
                <w:right w:val="none" w:sz="0" w:space="0" w:color="auto"/>
              </w:divBdr>
              <w:divsChild>
                <w:div w:id="2016106390">
                  <w:marLeft w:val="0"/>
                  <w:marRight w:val="0"/>
                  <w:marTop w:val="0"/>
                  <w:marBottom w:val="0"/>
                  <w:divBdr>
                    <w:top w:val="none" w:sz="0" w:space="0" w:color="auto"/>
                    <w:left w:val="none" w:sz="0" w:space="0" w:color="auto"/>
                    <w:bottom w:val="none" w:sz="0" w:space="0" w:color="auto"/>
                    <w:right w:val="none" w:sz="0" w:space="0" w:color="auto"/>
                  </w:divBdr>
                  <w:divsChild>
                    <w:div w:id="108281563">
                      <w:marLeft w:val="0"/>
                      <w:marRight w:val="0"/>
                      <w:marTop w:val="0"/>
                      <w:marBottom w:val="0"/>
                      <w:divBdr>
                        <w:top w:val="none" w:sz="0" w:space="0" w:color="auto"/>
                        <w:left w:val="none" w:sz="0" w:space="0" w:color="auto"/>
                        <w:bottom w:val="none" w:sz="0" w:space="0" w:color="auto"/>
                        <w:right w:val="none" w:sz="0" w:space="0" w:color="auto"/>
                      </w:divBdr>
                      <w:divsChild>
                        <w:div w:id="1255743834">
                          <w:marLeft w:val="0"/>
                          <w:marRight w:val="0"/>
                          <w:marTop w:val="0"/>
                          <w:marBottom w:val="0"/>
                          <w:divBdr>
                            <w:top w:val="none" w:sz="0" w:space="0" w:color="auto"/>
                            <w:left w:val="none" w:sz="0" w:space="0" w:color="auto"/>
                            <w:bottom w:val="none" w:sz="0" w:space="0" w:color="auto"/>
                            <w:right w:val="none" w:sz="0" w:space="0" w:color="auto"/>
                          </w:divBdr>
                          <w:divsChild>
                            <w:div w:id="64032107">
                              <w:marLeft w:val="0"/>
                              <w:marRight w:val="0"/>
                              <w:marTop w:val="0"/>
                              <w:marBottom w:val="0"/>
                              <w:divBdr>
                                <w:top w:val="none" w:sz="0" w:space="0" w:color="auto"/>
                                <w:left w:val="none" w:sz="0" w:space="0" w:color="auto"/>
                                <w:bottom w:val="none" w:sz="0" w:space="0" w:color="auto"/>
                                <w:right w:val="none" w:sz="0" w:space="0" w:color="auto"/>
                              </w:divBdr>
                              <w:divsChild>
                                <w:div w:id="2129005662">
                                  <w:marLeft w:val="0"/>
                                  <w:marRight w:val="0"/>
                                  <w:marTop w:val="0"/>
                                  <w:marBottom w:val="0"/>
                                  <w:divBdr>
                                    <w:top w:val="none" w:sz="0" w:space="0" w:color="auto"/>
                                    <w:left w:val="none" w:sz="0" w:space="0" w:color="auto"/>
                                    <w:bottom w:val="none" w:sz="0" w:space="0" w:color="auto"/>
                                    <w:right w:val="none" w:sz="0" w:space="0" w:color="auto"/>
                                  </w:divBdr>
                                  <w:divsChild>
                                    <w:div w:id="654187303">
                                      <w:marLeft w:val="0"/>
                                      <w:marRight w:val="0"/>
                                      <w:marTop w:val="0"/>
                                      <w:marBottom w:val="0"/>
                                      <w:divBdr>
                                        <w:top w:val="none" w:sz="0" w:space="0" w:color="auto"/>
                                        <w:left w:val="none" w:sz="0" w:space="0" w:color="auto"/>
                                        <w:bottom w:val="none" w:sz="0" w:space="0" w:color="auto"/>
                                        <w:right w:val="none" w:sz="0" w:space="0" w:color="auto"/>
                                      </w:divBdr>
                                    </w:div>
                                    <w:div w:id="1741513341">
                                      <w:marLeft w:val="0"/>
                                      <w:marRight w:val="0"/>
                                      <w:marTop w:val="0"/>
                                      <w:marBottom w:val="0"/>
                                      <w:divBdr>
                                        <w:top w:val="none" w:sz="0" w:space="0" w:color="auto"/>
                                        <w:left w:val="none" w:sz="0" w:space="0" w:color="auto"/>
                                        <w:bottom w:val="none" w:sz="0" w:space="0" w:color="auto"/>
                                        <w:right w:val="none" w:sz="0" w:space="0" w:color="auto"/>
                                      </w:divBdr>
                                      <w:divsChild>
                                        <w:div w:id="2040662283">
                                          <w:marLeft w:val="0"/>
                                          <w:marRight w:val="165"/>
                                          <w:marTop w:val="150"/>
                                          <w:marBottom w:val="0"/>
                                          <w:divBdr>
                                            <w:top w:val="none" w:sz="0" w:space="0" w:color="auto"/>
                                            <w:left w:val="none" w:sz="0" w:space="0" w:color="auto"/>
                                            <w:bottom w:val="none" w:sz="0" w:space="0" w:color="auto"/>
                                            <w:right w:val="none" w:sz="0" w:space="0" w:color="auto"/>
                                          </w:divBdr>
                                          <w:divsChild>
                                            <w:div w:id="1196163729">
                                              <w:marLeft w:val="0"/>
                                              <w:marRight w:val="0"/>
                                              <w:marTop w:val="0"/>
                                              <w:marBottom w:val="0"/>
                                              <w:divBdr>
                                                <w:top w:val="none" w:sz="0" w:space="0" w:color="auto"/>
                                                <w:left w:val="none" w:sz="0" w:space="0" w:color="auto"/>
                                                <w:bottom w:val="none" w:sz="0" w:space="0" w:color="auto"/>
                                                <w:right w:val="none" w:sz="0" w:space="0" w:color="auto"/>
                                              </w:divBdr>
                                              <w:divsChild>
                                                <w:div w:id="10697714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951128">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CP/CAJP&amp;classNum=3589&amp;lang=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IDMS/Redirectpage.aspx?class=CP/CAJP&amp;classNum=3587&amp;lang=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SPANISH/HIST_21/CP43711S03.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P/CAJP&amp;classNum=3588&amp;lang=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sare/social-inclusion/protocol-ssv/docs/protocol-san-salvador-en.pdf" TargetMode="External"/><Relationship Id="rId3" Type="http://schemas.openxmlformats.org/officeDocument/2006/relationships/hyperlink" Target="https://www.oas.org/es/sadye/documentos/DecAmIND.pdf" TargetMode="External"/><Relationship Id="rId7" Type="http://schemas.openxmlformats.org/officeDocument/2006/relationships/hyperlink" Target="http://www.oas.org/es/sadye/inclusion-social/protocolo-ssv/docs/protocolo-san-salvador-es.pdf" TargetMode="External"/><Relationship Id="rId2" Type="http://schemas.openxmlformats.org/officeDocument/2006/relationships/hyperlink" Target="https://www.oas.org/en/sare/documents/PA_Afrodesc_ENG.pdf" TargetMode="External"/><Relationship Id="rId1" Type="http://schemas.openxmlformats.org/officeDocument/2006/relationships/hyperlink" Target="https://www.oas.org/es/sadye/documentos/PA_Afrodesc_ESP.pdf" TargetMode="External"/><Relationship Id="rId6" Type="http://schemas.openxmlformats.org/officeDocument/2006/relationships/hyperlink" Target="http://scm.oas.org/References/Ref_doc_web_page/ENGLISH/PlanofActionIndigenousPeoples.pdf" TargetMode="External"/><Relationship Id="rId5" Type="http://schemas.openxmlformats.org/officeDocument/2006/relationships/hyperlink" Target="http://scm.oas.org/References/Ref_doc_web_page/SPANISH/PlandeAcci&#243;nPueblosIndigenas.pdf" TargetMode="External"/><Relationship Id="rId10" Type="http://schemas.openxmlformats.org/officeDocument/2006/relationships/hyperlink" Target="http://www.oas.org/es/sadye/inclusion-social/protocolo-ssv/grupo-trabajo.asp" TargetMode="External"/><Relationship Id="rId4" Type="http://schemas.openxmlformats.org/officeDocument/2006/relationships/hyperlink" Target="https://www.oas.org/en/sare/documents/DecAmIND.pdf" TargetMode="External"/><Relationship Id="rId9" Type="http://schemas.openxmlformats.org/officeDocument/2006/relationships/hyperlink" Target="http://www.oas.org/es/sadye/inclusion-social/protocolo-s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63A0BA-6C11-434A-94C7-D5B9050E247C}">
  <ds:schemaRefs>
    <ds:schemaRef ds:uri="http://schemas.microsoft.com/sharepoint/v3/contenttype/forms"/>
  </ds:schemaRefs>
</ds:datastoreItem>
</file>

<file path=customXml/itemProps2.xml><?xml version="1.0" encoding="utf-8"?>
<ds:datastoreItem xmlns:ds="http://schemas.openxmlformats.org/officeDocument/2006/customXml" ds:itemID="{97AEDEF1-EB9E-4AB6-99A7-C9C63F48E6F4}">
  <ds:schemaRefs>
    <ds:schemaRef ds:uri="http://schemas.openxmlformats.org/officeDocument/2006/bibliography"/>
  </ds:schemaRefs>
</ds:datastoreItem>
</file>

<file path=customXml/itemProps3.xml><?xml version="1.0" encoding="utf-8"?>
<ds:datastoreItem xmlns:ds="http://schemas.openxmlformats.org/officeDocument/2006/customXml" ds:itemID="{3A43AF86-D929-4413-A020-547EF9E12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B0F23-74C7-479E-8137-D9CCF87AF2E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561</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Santos, Ada</cp:lastModifiedBy>
  <cp:revision>6</cp:revision>
  <cp:lastPrinted>2017-02-03T19:23:00Z</cp:lastPrinted>
  <dcterms:created xsi:type="dcterms:W3CDTF">2021-05-12T15:21:00Z</dcterms:created>
  <dcterms:modified xsi:type="dcterms:W3CDTF">2021-05-12T21:40:00Z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