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9B38" w14:textId="0299B9EA" w:rsidR="001A609E" w:rsidRPr="005668AD" w:rsidRDefault="001A609E" w:rsidP="001A609E">
      <w:pPr>
        <w:tabs>
          <w:tab w:val="center" w:pos="2880"/>
          <w:tab w:val="left" w:pos="7200"/>
        </w:tabs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ab/>
        <w:t>CONSEIL PERMANENT DE</w:t>
      </w:r>
      <w:r w:rsidRPr="005668AD">
        <w:rPr>
          <w:sz w:val="22"/>
          <w:szCs w:val="22"/>
          <w:lang w:val="fr-FR"/>
        </w:rPr>
        <w:tab/>
        <w:t>OEA/</w:t>
      </w:r>
      <w:proofErr w:type="spellStart"/>
      <w:r w:rsidRPr="005668AD">
        <w:rPr>
          <w:sz w:val="22"/>
          <w:szCs w:val="22"/>
          <w:lang w:val="fr-FR"/>
        </w:rPr>
        <w:t>Ser.G</w:t>
      </w:r>
      <w:proofErr w:type="spellEnd"/>
    </w:p>
    <w:p w14:paraId="23209CB2" w14:textId="44D22FCA" w:rsidR="001A609E" w:rsidRPr="005668AD" w:rsidRDefault="001A609E" w:rsidP="001A609E">
      <w:pPr>
        <w:tabs>
          <w:tab w:val="center" w:pos="2880"/>
          <w:tab w:val="left" w:pos="7200"/>
        </w:tabs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ab/>
        <w:t>L’ORGANISATION DES ÉTATS AMÉRICAINS</w:t>
      </w:r>
      <w:r w:rsidRPr="005668AD">
        <w:rPr>
          <w:sz w:val="22"/>
          <w:szCs w:val="22"/>
          <w:lang w:val="fr-FR"/>
        </w:rPr>
        <w:tab/>
        <w:t>CP/CAJP-3783/24</w:t>
      </w:r>
      <w:r w:rsidR="005668AD" w:rsidRPr="005668AD">
        <w:rPr>
          <w:sz w:val="22"/>
          <w:szCs w:val="22"/>
          <w:lang w:val="fr-FR"/>
        </w:rPr>
        <w:t xml:space="preserve"> rev.1</w:t>
      </w:r>
    </w:p>
    <w:p w14:paraId="35281AFA" w14:textId="211F404F" w:rsidR="001A609E" w:rsidRPr="005668AD" w:rsidRDefault="001A609E" w:rsidP="001A609E">
      <w:pPr>
        <w:tabs>
          <w:tab w:val="center" w:pos="2880"/>
          <w:tab w:val="left" w:pos="7200"/>
        </w:tabs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ab/>
      </w:r>
      <w:r w:rsidRPr="005668AD">
        <w:rPr>
          <w:sz w:val="22"/>
          <w:szCs w:val="22"/>
          <w:lang w:val="fr-FR"/>
        </w:rPr>
        <w:tab/>
        <w:t>1</w:t>
      </w:r>
      <w:r w:rsidR="005668AD" w:rsidRPr="005668AD">
        <w:rPr>
          <w:sz w:val="22"/>
          <w:szCs w:val="22"/>
          <w:lang w:val="fr-FR"/>
        </w:rPr>
        <w:t>9</w:t>
      </w:r>
      <w:r w:rsidRPr="005668AD">
        <w:rPr>
          <w:sz w:val="22"/>
          <w:szCs w:val="22"/>
          <w:lang w:val="fr-FR"/>
        </w:rPr>
        <w:t xml:space="preserve"> avril 2024</w:t>
      </w:r>
    </w:p>
    <w:p w14:paraId="758EFDBA" w14:textId="727B15E1" w:rsidR="001A609E" w:rsidRPr="005668AD" w:rsidRDefault="001A609E" w:rsidP="001A609E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ab/>
        <w:t>COMMISSION DES QUESTIONS JURIDIQUES</w:t>
      </w:r>
      <w:r w:rsidRPr="005668AD">
        <w:rPr>
          <w:sz w:val="22"/>
          <w:szCs w:val="22"/>
          <w:lang w:val="fr-FR"/>
        </w:rPr>
        <w:tab/>
        <w:t>Original</w:t>
      </w:r>
      <w:r w:rsidR="005668AD" w:rsidRPr="005668AD">
        <w:rPr>
          <w:sz w:val="22"/>
          <w:szCs w:val="22"/>
          <w:lang w:val="fr-FR"/>
        </w:rPr>
        <w:t> </w:t>
      </w:r>
      <w:r w:rsidRPr="005668AD">
        <w:rPr>
          <w:sz w:val="22"/>
          <w:szCs w:val="22"/>
          <w:lang w:val="fr-FR"/>
        </w:rPr>
        <w:t>: espagnol</w:t>
      </w:r>
    </w:p>
    <w:p w14:paraId="5E9FB924" w14:textId="6E5AAADF" w:rsidR="001A609E" w:rsidRPr="005668AD" w:rsidRDefault="001A609E" w:rsidP="001A609E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ab/>
        <w:t>ET POLITIQUES</w:t>
      </w:r>
    </w:p>
    <w:p w14:paraId="308E8F7E" w14:textId="1327D5AF" w:rsidR="001A609E" w:rsidRPr="005668AD" w:rsidRDefault="001A609E" w:rsidP="001A609E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  <w:lang w:val="fr-FR"/>
        </w:rPr>
      </w:pPr>
    </w:p>
    <w:p w14:paraId="6823A073" w14:textId="0466486B" w:rsidR="001A609E" w:rsidRPr="005668AD" w:rsidRDefault="001A609E" w:rsidP="001A609E">
      <w:pPr>
        <w:tabs>
          <w:tab w:val="left" w:pos="717"/>
          <w:tab w:val="center" w:pos="2880"/>
          <w:tab w:val="left" w:pos="7200"/>
        </w:tabs>
        <w:jc w:val="both"/>
        <w:rPr>
          <w:sz w:val="22"/>
          <w:szCs w:val="22"/>
          <w:lang w:val="fr-FR"/>
        </w:rPr>
      </w:pPr>
    </w:p>
    <w:p w14:paraId="39CF4726" w14:textId="2044B4FD" w:rsidR="001A609E" w:rsidRPr="005668AD" w:rsidRDefault="001A609E" w:rsidP="001A609E">
      <w:pPr>
        <w:tabs>
          <w:tab w:val="left" w:pos="6597"/>
        </w:tabs>
        <w:jc w:val="both"/>
        <w:rPr>
          <w:sz w:val="22"/>
          <w:szCs w:val="22"/>
          <w:lang w:val="fr-FR"/>
        </w:rPr>
      </w:pPr>
    </w:p>
    <w:p w14:paraId="04B727C0" w14:textId="77777777" w:rsidR="00CD1F3E" w:rsidRPr="005668AD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  <w:lang w:val="fr-FR"/>
        </w:rPr>
      </w:pPr>
    </w:p>
    <w:p w14:paraId="25CEF595" w14:textId="41B9FECE" w:rsidR="00227869" w:rsidRPr="005668AD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fr-FR"/>
        </w:rPr>
      </w:pPr>
      <w:r w:rsidRPr="005668AD">
        <w:rPr>
          <w:szCs w:val="22"/>
          <w:lang w:val="fr-FR"/>
        </w:rPr>
        <w:t>PROJET D’ORDRE DU JOUR</w:t>
      </w:r>
      <w:r w:rsidR="00717E69" w:rsidRPr="005668AD">
        <w:rPr>
          <w:rStyle w:val="FootnoteReference"/>
          <w:szCs w:val="22"/>
          <w:u w:val="single"/>
          <w:vertAlign w:val="superscript"/>
          <w:lang w:val="fr-FR"/>
        </w:rPr>
        <w:footnoteReference w:id="2"/>
      </w:r>
      <w:r w:rsidRPr="005668AD">
        <w:rPr>
          <w:szCs w:val="22"/>
          <w:vertAlign w:val="superscript"/>
          <w:lang w:val="fr-FR"/>
        </w:rPr>
        <w:t>/</w:t>
      </w:r>
    </w:p>
    <w:p w14:paraId="0FB0096F" w14:textId="77777777" w:rsidR="00227869" w:rsidRPr="005668AD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6F669E0F" w14:textId="6138B8BC" w:rsidR="00227869" w:rsidRPr="005668AD" w:rsidRDefault="00227869" w:rsidP="00861F79">
      <w:pPr>
        <w:ind w:left="252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u w:val="single"/>
          <w:lang w:val="fr-FR"/>
        </w:rPr>
        <w:t>Date</w:t>
      </w:r>
      <w:r w:rsidRPr="005668AD">
        <w:rPr>
          <w:sz w:val="22"/>
          <w:szCs w:val="22"/>
          <w:lang w:val="fr-FR"/>
        </w:rPr>
        <w:t> :</w:t>
      </w:r>
      <w:r w:rsidRPr="005668AD">
        <w:rPr>
          <w:sz w:val="22"/>
          <w:szCs w:val="22"/>
          <w:lang w:val="fr-FR"/>
        </w:rPr>
        <w:tab/>
      </w:r>
      <w:r w:rsidR="00CD4308" w:rsidRPr="005668AD">
        <w:rPr>
          <w:sz w:val="22"/>
          <w:szCs w:val="22"/>
          <w:lang w:val="fr-FR"/>
        </w:rPr>
        <w:t>j</w:t>
      </w:r>
      <w:r w:rsidRPr="005668AD">
        <w:rPr>
          <w:sz w:val="22"/>
          <w:szCs w:val="22"/>
          <w:lang w:val="fr-FR"/>
        </w:rPr>
        <w:t>eudi 25 avril 2024</w:t>
      </w:r>
    </w:p>
    <w:p w14:paraId="4ECA8685" w14:textId="0937E970" w:rsidR="00227869" w:rsidRPr="005668AD" w:rsidRDefault="00227869" w:rsidP="00861F79">
      <w:pPr>
        <w:ind w:left="252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u w:val="single"/>
          <w:lang w:val="fr-FR"/>
        </w:rPr>
        <w:t>Heure</w:t>
      </w:r>
      <w:r w:rsidRPr="005668AD">
        <w:rPr>
          <w:sz w:val="22"/>
          <w:szCs w:val="22"/>
          <w:lang w:val="fr-FR"/>
        </w:rPr>
        <w:t xml:space="preserve"> :</w:t>
      </w:r>
      <w:r w:rsidRPr="005668AD">
        <w:rPr>
          <w:sz w:val="22"/>
          <w:szCs w:val="22"/>
          <w:lang w:val="fr-FR"/>
        </w:rPr>
        <w:tab/>
        <w:t>14h30 – 17h30</w:t>
      </w:r>
    </w:p>
    <w:p w14:paraId="4A976F1D" w14:textId="34A54538" w:rsidR="00227869" w:rsidRPr="005668AD" w:rsidRDefault="00227869" w:rsidP="00861F79">
      <w:pPr>
        <w:ind w:left="252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u w:val="single"/>
          <w:lang w:val="fr-FR"/>
        </w:rPr>
        <w:t>Lieu</w:t>
      </w:r>
      <w:r w:rsidRPr="005668AD">
        <w:rPr>
          <w:sz w:val="22"/>
          <w:szCs w:val="22"/>
          <w:lang w:val="fr-FR"/>
        </w:rPr>
        <w:t xml:space="preserve"> :</w:t>
      </w:r>
      <w:r w:rsidRPr="005668AD">
        <w:rPr>
          <w:sz w:val="22"/>
          <w:szCs w:val="22"/>
          <w:lang w:val="fr-FR"/>
        </w:rPr>
        <w:tab/>
        <w:t xml:space="preserve">salle Simon Bolivar </w:t>
      </w:r>
    </w:p>
    <w:p w14:paraId="2E8E7A5C" w14:textId="77777777" w:rsidR="002B63E8" w:rsidRPr="005668AD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/>
        </w:rPr>
      </w:pPr>
    </w:p>
    <w:p w14:paraId="71EF7B75" w14:textId="77777777" w:rsidR="001A609E" w:rsidRPr="005668AD" w:rsidRDefault="001A609E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/>
        </w:rPr>
      </w:pPr>
    </w:p>
    <w:p w14:paraId="6A15213B" w14:textId="4BFBD01D" w:rsidR="008C6A5F" w:rsidRPr="005668AD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>Examen et adoption de l’ordre du jour (CP/CAJP-3783/24)</w:t>
      </w:r>
    </w:p>
    <w:p w14:paraId="0DC61BBC" w14:textId="77777777" w:rsidR="0082377F" w:rsidRPr="005668AD" w:rsidRDefault="0082377F" w:rsidP="001A609E">
      <w:pPr>
        <w:tabs>
          <w:tab w:val="left" w:pos="1440"/>
        </w:tabs>
        <w:ind w:left="720" w:hanging="720"/>
        <w:jc w:val="both"/>
        <w:rPr>
          <w:sz w:val="22"/>
          <w:szCs w:val="22"/>
          <w:lang w:val="fr-FR"/>
        </w:rPr>
      </w:pPr>
      <w:bookmarkStart w:id="0" w:name="_Hlk146625700"/>
    </w:p>
    <w:bookmarkEnd w:id="0"/>
    <w:p w14:paraId="5D4CB801" w14:textId="47CFB95C" w:rsidR="004D6FCB" w:rsidRPr="005668AD" w:rsidRDefault="00BF43E1" w:rsidP="007361EC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 xml:space="preserve">Examen du rapport annuel de la </w:t>
      </w:r>
      <w:r w:rsidR="005668AD" w:rsidRPr="005668AD">
        <w:rPr>
          <w:sz w:val="22"/>
          <w:szCs w:val="22"/>
          <w:lang w:val="fr-FR"/>
        </w:rPr>
        <w:t>Commission des droits de l’homme (</w:t>
      </w:r>
      <w:r w:rsidRPr="005668AD">
        <w:rPr>
          <w:sz w:val="22"/>
          <w:szCs w:val="22"/>
          <w:lang w:val="fr-FR"/>
        </w:rPr>
        <w:t>CIDH</w:t>
      </w:r>
      <w:r w:rsidR="005668AD" w:rsidRPr="005668AD">
        <w:rPr>
          <w:sz w:val="22"/>
          <w:szCs w:val="22"/>
          <w:lang w:val="fr-FR"/>
        </w:rPr>
        <w:t>)</w:t>
      </w:r>
      <w:r w:rsidRPr="005668AD">
        <w:rPr>
          <w:sz w:val="22"/>
          <w:szCs w:val="22"/>
          <w:lang w:val="fr-FR"/>
        </w:rPr>
        <w:t xml:space="preserve"> adressé à l'Assemblée générale lors de sa cinquante-quatrième session ordinaire (</w:t>
      </w:r>
      <w:hyperlink r:id="rId11" w:history="1">
        <w:r w:rsidRPr="005668AD">
          <w:rPr>
            <w:color w:val="0000FF"/>
            <w:sz w:val="22"/>
            <w:szCs w:val="22"/>
            <w:u w:val="single"/>
            <w:lang w:val="fr-FR"/>
          </w:rPr>
          <w:t>CP/doc.</w:t>
        </w:r>
      </w:hyperlink>
      <w:hyperlink r:id="rId12" w:history="1">
        <w:r w:rsidRPr="005668AD">
          <w:rPr>
            <w:color w:val="0000FF"/>
            <w:sz w:val="22"/>
            <w:szCs w:val="22"/>
            <w:u w:val="single"/>
            <w:lang w:val="fr-FR"/>
          </w:rPr>
          <w:t>5975/24</w:t>
        </w:r>
      </w:hyperlink>
      <w:r w:rsidRPr="005668AD">
        <w:rPr>
          <w:sz w:val="22"/>
          <w:szCs w:val="22"/>
          <w:lang w:val="fr-FR"/>
        </w:rPr>
        <w:t>)</w:t>
      </w:r>
    </w:p>
    <w:p w14:paraId="22F033CF" w14:textId="77777777" w:rsidR="008E6305" w:rsidRPr="005668AD" w:rsidRDefault="008E6305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</w:p>
    <w:p w14:paraId="0BADBB1E" w14:textId="2A14A0C3" w:rsidR="008E6305" w:rsidRPr="005668AD" w:rsidRDefault="00BF43E1" w:rsidP="007361EC">
      <w:pPr>
        <w:pStyle w:val="ListParagraph"/>
        <w:numPr>
          <w:ilvl w:val="1"/>
          <w:numId w:val="44"/>
        </w:numPr>
        <w:jc w:val="both"/>
        <w:rPr>
          <w:rFonts w:eastAsia="Calibri"/>
          <w:b/>
          <w:bCs/>
          <w:sz w:val="22"/>
          <w:szCs w:val="22"/>
          <w:lang w:val="fr-FR"/>
        </w:rPr>
      </w:pPr>
      <w:bookmarkStart w:id="1" w:name="_Hlk163738220"/>
      <w:r w:rsidRPr="005668AD">
        <w:rPr>
          <w:sz w:val="22"/>
          <w:szCs w:val="22"/>
          <w:lang w:val="fr-FR"/>
        </w:rPr>
        <w:t>Intervention de</w:t>
      </w:r>
      <w:r w:rsidR="005668AD" w:rsidRPr="005668AD">
        <w:rPr>
          <w:sz w:val="22"/>
          <w:szCs w:val="22"/>
          <w:lang w:val="fr-FR"/>
        </w:rPr>
        <w:t xml:space="preserve"> M</w:t>
      </w:r>
      <w:r w:rsidR="005668AD" w:rsidRPr="005668AD">
        <w:rPr>
          <w:sz w:val="22"/>
          <w:szCs w:val="22"/>
          <w:vertAlign w:val="superscript"/>
          <w:lang w:val="fr-FR"/>
        </w:rPr>
        <w:t>me</w:t>
      </w:r>
      <w:r w:rsidR="005668AD" w:rsidRPr="005668AD">
        <w:rPr>
          <w:sz w:val="22"/>
          <w:szCs w:val="22"/>
          <w:lang w:val="fr-FR"/>
        </w:rPr>
        <w:t xml:space="preserve"> Roberta Clarke, Présidente </w:t>
      </w:r>
      <w:r w:rsidRPr="005668AD">
        <w:rPr>
          <w:sz w:val="22"/>
          <w:szCs w:val="22"/>
          <w:lang w:val="fr-FR"/>
        </w:rPr>
        <w:t xml:space="preserve">de la CIDH </w:t>
      </w:r>
      <w:r w:rsidRPr="005668AD">
        <w:rPr>
          <w:b/>
          <w:bCs/>
          <w:sz w:val="22"/>
          <w:szCs w:val="22"/>
          <w:lang w:val="fr-FR"/>
        </w:rPr>
        <w:t>(15minutes)</w:t>
      </w:r>
    </w:p>
    <w:p w14:paraId="7B837817" w14:textId="77777777" w:rsidR="00BF43E1" w:rsidRPr="005668A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</w:p>
    <w:p w14:paraId="5CD45B0B" w14:textId="11C14267" w:rsidR="00BF43E1" w:rsidRPr="005668AD" w:rsidRDefault="00BF43E1" w:rsidP="007361EC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 xml:space="preserve">Observations et </w:t>
      </w:r>
      <w:r w:rsidR="00CD4308" w:rsidRPr="005668AD">
        <w:rPr>
          <w:sz w:val="22"/>
          <w:szCs w:val="22"/>
          <w:lang w:val="fr-FR"/>
        </w:rPr>
        <w:t>recommandations des</w:t>
      </w:r>
      <w:r w:rsidRPr="005668AD">
        <w:rPr>
          <w:sz w:val="22"/>
          <w:szCs w:val="22"/>
          <w:lang w:val="fr-FR"/>
        </w:rPr>
        <w:t xml:space="preserve"> États membres concernant le rapport annuel de la CIDH</w:t>
      </w:r>
    </w:p>
    <w:bookmarkEnd w:id="1"/>
    <w:p w14:paraId="633BE8C2" w14:textId="77777777" w:rsidR="004D6FCB" w:rsidRPr="005668AD" w:rsidRDefault="004D6FCB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</w:p>
    <w:p w14:paraId="0C5D57FC" w14:textId="2A906DC8" w:rsidR="004D6FCB" w:rsidRPr="005668AD" w:rsidRDefault="00BF43E1" w:rsidP="007361EC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 xml:space="preserve">Examen des rapports concernent les mandats énoncés dans la </w:t>
      </w:r>
      <w:r w:rsidR="00CD4308" w:rsidRPr="005668AD">
        <w:rPr>
          <w:sz w:val="22"/>
          <w:szCs w:val="22"/>
          <w:lang w:val="fr-FR"/>
        </w:rPr>
        <w:t>résolution AG</w:t>
      </w:r>
      <w:r w:rsidRPr="005668AD">
        <w:rPr>
          <w:sz w:val="22"/>
          <w:szCs w:val="22"/>
          <w:lang w:val="fr-FR"/>
        </w:rPr>
        <w:t xml:space="preserve">/RES. 3004 (LIII-O/23), « Renforcement de la démocratie » qui incombent au Secrétariat au renforcement de la démocratie </w:t>
      </w:r>
      <w:r w:rsidR="005668AD" w:rsidRPr="005668AD">
        <w:rPr>
          <w:rFonts w:eastAsia="Calibri"/>
          <w:sz w:val="22"/>
          <w:szCs w:val="22"/>
          <w:lang w:val="fr-FR" w:eastAsia="en-US"/>
        </w:rPr>
        <w:t>(</w:t>
      </w:r>
      <w:hyperlink r:id="rId13" w:history="1">
        <w:r w:rsidR="005668AD" w:rsidRPr="005668AD">
          <w:rPr>
            <w:rStyle w:val="Hyperlink"/>
            <w:rFonts w:eastAsia="Calibri"/>
            <w:sz w:val="22"/>
            <w:szCs w:val="22"/>
            <w:lang w:val="fr-FR" w:eastAsia="en-US"/>
          </w:rPr>
          <w:t>lien</w:t>
        </w:r>
      </w:hyperlink>
      <w:r w:rsidR="005668AD" w:rsidRPr="005668AD">
        <w:rPr>
          <w:rFonts w:eastAsia="Calibri"/>
          <w:sz w:val="22"/>
          <w:szCs w:val="22"/>
          <w:lang w:val="fr-FR" w:eastAsia="en-US"/>
        </w:rPr>
        <w:t>)</w:t>
      </w:r>
    </w:p>
    <w:p w14:paraId="5A83EDCB" w14:textId="77777777" w:rsidR="00BF43E1" w:rsidRPr="005668A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</w:p>
    <w:p w14:paraId="74051B89" w14:textId="77777777" w:rsidR="004D6FCB" w:rsidRPr="005668A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 xml:space="preserve">Coopération technique et missions d’observation des élections </w:t>
      </w:r>
    </w:p>
    <w:p w14:paraId="02FE516E" w14:textId="77777777" w:rsidR="004D6FCB" w:rsidRPr="005668A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>Mission d’appui au processus de paix en Colombie (MAPP/OEA)</w:t>
      </w:r>
    </w:p>
    <w:p w14:paraId="7186A9C5" w14:textId="5F63201B" w:rsidR="004D6FCB" w:rsidRPr="005668A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>Suivi de la Charte démocratique interaméricaine</w:t>
      </w:r>
    </w:p>
    <w:p w14:paraId="562BEF57" w14:textId="7429CF9C" w:rsidR="004D6FCB" w:rsidRPr="005668AD" w:rsidRDefault="004D6FCB" w:rsidP="007361EC">
      <w:pPr>
        <w:numPr>
          <w:ilvl w:val="0"/>
          <w:numId w:val="45"/>
        </w:numPr>
        <w:ind w:left="108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>Programme interaméricain des facilitateurs judiciaires</w:t>
      </w:r>
    </w:p>
    <w:p w14:paraId="4E4978D4" w14:textId="77777777" w:rsidR="00BF43E1" w:rsidRPr="005668A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</w:p>
    <w:p w14:paraId="3EC0BF9C" w14:textId="0E415FE0" w:rsidR="00BF43E1" w:rsidRPr="005668AD" w:rsidRDefault="00BF43E1" w:rsidP="007361EC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>Intervention de M. Francisco Gue</w:t>
      </w:r>
      <w:r w:rsidR="00CD4308" w:rsidRPr="005668AD">
        <w:rPr>
          <w:sz w:val="22"/>
          <w:szCs w:val="22"/>
          <w:lang w:val="fr-FR"/>
        </w:rPr>
        <w:t>r</w:t>
      </w:r>
      <w:r w:rsidRPr="005668AD">
        <w:rPr>
          <w:sz w:val="22"/>
          <w:szCs w:val="22"/>
          <w:lang w:val="fr-FR"/>
        </w:rPr>
        <w:t xml:space="preserve">rero Aguirre, secrétaire au renforcement de la démocratie </w:t>
      </w:r>
      <w:r w:rsidRPr="005668AD">
        <w:rPr>
          <w:b/>
          <w:bCs/>
          <w:sz w:val="22"/>
          <w:szCs w:val="22"/>
          <w:lang w:val="fr-FR"/>
        </w:rPr>
        <w:t>(15 minutes)</w:t>
      </w:r>
    </w:p>
    <w:p w14:paraId="03838D68" w14:textId="77777777" w:rsidR="00BF43E1" w:rsidRPr="005668AD" w:rsidRDefault="00BF43E1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</w:p>
    <w:p w14:paraId="68D47811" w14:textId="1AD0E1FD" w:rsidR="00BF43E1" w:rsidRPr="005668AD" w:rsidRDefault="009E6789" w:rsidP="007361EC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>Interventions des États membres</w:t>
      </w:r>
    </w:p>
    <w:p w14:paraId="6E89C86D" w14:textId="77777777" w:rsidR="004D6FCB" w:rsidRPr="005668AD" w:rsidRDefault="004D6FCB" w:rsidP="007361EC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FR" w:eastAsia="en-US"/>
        </w:rPr>
      </w:pPr>
    </w:p>
    <w:p w14:paraId="7FDECC11" w14:textId="3BDD3ED8" w:rsidR="00FE3F7D" w:rsidRPr="005668AD" w:rsidRDefault="00F264C5" w:rsidP="007361EC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val="fr-FR"/>
        </w:rPr>
      </w:pPr>
      <w:r w:rsidRPr="005668AD">
        <w:rPr>
          <w:sz w:val="22"/>
          <w:szCs w:val="22"/>
          <w:lang w:val="fr-FR"/>
        </w:rPr>
        <w:t>Autres questions</w:t>
      </w:r>
      <w:r w:rsidR="00CF7F1A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C0A74E" wp14:editId="07EF199F">
                <wp:simplePos x="0" y="0"/>
                <wp:positionH relativeFrom="column">
                  <wp:posOffset>-91440</wp:posOffset>
                </wp:positionH>
                <wp:positionV relativeFrom="page">
                  <wp:posOffset>9429750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2A4F77" w14:textId="27EE6A72" w:rsidR="00CF7F1A" w:rsidRPr="00CF7F1A" w:rsidRDefault="00CF7F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CP49602F04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A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42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uIYC8d8AAAANAQAADwAAAAAAAAAA&#10;AAAAAADHBAAAZHJzL2Rvd25yZXYueG1sUEsFBgAAAAAEAAQA8wAAANMFAAAAAA==&#10;" filled="f" stroked="f">
                <v:stroke joinstyle="round"/>
                <v:textbox>
                  <w:txbxContent>
                    <w:p w14:paraId="7C2A4F77" w14:textId="27EE6A72" w:rsidR="00CF7F1A" w:rsidRPr="00CF7F1A" w:rsidRDefault="00CF7F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CP49602F04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5668AD" w:rsidSect="0023312A">
      <w:headerReference w:type="default" r:id="rId14"/>
      <w:pgSz w:w="12240" w:h="15840" w:code="1"/>
      <w:pgMar w:top="2160" w:right="1185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DE12" w14:textId="77777777" w:rsidR="00C47D35" w:rsidRPr="00790446" w:rsidRDefault="00C47D35" w:rsidP="00000073">
      <w:r w:rsidRPr="00790446">
        <w:separator/>
      </w:r>
    </w:p>
  </w:endnote>
  <w:endnote w:type="continuationSeparator" w:id="0">
    <w:p w14:paraId="4B2A62B6" w14:textId="77777777" w:rsidR="00C47D35" w:rsidRPr="00790446" w:rsidRDefault="00C47D35" w:rsidP="00000073">
      <w:r w:rsidRPr="00790446">
        <w:continuationSeparator/>
      </w:r>
    </w:p>
  </w:endnote>
  <w:endnote w:type="continuationNotice" w:id="1">
    <w:p w14:paraId="5AEE52F1" w14:textId="77777777" w:rsidR="00C47D35" w:rsidRDefault="00C47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6D1F" w14:textId="77777777" w:rsidR="00C47D35" w:rsidRPr="00790446" w:rsidRDefault="00C47D35" w:rsidP="00000073">
      <w:r w:rsidRPr="00790446">
        <w:separator/>
      </w:r>
    </w:p>
  </w:footnote>
  <w:footnote w:type="continuationSeparator" w:id="0">
    <w:p w14:paraId="00A4438E" w14:textId="77777777" w:rsidR="00C47D35" w:rsidRPr="00790446" w:rsidRDefault="00C47D35" w:rsidP="00000073">
      <w:r w:rsidRPr="00790446">
        <w:continuationSeparator/>
      </w:r>
    </w:p>
  </w:footnote>
  <w:footnote w:type="continuationNotice" w:id="1">
    <w:p w14:paraId="44DF8412" w14:textId="77777777" w:rsidR="00C47D35" w:rsidRDefault="00C47D35"/>
  </w:footnote>
  <w:footnote w:id="2">
    <w:p w14:paraId="7A758B9A" w14:textId="7C43BABA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 xml:space="preserve">La participation des organisations de la société civile aux réunions de la CAJP est régie par les alinéas a et b de l’article 13 de la résolution </w:t>
      </w:r>
      <w:hyperlink r:id="rId1" w:history="1">
        <w:r>
          <w:rPr>
            <w:rStyle w:val="Hyperlink"/>
            <w:rFonts w:ascii="Times New Roman" w:hAnsi="Times New Roman"/>
          </w:rPr>
          <w:t>CP/RES.</w:t>
        </w:r>
      </w:hyperlink>
      <w:r w:rsidR="00CF7F1A">
        <w:rPr>
          <w:rStyle w:val="Hyperlink"/>
          <w:rFonts w:ascii="Times New Roman" w:hAnsi="Times New Roman"/>
        </w:rPr>
        <w:t xml:space="preserve"> </w:t>
      </w:r>
      <w:hyperlink r:id="rId2" w:history="1">
        <w:r>
          <w:rPr>
            <w:rStyle w:val="Hyperlink"/>
            <w:rFonts w:ascii="Times New Roman" w:hAnsi="Times New Roman"/>
          </w:rPr>
          <w:t>759 (1217/99)</w:t>
        </w:r>
      </w:hyperlink>
      <w:r>
        <w:t>, « Directives pour la participation des institutions de la société civile aux activités de l’OEA », adoptée par le Conseil permanent.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F056BB">
          <w:rPr>
            <w:sz w:val="22"/>
          </w:rPr>
          <w:fldChar w:fldCharType="begin"/>
        </w:r>
        <w:r w:rsidRPr="00F056BB">
          <w:rPr>
            <w:sz w:val="22"/>
          </w:rPr>
          <w:instrText xml:space="preserve"> PAGE   \* MERGEFORMAT </w:instrText>
        </w:r>
        <w:r w:rsidRPr="00F056BB">
          <w:rPr>
            <w:sz w:val="22"/>
          </w:rPr>
          <w:fldChar w:fldCharType="separate"/>
        </w:r>
        <w:r w:rsidR="00670214" w:rsidRPr="00F056BB">
          <w:rPr>
            <w:sz w:val="22"/>
          </w:rPr>
          <w:t>2</w:t>
        </w:r>
        <w:r w:rsidRPr="00F056BB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09E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195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12A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461D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E41B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68AD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5D8D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49E8"/>
    <w:rsid w:val="00705AAB"/>
    <w:rsid w:val="0071092A"/>
    <w:rsid w:val="00714771"/>
    <w:rsid w:val="00717308"/>
    <w:rsid w:val="00717880"/>
    <w:rsid w:val="00717E69"/>
    <w:rsid w:val="00720FC3"/>
    <w:rsid w:val="00727FC9"/>
    <w:rsid w:val="007353DE"/>
    <w:rsid w:val="007361EC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8DA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05C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2764B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22B33"/>
    <w:rsid w:val="00B30330"/>
    <w:rsid w:val="00B325D6"/>
    <w:rsid w:val="00B40ACF"/>
    <w:rsid w:val="00B43DB5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47D35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308"/>
    <w:rsid w:val="00CD45CE"/>
    <w:rsid w:val="00CE3208"/>
    <w:rsid w:val="00CE6669"/>
    <w:rsid w:val="00CF1DBA"/>
    <w:rsid w:val="00CF21C5"/>
    <w:rsid w:val="00CF3B0E"/>
    <w:rsid w:val="00CF751E"/>
    <w:rsid w:val="00CF7F1A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3FBD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77F81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fr-CA" w:eastAsia="es-ES"/>
    </w:rPr>
  </w:style>
  <w:style w:type="character" w:styleId="FollowedHyperlink">
    <w:name w:val="FollowedHyperlink"/>
    <w:rsid w:val="001E4E96"/>
    <w:rPr>
      <w:color w:val="800080"/>
      <w:u w:val="single"/>
      <w:lang w:val="fr-CA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fr-CA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fr-CA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fr-CA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fr-CA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fr-CA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fr-CA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m.oas.org/pdfs/2024/CP49602f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4/CP49444S05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4/CP49444S05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36ag/espanol/doc_referencia/cpres759_99.pdf" TargetMode="External"/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Loredo, Carmen</cp:lastModifiedBy>
  <cp:revision>6</cp:revision>
  <cp:lastPrinted>2017-02-03T19:23:00Z</cp:lastPrinted>
  <dcterms:created xsi:type="dcterms:W3CDTF">2024-04-24T13:11:00Z</dcterms:created>
  <dcterms:modified xsi:type="dcterms:W3CDTF">2024-04-24T13:20:00Z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