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B13374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B13374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B13374">
              <w:rPr>
                <w:sz w:val="22"/>
                <w:szCs w:val="22"/>
              </w:rPr>
              <w:t>CONSELHO PERMANENTE DA</w:t>
            </w:r>
          </w:p>
          <w:p w14:paraId="200CB6A6" w14:textId="77777777" w:rsidR="00227869" w:rsidRPr="00B13374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B13374">
              <w:rPr>
                <w:sz w:val="22"/>
                <w:szCs w:val="22"/>
              </w:rPr>
              <w:t>ORGANIZAÇÃO DOS ESTADOS AMERICANOS</w:t>
            </w:r>
          </w:p>
          <w:p w14:paraId="22C7D107" w14:textId="77777777" w:rsidR="00227869" w:rsidRPr="00B13374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B13374" w:rsidRDefault="00227869" w:rsidP="00BD30C1">
            <w:pPr>
              <w:jc w:val="center"/>
              <w:rPr>
                <w:sz w:val="22"/>
                <w:szCs w:val="22"/>
              </w:rPr>
            </w:pPr>
            <w:r w:rsidRPr="00B13374">
              <w:rPr>
                <w:sz w:val="22"/>
                <w:szCs w:val="22"/>
              </w:rPr>
              <w:t>COMISSÃO DE ASSUNTOS JURÍDICOS E POLÍTICOS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B13374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s-US"/>
              </w:rPr>
            </w:pPr>
            <w:r w:rsidRPr="00B13374">
              <w:rPr>
                <w:sz w:val="22"/>
                <w:szCs w:val="22"/>
                <w:lang w:val="es-US"/>
              </w:rPr>
              <w:t>OEA/Ser.G</w:t>
            </w:r>
          </w:p>
          <w:p w14:paraId="4E1E990F" w14:textId="072E1395" w:rsidR="00227869" w:rsidRPr="00B13374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  <w:lang w:val="es-US"/>
              </w:rPr>
            </w:pPr>
            <w:r w:rsidRPr="00B13374">
              <w:rPr>
                <w:sz w:val="22"/>
                <w:szCs w:val="22"/>
                <w:lang w:val="es-US"/>
              </w:rPr>
              <w:t>CP/CAJP-3783/24</w:t>
            </w:r>
          </w:p>
          <w:p w14:paraId="06E2BBDB" w14:textId="22375FAF" w:rsidR="009638D4" w:rsidRPr="00B13374" w:rsidRDefault="004D6FCB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B13374">
              <w:rPr>
                <w:sz w:val="22"/>
                <w:szCs w:val="22"/>
              </w:rPr>
              <w:t>15 abril 2024</w:t>
            </w:r>
          </w:p>
          <w:p w14:paraId="434D6726" w14:textId="77777777" w:rsidR="00227869" w:rsidRPr="00B13374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B13374">
              <w:rPr>
                <w:sz w:val="22"/>
                <w:szCs w:val="22"/>
              </w:rPr>
              <w:t>Original: espanhol</w:t>
            </w:r>
          </w:p>
        </w:tc>
      </w:tr>
    </w:tbl>
    <w:p w14:paraId="04B727C0" w14:textId="77777777" w:rsidR="00CD1F3E" w:rsidRPr="00B13374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Pr="00B13374" w:rsidRDefault="00227869" w:rsidP="0031412B">
      <w:pPr>
        <w:widowControl w:val="0"/>
        <w:outlineLvl w:val="0"/>
        <w:rPr>
          <w:sz w:val="22"/>
          <w:szCs w:val="22"/>
        </w:rPr>
      </w:pPr>
    </w:p>
    <w:p w14:paraId="60FC9D8D" w14:textId="77777777" w:rsidR="00B0682F" w:rsidRDefault="00B0682F" w:rsidP="0031412B">
      <w:pPr>
        <w:widowControl w:val="0"/>
        <w:outlineLvl w:val="0"/>
        <w:rPr>
          <w:sz w:val="22"/>
          <w:szCs w:val="22"/>
        </w:rPr>
      </w:pPr>
    </w:p>
    <w:p w14:paraId="7A3BEB8B" w14:textId="77777777" w:rsidR="0031412B" w:rsidRPr="00B13374" w:rsidRDefault="0031412B" w:rsidP="0031412B">
      <w:pPr>
        <w:widowControl w:val="0"/>
        <w:outlineLvl w:val="0"/>
        <w:rPr>
          <w:sz w:val="22"/>
          <w:szCs w:val="22"/>
        </w:rPr>
      </w:pPr>
    </w:p>
    <w:p w14:paraId="25CEF595" w14:textId="41B9FECE" w:rsidR="00227869" w:rsidRPr="00B13374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B13374">
        <w:rPr>
          <w:szCs w:val="22"/>
        </w:rPr>
        <w:t>PROJETO DE ORDEM DO DIA</w:t>
      </w:r>
      <w:r w:rsidR="00717E69" w:rsidRPr="00B13374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 w:rsidRPr="00B13374">
        <w:rPr>
          <w:b/>
          <w:szCs w:val="22"/>
          <w:vertAlign w:val="superscript"/>
        </w:rPr>
        <w:t>/</w:t>
      </w:r>
    </w:p>
    <w:p w14:paraId="0FB0096F" w14:textId="77777777" w:rsidR="00227869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0709A50E" w14:textId="77777777" w:rsidR="0031412B" w:rsidRPr="00B13374" w:rsidRDefault="0031412B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E43FC85" w:rsidR="00227869" w:rsidRPr="00B13374" w:rsidRDefault="00227869" w:rsidP="00861F79">
      <w:pPr>
        <w:ind w:left="2520"/>
        <w:jc w:val="both"/>
        <w:rPr>
          <w:sz w:val="22"/>
          <w:szCs w:val="22"/>
        </w:rPr>
      </w:pPr>
      <w:r w:rsidRPr="00B13374">
        <w:rPr>
          <w:sz w:val="22"/>
          <w:szCs w:val="22"/>
          <w:u w:val="single"/>
        </w:rPr>
        <w:t>Data:</w:t>
      </w:r>
      <w:r w:rsidRPr="00B13374">
        <w:rPr>
          <w:sz w:val="22"/>
          <w:szCs w:val="22"/>
        </w:rPr>
        <w:tab/>
        <w:t>Quinta-feira, 25 de abril de 2024</w:t>
      </w:r>
    </w:p>
    <w:p w14:paraId="4ECA8685" w14:textId="0937E970" w:rsidR="00227869" w:rsidRPr="00B13374" w:rsidRDefault="00227869" w:rsidP="00861F79">
      <w:pPr>
        <w:ind w:left="2520"/>
        <w:jc w:val="both"/>
        <w:rPr>
          <w:sz w:val="22"/>
          <w:szCs w:val="22"/>
        </w:rPr>
      </w:pPr>
      <w:r w:rsidRPr="00B13374">
        <w:rPr>
          <w:sz w:val="22"/>
          <w:szCs w:val="22"/>
          <w:u w:val="single"/>
        </w:rPr>
        <w:t>Hora</w:t>
      </w:r>
      <w:r w:rsidRPr="00B13374">
        <w:rPr>
          <w:sz w:val="22"/>
          <w:szCs w:val="22"/>
        </w:rPr>
        <w:t>:</w:t>
      </w:r>
      <w:r w:rsidRPr="00B13374">
        <w:rPr>
          <w:sz w:val="22"/>
          <w:szCs w:val="22"/>
        </w:rPr>
        <w:tab/>
        <w:t>14h30 – 17h30</w:t>
      </w:r>
    </w:p>
    <w:p w14:paraId="4A976F1D" w14:textId="34A54538" w:rsidR="00227869" w:rsidRPr="00B13374" w:rsidRDefault="00227869" w:rsidP="00861F79">
      <w:pPr>
        <w:ind w:left="2520"/>
        <w:jc w:val="both"/>
        <w:rPr>
          <w:sz w:val="22"/>
          <w:szCs w:val="22"/>
        </w:rPr>
      </w:pPr>
      <w:r w:rsidRPr="00B13374">
        <w:rPr>
          <w:sz w:val="22"/>
          <w:szCs w:val="22"/>
          <w:u w:val="single"/>
        </w:rPr>
        <w:t>Local</w:t>
      </w:r>
      <w:r w:rsidRPr="00B13374">
        <w:rPr>
          <w:sz w:val="22"/>
          <w:szCs w:val="22"/>
        </w:rPr>
        <w:t>:</w:t>
      </w:r>
      <w:r w:rsidRPr="00B13374">
        <w:rPr>
          <w:sz w:val="22"/>
          <w:szCs w:val="22"/>
        </w:rPr>
        <w:tab/>
        <w:t xml:space="preserve">Salão Libertador Simón Bolívar </w:t>
      </w:r>
    </w:p>
    <w:p w14:paraId="2E8E7A5C" w14:textId="77777777" w:rsidR="002B63E8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5FC9CA87" w14:textId="77777777" w:rsidR="0031412B" w:rsidRPr="00B13374" w:rsidRDefault="0031412B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B13374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 w:rsidRPr="00B13374">
        <w:rPr>
          <w:sz w:val="22"/>
          <w:szCs w:val="22"/>
        </w:rPr>
        <w:t>Consideração e aprovação da ordem do dia da reunião (CP/CAJP-3783/24)</w:t>
      </w:r>
    </w:p>
    <w:p w14:paraId="0DC61BBC" w14:textId="77777777" w:rsidR="0082377F" w:rsidRPr="00B13374" w:rsidRDefault="0082377F" w:rsidP="0031412B">
      <w:pPr>
        <w:jc w:val="both"/>
        <w:rPr>
          <w:sz w:val="22"/>
          <w:szCs w:val="22"/>
        </w:rPr>
      </w:pPr>
      <w:bookmarkStart w:id="0" w:name="_Hlk146625700"/>
    </w:p>
    <w:bookmarkEnd w:id="0"/>
    <w:p w14:paraId="5D4CB801" w14:textId="530A86CF" w:rsidR="004D6FCB" w:rsidRPr="00B13374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 w:rsidRPr="00B13374">
        <w:rPr>
          <w:sz w:val="22"/>
          <w:szCs w:val="22"/>
        </w:rPr>
        <w:t xml:space="preserve">Apresentação do </w:t>
      </w:r>
      <w:r w:rsidR="007256DD" w:rsidRPr="00B13374">
        <w:rPr>
          <w:sz w:val="22"/>
          <w:szCs w:val="22"/>
        </w:rPr>
        <w:t xml:space="preserve">Relatório Anual </w:t>
      </w:r>
      <w:r w:rsidRPr="00B13374">
        <w:rPr>
          <w:sz w:val="22"/>
          <w:szCs w:val="22"/>
        </w:rPr>
        <w:t xml:space="preserve">da CIDH ao Quinquagésimo Quarto Período Ordinário de Sessões da Assembleia Geral </w:t>
      </w:r>
      <w:r w:rsidRPr="00B13374">
        <w:rPr>
          <w:b/>
          <w:sz w:val="22"/>
          <w:szCs w:val="22"/>
        </w:rPr>
        <w:t>(</w:t>
      </w:r>
      <w:hyperlink r:id="rId11" w:history="1">
        <w:r w:rsidRPr="00B13374">
          <w:rPr>
            <w:b/>
            <w:color w:val="0000FF"/>
            <w:sz w:val="22"/>
            <w:szCs w:val="22"/>
            <w:u w:val="single"/>
          </w:rPr>
          <w:t>CP/doc.</w:t>
        </w:r>
      </w:hyperlink>
      <w:hyperlink r:id="rId12" w:history="1">
        <w:r w:rsidRPr="00B13374">
          <w:rPr>
            <w:b/>
            <w:color w:val="0000FF"/>
            <w:sz w:val="22"/>
            <w:szCs w:val="22"/>
            <w:u w:val="single"/>
          </w:rPr>
          <w:t xml:space="preserve"> 5975/24</w:t>
        </w:r>
      </w:hyperlink>
      <w:r w:rsidRPr="00B13374">
        <w:rPr>
          <w:b/>
          <w:sz w:val="22"/>
          <w:szCs w:val="22"/>
        </w:rPr>
        <w:t>)</w:t>
      </w:r>
    </w:p>
    <w:p w14:paraId="22F033CF" w14:textId="77777777" w:rsidR="008E6305" w:rsidRPr="0031412B" w:rsidRDefault="008E6305" w:rsidP="008E6305">
      <w:pPr>
        <w:rPr>
          <w:rFonts w:eastAsia="Calibri"/>
          <w:sz w:val="22"/>
          <w:szCs w:val="22"/>
          <w:lang w:eastAsia="en-US"/>
        </w:rPr>
      </w:pPr>
    </w:p>
    <w:p w14:paraId="0BADBB1E" w14:textId="134D91B6" w:rsidR="008E6305" w:rsidRPr="00B13374" w:rsidRDefault="00BF43E1" w:rsidP="0031412B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</w:rPr>
      </w:pPr>
      <w:bookmarkStart w:id="1" w:name="_Hlk163738220"/>
      <w:r w:rsidRPr="00B13374">
        <w:rPr>
          <w:sz w:val="22"/>
          <w:szCs w:val="22"/>
        </w:rPr>
        <w:t xml:space="preserve">Apresentação </w:t>
      </w:r>
      <w:r w:rsidR="007256DD">
        <w:rPr>
          <w:sz w:val="22"/>
          <w:szCs w:val="22"/>
        </w:rPr>
        <w:t xml:space="preserve">a cargo </w:t>
      </w:r>
      <w:r w:rsidRPr="00B13374">
        <w:rPr>
          <w:sz w:val="22"/>
          <w:szCs w:val="22"/>
        </w:rPr>
        <w:t>da Secretária Executiva da CIDH, Doutora Tania Reneaum Panszi (</w:t>
      </w:r>
      <w:r w:rsidRPr="00B13374">
        <w:rPr>
          <w:b/>
          <w:sz w:val="22"/>
          <w:szCs w:val="22"/>
        </w:rPr>
        <w:t>15 minutos</w:t>
      </w:r>
      <w:r w:rsidRPr="00B13374">
        <w:rPr>
          <w:sz w:val="22"/>
          <w:szCs w:val="22"/>
        </w:rPr>
        <w:t>)</w:t>
      </w:r>
    </w:p>
    <w:p w14:paraId="7B837817" w14:textId="77777777" w:rsidR="00BF43E1" w:rsidRPr="0031412B" w:rsidRDefault="00BF43E1" w:rsidP="0031412B">
      <w:pPr>
        <w:rPr>
          <w:rFonts w:eastAsia="Calibri"/>
          <w:sz w:val="22"/>
          <w:szCs w:val="22"/>
          <w:lang w:eastAsia="en-US"/>
        </w:rPr>
      </w:pPr>
    </w:p>
    <w:p w14:paraId="5CD45B0B" w14:textId="2387E52F" w:rsidR="00BF43E1" w:rsidRPr="00B13374" w:rsidRDefault="00BF43E1" w:rsidP="0031412B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</w:rPr>
      </w:pPr>
      <w:r w:rsidRPr="00B13374">
        <w:rPr>
          <w:sz w:val="22"/>
          <w:szCs w:val="22"/>
        </w:rPr>
        <w:t>Observações e recomendações dos Estados membros ao Relatório Anual da CIDH</w:t>
      </w:r>
    </w:p>
    <w:bookmarkEnd w:id="1"/>
    <w:p w14:paraId="633BE8C2" w14:textId="77777777" w:rsidR="004D6FCB" w:rsidRPr="00B13374" w:rsidRDefault="004D6FCB" w:rsidP="0031412B">
      <w:pPr>
        <w:jc w:val="both"/>
        <w:rPr>
          <w:rFonts w:eastAsia="Calibri"/>
          <w:sz w:val="22"/>
          <w:szCs w:val="22"/>
          <w:lang w:eastAsia="en-US"/>
        </w:rPr>
      </w:pPr>
    </w:p>
    <w:p w14:paraId="0C5D57FC" w14:textId="21DBBFD9" w:rsidR="004D6FCB" w:rsidRPr="00B13374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 w:rsidRPr="00B13374">
        <w:rPr>
          <w:sz w:val="22"/>
          <w:szCs w:val="22"/>
        </w:rPr>
        <w:t xml:space="preserve">Consideração dos relatórios relativos aos mandatos da resolução AG/RES. 3004 (LIII-O/23), “Fortalecimento da democracia” que correspondem à Secretaria de Fortalecimento da Democracia </w:t>
      </w:r>
    </w:p>
    <w:p w14:paraId="5A83EDCB" w14:textId="77777777" w:rsidR="00BF43E1" w:rsidRPr="0031412B" w:rsidRDefault="00BF43E1" w:rsidP="00BF43E1">
      <w:pPr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B13374" w:rsidRDefault="004D6FCB" w:rsidP="0031412B">
      <w:pPr>
        <w:numPr>
          <w:ilvl w:val="0"/>
          <w:numId w:val="45"/>
        </w:numPr>
        <w:ind w:hanging="720"/>
        <w:jc w:val="both"/>
        <w:rPr>
          <w:sz w:val="22"/>
          <w:szCs w:val="22"/>
        </w:rPr>
      </w:pPr>
      <w:r w:rsidRPr="00B13374">
        <w:rPr>
          <w:sz w:val="22"/>
          <w:szCs w:val="22"/>
        </w:rPr>
        <w:t xml:space="preserve">Cooperação técnica e missões de observação eleitoral </w:t>
      </w:r>
    </w:p>
    <w:p w14:paraId="02FE516E" w14:textId="77777777" w:rsidR="004D6FCB" w:rsidRPr="00B13374" w:rsidRDefault="004D6FCB" w:rsidP="0031412B">
      <w:pPr>
        <w:numPr>
          <w:ilvl w:val="0"/>
          <w:numId w:val="45"/>
        </w:numPr>
        <w:ind w:hanging="720"/>
        <w:jc w:val="both"/>
        <w:rPr>
          <w:sz w:val="22"/>
          <w:szCs w:val="22"/>
        </w:rPr>
      </w:pPr>
      <w:r w:rsidRPr="00B13374">
        <w:rPr>
          <w:sz w:val="22"/>
          <w:szCs w:val="22"/>
        </w:rPr>
        <w:t>Missão de Apoio ao Processo de Paz na Colômbia (MAPP/OEA)</w:t>
      </w:r>
    </w:p>
    <w:p w14:paraId="7186A9C5" w14:textId="77777777" w:rsidR="004D6FCB" w:rsidRPr="00B13374" w:rsidRDefault="004D6FCB" w:rsidP="0031412B">
      <w:pPr>
        <w:numPr>
          <w:ilvl w:val="0"/>
          <w:numId w:val="45"/>
        </w:numPr>
        <w:ind w:hanging="720"/>
        <w:jc w:val="both"/>
        <w:rPr>
          <w:sz w:val="22"/>
          <w:szCs w:val="22"/>
        </w:rPr>
      </w:pPr>
      <w:r w:rsidRPr="00B13374">
        <w:rPr>
          <w:sz w:val="22"/>
          <w:szCs w:val="22"/>
        </w:rPr>
        <w:t>Acompanhamento da Carta Democrática Interamericana  </w:t>
      </w:r>
    </w:p>
    <w:p w14:paraId="562BEF57" w14:textId="77777777" w:rsidR="004D6FCB" w:rsidRPr="00B13374" w:rsidRDefault="004D6FCB" w:rsidP="0031412B">
      <w:pPr>
        <w:numPr>
          <w:ilvl w:val="0"/>
          <w:numId w:val="45"/>
        </w:numPr>
        <w:ind w:hanging="720"/>
        <w:jc w:val="both"/>
        <w:rPr>
          <w:sz w:val="22"/>
          <w:szCs w:val="22"/>
        </w:rPr>
      </w:pPr>
      <w:r w:rsidRPr="00B13374">
        <w:rPr>
          <w:sz w:val="22"/>
          <w:szCs w:val="22"/>
        </w:rPr>
        <w:t>Programa Interamericano de Facilitadores Judiciais  </w:t>
      </w:r>
    </w:p>
    <w:p w14:paraId="4E4978D4" w14:textId="77777777" w:rsidR="00BF43E1" w:rsidRPr="0031412B" w:rsidRDefault="00BF43E1" w:rsidP="0031412B">
      <w:pPr>
        <w:rPr>
          <w:rFonts w:eastAsia="Calibri"/>
          <w:sz w:val="22"/>
          <w:szCs w:val="22"/>
          <w:lang w:eastAsia="en-US"/>
        </w:rPr>
      </w:pPr>
    </w:p>
    <w:p w14:paraId="3EC0BF9C" w14:textId="3BF62AAB" w:rsidR="00BF43E1" w:rsidRPr="00B13374" w:rsidRDefault="00BF43E1" w:rsidP="0031412B">
      <w:pPr>
        <w:pStyle w:val="ListParagraph"/>
        <w:numPr>
          <w:ilvl w:val="1"/>
          <w:numId w:val="44"/>
        </w:numPr>
        <w:ind w:left="1440" w:hanging="723"/>
        <w:jc w:val="both"/>
        <w:rPr>
          <w:rFonts w:eastAsia="Calibri"/>
          <w:sz w:val="22"/>
          <w:szCs w:val="22"/>
        </w:rPr>
      </w:pPr>
      <w:r w:rsidRPr="00B13374">
        <w:rPr>
          <w:sz w:val="22"/>
          <w:szCs w:val="22"/>
        </w:rPr>
        <w:t>Apresentação a cargo do Secretário de Fortalecimento da Democracia, Doutor Francisco Guerrero Aguirre (</w:t>
      </w:r>
      <w:r w:rsidRPr="00B13374">
        <w:rPr>
          <w:b/>
          <w:sz w:val="22"/>
          <w:szCs w:val="22"/>
        </w:rPr>
        <w:t>15 minutos</w:t>
      </w:r>
      <w:r w:rsidRPr="00B13374">
        <w:rPr>
          <w:sz w:val="22"/>
          <w:szCs w:val="22"/>
        </w:rPr>
        <w:t>)</w:t>
      </w:r>
    </w:p>
    <w:p w14:paraId="03838D68" w14:textId="77777777" w:rsidR="00BF43E1" w:rsidRPr="0031412B" w:rsidRDefault="00BF43E1" w:rsidP="0031412B">
      <w:pPr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B13374" w:rsidRDefault="009E6789" w:rsidP="0031412B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</w:rPr>
      </w:pPr>
      <w:r w:rsidRPr="00B13374">
        <w:rPr>
          <w:sz w:val="22"/>
          <w:szCs w:val="22"/>
        </w:rPr>
        <w:t>Intervenções dos Estados membros</w:t>
      </w:r>
    </w:p>
    <w:p w14:paraId="6E89C86D" w14:textId="77777777" w:rsidR="004D6FCB" w:rsidRPr="00B13374" w:rsidRDefault="004D6FCB" w:rsidP="0031412B">
      <w:pPr>
        <w:rPr>
          <w:rFonts w:eastAsia="Calibri"/>
          <w:sz w:val="22"/>
          <w:szCs w:val="22"/>
          <w:lang w:eastAsia="en-US"/>
        </w:rPr>
      </w:pPr>
    </w:p>
    <w:p w14:paraId="7FDECC11" w14:textId="3CFE75D6" w:rsidR="00FE3F7D" w:rsidRPr="00B13374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 w:rsidRPr="00B13374">
        <w:rPr>
          <w:sz w:val="22"/>
          <w:szCs w:val="22"/>
        </w:rPr>
        <w:t>Outros assuntos</w:t>
      </w:r>
      <w:r w:rsidR="00AB4D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FB5595" wp14:editId="7B2A5799">
                <wp:simplePos x="0" y="0"/>
                <wp:positionH relativeFrom="column">
                  <wp:posOffset>-120015</wp:posOffset>
                </wp:positionH>
                <wp:positionV relativeFrom="page">
                  <wp:posOffset>9458325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85A111" w14:textId="084A3B24" w:rsidR="00AB4D71" w:rsidRPr="00AB4D71" w:rsidRDefault="00AB4D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CP49552P04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55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744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Tj4tRd8AAAANAQAADwAAAAAAAAAA&#10;AAAAAADHBAAAZHJzL2Rvd25yZXYueG1sUEsFBgAAAAAEAAQA8wAAANMFAAAAAA==&#10;" filled="f" stroked="f">
                <v:stroke joinstyle="round"/>
                <v:textbox>
                  <w:txbxContent>
                    <w:p w14:paraId="0085A111" w14:textId="084A3B24" w:rsidR="00AB4D71" w:rsidRPr="00AB4D71" w:rsidRDefault="00AB4D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CP49552P04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B13374" w:rsidSect="00C15643">
      <w:headerReference w:type="default" r:id="rId13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1058" w14:textId="77777777" w:rsidR="00DF634B" w:rsidRPr="00790446" w:rsidRDefault="00DF634B" w:rsidP="00000073">
      <w:r w:rsidRPr="00790446">
        <w:separator/>
      </w:r>
    </w:p>
  </w:endnote>
  <w:endnote w:type="continuationSeparator" w:id="0">
    <w:p w14:paraId="033D9414" w14:textId="77777777" w:rsidR="00DF634B" w:rsidRPr="00790446" w:rsidRDefault="00DF634B" w:rsidP="00000073">
      <w:r w:rsidRPr="00790446">
        <w:continuationSeparator/>
      </w:r>
    </w:p>
  </w:endnote>
  <w:endnote w:type="continuationNotice" w:id="1">
    <w:p w14:paraId="332DD9F5" w14:textId="77777777" w:rsidR="00DF634B" w:rsidRDefault="00DF6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8BD0" w14:textId="77777777" w:rsidR="00DF634B" w:rsidRPr="00790446" w:rsidRDefault="00DF634B" w:rsidP="00000073">
      <w:r w:rsidRPr="00790446">
        <w:separator/>
      </w:r>
    </w:p>
  </w:footnote>
  <w:footnote w:type="continuationSeparator" w:id="0">
    <w:p w14:paraId="0590299A" w14:textId="77777777" w:rsidR="00DF634B" w:rsidRPr="00790446" w:rsidRDefault="00DF634B" w:rsidP="00000073">
      <w:r w:rsidRPr="00790446">
        <w:continuationSeparator/>
      </w:r>
    </w:p>
  </w:footnote>
  <w:footnote w:type="continuationNotice" w:id="1">
    <w:p w14:paraId="27D1174A" w14:textId="77777777" w:rsidR="00DF634B" w:rsidRDefault="00DF634B"/>
  </w:footnote>
  <w:footnote w:id="2">
    <w:p w14:paraId="7A758B9A" w14:textId="77777777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A participação de organizações da sociedade civil nas sessões da CAJP é regida pelo parágrafo 13, alíneas </w:t>
      </w:r>
      <w:r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u w:val="single"/>
        </w:rPr>
        <w:t>b</w:t>
      </w:r>
      <w:r>
        <w:rPr>
          <w:rFonts w:ascii="Times New Roman" w:hAnsi="Times New Roman"/>
        </w:rPr>
        <w:t xml:space="preserve"> da resolução do Conselho Permanente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hyperlink r:id="rId2" w:history="1">
        <w:r>
          <w:rPr>
            <w:rStyle w:val="Hyperlink"/>
            <w:rFonts w:ascii="Times New Roman" w:hAnsi="Times New Roman"/>
          </w:rPr>
          <w:t xml:space="preserve"> 759 (1217/99)</w:t>
        </w:r>
      </w:hyperlink>
      <w:r>
        <w:t>, “Diretrizes para a participação das organizações da sociedade civil nas atividades da OEA”.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12B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56DD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D7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13374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3C49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pt-BR" w:eastAsia="es-ES"/>
    </w:rPr>
  </w:style>
  <w:style w:type="character" w:styleId="FollowedHyperlink">
    <w:name w:val="FollowedHyperlink"/>
    <w:rsid w:val="001E4E96"/>
    <w:rPr>
      <w:color w:val="800080"/>
      <w:u w:val="single"/>
      <w:lang w:val="pt-BR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pt-BR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pt-BR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pt-BR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pt-BR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pt-BR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4/CP49444S05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36ag/espanol/doc_referencia/cpres759_99.pdf" TargetMode="External"/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Santos, Ada</cp:lastModifiedBy>
  <cp:revision>13</cp:revision>
  <cp:lastPrinted>2017-02-03T19:23:00Z</cp:lastPrinted>
  <dcterms:created xsi:type="dcterms:W3CDTF">2024-04-11T18:46:00Z</dcterms:created>
  <dcterms:modified xsi:type="dcterms:W3CDTF">2024-04-17T14:41:00Z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