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B401" w14:textId="77777777" w:rsidR="002E5B9A" w:rsidRPr="002E5B9A" w:rsidRDefault="002E5B9A" w:rsidP="002E5B9A">
      <w:pPr>
        <w:tabs>
          <w:tab w:val="left" w:pos="7200"/>
        </w:tabs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val="es-MX"/>
        </w:rPr>
      </w:pPr>
    </w:p>
    <w:p w14:paraId="7E07D6EA" w14:textId="4246F01B" w:rsidR="002E5B9A" w:rsidRPr="002E5B9A" w:rsidRDefault="002E5B9A" w:rsidP="006E6022">
      <w:pPr>
        <w:tabs>
          <w:tab w:val="left" w:pos="7200"/>
        </w:tabs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val="es-MX"/>
        </w:rPr>
      </w:pPr>
      <w:r w:rsidRPr="002E5B9A">
        <w:rPr>
          <w:rFonts w:eastAsia="Times New Roman"/>
          <w:color w:val="000000"/>
          <w:sz w:val="22"/>
          <w:szCs w:val="22"/>
          <w:lang w:val="es-MX"/>
        </w:rPr>
        <w:t xml:space="preserve">GRUPO DE TRABAJO CONJUNTO DE CUMBRES </w:t>
      </w:r>
      <w:r w:rsidR="006E6022">
        <w:rPr>
          <w:rFonts w:eastAsia="Times New Roman"/>
          <w:color w:val="000000"/>
          <w:sz w:val="22"/>
          <w:szCs w:val="22"/>
          <w:lang w:val="es-MX"/>
        </w:rPr>
        <w:tab/>
      </w:r>
      <w:r w:rsidRPr="002E5B9A">
        <w:rPr>
          <w:rFonts w:eastAsia="Times New Roman"/>
          <w:color w:val="000000"/>
          <w:sz w:val="22"/>
          <w:szCs w:val="22"/>
          <w:lang w:val="es-MX"/>
        </w:rPr>
        <w:t>OEA/</w:t>
      </w:r>
      <w:proofErr w:type="spellStart"/>
      <w:r w:rsidRPr="002E5B9A">
        <w:rPr>
          <w:rFonts w:eastAsia="Times New Roman"/>
          <w:color w:val="000000"/>
          <w:sz w:val="22"/>
          <w:szCs w:val="22"/>
          <w:lang w:val="es-MX"/>
        </w:rPr>
        <w:t>Ser.E</w:t>
      </w:r>
      <w:proofErr w:type="spellEnd"/>
    </w:p>
    <w:p w14:paraId="683C3C9E" w14:textId="72C6105A" w:rsidR="002E5B9A" w:rsidRDefault="002E5B9A" w:rsidP="006E6022">
      <w:pPr>
        <w:tabs>
          <w:tab w:val="left" w:pos="7200"/>
        </w:tabs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val="es-MX"/>
        </w:rPr>
      </w:pPr>
      <w:r w:rsidRPr="002E5B9A">
        <w:rPr>
          <w:rFonts w:eastAsia="Times New Roman"/>
          <w:color w:val="000000"/>
          <w:sz w:val="22"/>
          <w:szCs w:val="22"/>
          <w:lang w:val="es-MX"/>
        </w:rPr>
        <w:t>Reunión de Altas Autoridades</w:t>
      </w:r>
      <w:r w:rsidRPr="002E5B9A">
        <w:rPr>
          <w:rFonts w:eastAsia="Times New Roman"/>
          <w:color w:val="000000"/>
          <w:sz w:val="22"/>
          <w:szCs w:val="22"/>
          <w:lang w:val="es-MX"/>
        </w:rPr>
        <w:tab/>
        <w:t>GTCC/doc.</w:t>
      </w:r>
      <w:r>
        <w:rPr>
          <w:rFonts w:eastAsia="Times New Roman"/>
          <w:color w:val="000000"/>
          <w:sz w:val="22"/>
          <w:szCs w:val="22"/>
          <w:lang w:val="es-MX"/>
        </w:rPr>
        <w:t>83</w:t>
      </w:r>
      <w:r w:rsidRPr="002E5B9A">
        <w:rPr>
          <w:rFonts w:eastAsia="Times New Roman"/>
          <w:color w:val="000000"/>
          <w:sz w:val="22"/>
          <w:szCs w:val="22"/>
          <w:lang w:val="es-MX"/>
        </w:rPr>
        <w:t>/20</w:t>
      </w:r>
    </w:p>
    <w:p w14:paraId="01F1A1ED" w14:textId="10D69105" w:rsidR="002E5B9A" w:rsidRPr="002E5B9A" w:rsidRDefault="002E5B9A" w:rsidP="006E6022">
      <w:pPr>
        <w:tabs>
          <w:tab w:val="left" w:pos="7200"/>
        </w:tabs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val="es-MX"/>
        </w:rPr>
      </w:pPr>
      <w:r w:rsidRPr="002E5B9A">
        <w:rPr>
          <w:rFonts w:eastAsia="Times New Roman"/>
          <w:color w:val="000000"/>
          <w:sz w:val="22"/>
          <w:szCs w:val="22"/>
          <w:lang w:val="es-MX"/>
        </w:rPr>
        <w:t xml:space="preserve">14 de septiembre de </w:t>
      </w:r>
      <w:r w:rsidR="006E6022">
        <w:rPr>
          <w:rFonts w:eastAsia="Times New Roman"/>
          <w:color w:val="000000"/>
          <w:sz w:val="22"/>
          <w:szCs w:val="22"/>
          <w:lang w:val="es-MX"/>
        </w:rPr>
        <w:t>2020</w:t>
      </w:r>
      <w:r w:rsidR="006E6022">
        <w:rPr>
          <w:rFonts w:eastAsia="Times New Roman"/>
          <w:color w:val="000000"/>
          <w:sz w:val="22"/>
          <w:szCs w:val="22"/>
          <w:lang w:val="es-MX"/>
        </w:rPr>
        <w:tab/>
      </w:r>
      <w:r w:rsidRPr="002E5B9A">
        <w:rPr>
          <w:rFonts w:eastAsia="Times New Roman"/>
          <w:color w:val="000000"/>
          <w:sz w:val="22"/>
          <w:szCs w:val="22"/>
          <w:lang w:val="es-MX"/>
        </w:rPr>
        <w:t>14 septiembre 2020</w:t>
      </w:r>
    </w:p>
    <w:p w14:paraId="2DDDBE17" w14:textId="662FDE0A" w:rsidR="002E5B9A" w:rsidRPr="0078051C" w:rsidRDefault="002E5B9A" w:rsidP="006E6022">
      <w:pPr>
        <w:tabs>
          <w:tab w:val="left" w:pos="7200"/>
        </w:tabs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val="es-US"/>
        </w:rPr>
      </w:pPr>
      <w:r w:rsidRPr="0078051C">
        <w:rPr>
          <w:rFonts w:eastAsia="Times New Roman"/>
          <w:color w:val="000000"/>
          <w:sz w:val="22"/>
          <w:szCs w:val="22"/>
          <w:lang w:val="es-US"/>
        </w:rPr>
        <w:t>Washington, D.</w:t>
      </w:r>
      <w:r w:rsidR="001E175B" w:rsidRPr="0078051C">
        <w:rPr>
          <w:rFonts w:eastAsia="Times New Roman"/>
          <w:color w:val="000000"/>
          <w:sz w:val="22"/>
          <w:szCs w:val="22"/>
          <w:lang w:val="es-US"/>
        </w:rPr>
        <w:t xml:space="preserve"> </w:t>
      </w:r>
      <w:r w:rsidR="006E6022" w:rsidRPr="0078051C">
        <w:rPr>
          <w:rFonts w:eastAsia="Times New Roman"/>
          <w:color w:val="000000"/>
          <w:sz w:val="22"/>
          <w:szCs w:val="22"/>
          <w:lang w:val="es-US"/>
        </w:rPr>
        <w:t>C.</w:t>
      </w:r>
      <w:r w:rsidR="006E6022" w:rsidRPr="0078051C">
        <w:rPr>
          <w:rFonts w:eastAsia="Times New Roman"/>
          <w:color w:val="000000"/>
          <w:sz w:val="22"/>
          <w:szCs w:val="22"/>
          <w:lang w:val="es-US"/>
        </w:rPr>
        <w:tab/>
      </w:r>
      <w:r w:rsidRPr="0078051C">
        <w:rPr>
          <w:rFonts w:eastAsia="Times New Roman"/>
          <w:color w:val="000000"/>
          <w:sz w:val="22"/>
          <w:szCs w:val="22"/>
          <w:lang w:val="es-US"/>
        </w:rPr>
        <w:t xml:space="preserve">Original: </w:t>
      </w:r>
      <w:r w:rsidR="001B7D9E" w:rsidRPr="0078051C">
        <w:rPr>
          <w:rFonts w:eastAsia="Times New Roman"/>
          <w:color w:val="000000"/>
          <w:sz w:val="22"/>
          <w:szCs w:val="22"/>
          <w:lang w:val="es-US"/>
        </w:rPr>
        <w:t>ingles</w:t>
      </w:r>
    </w:p>
    <w:p w14:paraId="2ED24CA7" w14:textId="77777777" w:rsidR="002E5B9A" w:rsidRPr="0078051C" w:rsidRDefault="002E5B9A" w:rsidP="002E5B9A">
      <w:pPr>
        <w:autoSpaceDE w:val="0"/>
        <w:autoSpaceDN w:val="0"/>
        <w:adjustRightInd w:val="0"/>
        <w:ind w:right="-360"/>
        <w:rPr>
          <w:rFonts w:eastAsia="Times New Roman"/>
          <w:color w:val="000000"/>
          <w:sz w:val="22"/>
          <w:szCs w:val="22"/>
          <w:lang w:val="es-US"/>
        </w:rPr>
      </w:pPr>
    </w:p>
    <w:p w14:paraId="79162B74" w14:textId="77777777" w:rsidR="008C32E3" w:rsidRDefault="00B662BB" w:rsidP="002E5B9A">
      <w:pPr>
        <w:jc w:val="center"/>
        <w:rPr>
          <w:bCs/>
          <w:color w:val="000000"/>
          <w:sz w:val="22"/>
          <w:szCs w:val="22"/>
          <w:lang w:val="es-CO"/>
        </w:rPr>
      </w:pPr>
      <w:r w:rsidRPr="002E5B9A">
        <w:rPr>
          <w:bCs/>
          <w:color w:val="000000"/>
          <w:sz w:val="22"/>
          <w:szCs w:val="22"/>
          <w:lang w:val="es-CO"/>
        </w:rPr>
        <w:t>Cuarta Reunión Extraordinaria de</w:t>
      </w:r>
      <w:r w:rsidR="002E5B9A" w:rsidRPr="002E5B9A">
        <w:rPr>
          <w:bCs/>
          <w:color w:val="000000"/>
          <w:sz w:val="22"/>
          <w:szCs w:val="22"/>
          <w:lang w:val="es-CO"/>
        </w:rPr>
        <w:t xml:space="preserve"> </w:t>
      </w:r>
      <w:r w:rsidRPr="002E5B9A">
        <w:rPr>
          <w:bCs/>
          <w:color w:val="000000"/>
          <w:sz w:val="22"/>
          <w:szCs w:val="22"/>
          <w:lang w:val="es-CO"/>
        </w:rPr>
        <w:t xml:space="preserve">Altas </w:t>
      </w:r>
      <w:r w:rsidR="002E5B9A" w:rsidRPr="002E5B9A">
        <w:rPr>
          <w:bCs/>
          <w:color w:val="000000"/>
          <w:sz w:val="22"/>
          <w:szCs w:val="22"/>
          <w:lang w:val="es-CO"/>
        </w:rPr>
        <w:t>Autoridades</w:t>
      </w:r>
      <w:r w:rsidR="000F27FD">
        <w:rPr>
          <w:bCs/>
          <w:color w:val="000000"/>
          <w:sz w:val="22"/>
          <w:szCs w:val="22"/>
          <w:lang w:val="es-CO"/>
        </w:rPr>
        <w:t xml:space="preserve"> </w:t>
      </w:r>
    </w:p>
    <w:p w14:paraId="47014F20" w14:textId="40D042AC" w:rsidR="00B662BB" w:rsidRPr="002E5B9A" w:rsidRDefault="00B662BB" w:rsidP="002E5B9A">
      <w:pPr>
        <w:jc w:val="center"/>
        <w:rPr>
          <w:bCs/>
          <w:color w:val="000000"/>
          <w:sz w:val="22"/>
          <w:szCs w:val="22"/>
          <w:lang w:val="es-CO"/>
        </w:rPr>
      </w:pPr>
      <w:r w:rsidRPr="002E5B9A">
        <w:rPr>
          <w:bCs/>
          <w:color w:val="000000"/>
          <w:sz w:val="22"/>
          <w:szCs w:val="22"/>
          <w:lang w:val="es-CO"/>
        </w:rPr>
        <w:t>sobre el</w:t>
      </w:r>
      <w:r w:rsidR="004334BF" w:rsidRPr="002E5B9A">
        <w:rPr>
          <w:bCs/>
          <w:color w:val="000000"/>
          <w:sz w:val="22"/>
          <w:szCs w:val="22"/>
          <w:lang w:val="es-CO"/>
        </w:rPr>
        <w:t xml:space="preserve"> I</w:t>
      </w:r>
      <w:r w:rsidRPr="002E5B9A">
        <w:rPr>
          <w:bCs/>
          <w:color w:val="000000"/>
          <w:sz w:val="22"/>
          <w:szCs w:val="22"/>
          <w:lang w:val="es-CO"/>
        </w:rPr>
        <w:t>mpacto de</w:t>
      </w:r>
      <w:r w:rsidR="002E5B9A" w:rsidRPr="002E5B9A">
        <w:rPr>
          <w:bCs/>
          <w:color w:val="000000"/>
          <w:sz w:val="22"/>
          <w:szCs w:val="22"/>
          <w:lang w:val="es-CO"/>
        </w:rPr>
        <w:t xml:space="preserve"> </w:t>
      </w:r>
      <w:r w:rsidRPr="002E5B9A">
        <w:rPr>
          <w:bCs/>
          <w:color w:val="000000"/>
          <w:sz w:val="22"/>
          <w:szCs w:val="22"/>
          <w:lang w:val="es-CO"/>
        </w:rPr>
        <w:t>COVID-19 en las Américas</w:t>
      </w:r>
    </w:p>
    <w:p w14:paraId="3A481D68" w14:textId="77777777" w:rsidR="00B8015D" w:rsidRDefault="00B8015D" w:rsidP="00B662BB">
      <w:pPr>
        <w:jc w:val="center"/>
        <w:rPr>
          <w:b/>
          <w:bCs/>
          <w:i/>
          <w:iCs/>
          <w:color w:val="000000"/>
          <w:sz w:val="22"/>
          <w:szCs w:val="22"/>
          <w:lang w:val="es-CO"/>
        </w:rPr>
      </w:pPr>
    </w:p>
    <w:p w14:paraId="4A420EAC" w14:textId="4AFAA3AA" w:rsidR="00B662BB" w:rsidRPr="004D59D1" w:rsidRDefault="00B662BB" w:rsidP="00B662BB">
      <w:pPr>
        <w:jc w:val="center"/>
        <w:rPr>
          <w:b/>
          <w:bCs/>
          <w:iCs/>
          <w:color w:val="000000"/>
          <w:sz w:val="22"/>
          <w:szCs w:val="22"/>
          <w:lang w:val="es-CO"/>
        </w:rPr>
      </w:pPr>
      <w:r w:rsidRPr="004D59D1">
        <w:rPr>
          <w:b/>
          <w:bCs/>
          <w:iCs/>
          <w:color w:val="000000"/>
          <w:sz w:val="22"/>
          <w:szCs w:val="22"/>
          <w:lang w:val="es-CO"/>
        </w:rPr>
        <w:t>Aborda</w:t>
      </w:r>
      <w:r w:rsidR="004A4CAE" w:rsidRPr="004D59D1">
        <w:rPr>
          <w:b/>
          <w:bCs/>
          <w:iCs/>
          <w:color w:val="000000"/>
          <w:sz w:val="22"/>
          <w:szCs w:val="22"/>
          <w:lang w:val="es-CO"/>
        </w:rPr>
        <w:t>ndo</w:t>
      </w:r>
      <w:r w:rsidRPr="004D59D1">
        <w:rPr>
          <w:b/>
          <w:bCs/>
          <w:iCs/>
          <w:color w:val="000000"/>
          <w:sz w:val="22"/>
          <w:szCs w:val="22"/>
          <w:lang w:val="es-CO"/>
        </w:rPr>
        <w:t xml:space="preserve"> los </w:t>
      </w:r>
      <w:r w:rsidR="004A4CAE" w:rsidRPr="004D59D1">
        <w:rPr>
          <w:b/>
          <w:bCs/>
          <w:iCs/>
          <w:color w:val="000000"/>
          <w:sz w:val="22"/>
          <w:szCs w:val="22"/>
          <w:lang w:val="es-CO"/>
        </w:rPr>
        <w:t>R</w:t>
      </w:r>
      <w:r w:rsidRPr="004D59D1">
        <w:rPr>
          <w:b/>
          <w:bCs/>
          <w:iCs/>
          <w:color w:val="000000"/>
          <w:sz w:val="22"/>
          <w:szCs w:val="22"/>
          <w:lang w:val="es-CO"/>
        </w:rPr>
        <w:t xml:space="preserve">iesgos de </w:t>
      </w:r>
      <w:r w:rsidR="006C145C" w:rsidRPr="004D59D1">
        <w:rPr>
          <w:b/>
          <w:bCs/>
          <w:iCs/>
          <w:color w:val="000000"/>
          <w:sz w:val="22"/>
          <w:szCs w:val="22"/>
          <w:lang w:val="es-CO"/>
        </w:rPr>
        <w:t xml:space="preserve">la </w:t>
      </w:r>
      <w:r w:rsidR="004A4CAE" w:rsidRPr="004D59D1">
        <w:rPr>
          <w:b/>
          <w:bCs/>
          <w:iCs/>
          <w:color w:val="000000"/>
          <w:sz w:val="22"/>
          <w:szCs w:val="22"/>
          <w:lang w:val="es-CO"/>
        </w:rPr>
        <w:t>C</w:t>
      </w:r>
      <w:r w:rsidRPr="004D59D1">
        <w:rPr>
          <w:b/>
          <w:bCs/>
          <w:iCs/>
          <w:color w:val="000000"/>
          <w:sz w:val="22"/>
          <w:szCs w:val="22"/>
          <w:lang w:val="es-CO"/>
        </w:rPr>
        <w:t>orrupción,</w:t>
      </w:r>
      <w:r w:rsidR="006C145C" w:rsidRPr="004D59D1">
        <w:rPr>
          <w:b/>
          <w:bCs/>
          <w:iCs/>
          <w:color w:val="000000"/>
          <w:sz w:val="22"/>
          <w:szCs w:val="22"/>
          <w:lang w:val="es-CO"/>
        </w:rPr>
        <w:t xml:space="preserve"> la I</w:t>
      </w:r>
      <w:r w:rsidRPr="004D59D1">
        <w:rPr>
          <w:b/>
          <w:bCs/>
          <w:iCs/>
          <w:color w:val="000000"/>
          <w:sz w:val="22"/>
          <w:szCs w:val="22"/>
          <w:lang w:val="es-CO"/>
        </w:rPr>
        <w:t>ntegridad y</w:t>
      </w:r>
      <w:r w:rsidR="004A4CAE" w:rsidRPr="004D59D1">
        <w:rPr>
          <w:b/>
          <w:bCs/>
          <w:iCs/>
          <w:color w:val="000000"/>
          <w:sz w:val="22"/>
          <w:szCs w:val="22"/>
          <w:lang w:val="es-CO"/>
        </w:rPr>
        <w:t xml:space="preserve"> </w:t>
      </w:r>
      <w:r w:rsidR="006C145C" w:rsidRPr="004D59D1">
        <w:rPr>
          <w:b/>
          <w:bCs/>
          <w:iCs/>
          <w:color w:val="000000"/>
          <w:sz w:val="22"/>
          <w:szCs w:val="22"/>
          <w:lang w:val="es-CO"/>
        </w:rPr>
        <w:t xml:space="preserve">la </w:t>
      </w:r>
      <w:r w:rsidR="004A4CAE" w:rsidRPr="004D59D1">
        <w:rPr>
          <w:b/>
          <w:bCs/>
          <w:iCs/>
          <w:color w:val="000000"/>
          <w:sz w:val="22"/>
          <w:szCs w:val="22"/>
          <w:lang w:val="es-CO"/>
        </w:rPr>
        <w:t>G</w:t>
      </w:r>
      <w:r w:rsidRPr="004D59D1">
        <w:rPr>
          <w:b/>
          <w:bCs/>
          <w:iCs/>
          <w:color w:val="000000"/>
          <w:sz w:val="22"/>
          <w:szCs w:val="22"/>
          <w:lang w:val="es-CO"/>
        </w:rPr>
        <w:t xml:space="preserve">obernabilidad </w:t>
      </w:r>
      <w:r w:rsidR="00996FFF" w:rsidRPr="004D59D1">
        <w:rPr>
          <w:b/>
          <w:bCs/>
          <w:iCs/>
          <w:color w:val="000000"/>
          <w:sz w:val="22"/>
          <w:szCs w:val="22"/>
          <w:lang w:val="es-CO"/>
        </w:rPr>
        <w:t>D</w:t>
      </w:r>
      <w:r w:rsidRPr="004D59D1">
        <w:rPr>
          <w:b/>
          <w:bCs/>
          <w:iCs/>
          <w:color w:val="000000"/>
          <w:sz w:val="22"/>
          <w:szCs w:val="22"/>
          <w:lang w:val="es-CO"/>
        </w:rPr>
        <w:t>emocrática</w:t>
      </w:r>
    </w:p>
    <w:p w14:paraId="574ADA0D" w14:textId="76DE2B3B" w:rsidR="00B17309" w:rsidRPr="004D59D1" w:rsidRDefault="004C3515" w:rsidP="00B662BB">
      <w:pPr>
        <w:jc w:val="center"/>
        <w:rPr>
          <w:color w:val="000000"/>
          <w:sz w:val="22"/>
          <w:szCs w:val="22"/>
          <w:lang w:val="es-CO"/>
        </w:rPr>
      </w:pPr>
      <w:r>
        <w:rPr>
          <w:b/>
          <w:bCs/>
          <w:iCs/>
          <w:color w:val="000000"/>
          <w:sz w:val="22"/>
          <w:szCs w:val="22"/>
          <w:lang w:val="es-CO"/>
        </w:rPr>
        <w:t>As</w:t>
      </w:r>
      <w:r w:rsidR="00B662BB" w:rsidRPr="004D59D1">
        <w:rPr>
          <w:b/>
          <w:bCs/>
          <w:iCs/>
          <w:color w:val="000000"/>
          <w:sz w:val="22"/>
          <w:szCs w:val="22"/>
          <w:lang w:val="es-CO"/>
        </w:rPr>
        <w:t>ociado</w:t>
      </w:r>
      <w:r w:rsidR="00996FFF" w:rsidRPr="004D59D1">
        <w:rPr>
          <w:b/>
          <w:bCs/>
          <w:iCs/>
          <w:color w:val="000000"/>
          <w:sz w:val="22"/>
          <w:szCs w:val="22"/>
          <w:lang w:val="es-CO"/>
        </w:rPr>
        <w:t>s</w:t>
      </w:r>
      <w:r w:rsidR="00B662BB" w:rsidRPr="004D59D1">
        <w:rPr>
          <w:b/>
          <w:bCs/>
          <w:iCs/>
          <w:color w:val="000000"/>
          <w:sz w:val="22"/>
          <w:szCs w:val="22"/>
          <w:lang w:val="es-CO"/>
        </w:rPr>
        <w:t xml:space="preserve"> con COVID-19</w:t>
      </w:r>
      <w:r w:rsidR="00BB779C" w:rsidRPr="004D59D1">
        <w:rPr>
          <w:rStyle w:val="EndnoteReference"/>
          <w:b/>
          <w:bCs/>
          <w:iCs/>
          <w:color w:val="000000"/>
          <w:sz w:val="22"/>
          <w:szCs w:val="22"/>
        </w:rPr>
        <w:endnoteReference w:id="2"/>
      </w:r>
    </w:p>
    <w:p w14:paraId="2D3AF8A9" w14:textId="27DD1DBB" w:rsidR="00B662BB" w:rsidRPr="004D59D1" w:rsidRDefault="00B662BB" w:rsidP="00B662BB">
      <w:pPr>
        <w:spacing w:before="100" w:beforeAutospacing="1" w:after="100" w:afterAutospacing="1"/>
        <w:jc w:val="center"/>
        <w:rPr>
          <w:b/>
          <w:bCs/>
          <w:iCs/>
          <w:color w:val="000000"/>
          <w:sz w:val="22"/>
          <w:szCs w:val="22"/>
          <w:lang w:val="es-CO"/>
        </w:rPr>
      </w:pPr>
      <w:r w:rsidRPr="004D59D1">
        <w:rPr>
          <w:b/>
          <w:bCs/>
          <w:iCs/>
          <w:color w:val="000000"/>
          <w:sz w:val="22"/>
          <w:szCs w:val="22"/>
          <w:lang w:val="es-CO"/>
        </w:rPr>
        <w:t>Declaración Conjunta</w:t>
      </w:r>
    </w:p>
    <w:p w14:paraId="3D2CC49D" w14:textId="77777777" w:rsidR="0078051C" w:rsidRPr="00B50E7B" w:rsidRDefault="0078051C" w:rsidP="00621674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 xml:space="preserve">Nosotros, las Altas Autoridades del Grupo de Trabajo Conjunto de Cumbres (GTCC), habiéndonos reunido en tres ocasiones anteriores en 2020 para abordar la respuesta del sistema multilateral interamericano a los extraordinarios desafíos que plantea la pandemia de COVID-19, renovamos nuestro compromiso con el propósito común e intención de colaboración establecidos en nuestro Memorando de Entendimiento interinstitucional (4 de septiembre de 2018– </w:t>
      </w:r>
      <w:hyperlink r:id="rId12" w:history="1">
        <w:r w:rsidRPr="00B50E7B">
          <w:rPr>
            <w:rStyle w:val="Hyperlink"/>
            <w:sz w:val="22"/>
            <w:szCs w:val="22"/>
            <w:lang w:val="es-CO"/>
          </w:rPr>
          <w:t>enlace</w:t>
        </w:r>
      </w:hyperlink>
      <w:r w:rsidRPr="00B50E7B">
        <w:rPr>
          <w:color w:val="000000"/>
          <w:sz w:val="22"/>
          <w:szCs w:val="22"/>
          <w:lang w:val="es-CO"/>
        </w:rPr>
        <w:t>)</w:t>
      </w:r>
    </w:p>
    <w:p w14:paraId="797F7EB1" w14:textId="252D617B" w:rsidR="0078051C" w:rsidRPr="00B50E7B" w:rsidRDefault="0078051C" w:rsidP="00621674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>Estas reuniones, convocadas conjuntamente el 3 y 29 de abril y el 12 de junio, por el Secretario General de la O</w:t>
      </w:r>
      <w:r>
        <w:rPr>
          <w:color w:val="000000"/>
          <w:sz w:val="22"/>
          <w:szCs w:val="22"/>
          <w:lang w:val="es-CO"/>
        </w:rPr>
        <w:t>rganización de los Estados Americanos (O</w:t>
      </w:r>
      <w:r w:rsidRPr="00B50E7B">
        <w:rPr>
          <w:color w:val="000000"/>
          <w:sz w:val="22"/>
          <w:szCs w:val="22"/>
          <w:lang w:val="es-CO"/>
        </w:rPr>
        <w:t>EA</w:t>
      </w:r>
      <w:r>
        <w:rPr>
          <w:color w:val="000000"/>
          <w:sz w:val="22"/>
          <w:szCs w:val="22"/>
          <w:lang w:val="es-CO"/>
        </w:rPr>
        <w:t>)</w:t>
      </w:r>
      <w:r w:rsidRPr="00B50E7B">
        <w:rPr>
          <w:color w:val="000000"/>
          <w:sz w:val="22"/>
          <w:szCs w:val="22"/>
          <w:lang w:val="es-CO"/>
        </w:rPr>
        <w:t>, Luis Almagro, como Presidente del GTCC, y la Directora de la Organización Panamericana de la Salud</w:t>
      </w:r>
      <w:r w:rsidR="005C12DB">
        <w:rPr>
          <w:color w:val="000000"/>
          <w:sz w:val="22"/>
          <w:szCs w:val="22"/>
          <w:lang w:val="es-CO"/>
        </w:rPr>
        <w:t xml:space="preserve"> (OPS)</w:t>
      </w:r>
      <w:r w:rsidRPr="00B50E7B">
        <w:rPr>
          <w:color w:val="000000"/>
          <w:sz w:val="22"/>
          <w:szCs w:val="22"/>
          <w:lang w:val="es-CO"/>
        </w:rPr>
        <w:t xml:space="preserve">, Dra. </w:t>
      </w:r>
      <w:proofErr w:type="spellStart"/>
      <w:r w:rsidRPr="00B50E7B">
        <w:rPr>
          <w:color w:val="000000"/>
          <w:sz w:val="22"/>
          <w:szCs w:val="22"/>
          <w:lang w:val="es-CO"/>
        </w:rPr>
        <w:t>Carissa</w:t>
      </w:r>
      <w:proofErr w:type="spellEnd"/>
      <w:r w:rsidRPr="00B50E7B">
        <w:rPr>
          <w:color w:val="000000"/>
          <w:sz w:val="22"/>
          <w:szCs w:val="22"/>
          <w:lang w:val="es-CO"/>
        </w:rPr>
        <w:t xml:space="preserve"> </w:t>
      </w:r>
      <w:proofErr w:type="spellStart"/>
      <w:r w:rsidRPr="00B50E7B">
        <w:rPr>
          <w:color w:val="000000"/>
          <w:sz w:val="22"/>
          <w:szCs w:val="22"/>
          <w:lang w:val="es-CO"/>
        </w:rPr>
        <w:t>Etienne</w:t>
      </w:r>
      <w:proofErr w:type="spellEnd"/>
      <w:r w:rsidRPr="00B50E7B">
        <w:rPr>
          <w:color w:val="000000"/>
          <w:sz w:val="22"/>
          <w:szCs w:val="22"/>
          <w:lang w:val="es-CO"/>
        </w:rPr>
        <w:t xml:space="preserve">, al inicio de la evolución de la pandemia, han proporcionado a Altas Autoridades la oportunidad de garantizar el más alto nivel de intercambio de información, incluso como un foro único para evitar la duplicación de esfuerzos y crear sinergias y cooperación en nuestros </w:t>
      </w:r>
      <w:proofErr w:type="gramStart"/>
      <w:r w:rsidRPr="00B50E7B">
        <w:rPr>
          <w:color w:val="000000"/>
          <w:sz w:val="22"/>
          <w:szCs w:val="22"/>
          <w:lang w:val="es-CO"/>
        </w:rPr>
        <w:t>compromisos</w:t>
      </w:r>
      <w:proofErr w:type="gramEnd"/>
      <w:r w:rsidRPr="00B50E7B">
        <w:rPr>
          <w:color w:val="000000"/>
          <w:sz w:val="22"/>
          <w:szCs w:val="22"/>
          <w:lang w:val="es-CO"/>
        </w:rPr>
        <w:t xml:space="preserve"> comunes.</w:t>
      </w:r>
    </w:p>
    <w:p w14:paraId="2B2C4D54" w14:textId="77777777" w:rsidR="0078051C" w:rsidRPr="00B50E7B" w:rsidRDefault="0078051C" w:rsidP="00621674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>Las reuniones anteriores de Altas Autoridades se han llevado a cabo bajo la dirección de Perú como Presidente saliente del proceso de Cumbres. Los informes y la documentación de las respuestas institucionales a la crisis de COVID en evolución están disponibles aquí (</w:t>
      </w:r>
      <w:hyperlink r:id="rId13" w:history="1">
        <w:r w:rsidRPr="00B50E7B">
          <w:rPr>
            <w:rStyle w:val="Hyperlink"/>
            <w:sz w:val="22"/>
            <w:szCs w:val="22"/>
            <w:lang w:val="es-CO"/>
          </w:rPr>
          <w:t>enlace</w:t>
        </w:r>
      </w:hyperlink>
      <w:r w:rsidRPr="00B50E7B">
        <w:rPr>
          <w:color w:val="000000"/>
          <w:sz w:val="22"/>
          <w:szCs w:val="22"/>
          <w:lang w:val="es-CO"/>
        </w:rPr>
        <w:t>).</w:t>
      </w:r>
    </w:p>
    <w:p w14:paraId="2306C041" w14:textId="15448C5E" w:rsidR="00B662BB" w:rsidRPr="002E5B9A" w:rsidRDefault="0078051C" w:rsidP="00621674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 xml:space="preserve">Nuestra cuarta reunión, y primera en apoyo a los Estados Unidos como Presidente entrante del proceso de Cumbres de las Américas, se ha centrado en nuestra preocupación común con respecto a los riesgos emergentes para la gobernabilidad democrática que acompañan a la pandemia. El sistema interamericano, a través del proceso de Cumbres de las Américas, </w:t>
      </w:r>
      <w:r>
        <w:rPr>
          <w:color w:val="000000"/>
          <w:sz w:val="22"/>
          <w:szCs w:val="22"/>
          <w:lang w:val="es-CO"/>
        </w:rPr>
        <w:t xml:space="preserve">ha abordado desde tiempo atrás, </w:t>
      </w:r>
      <w:r w:rsidRPr="00B50E7B">
        <w:rPr>
          <w:color w:val="000000"/>
          <w:sz w:val="22"/>
          <w:szCs w:val="22"/>
          <w:lang w:val="es-CO"/>
        </w:rPr>
        <w:t xml:space="preserve">las consecuencias </w:t>
      </w:r>
      <w:r>
        <w:rPr>
          <w:color w:val="000000"/>
          <w:sz w:val="22"/>
          <w:szCs w:val="22"/>
          <w:lang w:val="es-CO"/>
        </w:rPr>
        <w:t>considerablemente</w:t>
      </w:r>
      <w:r w:rsidRPr="00B50E7B">
        <w:rPr>
          <w:color w:val="000000"/>
          <w:sz w:val="22"/>
          <w:szCs w:val="22"/>
          <w:lang w:val="es-CO"/>
        </w:rPr>
        <w:t xml:space="preserve"> negativas de la corrupción en el bienestar económico, sanitario y social de nuestro hemisferio</w:t>
      </w:r>
      <w:r w:rsidRPr="00F84BCC">
        <w:rPr>
          <w:rStyle w:val="FootnoteReference"/>
          <w:color w:val="000000"/>
          <w:sz w:val="22"/>
          <w:szCs w:val="22"/>
          <w:vertAlign w:val="superscript"/>
        </w:rPr>
        <w:footnoteReference w:id="2"/>
      </w:r>
      <w:r w:rsidRPr="00B50E7B">
        <w:rPr>
          <w:color w:val="000000"/>
          <w:sz w:val="22"/>
          <w:szCs w:val="22"/>
          <w:vertAlign w:val="superscript"/>
          <w:lang w:val="es-CO"/>
        </w:rPr>
        <w:t>.</w:t>
      </w:r>
      <w:r w:rsidRPr="00B50E7B">
        <w:rPr>
          <w:color w:val="000000"/>
          <w:sz w:val="22"/>
          <w:szCs w:val="22"/>
          <w:lang w:val="es-CO"/>
        </w:rPr>
        <w:t xml:space="preserve"> Al agotar los escasos recursos disponibles para el crecimiento y el desarrollo, la corrupción socava el bienestar económico e impide inversiones </w:t>
      </w:r>
      <w:r w:rsidRPr="00B50E7B">
        <w:rPr>
          <w:color w:val="000000"/>
          <w:sz w:val="22"/>
          <w:szCs w:val="22"/>
          <w:lang w:val="es-CO"/>
        </w:rPr>
        <w:lastRenderedPageBreak/>
        <w:t>críticas. La desviación de recursos públicos de sus beneficiarios previstos debilita aún más a las poblaciones marginadas y en situación de vulnerabilidad. Más importante aún, debilita la confianza de las y los ciudadanos en los gobiernos y la capacidad de los funcionarios en todos los niveles para desarrollar y entregar bienes públicos. La corrupción es una amenaza para la estabilidad económica y el crecimiento, al socavar la competencia leal, imponer un impuesto a la investigación y la innovación e imped</w:t>
      </w:r>
      <w:r>
        <w:rPr>
          <w:color w:val="000000"/>
          <w:sz w:val="22"/>
          <w:szCs w:val="22"/>
          <w:lang w:val="es-CO"/>
        </w:rPr>
        <w:t xml:space="preserve">ir </w:t>
      </w:r>
      <w:r w:rsidRPr="00B50E7B">
        <w:rPr>
          <w:color w:val="000000"/>
          <w:sz w:val="22"/>
          <w:szCs w:val="22"/>
          <w:lang w:val="es-CO"/>
        </w:rPr>
        <w:t>la igualdad de acceso al mercado.</w:t>
      </w:r>
      <w:r>
        <w:rPr>
          <w:color w:val="000000"/>
          <w:sz w:val="22"/>
          <w:szCs w:val="22"/>
          <w:lang w:val="es-CO"/>
        </w:rPr>
        <w:t xml:space="preserve"> </w:t>
      </w:r>
    </w:p>
    <w:p w14:paraId="7C34FA64" w14:textId="77777777" w:rsidR="0078051C" w:rsidRPr="00B50E7B" w:rsidRDefault="0078051C" w:rsidP="00621674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 xml:space="preserve">La pandemia de COVID-19 agrava estos riesgos y presenta nuevos desafíos que deben reconocerse y abordarse. Nos preocupa especialmente que los avances logrados en el abordaje del flagelo de la corrupción corran el riesgo de verse comprometidos a medida que las autoridades nacionales y </w:t>
      </w:r>
      <w:proofErr w:type="spellStart"/>
      <w:r w:rsidRPr="00B50E7B">
        <w:rPr>
          <w:color w:val="000000"/>
          <w:sz w:val="22"/>
          <w:szCs w:val="22"/>
          <w:lang w:val="es-CO"/>
        </w:rPr>
        <w:t>subnacionales</w:t>
      </w:r>
      <w:proofErr w:type="spellEnd"/>
      <w:r w:rsidRPr="00B50E7B">
        <w:rPr>
          <w:color w:val="000000"/>
          <w:sz w:val="22"/>
          <w:szCs w:val="22"/>
          <w:lang w:val="es-CO"/>
        </w:rPr>
        <w:t xml:space="preserve"> de la región se apresur</w:t>
      </w:r>
      <w:r>
        <w:rPr>
          <w:color w:val="000000"/>
          <w:sz w:val="22"/>
          <w:szCs w:val="22"/>
          <w:lang w:val="es-CO"/>
        </w:rPr>
        <w:t>a</w:t>
      </w:r>
      <w:r w:rsidRPr="00B50E7B">
        <w:rPr>
          <w:color w:val="000000"/>
          <w:sz w:val="22"/>
          <w:szCs w:val="22"/>
          <w:lang w:val="es-CO"/>
        </w:rPr>
        <w:t>n a implementar</w:t>
      </w:r>
      <w:r>
        <w:rPr>
          <w:color w:val="000000"/>
          <w:sz w:val="22"/>
          <w:szCs w:val="22"/>
          <w:lang w:val="es-CO"/>
        </w:rPr>
        <w:t xml:space="preserve"> nuevas respuestas de política y medidas </w:t>
      </w:r>
      <w:r w:rsidRPr="00B50E7B">
        <w:rPr>
          <w:color w:val="000000"/>
          <w:sz w:val="22"/>
          <w:szCs w:val="22"/>
          <w:lang w:val="es-CO"/>
        </w:rPr>
        <w:t>de emergencia, incluido el rápido desembolso de grandes cantidades de recursos públicos y nuevas líneas de crédito, a veces sin las necesarias salvaguardias anticorrupción y de rendición de cuentas.</w:t>
      </w:r>
    </w:p>
    <w:p w14:paraId="1776D01B" w14:textId="77777777" w:rsidR="0078051C" w:rsidRPr="00B50E7B" w:rsidRDefault="0078051C" w:rsidP="00621674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>El rápido desarrollo de respuestas nacionales de emergencia, incluida la aceleración de los procesos normales de contratación pública, es una realidad que debe tratarse. Nuestras instituciones están muy comprometidas</w:t>
      </w:r>
      <w:r>
        <w:rPr>
          <w:color w:val="000000"/>
          <w:sz w:val="22"/>
          <w:szCs w:val="22"/>
          <w:lang w:val="es-CO"/>
        </w:rPr>
        <w:t xml:space="preserve"> en asistir a </w:t>
      </w:r>
      <w:r w:rsidRPr="00B50E7B">
        <w:rPr>
          <w:color w:val="000000"/>
          <w:sz w:val="22"/>
          <w:szCs w:val="22"/>
          <w:lang w:val="es-CO"/>
        </w:rPr>
        <w:t xml:space="preserve"> los gobiernos de la región</w:t>
      </w:r>
      <w:r>
        <w:rPr>
          <w:color w:val="000000"/>
          <w:sz w:val="22"/>
          <w:szCs w:val="22"/>
          <w:lang w:val="es-CO"/>
        </w:rPr>
        <w:t xml:space="preserve"> en ello.</w:t>
      </w:r>
      <w:r w:rsidRPr="00B50E7B">
        <w:rPr>
          <w:color w:val="000000"/>
          <w:sz w:val="22"/>
          <w:szCs w:val="22"/>
          <w:lang w:val="es-CO"/>
        </w:rPr>
        <w:t xml:space="preserve"> Sin embargo, la eliminación arbitraria de una supervisión adecuada evidente en múltiples jurisdicciones ya sea a través del acceso restringido a los datos públicos y las limitaciones a las medidas de rendición de cuentas, o al reducir el espacio disponible para la sociedad civil para garantizar la transparencia, corre el riesgo de debilitar las normas democráticas y la eficacia de la gobernabilidad regional.</w:t>
      </w:r>
    </w:p>
    <w:p w14:paraId="441A665D" w14:textId="77777777" w:rsidR="0078051C" w:rsidRPr="00B50E7B" w:rsidRDefault="0078051C" w:rsidP="00621674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 xml:space="preserve">Como organizaciones multilaterales, servimos a los países de la región y nos comprometemos nuevamente a dar una respuesta rápida y eficaz a la pandemia de COVID-19. También subrayamos nuestro compromiso como miembros del GTCC de </w:t>
      </w:r>
      <w:r>
        <w:rPr>
          <w:color w:val="000000"/>
          <w:sz w:val="22"/>
          <w:szCs w:val="22"/>
          <w:lang w:val="es-CO"/>
        </w:rPr>
        <w:t xml:space="preserve">apoyar </w:t>
      </w:r>
      <w:r w:rsidRPr="00B50E7B">
        <w:rPr>
          <w:color w:val="000000"/>
          <w:sz w:val="22"/>
          <w:szCs w:val="22"/>
          <w:lang w:val="es-CO"/>
        </w:rPr>
        <w:t>a los países de la región a cumplir con los mandatos establecidos por los Líderes de las Américas en la Carta Democrática Interamericana y el Compromiso de Lima para abordar con fuerza la corrupción, apoyar la transparencia e implementar mejores prácticas de gobernabilidad democrática.</w:t>
      </w:r>
    </w:p>
    <w:p w14:paraId="43D5CD5C" w14:textId="77777777" w:rsidR="0078051C" w:rsidRPr="00B50E7B" w:rsidRDefault="0078051C" w:rsidP="00621674">
      <w:pPr>
        <w:spacing w:after="120"/>
        <w:ind w:firstLine="720"/>
        <w:jc w:val="both"/>
        <w:rPr>
          <w:color w:val="000000"/>
          <w:sz w:val="22"/>
          <w:szCs w:val="22"/>
          <w:lang w:val="es-CO"/>
        </w:rPr>
      </w:pPr>
      <w:r w:rsidRPr="00B50E7B">
        <w:rPr>
          <w:color w:val="000000"/>
          <w:sz w:val="22"/>
          <w:szCs w:val="22"/>
          <w:lang w:val="es-CO"/>
        </w:rPr>
        <w:t>En el contexto de los desafíos específicos que presenta la pandemia de COVID-19, subrayamos nuestra determinación, como grupo y como instituciones individuales, de:</w:t>
      </w:r>
    </w:p>
    <w:p w14:paraId="47D4D5D9" w14:textId="4A906592" w:rsidR="00886834" w:rsidRPr="00C91113" w:rsidRDefault="00B662BB" w:rsidP="00D151F7">
      <w:pPr>
        <w:pStyle w:val="ListParagraph"/>
        <w:numPr>
          <w:ilvl w:val="0"/>
          <w:numId w:val="2"/>
        </w:numPr>
        <w:spacing w:before="0" w:beforeAutospacing="0" w:after="120" w:afterAutospacing="0"/>
        <w:ind w:left="1440" w:hanging="720"/>
        <w:jc w:val="both"/>
        <w:rPr>
          <w:color w:val="000000"/>
          <w:sz w:val="22"/>
          <w:szCs w:val="22"/>
          <w:lang w:val="es-US"/>
        </w:rPr>
      </w:pPr>
      <w:r w:rsidRPr="00C91113">
        <w:rPr>
          <w:color w:val="000000"/>
          <w:sz w:val="22"/>
          <w:szCs w:val="22"/>
          <w:lang w:val="es-US"/>
        </w:rPr>
        <w:t xml:space="preserve">Articular y demostrar nuestro compromiso de </w:t>
      </w:r>
      <w:r w:rsidR="00B70FF7" w:rsidRPr="00C91113">
        <w:rPr>
          <w:color w:val="000000"/>
          <w:sz w:val="22"/>
          <w:szCs w:val="22"/>
          <w:lang w:val="es-US"/>
        </w:rPr>
        <w:t>asistir</w:t>
      </w:r>
      <w:r w:rsidRPr="00C91113">
        <w:rPr>
          <w:color w:val="000000"/>
          <w:sz w:val="22"/>
          <w:szCs w:val="22"/>
          <w:lang w:val="es-US"/>
        </w:rPr>
        <w:t xml:space="preserve"> los esfuerzos de los socios de la región (países, </w:t>
      </w:r>
      <w:r w:rsidR="00DB37FB" w:rsidRPr="00C91113">
        <w:rPr>
          <w:color w:val="000000"/>
          <w:sz w:val="22"/>
          <w:szCs w:val="22"/>
          <w:lang w:val="es-US"/>
        </w:rPr>
        <w:t>G</w:t>
      </w:r>
      <w:r w:rsidRPr="00C91113">
        <w:rPr>
          <w:color w:val="000000"/>
          <w:sz w:val="22"/>
          <w:szCs w:val="22"/>
          <w:lang w:val="es-US"/>
        </w:rPr>
        <w:t xml:space="preserve">obiernos </w:t>
      </w:r>
      <w:proofErr w:type="spellStart"/>
      <w:r w:rsidRPr="00C91113">
        <w:rPr>
          <w:color w:val="000000"/>
          <w:sz w:val="22"/>
          <w:szCs w:val="22"/>
          <w:lang w:val="es-US"/>
        </w:rPr>
        <w:t>subnacionales</w:t>
      </w:r>
      <w:proofErr w:type="spellEnd"/>
      <w:r w:rsidRPr="00C91113">
        <w:rPr>
          <w:color w:val="000000"/>
          <w:sz w:val="22"/>
          <w:szCs w:val="22"/>
          <w:lang w:val="es-US"/>
        </w:rPr>
        <w:t>, sector privado, sociedad civil y periodistas) para defender las mejores prácticas de gobernabilidad democrática e integridad, así como promover la plena implementación de instrumentos internacionales para combatir la corrupción y el lavado de activos en la región. Este es particularmente el caso con respecto al requisito de monitorear el uso de recursos de emergencia.</w:t>
      </w:r>
    </w:p>
    <w:p w14:paraId="42BAAE1E" w14:textId="212FD334" w:rsidR="002161BE" w:rsidRPr="00C91113" w:rsidRDefault="00B662BB" w:rsidP="00D151F7">
      <w:pPr>
        <w:pStyle w:val="ListParagraph"/>
        <w:numPr>
          <w:ilvl w:val="0"/>
          <w:numId w:val="2"/>
        </w:numPr>
        <w:spacing w:before="0" w:beforeAutospacing="0" w:after="120" w:afterAutospacing="0"/>
        <w:ind w:left="1440" w:hanging="720"/>
        <w:jc w:val="both"/>
        <w:rPr>
          <w:color w:val="000000"/>
          <w:sz w:val="22"/>
          <w:szCs w:val="22"/>
          <w:lang w:val="es-US"/>
        </w:rPr>
      </w:pPr>
      <w:r w:rsidRPr="00C91113">
        <w:rPr>
          <w:color w:val="000000"/>
          <w:sz w:val="22"/>
          <w:szCs w:val="22"/>
          <w:lang w:val="es-US"/>
        </w:rPr>
        <w:t>Asegurar que nuestros propios programas de préstamos y/o asistencia técnica reconozcan y apliquen</w:t>
      </w:r>
      <w:r w:rsidR="00DB37FB" w:rsidRPr="00C91113">
        <w:rPr>
          <w:color w:val="000000"/>
          <w:sz w:val="22"/>
          <w:szCs w:val="22"/>
          <w:lang w:val="es-US"/>
        </w:rPr>
        <w:t>,</w:t>
      </w:r>
      <w:r w:rsidRPr="00C91113">
        <w:rPr>
          <w:color w:val="000000"/>
          <w:sz w:val="22"/>
          <w:szCs w:val="22"/>
          <w:lang w:val="es-US"/>
        </w:rPr>
        <w:t xml:space="preserve"> en la práctica</w:t>
      </w:r>
      <w:r w:rsidR="00DB37FB" w:rsidRPr="00C91113">
        <w:rPr>
          <w:color w:val="000000"/>
          <w:sz w:val="22"/>
          <w:szCs w:val="22"/>
          <w:lang w:val="es-US"/>
        </w:rPr>
        <w:t>,</w:t>
      </w:r>
      <w:r w:rsidRPr="00C91113">
        <w:rPr>
          <w:color w:val="000000"/>
          <w:sz w:val="22"/>
          <w:szCs w:val="22"/>
          <w:lang w:val="es-US"/>
        </w:rPr>
        <w:t xml:space="preserve"> salvaguardas estándar sobre transparencia en la contratación y disponibilidad de datos públicos a lo largo de los ciclos de los proyectos, inclu</w:t>
      </w:r>
      <w:r w:rsidR="00DB37FB" w:rsidRPr="00C91113">
        <w:rPr>
          <w:color w:val="000000"/>
          <w:sz w:val="22"/>
          <w:szCs w:val="22"/>
          <w:lang w:val="es-US"/>
        </w:rPr>
        <w:t>idas</w:t>
      </w:r>
      <w:r w:rsidRPr="00C91113">
        <w:rPr>
          <w:color w:val="000000"/>
          <w:sz w:val="22"/>
          <w:szCs w:val="22"/>
          <w:lang w:val="es-US"/>
        </w:rPr>
        <w:t xml:space="preserve"> auditorías integrales por parte de autoridades internas y terceros, </w:t>
      </w:r>
      <w:r w:rsidR="00DB37FB" w:rsidRPr="00C91113">
        <w:rPr>
          <w:color w:val="000000"/>
          <w:sz w:val="22"/>
          <w:szCs w:val="22"/>
          <w:lang w:val="es-US"/>
        </w:rPr>
        <w:t xml:space="preserve">y </w:t>
      </w:r>
      <w:r w:rsidRPr="00C91113">
        <w:rPr>
          <w:color w:val="000000"/>
          <w:sz w:val="22"/>
          <w:szCs w:val="22"/>
          <w:lang w:val="es-US"/>
        </w:rPr>
        <w:t>la sociedad civil.</w:t>
      </w:r>
    </w:p>
    <w:p w14:paraId="0CFCAF86" w14:textId="77777777" w:rsidR="00092121" w:rsidRPr="00C91113" w:rsidRDefault="00B662BB" w:rsidP="00D151F7">
      <w:pPr>
        <w:pStyle w:val="ListParagraph"/>
        <w:numPr>
          <w:ilvl w:val="0"/>
          <w:numId w:val="2"/>
        </w:numPr>
        <w:spacing w:before="0" w:beforeAutospacing="0" w:after="120" w:afterAutospacing="0"/>
        <w:ind w:left="1440" w:hanging="720"/>
        <w:jc w:val="both"/>
        <w:rPr>
          <w:color w:val="000000"/>
          <w:sz w:val="22"/>
          <w:szCs w:val="22"/>
          <w:lang w:val="es-US"/>
        </w:rPr>
      </w:pPr>
      <w:r w:rsidRPr="00C91113">
        <w:rPr>
          <w:color w:val="000000"/>
          <w:sz w:val="22"/>
          <w:szCs w:val="22"/>
          <w:lang w:val="es-US"/>
        </w:rPr>
        <w:t>Promover y facilitar la cooperación entre las autoridades nacionales de aplicación de la ley en la región para asegurar que la sospecha de corrupción en el contexto de la pandemia de COVID-19 y las medidas de respuesta de emergencia y recuperación sean efectivamente detectadas, investigadas y sancionadas.</w:t>
      </w:r>
    </w:p>
    <w:p w14:paraId="020BDB7E" w14:textId="129FB9C7" w:rsidR="00EF5960" w:rsidRPr="00C91113" w:rsidRDefault="0078051C" w:rsidP="00D151F7">
      <w:pPr>
        <w:pStyle w:val="ListParagraph"/>
        <w:numPr>
          <w:ilvl w:val="0"/>
          <w:numId w:val="2"/>
        </w:numPr>
        <w:spacing w:before="0" w:beforeAutospacing="0" w:after="120" w:afterAutospacing="0"/>
        <w:ind w:left="1440" w:hanging="720"/>
        <w:jc w:val="both"/>
        <w:rPr>
          <w:color w:val="000000"/>
          <w:sz w:val="22"/>
          <w:szCs w:val="22"/>
          <w:lang w:val="es-US"/>
        </w:rPr>
      </w:pPr>
      <w:r w:rsidRPr="00C91113">
        <w:rPr>
          <w:color w:val="000000"/>
          <w:sz w:val="22"/>
          <w:szCs w:val="22"/>
          <w:lang w:val="es-US"/>
        </w:rPr>
        <w:lastRenderedPageBreak/>
        <w:t xml:space="preserve">Informar de manera transparente y oportuna nuestras propias actividades/programas de apoyo a la gobernabilidad democrática y de lucha contra la corrupción que se realicen en países y entidades, incluyendo en la plataforma en línea del Mecanismo de Seguimiento e Implementación del Compromiso de Lima, establecido para llevar cuenta del cumplimiento del Compromiso de Lima. </w:t>
      </w:r>
    </w:p>
    <w:p w14:paraId="45C66D4A" w14:textId="5AC5ABC5" w:rsidR="00CD1355" w:rsidRPr="00C91113" w:rsidRDefault="00B662BB" w:rsidP="00D151F7">
      <w:pPr>
        <w:pStyle w:val="ListParagraph"/>
        <w:numPr>
          <w:ilvl w:val="0"/>
          <w:numId w:val="2"/>
        </w:numPr>
        <w:spacing w:before="0" w:beforeAutospacing="0" w:after="120" w:afterAutospacing="0"/>
        <w:ind w:left="1440" w:hanging="720"/>
        <w:jc w:val="both"/>
        <w:rPr>
          <w:color w:val="000000"/>
          <w:sz w:val="22"/>
          <w:szCs w:val="22"/>
          <w:lang w:val="es-US"/>
        </w:rPr>
      </w:pPr>
      <w:r w:rsidRPr="00C91113">
        <w:rPr>
          <w:color w:val="000000"/>
          <w:sz w:val="22"/>
          <w:szCs w:val="22"/>
          <w:lang w:val="es-US"/>
        </w:rPr>
        <w:t xml:space="preserve">Replicar nuestro sistema de intercambio de información del GTCC a nivel nacional, entre nosotros y con la sociedad civil y el sector privado, en particular dentro de los grupos de coordinación de donantes, </w:t>
      </w:r>
      <w:r w:rsidR="00DB37FB" w:rsidRPr="00C91113">
        <w:rPr>
          <w:color w:val="000000"/>
          <w:sz w:val="22"/>
          <w:szCs w:val="22"/>
          <w:lang w:val="es-US"/>
        </w:rPr>
        <w:t>a fin de</w:t>
      </w:r>
      <w:r w:rsidRPr="00C91113">
        <w:rPr>
          <w:color w:val="000000"/>
          <w:sz w:val="22"/>
          <w:szCs w:val="22"/>
          <w:lang w:val="es-US"/>
        </w:rPr>
        <w:t xml:space="preserve"> aprovechar el apoyo multilateral a las normas democráticas y los estándares de gobierno abierto y la libertad de expresión de conformidad con </w:t>
      </w:r>
      <w:r w:rsidR="00893F50" w:rsidRPr="00C91113">
        <w:rPr>
          <w:color w:val="000000"/>
          <w:sz w:val="22"/>
          <w:szCs w:val="22"/>
          <w:lang w:val="es-US"/>
        </w:rPr>
        <w:t xml:space="preserve">la </w:t>
      </w:r>
      <w:r w:rsidRPr="00C91113">
        <w:rPr>
          <w:color w:val="000000"/>
          <w:sz w:val="22"/>
          <w:szCs w:val="22"/>
          <w:lang w:val="es-US"/>
        </w:rPr>
        <w:t xml:space="preserve">Carta Democrática </w:t>
      </w:r>
      <w:r w:rsidR="00CD1355" w:rsidRPr="00C91113">
        <w:rPr>
          <w:color w:val="000000"/>
          <w:sz w:val="22"/>
          <w:szCs w:val="22"/>
          <w:lang w:val="es-US"/>
        </w:rPr>
        <w:t>Interamericana.</w:t>
      </w:r>
    </w:p>
    <w:p w14:paraId="5700CA5A" w14:textId="77777777" w:rsidR="00B332C4" w:rsidRPr="00C91113" w:rsidRDefault="00B662BB" w:rsidP="00D151F7">
      <w:pPr>
        <w:pStyle w:val="ListParagraph"/>
        <w:numPr>
          <w:ilvl w:val="0"/>
          <w:numId w:val="2"/>
        </w:numPr>
        <w:spacing w:before="0" w:beforeAutospacing="0" w:after="120" w:afterAutospacing="0"/>
        <w:ind w:left="1440" w:hanging="720"/>
        <w:jc w:val="both"/>
        <w:rPr>
          <w:color w:val="000000"/>
          <w:sz w:val="22"/>
          <w:szCs w:val="22"/>
          <w:lang w:val="es-US"/>
        </w:rPr>
      </w:pPr>
      <w:r w:rsidRPr="00C91113">
        <w:rPr>
          <w:color w:val="000000"/>
          <w:sz w:val="22"/>
          <w:szCs w:val="22"/>
          <w:lang w:val="es-US"/>
        </w:rPr>
        <w:t>Esforzarse continuamente por reforzar, según el mandato 19 del Compromiso de Lima, los mecanismos de rendición de cuentas establecidos dentro de nuestras organizaciones individuales del GTCC, y trabajar conjunta e individualmente para garantizar el pleno acceso público a nuestras propias actividades, así como un compromiso más amplio con la sociedad civil.</w:t>
      </w:r>
    </w:p>
    <w:p w14:paraId="14915D64" w14:textId="6C5B9781" w:rsidR="00B662BB" w:rsidRPr="00C91113" w:rsidRDefault="00B662BB" w:rsidP="00D151F7">
      <w:pPr>
        <w:pStyle w:val="ListParagraph"/>
        <w:numPr>
          <w:ilvl w:val="0"/>
          <w:numId w:val="2"/>
        </w:numPr>
        <w:spacing w:before="0" w:beforeAutospacing="0" w:after="120" w:afterAutospacing="0"/>
        <w:ind w:left="1440" w:hanging="720"/>
        <w:jc w:val="both"/>
        <w:rPr>
          <w:color w:val="000000"/>
          <w:sz w:val="22"/>
          <w:szCs w:val="22"/>
          <w:lang w:val="es-US"/>
        </w:rPr>
      </w:pPr>
      <w:r w:rsidRPr="00C91113">
        <w:rPr>
          <w:color w:val="000000"/>
          <w:sz w:val="22"/>
          <w:szCs w:val="22"/>
          <w:lang w:val="es-US"/>
        </w:rPr>
        <w:t xml:space="preserve">Apoyar el ejemplo de los países miembros que están aplicando tecnologías digitales para mejorar la transparencia y la integridad, especialmente en el uso de recursos para los gastos </w:t>
      </w:r>
      <w:r w:rsidR="00DB37FB" w:rsidRPr="00C91113">
        <w:rPr>
          <w:color w:val="000000"/>
          <w:sz w:val="22"/>
          <w:szCs w:val="22"/>
          <w:lang w:val="es-US"/>
        </w:rPr>
        <w:t xml:space="preserve">relacionados con la </w:t>
      </w:r>
      <w:r w:rsidRPr="00C91113">
        <w:rPr>
          <w:color w:val="000000"/>
          <w:sz w:val="22"/>
          <w:szCs w:val="22"/>
          <w:lang w:val="es-US"/>
        </w:rPr>
        <w:t>COVID-19.</w:t>
      </w:r>
    </w:p>
    <w:p w14:paraId="54556050" w14:textId="10D02222" w:rsidR="00BB779C" w:rsidRPr="002E5B9A" w:rsidRDefault="00B662BB" w:rsidP="006E6022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lang w:val="es-CO"/>
        </w:rPr>
      </w:pPr>
      <w:r w:rsidRPr="002E5B9A">
        <w:rPr>
          <w:color w:val="000000"/>
          <w:sz w:val="22"/>
          <w:szCs w:val="22"/>
          <w:lang w:val="es-CO"/>
        </w:rPr>
        <w:t>Las instituciones multilaterales de las Américas han desempeñado un papel fundamental en la respuesta regional a la pandemia de COVID-19 y están listas para ayudar a</w:t>
      </w:r>
      <w:r w:rsidR="006D73CD" w:rsidRPr="002E5B9A">
        <w:rPr>
          <w:color w:val="000000"/>
          <w:sz w:val="22"/>
          <w:szCs w:val="22"/>
          <w:lang w:val="es-CO"/>
        </w:rPr>
        <w:t>l</w:t>
      </w:r>
      <w:r w:rsidRPr="002E5B9A">
        <w:rPr>
          <w:color w:val="000000"/>
          <w:sz w:val="22"/>
          <w:szCs w:val="22"/>
          <w:lang w:val="es-CO"/>
        </w:rPr>
        <w:t xml:space="preserve"> país anfitri</w:t>
      </w:r>
      <w:r w:rsidR="006D73CD" w:rsidRPr="002E5B9A">
        <w:rPr>
          <w:color w:val="000000"/>
          <w:sz w:val="22"/>
          <w:szCs w:val="22"/>
          <w:lang w:val="es-CO"/>
        </w:rPr>
        <w:t>ón</w:t>
      </w:r>
      <w:r w:rsidRPr="002E5B9A">
        <w:rPr>
          <w:color w:val="000000"/>
          <w:sz w:val="22"/>
          <w:szCs w:val="22"/>
          <w:lang w:val="es-CO"/>
        </w:rPr>
        <w:t xml:space="preserve"> y</w:t>
      </w:r>
      <w:r w:rsidR="00F0435D" w:rsidRPr="002E5B9A">
        <w:rPr>
          <w:color w:val="000000"/>
          <w:sz w:val="22"/>
          <w:szCs w:val="22"/>
          <w:lang w:val="es-CO"/>
        </w:rPr>
        <w:t xml:space="preserve"> </w:t>
      </w:r>
      <w:r w:rsidR="00E21131" w:rsidRPr="002E5B9A">
        <w:rPr>
          <w:color w:val="000000"/>
          <w:sz w:val="22"/>
          <w:szCs w:val="22"/>
          <w:lang w:val="es-CO"/>
        </w:rPr>
        <w:t>países participantes</w:t>
      </w:r>
      <w:r w:rsidRPr="002E5B9A">
        <w:rPr>
          <w:color w:val="000000"/>
          <w:sz w:val="22"/>
          <w:szCs w:val="22"/>
          <w:lang w:val="es-CO"/>
        </w:rPr>
        <w:t xml:space="preserve"> </w:t>
      </w:r>
      <w:r w:rsidR="00DB37FB">
        <w:rPr>
          <w:color w:val="000000"/>
          <w:sz w:val="22"/>
          <w:szCs w:val="22"/>
          <w:lang w:val="es-CO"/>
        </w:rPr>
        <w:t>en</w:t>
      </w:r>
      <w:r w:rsidRPr="002E5B9A">
        <w:rPr>
          <w:color w:val="000000"/>
          <w:sz w:val="22"/>
          <w:szCs w:val="22"/>
          <w:lang w:val="es-CO"/>
        </w:rPr>
        <w:t xml:space="preserve"> la próxima IX Cumbre de las Américas en 2021.</w:t>
      </w:r>
    </w:p>
    <w:p w14:paraId="03D00701" w14:textId="77777777" w:rsidR="00BB779C" w:rsidRPr="002E5B9A" w:rsidRDefault="00BB779C" w:rsidP="00B17309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s-CO"/>
        </w:rPr>
      </w:pPr>
    </w:p>
    <w:p w14:paraId="5FB24261" w14:textId="77777777" w:rsidR="00D44C4C" w:rsidRDefault="00D44C4C" w:rsidP="00B17309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s-CO"/>
        </w:rPr>
      </w:pPr>
    </w:p>
    <w:p w14:paraId="47524898" w14:textId="77777777" w:rsidR="00E97087" w:rsidRDefault="00E97087" w:rsidP="00B17309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s-CO"/>
        </w:rPr>
      </w:pPr>
    </w:p>
    <w:p w14:paraId="331FFA31" w14:textId="6C049411" w:rsidR="008C32E3" w:rsidRDefault="008C32E3" w:rsidP="00B17309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s-CO"/>
        </w:rPr>
      </w:pPr>
    </w:p>
    <w:p w14:paraId="69C95667" w14:textId="77777777" w:rsidR="008C32E3" w:rsidRDefault="008C32E3" w:rsidP="00B17309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s-CO"/>
        </w:rPr>
      </w:pPr>
    </w:p>
    <w:p w14:paraId="37688F92" w14:textId="77777777" w:rsidR="008C32E3" w:rsidRDefault="008C32E3" w:rsidP="00B17309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s-CO"/>
        </w:rPr>
      </w:pPr>
    </w:p>
    <w:p w14:paraId="603889CD" w14:textId="5DA39C31" w:rsidR="006E6022" w:rsidRPr="002E5B9A" w:rsidRDefault="006E6022" w:rsidP="00B17309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es-CO"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9C572" wp14:editId="18ABA6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2719" cy="23000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2719" cy="2300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B2885" w14:textId="20819D12" w:rsidR="00B8015D" w:rsidRPr="006E6022" w:rsidRDefault="00B801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009DA">
                              <w:rPr>
                                <w:noProof/>
                                <w:sz w:val="18"/>
                              </w:rPr>
                              <w:t>CMBRS01820S0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r w:rsidR="008009DA"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35pt;height:18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" filled="f" stroked="f">
                <v:stroke joinstyle="round"/>
                <v:path arrowok="t"/>
                <v:textbox>
                  <w:txbxContent>
                    <w:p w14:paraId="298B2885" w14:textId="20819D12" w:rsidR="00B8015D" w:rsidRPr="006E6022" w:rsidRDefault="00B801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009DA">
                        <w:rPr>
                          <w:noProof/>
                          <w:sz w:val="18"/>
                        </w:rPr>
                        <w:t>CMBRS01820S0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r w:rsidR="008009DA"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6022" w:rsidRPr="002E5B9A" w:rsidSect="004E49B7">
      <w:headerReference w:type="default" r:id="rId14"/>
      <w:headerReference w:type="first" r:id="rId15"/>
      <w:pgSz w:w="12240" w:h="15840"/>
      <w:pgMar w:top="2160" w:right="1570" w:bottom="1080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490C1" w14:textId="77777777" w:rsidR="00B8015D" w:rsidRDefault="00B8015D" w:rsidP="00B17309">
      <w:r>
        <w:separator/>
      </w:r>
    </w:p>
    <w:p w14:paraId="1B71E015" w14:textId="77777777" w:rsidR="00B8015D" w:rsidRDefault="00B8015D"/>
  </w:endnote>
  <w:endnote w:type="continuationSeparator" w:id="0">
    <w:p w14:paraId="09E59D12" w14:textId="77777777" w:rsidR="00B8015D" w:rsidRDefault="00B8015D" w:rsidP="00B17309">
      <w:r>
        <w:continuationSeparator/>
      </w:r>
    </w:p>
    <w:p w14:paraId="48C77FF3" w14:textId="77777777" w:rsidR="00B8015D" w:rsidRDefault="00B8015D"/>
  </w:endnote>
  <w:endnote w:type="continuationNotice" w:id="1">
    <w:p w14:paraId="7986264D" w14:textId="77777777" w:rsidR="00B8015D" w:rsidRDefault="00B8015D"/>
    <w:p w14:paraId="2A785481" w14:textId="77777777" w:rsidR="00B8015D" w:rsidRDefault="00B8015D"/>
  </w:endnote>
  <w:endnote w:id="2">
    <w:p w14:paraId="707F1459" w14:textId="5A0BD4E8" w:rsidR="00B8015D" w:rsidRPr="006E6022" w:rsidRDefault="00B8015D" w:rsidP="006E6022">
      <w:pPr>
        <w:tabs>
          <w:tab w:val="left" w:pos="360"/>
        </w:tabs>
        <w:ind w:left="720" w:hanging="360"/>
        <w:rPr>
          <w:sz w:val="20"/>
          <w:szCs w:val="20"/>
          <w:lang w:val="es-CO"/>
        </w:rPr>
      </w:pPr>
      <w:r w:rsidRPr="006E6022">
        <w:rPr>
          <w:rStyle w:val="EndnoteReference"/>
          <w:sz w:val="20"/>
          <w:szCs w:val="20"/>
          <w:vertAlign w:val="baseline"/>
        </w:rPr>
        <w:endnoteRef/>
      </w:r>
      <w:r>
        <w:rPr>
          <w:sz w:val="20"/>
          <w:szCs w:val="20"/>
          <w:lang w:val="es-CO"/>
        </w:rPr>
        <w:t>.</w:t>
      </w:r>
      <w:r>
        <w:rPr>
          <w:sz w:val="20"/>
          <w:szCs w:val="20"/>
          <w:lang w:val="es-CO"/>
        </w:rPr>
        <w:tab/>
      </w:r>
      <w:r w:rsidRPr="00B50E7B">
        <w:rPr>
          <w:sz w:val="20"/>
          <w:szCs w:val="20"/>
          <w:lang w:val="es-CO"/>
        </w:rPr>
        <w:t xml:space="preserve">Aunque esta </w:t>
      </w:r>
      <w:r>
        <w:rPr>
          <w:sz w:val="20"/>
          <w:szCs w:val="20"/>
          <w:lang w:val="es-CO"/>
        </w:rPr>
        <w:t>D</w:t>
      </w:r>
      <w:r w:rsidRPr="00B50E7B">
        <w:rPr>
          <w:sz w:val="20"/>
          <w:szCs w:val="20"/>
          <w:lang w:val="es-CO"/>
        </w:rPr>
        <w:t xml:space="preserve">eclaración </w:t>
      </w:r>
      <w:r>
        <w:rPr>
          <w:sz w:val="20"/>
          <w:szCs w:val="20"/>
          <w:lang w:val="es-CO"/>
        </w:rPr>
        <w:t>c</w:t>
      </w:r>
      <w:r w:rsidRPr="00B50E7B">
        <w:rPr>
          <w:sz w:val="20"/>
          <w:szCs w:val="20"/>
          <w:lang w:val="es-CO"/>
        </w:rPr>
        <w:t xml:space="preserve">onjunta no es un documento vinculante, refleja la voluntad y las intenciones de los participantes.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B5F3" w14:textId="77777777" w:rsidR="00B8015D" w:rsidRDefault="00B8015D" w:rsidP="00B17309">
      <w:r>
        <w:separator/>
      </w:r>
    </w:p>
    <w:p w14:paraId="124F0857" w14:textId="77777777" w:rsidR="00B8015D" w:rsidRDefault="00B8015D"/>
  </w:footnote>
  <w:footnote w:type="continuationSeparator" w:id="0">
    <w:p w14:paraId="79DC80B9" w14:textId="77777777" w:rsidR="00B8015D" w:rsidRDefault="00B8015D" w:rsidP="00B17309">
      <w:r>
        <w:continuationSeparator/>
      </w:r>
    </w:p>
    <w:p w14:paraId="1B433DE8" w14:textId="77777777" w:rsidR="00B8015D" w:rsidRDefault="00B8015D"/>
  </w:footnote>
  <w:footnote w:type="continuationNotice" w:id="1">
    <w:p w14:paraId="19D9D6A1" w14:textId="77777777" w:rsidR="00B8015D" w:rsidRDefault="00B8015D"/>
    <w:p w14:paraId="550B98DB" w14:textId="77777777" w:rsidR="00B8015D" w:rsidRDefault="00B8015D"/>
  </w:footnote>
  <w:footnote w:id="2">
    <w:p w14:paraId="538CE8B9" w14:textId="65EFEEAF" w:rsidR="00B8015D" w:rsidRPr="00B50E7B" w:rsidRDefault="00B8015D" w:rsidP="000F27FD">
      <w:pPr>
        <w:pStyle w:val="FootnoteText"/>
        <w:spacing w:before="0" w:beforeAutospacing="0" w:after="0" w:afterAutospacing="0"/>
        <w:jc w:val="both"/>
        <w:rPr>
          <w:sz w:val="20"/>
          <w:szCs w:val="20"/>
          <w:lang w:val="es-CO"/>
        </w:rPr>
      </w:pPr>
      <w:r w:rsidRPr="00CE151E">
        <w:rPr>
          <w:rStyle w:val="FootnoteReference"/>
          <w:sz w:val="20"/>
          <w:szCs w:val="20"/>
          <w:vertAlign w:val="superscript"/>
        </w:rPr>
        <w:footnoteRef/>
      </w:r>
      <w:r w:rsidRPr="00B50E7B">
        <w:rPr>
          <w:sz w:val="20"/>
          <w:szCs w:val="20"/>
          <w:lang w:val="es-CO"/>
        </w:rPr>
        <w:t xml:space="preserve"> La Primera Cumbre de las Américas dio lugar al primer instrumento jurídico internacional anticorrupción (la Convención Interamericana contra la Corrupción, 1996) y la Cumbre de Quebec en 2001 inició la negociación de la Carta Democrática Interamericana, que deja en claro los efectos corrosivos de la corrupción sistémica en </w:t>
      </w:r>
      <w:r w:rsidR="00C91113">
        <w:rPr>
          <w:sz w:val="20"/>
          <w:szCs w:val="20"/>
          <w:lang w:val="es-CO"/>
        </w:rPr>
        <w:t>la práctica democrática. La Octava</w:t>
      </w:r>
      <w:r w:rsidRPr="00B50E7B">
        <w:rPr>
          <w:sz w:val="20"/>
          <w:szCs w:val="20"/>
          <w:lang w:val="es-CO"/>
        </w:rPr>
        <w:t xml:space="preserve"> Cumbre de las Américas, celebrada en abril de 2018, se centró en su totalidad en la Gobernabilidad Democrática, dando lugar a 57 mandatos sobre prevención y lucha contra la corrupción </w:t>
      </w:r>
      <w:r w:rsidRPr="00B50E7B">
        <w:rPr>
          <w:color w:val="000000"/>
          <w:sz w:val="20"/>
          <w:szCs w:val="20"/>
          <w:lang w:val="es-CO"/>
        </w:rPr>
        <w:t>(</w:t>
      </w:r>
      <w:hyperlink r:id="rId1" w:history="1">
        <w:r w:rsidRPr="00B50E7B">
          <w:rPr>
            <w:rStyle w:val="Hyperlink"/>
            <w:sz w:val="20"/>
            <w:szCs w:val="20"/>
            <w:lang w:val="es-CO"/>
          </w:rPr>
          <w:t>enlace</w:t>
        </w:r>
      </w:hyperlink>
      <w:r w:rsidRPr="00B50E7B">
        <w:rPr>
          <w:color w:val="000000"/>
          <w:sz w:val="20"/>
          <w:szCs w:val="20"/>
          <w:lang w:val="es-CO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4969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A763C0" w14:textId="040E4CFE" w:rsidR="00B8015D" w:rsidRDefault="00B801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DA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4A4913E6" w14:textId="263D11BD" w:rsidR="00B8015D" w:rsidRPr="002E5B9A" w:rsidRDefault="00B8015D" w:rsidP="002E5B9A">
    <w:pPr>
      <w:pStyle w:val="Header"/>
    </w:pPr>
  </w:p>
  <w:p w14:paraId="26D69C29" w14:textId="77777777" w:rsidR="00B8015D" w:rsidRDefault="00B801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2943" w14:textId="60BFB0E4" w:rsidR="00B8015D" w:rsidRDefault="00B8015D" w:rsidP="002E5B9A">
    <w:pPr>
      <w:pStyle w:val="Header"/>
      <w:jc w:val="center"/>
    </w:pPr>
    <w:r>
      <w:rPr>
        <w:noProof/>
      </w:rPr>
      <w:drawing>
        <wp:inline distT="0" distB="0" distL="0" distR="0" wp14:anchorId="34F1FE69" wp14:editId="42B9C4FB">
          <wp:extent cx="4953000" cy="929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B35"/>
    <w:multiLevelType w:val="hybridMultilevel"/>
    <w:tmpl w:val="FDBCA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71272A"/>
    <w:multiLevelType w:val="hybridMultilevel"/>
    <w:tmpl w:val="4D32F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09"/>
    <w:rsid w:val="000242A2"/>
    <w:rsid w:val="000728F4"/>
    <w:rsid w:val="00092121"/>
    <w:rsid w:val="000B327A"/>
    <w:rsid w:val="000B3CE0"/>
    <w:rsid w:val="000B3DC4"/>
    <w:rsid w:val="000C1D0C"/>
    <w:rsid w:val="000F27FD"/>
    <w:rsid w:val="00106B57"/>
    <w:rsid w:val="001111DE"/>
    <w:rsid w:val="001261CC"/>
    <w:rsid w:val="00135943"/>
    <w:rsid w:val="001433AC"/>
    <w:rsid w:val="00191F7B"/>
    <w:rsid w:val="00194D05"/>
    <w:rsid w:val="001A18BC"/>
    <w:rsid w:val="001A5F7B"/>
    <w:rsid w:val="001B7D9E"/>
    <w:rsid w:val="001E0ECE"/>
    <w:rsid w:val="001E175B"/>
    <w:rsid w:val="001E4541"/>
    <w:rsid w:val="001F14F1"/>
    <w:rsid w:val="00210DE6"/>
    <w:rsid w:val="002161BE"/>
    <w:rsid w:val="002221A5"/>
    <w:rsid w:val="00255666"/>
    <w:rsid w:val="00264BB4"/>
    <w:rsid w:val="002E5B9A"/>
    <w:rsid w:val="00300DDF"/>
    <w:rsid w:val="003112B4"/>
    <w:rsid w:val="00312F32"/>
    <w:rsid w:val="00325EC4"/>
    <w:rsid w:val="00364EE8"/>
    <w:rsid w:val="00381518"/>
    <w:rsid w:val="004334BF"/>
    <w:rsid w:val="00460750"/>
    <w:rsid w:val="00464BF5"/>
    <w:rsid w:val="00482A20"/>
    <w:rsid w:val="004A4CAE"/>
    <w:rsid w:val="004A5C57"/>
    <w:rsid w:val="004B3469"/>
    <w:rsid w:val="004C3515"/>
    <w:rsid w:val="004D59D1"/>
    <w:rsid w:val="004E49B7"/>
    <w:rsid w:val="00507174"/>
    <w:rsid w:val="00525D69"/>
    <w:rsid w:val="00533CF7"/>
    <w:rsid w:val="005378DA"/>
    <w:rsid w:val="0054494F"/>
    <w:rsid w:val="00553B6B"/>
    <w:rsid w:val="00555F9D"/>
    <w:rsid w:val="00566617"/>
    <w:rsid w:val="00583296"/>
    <w:rsid w:val="005A2DD5"/>
    <w:rsid w:val="005C12DB"/>
    <w:rsid w:val="005C6296"/>
    <w:rsid w:val="005D6F51"/>
    <w:rsid w:val="005E1E4E"/>
    <w:rsid w:val="00610671"/>
    <w:rsid w:val="00621674"/>
    <w:rsid w:val="00625B33"/>
    <w:rsid w:val="00695693"/>
    <w:rsid w:val="00695B9E"/>
    <w:rsid w:val="006C145C"/>
    <w:rsid w:val="006D73CD"/>
    <w:rsid w:val="006D7912"/>
    <w:rsid w:val="006E6022"/>
    <w:rsid w:val="006F0EAF"/>
    <w:rsid w:val="00711CDB"/>
    <w:rsid w:val="0072367D"/>
    <w:rsid w:val="00724312"/>
    <w:rsid w:val="0073405D"/>
    <w:rsid w:val="007359EA"/>
    <w:rsid w:val="00737B38"/>
    <w:rsid w:val="0074733A"/>
    <w:rsid w:val="0078051C"/>
    <w:rsid w:val="00783B5E"/>
    <w:rsid w:val="007B185E"/>
    <w:rsid w:val="007B3890"/>
    <w:rsid w:val="007E05F1"/>
    <w:rsid w:val="008009DA"/>
    <w:rsid w:val="00811074"/>
    <w:rsid w:val="008349CD"/>
    <w:rsid w:val="00837655"/>
    <w:rsid w:val="00837781"/>
    <w:rsid w:val="0084424B"/>
    <w:rsid w:val="00853115"/>
    <w:rsid w:val="00860BD0"/>
    <w:rsid w:val="00886834"/>
    <w:rsid w:val="00893F50"/>
    <w:rsid w:val="00895A8B"/>
    <w:rsid w:val="00897E9E"/>
    <w:rsid w:val="008A51A7"/>
    <w:rsid w:val="008C32E3"/>
    <w:rsid w:val="008C6CCF"/>
    <w:rsid w:val="008D2A9A"/>
    <w:rsid w:val="008E12D9"/>
    <w:rsid w:val="008E53FB"/>
    <w:rsid w:val="00923434"/>
    <w:rsid w:val="00937CE6"/>
    <w:rsid w:val="00947387"/>
    <w:rsid w:val="009772A4"/>
    <w:rsid w:val="00996FFF"/>
    <w:rsid w:val="009C4B6B"/>
    <w:rsid w:val="00A12ED6"/>
    <w:rsid w:val="00A9044B"/>
    <w:rsid w:val="00AB0CD4"/>
    <w:rsid w:val="00AB1016"/>
    <w:rsid w:val="00AB754F"/>
    <w:rsid w:val="00AC28B1"/>
    <w:rsid w:val="00B17309"/>
    <w:rsid w:val="00B30F3C"/>
    <w:rsid w:val="00B3114B"/>
    <w:rsid w:val="00B332C4"/>
    <w:rsid w:val="00B42260"/>
    <w:rsid w:val="00B4778B"/>
    <w:rsid w:val="00B50E7B"/>
    <w:rsid w:val="00B662BB"/>
    <w:rsid w:val="00B70FF7"/>
    <w:rsid w:val="00B8015D"/>
    <w:rsid w:val="00BA492C"/>
    <w:rsid w:val="00BB415B"/>
    <w:rsid w:val="00BB779C"/>
    <w:rsid w:val="00C012FE"/>
    <w:rsid w:val="00C2025B"/>
    <w:rsid w:val="00C30CF3"/>
    <w:rsid w:val="00C35EE9"/>
    <w:rsid w:val="00C91113"/>
    <w:rsid w:val="00CA61D6"/>
    <w:rsid w:val="00CB1FD5"/>
    <w:rsid w:val="00CD1355"/>
    <w:rsid w:val="00CD48A5"/>
    <w:rsid w:val="00CE0EC5"/>
    <w:rsid w:val="00CE151E"/>
    <w:rsid w:val="00CF1982"/>
    <w:rsid w:val="00CF286F"/>
    <w:rsid w:val="00D122D8"/>
    <w:rsid w:val="00D151F7"/>
    <w:rsid w:val="00D44C4C"/>
    <w:rsid w:val="00D83DFE"/>
    <w:rsid w:val="00DB18FB"/>
    <w:rsid w:val="00DB37FB"/>
    <w:rsid w:val="00DD0C1F"/>
    <w:rsid w:val="00DE6F5F"/>
    <w:rsid w:val="00DE7E45"/>
    <w:rsid w:val="00DF3419"/>
    <w:rsid w:val="00DF72D9"/>
    <w:rsid w:val="00E011FD"/>
    <w:rsid w:val="00E21131"/>
    <w:rsid w:val="00E33A1E"/>
    <w:rsid w:val="00E41FE5"/>
    <w:rsid w:val="00E443CB"/>
    <w:rsid w:val="00E52EF6"/>
    <w:rsid w:val="00E5543B"/>
    <w:rsid w:val="00E5699C"/>
    <w:rsid w:val="00E960BA"/>
    <w:rsid w:val="00E97087"/>
    <w:rsid w:val="00EB785D"/>
    <w:rsid w:val="00EF5960"/>
    <w:rsid w:val="00F0435D"/>
    <w:rsid w:val="00F540AF"/>
    <w:rsid w:val="00F708AA"/>
    <w:rsid w:val="00F73712"/>
    <w:rsid w:val="00F75F00"/>
    <w:rsid w:val="00F84BCC"/>
    <w:rsid w:val="00FB6C23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9D7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0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17309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173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30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17309"/>
  </w:style>
  <w:style w:type="character" w:styleId="FootnoteReference">
    <w:name w:val="footnote reference"/>
    <w:basedOn w:val="DefaultParagraphFont"/>
    <w:uiPriority w:val="99"/>
    <w:unhideWhenUsed/>
    <w:rsid w:val="00B17309"/>
  </w:style>
  <w:style w:type="paragraph" w:styleId="Header">
    <w:name w:val="header"/>
    <w:basedOn w:val="Normal"/>
    <w:link w:val="HeaderChar"/>
    <w:uiPriority w:val="99"/>
    <w:unhideWhenUsed/>
    <w:rsid w:val="00695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9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2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9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5C5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7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79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79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FB6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0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17309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173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30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17309"/>
  </w:style>
  <w:style w:type="character" w:styleId="FootnoteReference">
    <w:name w:val="footnote reference"/>
    <w:basedOn w:val="DefaultParagraphFont"/>
    <w:uiPriority w:val="99"/>
    <w:unhideWhenUsed/>
    <w:rsid w:val="00B17309"/>
  </w:style>
  <w:style w:type="paragraph" w:styleId="Header">
    <w:name w:val="header"/>
    <w:basedOn w:val="Normal"/>
    <w:link w:val="HeaderChar"/>
    <w:uiPriority w:val="99"/>
    <w:unhideWhenUsed/>
    <w:rsid w:val="00695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9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2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9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5C5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7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79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79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FB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mmit-americas.org/gtcc_reunion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ummit-americas.org/brief/SignedMoU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mit-americas.org/LIMA_COMMITMENT/LimaCommitment_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23A5-670D-4374-81BB-E995E722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908BE-588C-492F-A898-91AEF0FF15B7}">
  <ds:schemaRefs>
    <ds:schemaRef ds:uri="http://schemas.microsoft.com/office/2006/metadata/properties"/>
    <ds:schemaRef ds:uri="http://purl.org/dc/elements/1.1/"/>
    <ds:schemaRef ds:uri="http://purl.org/dc/terms/"/>
    <ds:schemaRef ds:uri="89f4cd83-a2d3-4405-9b45-6aff5241ff81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3526AB-1DEF-4301-B43F-54CD29D89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478DF-5917-4E14-8D69-5714819D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Molina-Vrolijk, Jennifer</dc:creator>
  <cp:lastModifiedBy>jmolina</cp:lastModifiedBy>
  <cp:revision>3</cp:revision>
  <cp:lastPrinted>2020-08-04T23:59:00Z</cp:lastPrinted>
  <dcterms:created xsi:type="dcterms:W3CDTF">2020-09-14T19:50:00Z</dcterms:created>
  <dcterms:modified xsi:type="dcterms:W3CDTF">2020-09-14T19:52:00Z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  <property fmtid="{D5CDD505-2E9C-101B-9397-08002B2CF9AE}" pid="3" name="OECDCountry">
    <vt:lpwstr>255;#Latin America|8e489300-1028-4aeb-bfb7-6bffc49715af</vt:lpwstr>
  </property>
  <property fmtid="{D5CDD505-2E9C-101B-9397-08002B2CF9AE}" pid="4" name="OECDTopic">
    <vt:lpwstr/>
  </property>
  <property fmtid="{D5CDD505-2E9C-101B-9397-08002B2CF9AE}" pid="5" name="OECDCommittee">
    <vt:lpwstr/>
  </property>
  <property fmtid="{D5CDD505-2E9C-101B-9397-08002B2CF9AE}" pid="6" name="OECDPWB">
    <vt:lpwstr>3;#(n/a)|3adabb5f-45b7-4a20-bdde-219e8d9477af</vt:lpwstr>
  </property>
  <property fmtid="{D5CDD505-2E9C-101B-9397-08002B2CF9AE}" pid="7" name="OECDKeywords">
    <vt:lpwstr/>
  </property>
  <property fmtid="{D5CDD505-2E9C-101B-9397-08002B2CF9AE}" pid="8" name="OECDHorizontalProjects">
    <vt:lpwstr/>
  </property>
  <property fmtid="{D5CDD505-2E9C-101B-9397-08002B2CF9AE}" pid="9" name="OECDProjectOwnerStructure">
    <vt:lpwstr>188;#SGE/GRS/SPNI|8b58850b-6c83-4ab2-9af2-4ab244511ac6</vt:lpwstr>
  </property>
</Properties>
</file>