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AE10B" w14:textId="77777777" w:rsidR="00960A13" w:rsidRPr="00960A13" w:rsidRDefault="00960A13" w:rsidP="00960A13">
      <w:pPr>
        <w:tabs>
          <w:tab w:val="left" w:pos="6300"/>
        </w:tabs>
        <w:suppressAutoHyphens/>
        <w:spacing w:after="0" w:line="240" w:lineRule="auto"/>
        <w:ind w:right="-1109"/>
        <w:rPr>
          <w:rFonts w:ascii="Times New Roman" w:eastAsia="Calibri" w:hAnsi="Times New Roman" w:cs="Times New Roman"/>
          <w:lang w:val="es-AR"/>
        </w:rPr>
      </w:pPr>
      <w:r w:rsidRPr="00960A13">
        <w:rPr>
          <w:rFonts w:ascii="Times New Roman" w:eastAsia="Calibri" w:hAnsi="Times New Roman" w:cs="Times New Roman"/>
          <w:caps/>
          <w:lang w:val="es-AR"/>
        </w:rPr>
        <w:t xml:space="preserve">Convención Interamericana contra </w:t>
      </w:r>
      <w:r w:rsidRPr="00960A13">
        <w:rPr>
          <w:rFonts w:ascii="Times New Roman" w:eastAsia="Calibri" w:hAnsi="Times New Roman" w:cs="Times New Roman"/>
          <w:lang w:val="es-AR"/>
        </w:rPr>
        <w:tab/>
        <w:t>OEA/Ser. L/XXII.2.24</w:t>
      </w:r>
    </w:p>
    <w:p w14:paraId="4EA83C63" w14:textId="77777777" w:rsidR="00960A13" w:rsidRPr="00960A13" w:rsidRDefault="00960A13" w:rsidP="00960A13">
      <w:pPr>
        <w:tabs>
          <w:tab w:val="left" w:pos="6300"/>
        </w:tabs>
        <w:suppressAutoHyphens/>
        <w:spacing w:after="0" w:line="240" w:lineRule="auto"/>
        <w:ind w:right="-479"/>
        <w:rPr>
          <w:rFonts w:ascii="Times New Roman" w:eastAsia="Calibri" w:hAnsi="Times New Roman" w:cs="Times New Roman"/>
          <w:lang w:val="es-AR"/>
        </w:rPr>
      </w:pPr>
      <w:r w:rsidRPr="00960A13">
        <w:rPr>
          <w:rFonts w:ascii="Times New Roman" w:eastAsia="Calibri" w:hAnsi="Times New Roman" w:cs="Times New Roman"/>
          <w:caps/>
          <w:lang w:val="es-AR"/>
        </w:rPr>
        <w:t xml:space="preserve">la Fabricación y el Tráfico Ilícitos </w:t>
      </w:r>
      <w:r w:rsidRPr="00960A13">
        <w:rPr>
          <w:rFonts w:ascii="Times New Roman" w:eastAsia="Calibri" w:hAnsi="Times New Roman" w:cs="Times New Roman"/>
          <w:caps/>
          <w:lang w:val="es-AR"/>
        </w:rPr>
        <w:tab/>
      </w:r>
      <w:r w:rsidRPr="00960A13">
        <w:rPr>
          <w:rFonts w:ascii="Times New Roman" w:eastAsia="Calibri" w:hAnsi="Times New Roman" w:cs="Times New Roman"/>
          <w:lang w:val="es-AR"/>
        </w:rPr>
        <w:t xml:space="preserve">CIFTA/CC-XXIV/doc.5/24 rev.2 </w:t>
      </w:r>
    </w:p>
    <w:p w14:paraId="27217031" w14:textId="77777777" w:rsidR="00960A13" w:rsidRPr="00960A13" w:rsidRDefault="00960A13" w:rsidP="00960A13">
      <w:pPr>
        <w:tabs>
          <w:tab w:val="left" w:pos="6300"/>
        </w:tabs>
        <w:suppressAutoHyphens/>
        <w:spacing w:after="0" w:line="240" w:lineRule="auto"/>
        <w:ind w:right="-705"/>
        <w:rPr>
          <w:rFonts w:ascii="Times New Roman" w:eastAsia="Calibri" w:hAnsi="Times New Roman" w:cs="Times New Roman"/>
          <w:lang w:val="es-AR"/>
        </w:rPr>
      </w:pPr>
      <w:r w:rsidRPr="00960A13">
        <w:rPr>
          <w:rFonts w:ascii="Times New Roman" w:eastAsia="Calibri" w:hAnsi="Times New Roman" w:cs="Times New Roman"/>
          <w:caps/>
          <w:lang w:val="es-AR"/>
        </w:rPr>
        <w:t>de Armas de Fuego, MUNICIONES, EXPLOSIVOS</w:t>
      </w:r>
      <w:r w:rsidRPr="00960A13">
        <w:rPr>
          <w:rFonts w:ascii="Times New Roman" w:eastAsia="Calibri" w:hAnsi="Times New Roman" w:cs="Times New Roman"/>
          <w:lang w:val="es-AR"/>
        </w:rPr>
        <w:tab/>
        <w:t>14 de mayo de 2024</w:t>
      </w:r>
    </w:p>
    <w:p w14:paraId="48D9D38E" w14:textId="77777777" w:rsidR="00960A13" w:rsidRPr="00960A13" w:rsidRDefault="00960A13" w:rsidP="00960A13">
      <w:pPr>
        <w:tabs>
          <w:tab w:val="left" w:pos="6300"/>
        </w:tabs>
        <w:spacing w:after="0" w:line="240" w:lineRule="auto"/>
        <w:ind w:right="-389"/>
        <w:rPr>
          <w:rFonts w:ascii="Times New Roman" w:eastAsia="Calibri" w:hAnsi="Times New Roman" w:cs="Times New Roman"/>
          <w:lang w:val="es-AR"/>
        </w:rPr>
      </w:pPr>
      <w:r w:rsidRPr="00960A13">
        <w:rPr>
          <w:rFonts w:ascii="Times New Roman" w:eastAsia="Calibri" w:hAnsi="Times New Roman" w:cs="Times New Roman"/>
          <w:lang w:val="es-AR"/>
        </w:rPr>
        <w:t>Y OTROS MATERIALES RELACIONADOS (CIFTA)</w:t>
      </w:r>
      <w:r w:rsidRPr="00960A13">
        <w:rPr>
          <w:rFonts w:ascii="Times New Roman" w:eastAsia="Calibri" w:hAnsi="Times New Roman" w:cs="Times New Roman"/>
          <w:caps/>
          <w:lang w:val="es-AR"/>
        </w:rPr>
        <w:tab/>
      </w:r>
      <w:r w:rsidRPr="00960A13">
        <w:rPr>
          <w:rFonts w:ascii="Times New Roman" w:eastAsia="Calibri" w:hAnsi="Times New Roman" w:cs="Times New Roman"/>
          <w:lang w:val="es-AR"/>
        </w:rPr>
        <w:t>Original: español</w:t>
      </w:r>
    </w:p>
    <w:p w14:paraId="6795BA90" w14:textId="77777777" w:rsidR="00960A13" w:rsidRPr="00960A13" w:rsidRDefault="00960A13" w:rsidP="00960A13">
      <w:pPr>
        <w:keepNext/>
        <w:tabs>
          <w:tab w:val="left" w:pos="6300"/>
        </w:tabs>
        <w:spacing w:after="0" w:line="240" w:lineRule="auto"/>
        <w:outlineLvl w:val="2"/>
        <w:rPr>
          <w:rFonts w:ascii="Times New Roman" w:eastAsia="Calibri" w:hAnsi="Times New Roman" w:cs="Times New Roman"/>
          <w:u w:val="single"/>
          <w:lang w:val="es-AR"/>
        </w:rPr>
      </w:pPr>
      <w:r w:rsidRPr="00960A13">
        <w:rPr>
          <w:rFonts w:ascii="Times New Roman" w:eastAsia="Calibri" w:hAnsi="Times New Roman" w:cs="Times New Roman"/>
          <w:u w:val="single"/>
          <w:lang w:val="es-AR"/>
        </w:rPr>
        <w:t>Comité Consultivo</w:t>
      </w:r>
    </w:p>
    <w:p w14:paraId="76230731" w14:textId="77777777" w:rsidR="00960A13" w:rsidRPr="00960A13" w:rsidRDefault="00960A13" w:rsidP="00960A13">
      <w:pPr>
        <w:tabs>
          <w:tab w:val="left" w:pos="6300"/>
        </w:tabs>
        <w:suppressAutoHyphens/>
        <w:spacing w:after="0" w:line="240" w:lineRule="auto"/>
        <w:rPr>
          <w:rFonts w:ascii="Times New Roman" w:eastAsia="Calibri" w:hAnsi="Times New Roman" w:cs="Times New Roman"/>
          <w:lang w:val="es-AR"/>
        </w:rPr>
      </w:pPr>
      <w:r w:rsidRPr="00960A13">
        <w:rPr>
          <w:rFonts w:ascii="Times New Roman" w:eastAsia="Calibri" w:hAnsi="Times New Roman" w:cs="Times New Roman"/>
          <w:u w:val="single"/>
          <w:lang w:val="es-AR"/>
        </w:rPr>
        <w:t>Vigésima cuarta Reunión Ordinaria</w:t>
      </w:r>
    </w:p>
    <w:p w14:paraId="38D7DDAF" w14:textId="77777777" w:rsidR="00960A13" w:rsidRPr="00960A13" w:rsidRDefault="00960A13" w:rsidP="00960A13">
      <w:pPr>
        <w:tabs>
          <w:tab w:val="left" w:pos="6300"/>
        </w:tabs>
        <w:suppressAutoHyphens/>
        <w:spacing w:after="0" w:line="240" w:lineRule="auto"/>
        <w:rPr>
          <w:rFonts w:ascii="Times New Roman" w:eastAsia="Calibri" w:hAnsi="Times New Roman" w:cs="Times New Roman"/>
          <w:lang w:val="es-AR"/>
        </w:rPr>
      </w:pPr>
      <w:r w:rsidRPr="00960A13">
        <w:rPr>
          <w:rFonts w:ascii="Times New Roman" w:eastAsia="Calibri" w:hAnsi="Times New Roman" w:cs="Times New Roman"/>
          <w:lang w:val="es-AR"/>
        </w:rPr>
        <w:t>23 de mayo de 2024</w:t>
      </w:r>
    </w:p>
    <w:p w14:paraId="4C605838" w14:textId="77777777" w:rsidR="00960A13" w:rsidRPr="00960A13" w:rsidRDefault="00960A13" w:rsidP="00960A13">
      <w:pPr>
        <w:tabs>
          <w:tab w:val="left" w:pos="6300"/>
        </w:tabs>
        <w:suppressAutoHyphens/>
        <w:spacing w:after="0" w:line="240" w:lineRule="auto"/>
        <w:rPr>
          <w:rFonts w:ascii="Times New Roman" w:eastAsia="Calibri" w:hAnsi="Times New Roman" w:cs="Times New Roman"/>
          <w:lang w:val="es-AR"/>
        </w:rPr>
      </w:pPr>
      <w:r w:rsidRPr="00960A13">
        <w:rPr>
          <w:rFonts w:ascii="Times New Roman" w:eastAsia="Calibri" w:hAnsi="Times New Roman" w:cs="Times New Roman"/>
          <w:lang w:val="es-AR"/>
        </w:rPr>
        <w:t>Washington, D.C. (Formato híbrido)</w:t>
      </w:r>
    </w:p>
    <w:p w14:paraId="2725276C" w14:textId="77777777" w:rsidR="00960A13" w:rsidRPr="00960A13" w:rsidRDefault="00960A13" w:rsidP="00960A13">
      <w:pPr>
        <w:spacing w:after="0" w:line="254" w:lineRule="auto"/>
        <w:jc w:val="right"/>
        <w:rPr>
          <w:rFonts w:ascii="Times New Roman" w:eastAsia="Calibri" w:hAnsi="Times New Roman" w:cs="Times New Roman"/>
        </w:rPr>
      </w:pPr>
    </w:p>
    <w:p w14:paraId="57663439" w14:textId="77777777" w:rsidR="00960A13" w:rsidRPr="00960A13" w:rsidRDefault="00960A13" w:rsidP="00960A13">
      <w:pPr>
        <w:spacing w:after="0" w:line="254" w:lineRule="auto"/>
        <w:jc w:val="center"/>
        <w:rPr>
          <w:rFonts w:ascii="Times New Roman" w:eastAsia="Calibri" w:hAnsi="Times New Roman" w:cs="Times New Roman"/>
        </w:rPr>
      </w:pPr>
    </w:p>
    <w:p w14:paraId="06EE4E52" w14:textId="77777777" w:rsidR="00960A13" w:rsidRPr="00960A13" w:rsidRDefault="00960A13" w:rsidP="00960A13">
      <w:pPr>
        <w:spacing w:after="0" w:line="254" w:lineRule="auto"/>
        <w:jc w:val="center"/>
        <w:rPr>
          <w:rFonts w:ascii="Times New Roman" w:eastAsia="Calibri" w:hAnsi="Times New Roman" w:cs="Times New Roman"/>
        </w:rPr>
      </w:pPr>
    </w:p>
    <w:p w14:paraId="7F3F4A92" w14:textId="77777777" w:rsidR="00960A13" w:rsidRPr="00960A13" w:rsidRDefault="00960A13" w:rsidP="00960A13">
      <w:pPr>
        <w:spacing w:after="0" w:line="254" w:lineRule="auto"/>
        <w:jc w:val="center"/>
        <w:rPr>
          <w:rFonts w:ascii="Times New Roman" w:eastAsia="Calibri" w:hAnsi="Times New Roman" w:cs="Times New Roman"/>
          <w:lang w:val="es-AR"/>
        </w:rPr>
      </w:pPr>
      <w:r w:rsidRPr="00960A13">
        <w:rPr>
          <w:rFonts w:ascii="Times New Roman" w:eastAsia="Calibri" w:hAnsi="Times New Roman" w:cs="Times New Roman"/>
        </w:rPr>
        <w:t>PROYECTO DE PÁRRAFOS A SER INCLUIDOS EN EL PROYECTO DE RESOLUCIÓN ÓMNIBUS “</w:t>
      </w:r>
      <w:r w:rsidRPr="00960A13">
        <w:rPr>
          <w:rFonts w:ascii="Times New Roman" w:eastAsia="Calibri" w:hAnsi="Times New Roman" w:cs="Times New Roman"/>
          <w:lang w:val="es-AR"/>
        </w:rPr>
        <w:t xml:space="preserve">PROMOCIÓN DE LA SEGURIDAD HEMISFÉRICA: </w:t>
      </w:r>
    </w:p>
    <w:p w14:paraId="3A1CB861" w14:textId="77777777" w:rsidR="00960A13" w:rsidRPr="00960A13" w:rsidRDefault="00960A13" w:rsidP="00960A13">
      <w:pPr>
        <w:spacing w:after="0" w:line="254" w:lineRule="auto"/>
        <w:jc w:val="center"/>
        <w:rPr>
          <w:rFonts w:ascii="Times New Roman" w:eastAsia="Calibri" w:hAnsi="Times New Roman" w:cs="Times New Roman"/>
        </w:rPr>
      </w:pPr>
      <w:r w:rsidRPr="00960A13">
        <w:rPr>
          <w:rFonts w:ascii="Times New Roman" w:eastAsia="Calibri" w:hAnsi="Times New Roman" w:cs="Times New Roman"/>
          <w:lang w:val="es-AR"/>
        </w:rPr>
        <w:t>UN ENFOQUE MULTIDIMENSIONAL</w:t>
      </w:r>
      <w:r w:rsidRPr="00960A13">
        <w:rPr>
          <w:rFonts w:ascii="Times New Roman" w:eastAsia="Calibri" w:hAnsi="Times New Roman" w:cs="Times New Roman"/>
        </w:rPr>
        <w:t>”</w:t>
      </w:r>
    </w:p>
    <w:p w14:paraId="7ADA2618" w14:textId="77777777" w:rsidR="00960A13" w:rsidRPr="00960A13" w:rsidRDefault="00960A13" w:rsidP="00960A13">
      <w:pPr>
        <w:spacing w:after="0" w:line="254" w:lineRule="auto"/>
        <w:jc w:val="center"/>
        <w:rPr>
          <w:rFonts w:ascii="Times New Roman" w:eastAsia="Calibri" w:hAnsi="Times New Roman" w:cs="Times New Roman"/>
        </w:rPr>
      </w:pPr>
      <w:r w:rsidRPr="00960A13">
        <w:rPr>
          <w:rFonts w:ascii="Times New Roman" w:eastAsia="Calibri" w:hAnsi="Times New Roman" w:cs="Times New Roman"/>
        </w:rPr>
        <w:t>(Acordado durante la Segunda Reunión Preparatoria celebrada el 13 de mayo de 2024)</w:t>
      </w:r>
    </w:p>
    <w:p w14:paraId="1DF46427" w14:textId="77777777" w:rsidR="00960A13" w:rsidRPr="00960A13" w:rsidRDefault="00960A13" w:rsidP="00960A13">
      <w:pPr>
        <w:spacing w:after="0" w:line="254" w:lineRule="auto"/>
        <w:jc w:val="center"/>
        <w:rPr>
          <w:rFonts w:ascii="Times New Roman" w:eastAsia="Calibri" w:hAnsi="Times New Roman" w:cs="Times New Roman"/>
        </w:rPr>
      </w:pPr>
    </w:p>
    <w:p w14:paraId="43B2E257" w14:textId="77777777" w:rsidR="00960A13" w:rsidRPr="00960A13" w:rsidRDefault="00960A13" w:rsidP="00960A13">
      <w:pPr>
        <w:spacing w:after="0" w:line="254" w:lineRule="auto"/>
        <w:jc w:val="center"/>
        <w:rPr>
          <w:rFonts w:ascii="Times New Roman" w:eastAsia="Calibri" w:hAnsi="Times New Roman" w:cs="Times New Roman"/>
        </w:rPr>
      </w:pPr>
      <w:r w:rsidRPr="00960A13">
        <w:rPr>
          <w:rFonts w:ascii="Times New Roman" w:eastAsia="Calibri" w:hAnsi="Times New Roman" w:cs="Times New Roman"/>
          <w:u w:val="single"/>
        </w:rPr>
        <w:t>Convención Interamericana contra la Fabricación y el Tráfico Ilícitos de Armas de Fuego, Municiones, Explosivos y Otros Materiales Relacionados (CIFTA)</w:t>
      </w:r>
    </w:p>
    <w:p w14:paraId="40A209F5" w14:textId="77777777" w:rsidR="00960A13" w:rsidRPr="00960A13" w:rsidRDefault="00960A13" w:rsidP="00960A13">
      <w:pPr>
        <w:spacing w:line="254" w:lineRule="auto"/>
        <w:rPr>
          <w:rFonts w:ascii="Times New Roman" w:eastAsia="Calibri" w:hAnsi="Times New Roman" w:cs="Times New Roman"/>
          <w:lang w:val="es-ES"/>
        </w:rPr>
      </w:pPr>
    </w:p>
    <w:p w14:paraId="2364DA7E" w14:textId="77777777" w:rsidR="00960A13" w:rsidRPr="00960A13" w:rsidRDefault="00960A13" w:rsidP="00960A13">
      <w:pPr>
        <w:numPr>
          <w:ilvl w:val="0"/>
          <w:numId w:val="5"/>
        </w:numPr>
        <w:spacing w:line="254" w:lineRule="auto"/>
        <w:contextualSpacing/>
        <w:jc w:val="both"/>
        <w:rPr>
          <w:rFonts w:ascii="Times New Roman" w:eastAsia="Calibri" w:hAnsi="Times New Roman" w:cs="Times New Roman"/>
          <w:lang w:val="es-ES"/>
        </w:rPr>
      </w:pPr>
      <w:r w:rsidRPr="00960A13">
        <w:rPr>
          <w:rFonts w:ascii="Times New Roman" w:eastAsia="Calibri" w:hAnsi="Times New Roman" w:cs="Times New Roman"/>
          <w:lang w:val="es-ES"/>
        </w:rPr>
        <w:t xml:space="preserve">Aprobar la Metodología del </w:t>
      </w:r>
      <w:r w:rsidRPr="00960A13">
        <w:rPr>
          <w:rFonts w:ascii="Times New Roman" w:eastAsia="Calibri" w:hAnsi="Times New Roman" w:cs="Times New Roman"/>
          <w:i/>
          <w:lang w:val="es-ES"/>
        </w:rPr>
        <w:t>Estudio Hemisférico sobre Tráfico Ilícito de Armas y Municiones</w:t>
      </w:r>
      <w:r w:rsidRPr="00960A13">
        <w:rPr>
          <w:rFonts w:ascii="Times New Roman" w:eastAsia="Calibri" w:hAnsi="Times New Roman" w:cs="Times New Roman"/>
          <w:iCs/>
          <w:lang w:val="es-ES"/>
        </w:rPr>
        <w:t>,</w:t>
      </w:r>
      <w:r w:rsidRPr="00960A13">
        <w:rPr>
          <w:rFonts w:ascii="Times New Roman" w:eastAsia="Calibri" w:hAnsi="Times New Roman" w:cs="Times New Roman"/>
          <w:lang w:val="es-ES"/>
        </w:rPr>
        <w:t xml:space="preserve"> preparada por el Departamento de Seguridad Pública, y solicitar al Departamento de Seguridad Pública que inicie la implementación de la primera edición del Estudio, con apoyo de los recursos financieros disponibles en el “Fondo de Contribuciones Voluntarias para el Fomento de la Implementación de los Mecanismos de la Convención Interamericana contra la Fabricación y el Tráfico Ilícitos de Armas de Fuego, Municiones, Explosivos y otros Materiales Relacionados (CIFTA)” destinados para ello, así como con otros fondos específicos de los que pudiera allegarse. </w:t>
      </w:r>
    </w:p>
    <w:p w14:paraId="6F1EC91F" w14:textId="77777777" w:rsidR="00960A13" w:rsidRPr="00960A13" w:rsidRDefault="00960A13" w:rsidP="00960A13">
      <w:pPr>
        <w:spacing w:after="0" w:line="254" w:lineRule="auto"/>
        <w:ind w:left="720"/>
        <w:contextualSpacing/>
        <w:jc w:val="both"/>
        <w:rPr>
          <w:rFonts w:ascii="Times New Roman" w:eastAsia="Calibri" w:hAnsi="Times New Roman" w:cs="Times New Roman"/>
          <w:lang w:val="es-ES"/>
        </w:rPr>
      </w:pPr>
    </w:p>
    <w:p w14:paraId="0B1690B1" w14:textId="77777777" w:rsidR="00960A13" w:rsidRPr="00960A13" w:rsidRDefault="00960A13" w:rsidP="00960A13">
      <w:pPr>
        <w:numPr>
          <w:ilvl w:val="0"/>
          <w:numId w:val="5"/>
        </w:numPr>
        <w:spacing w:line="254" w:lineRule="auto"/>
        <w:contextualSpacing/>
        <w:jc w:val="both"/>
        <w:rPr>
          <w:rFonts w:ascii="Times New Roman" w:eastAsia="Calibri" w:hAnsi="Times New Roman" w:cs="Times New Roman"/>
          <w:lang w:val="es-AR"/>
        </w:rPr>
      </w:pPr>
      <w:r w:rsidRPr="00960A13">
        <w:rPr>
          <w:rFonts w:ascii="Times New Roman" w:eastAsia="Calibri" w:hAnsi="Times New Roman" w:cs="Times New Roman"/>
          <w:lang w:val="es-ES"/>
        </w:rPr>
        <w:t xml:space="preserve">Aprobar los </w:t>
      </w:r>
      <w:r w:rsidRPr="00960A13">
        <w:rPr>
          <w:rFonts w:ascii="Times New Roman" w:eastAsia="Calibri" w:hAnsi="Times New Roman" w:cs="Times New Roman"/>
          <w:lang w:val="es-AR"/>
        </w:rPr>
        <w:t>siguientes manuales y lineamientos e integrarlos como parte de los documentos complementarios de la CIFTA, de uso voluntario por los Estados Parte:</w:t>
      </w:r>
    </w:p>
    <w:p w14:paraId="7BB99576" w14:textId="77777777" w:rsidR="00960A13" w:rsidRPr="00960A13" w:rsidRDefault="00960A13" w:rsidP="00960A13">
      <w:pPr>
        <w:spacing w:after="0" w:line="254" w:lineRule="auto"/>
        <w:ind w:left="720"/>
        <w:contextualSpacing/>
        <w:rPr>
          <w:rFonts w:ascii="Times New Roman" w:eastAsia="Calibri" w:hAnsi="Times New Roman" w:cs="Times New Roman"/>
          <w:lang w:val="es-AR"/>
        </w:rPr>
      </w:pPr>
    </w:p>
    <w:p w14:paraId="19A7D4CB" w14:textId="77777777" w:rsidR="00960A13" w:rsidRPr="00960A13" w:rsidRDefault="00960A13" w:rsidP="00960A13">
      <w:pPr>
        <w:numPr>
          <w:ilvl w:val="0"/>
          <w:numId w:val="6"/>
        </w:numPr>
        <w:spacing w:after="0" w:line="254" w:lineRule="auto"/>
        <w:ind w:left="1701"/>
        <w:contextualSpacing/>
        <w:jc w:val="both"/>
        <w:rPr>
          <w:rFonts w:ascii="Times New Roman" w:eastAsia="Calibri" w:hAnsi="Times New Roman" w:cs="Times New Roman"/>
          <w:lang w:val="es-AR"/>
        </w:rPr>
      </w:pPr>
      <w:r w:rsidRPr="00960A13">
        <w:rPr>
          <w:rFonts w:ascii="Times New Roman" w:eastAsia="Calibri" w:hAnsi="Times New Roman" w:cs="Times New Roman"/>
          <w:lang w:val="es-AR"/>
        </w:rPr>
        <w:t>Manual de Procedimientos Operativos para la Destrucción de Armas Pequeñas y Armas Ligeras (APAL).</w:t>
      </w:r>
    </w:p>
    <w:p w14:paraId="569B2C36" w14:textId="77777777" w:rsidR="00960A13" w:rsidRPr="00960A13" w:rsidRDefault="00960A13" w:rsidP="00960A13">
      <w:pPr>
        <w:numPr>
          <w:ilvl w:val="0"/>
          <w:numId w:val="6"/>
        </w:numPr>
        <w:spacing w:after="0" w:line="254" w:lineRule="auto"/>
        <w:ind w:left="1701"/>
        <w:contextualSpacing/>
        <w:jc w:val="both"/>
        <w:rPr>
          <w:rFonts w:ascii="Times New Roman" w:eastAsia="Calibri" w:hAnsi="Times New Roman" w:cs="Times New Roman"/>
          <w:lang w:val="es-AR"/>
        </w:rPr>
      </w:pPr>
      <w:r w:rsidRPr="00960A13">
        <w:rPr>
          <w:rFonts w:ascii="Times New Roman" w:eastAsia="Calibri" w:hAnsi="Times New Roman" w:cs="Times New Roman"/>
          <w:lang w:val="es-AR"/>
        </w:rPr>
        <w:t>Manual de Procedimientos Operativos para la Seguridad Física y Gestión de Arsenales.</w:t>
      </w:r>
    </w:p>
    <w:p w14:paraId="19FC03DD" w14:textId="77777777" w:rsidR="00960A13" w:rsidRPr="00960A13" w:rsidRDefault="00960A13" w:rsidP="00960A13">
      <w:pPr>
        <w:numPr>
          <w:ilvl w:val="0"/>
          <w:numId w:val="6"/>
        </w:numPr>
        <w:spacing w:after="0" w:line="254" w:lineRule="auto"/>
        <w:ind w:left="1701"/>
        <w:contextualSpacing/>
        <w:jc w:val="both"/>
        <w:rPr>
          <w:rFonts w:ascii="Times New Roman" w:eastAsia="Calibri" w:hAnsi="Times New Roman" w:cs="Times New Roman"/>
          <w:lang w:val="es-AR"/>
        </w:rPr>
      </w:pPr>
      <w:r w:rsidRPr="00960A13">
        <w:rPr>
          <w:rFonts w:ascii="Times New Roman" w:eastAsia="Calibri" w:hAnsi="Times New Roman" w:cs="Times New Roman"/>
          <w:lang w:val="es-AR"/>
        </w:rPr>
        <w:t>Lineamientos Interamericanos para prevenir la violencia de género con el uso de armas de fuego.</w:t>
      </w:r>
    </w:p>
    <w:p w14:paraId="742CEC81" w14:textId="77777777" w:rsidR="00960A13" w:rsidRPr="00960A13" w:rsidRDefault="00960A13" w:rsidP="00960A13">
      <w:pPr>
        <w:spacing w:after="0" w:line="254" w:lineRule="auto"/>
        <w:ind w:left="720"/>
        <w:contextualSpacing/>
        <w:jc w:val="both"/>
        <w:rPr>
          <w:rFonts w:ascii="Times New Roman" w:eastAsia="Calibri" w:hAnsi="Times New Roman" w:cs="Times New Roman"/>
          <w:lang w:val="es-ES"/>
        </w:rPr>
      </w:pPr>
    </w:p>
    <w:p w14:paraId="7A7A0C0B" w14:textId="77777777" w:rsidR="00960A13" w:rsidRPr="00960A13" w:rsidRDefault="00960A13" w:rsidP="00960A13">
      <w:pPr>
        <w:numPr>
          <w:ilvl w:val="0"/>
          <w:numId w:val="5"/>
        </w:numPr>
        <w:spacing w:line="254" w:lineRule="auto"/>
        <w:contextualSpacing/>
        <w:jc w:val="both"/>
        <w:rPr>
          <w:rFonts w:ascii="Times New Roman" w:eastAsia="Calibri" w:hAnsi="Times New Roman" w:cs="Times New Roman"/>
          <w:lang w:val="es-ES"/>
        </w:rPr>
      </w:pPr>
      <w:r w:rsidRPr="00960A13">
        <w:rPr>
          <w:rFonts w:ascii="Times New Roman" w:eastAsia="Calibri" w:hAnsi="Times New Roman" w:cs="Times New Roman"/>
          <w:lang w:val="es-ES"/>
        </w:rPr>
        <w:t xml:space="preserve">Convocar a la vigésima quinta reunión ordinaria del Comité Consultivo de la CIFTA, de conformidad con el artículo XXI de la Convención, de un día de duración, durante 2025; y solicitar a la Secretaría Técnica de la CIFTA, operada conjuntamente por el Departamento contra la Delincuencia Organizada Transnacional y el Departamento de Seguridad Pública, que apoye la preparación y seguimiento de dicha reunión. Asimismo, instar a los Estados Parte a incluir en sus delegaciones a autoridades nacionales responsables del otorgamiento de las autorizaciones o licencias de exportación, importación y tránsito de armas de fuego, </w:t>
      </w:r>
      <w:r w:rsidRPr="00960A13">
        <w:rPr>
          <w:rFonts w:ascii="Times New Roman" w:eastAsia="Calibri" w:hAnsi="Times New Roman" w:cs="Times New Roman"/>
          <w:lang w:val="es-ES"/>
        </w:rPr>
        <w:lastRenderedPageBreak/>
        <w:t xml:space="preserve">municiones, explosivos y otros materiales relacionados; autoridades aduaneras y fronterizas; y otros oficiales encargados de aplicar la Convención. </w:t>
      </w:r>
    </w:p>
    <w:p w14:paraId="372CF383" w14:textId="77777777" w:rsidR="00960A13" w:rsidRPr="00960A13" w:rsidRDefault="00960A13" w:rsidP="00960A13">
      <w:pPr>
        <w:spacing w:after="0" w:line="254" w:lineRule="auto"/>
        <w:ind w:left="720"/>
        <w:contextualSpacing/>
        <w:jc w:val="both"/>
        <w:rPr>
          <w:rFonts w:ascii="Times New Roman" w:eastAsia="Calibri" w:hAnsi="Times New Roman" w:cs="Times New Roman"/>
          <w:lang w:val="es-ES"/>
        </w:rPr>
      </w:pPr>
    </w:p>
    <w:p w14:paraId="5286C99F" w14:textId="77777777" w:rsidR="00960A13" w:rsidRPr="00960A13" w:rsidRDefault="00960A13" w:rsidP="00960A13">
      <w:pPr>
        <w:numPr>
          <w:ilvl w:val="0"/>
          <w:numId w:val="5"/>
        </w:numPr>
        <w:spacing w:line="254" w:lineRule="auto"/>
        <w:contextualSpacing/>
        <w:jc w:val="both"/>
        <w:rPr>
          <w:rFonts w:ascii="Times New Roman" w:eastAsia="Calibri" w:hAnsi="Times New Roman" w:cs="Times New Roman"/>
        </w:rPr>
      </w:pPr>
      <w:r w:rsidRPr="00960A13">
        <w:rPr>
          <w:rFonts w:ascii="Times New Roman" w:eastAsia="Calibri" w:hAnsi="Times New Roman" w:cs="Times New Roman"/>
          <w:lang w:val="es-ES"/>
        </w:rPr>
        <w:t xml:space="preserve">Hacer suyas las recomendaciones emanadas </w:t>
      </w:r>
      <w:r w:rsidRPr="00960A13">
        <w:rPr>
          <w:rFonts w:ascii="Times New Roman" w:eastAsia="Calibri" w:hAnsi="Times New Roman" w:cs="Times New Roman"/>
        </w:rPr>
        <w:t>de la Sexta Conferencia de Estados Parte de la CIFTA, realizada el 24 de mayo de 2024.</w:t>
      </w:r>
    </w:p>
    <w:p w14:paraId="17F1BB38" w14:textId="77777777" w:rsidR="00960A13" w:rsidRPr="00960A13" w:rsidRDefault="00960A13" w:rsidP="00960A13">
      <w:pPr>
        <w:spacing w:after="0" w:line="254" w:lineRule="auto"/>
        <w:ind w:left="720"/>
        <w:contextualSpacing/>
        <w:rPr>
          <w:rFonts w:ascii="Times New Roman" w:eastAsia="Calibri" w:hAnsi="Times New Roman" w:cs="Times New Roman"/>
        </w:rPr>
      </w:pPr>
    </w:p>
    <w:p w14:paraId="2FA820BF" w14:textId="77777777" w:rsidR="00960A13" w:rsidRPr="00960A13" w:rsidRDefault="00960A13" w:rsidP="00960A13">
      <w:pPr>
        <w:numPr>
          <w:ilvl w:val="0"/>
          <w:numId w:val="5"/>
        </w:numPr>
        <w:spacing w:line="254" w:lineRule="auto"/>
        <w:contextualSpacing/>
        <w:jc w:val="both"/>
        <w:rPr>
          <w:rFonts w:ascii="Times New Roman" w:eastAsia="Calibri" w:hAnsi="Times New Roman" w:cs="Times New Roman"/>
          <w:lang w:val="es-ES"/>
        </w:rPr>
      </w:pPr>
      <w:r w:rsidRPr="00960A13">
        <w:rPr>
          <w:rFonts w:ascii="Times New Roman" w:eastAsia="Calibri" w:hAnsi="Times New Roman" w:cs="Times New Roman"/>
          <w:lang w:val="es-ES"/>
        </w:rPr>
        <w:t xml:space="preserve">Solicitar a la Secretaría de Seguridad Multidimensional que, a través de la Secretaría Técnica de la CIFTA, revise el </w:t>
      </w:r>
      <w:r w:rsidRPr="00960A13">
        <w:rPr>
          <w:rFonts w:ascii="Times New Roman" w:eastAsia="Calibri" w:hAnsi="Times New Roman" w:cs="Times New Roman"/>
          <w:i/>
          <w:iCs/>
          <w:lang w:val="es-ES"/>
        </w:rPr>
        <w:t>cuestionario sobre la implementación y efectividad de la Convención Interamericana contra la Fabricación y el Tráfico Ilícitos de Armas De Fuego, Municiones, Explosivos y Otros Materiales Relacionados</w:t>
      </w:r>
      <w:r w:rsidRPr="00960A13">
        <w:rPr>
          <w:rFonts w:ascii="Times New Roman" w:eastAsia="Calibri" w:hAnsi="Times New Roman" w:cs="Times New Roman"/>
          <w:lang w:val="es-ES"/>
        </w:rPr>
        <w:t>, considerando las variables y la metodología aprobada para el Estudio Hemisférico, particularmente su módulo 2 sobre capacidades estatales, y presente la versión actualizada del cuestionario para la consideración del Comité Consultivo en su próxima reunión ordinaria.</w:t>
      </w:r>
    </w:p>
    <w:p w14:paraId="5FFD0B36" w14:textId="77777777" w:rsidR="00960A13" w:rsidRPr="00960A13" w:rsidRDefault="00960A13" w:rsidP="00960A13">
      <w:pPr>
        <w:spacing w:after="0" w:line="254" w:lineRule="auto"/>
        <w:ind w:left="720"/>
        <w:contextualSpacing/>
        <w:rPr>
          <w:rFonts w:ascii="Times New Roman" w:eastAsia="Calibri" w:hAnsi="Times New Roman" w:cs="Times New Roman"/>
          <w:lang w:val="es-ES"/>
        </w:rPr>
      </w:pPr>
    </w:p>
    <w:p w14:paraId="09A40FEE" w14:textId="77777777" w:rsidR="00960A13" w:rsidRPr="00960A13" w:rsidRDefault="00960A13" w:rsidP="00960A13">
      <w:pPr>
        <w:numPr>
          <w:ilvl w:val="0"/>
          <w:numId w:val="5"/>
        </w:numPr>
        <w:spacing w:line="254" w:lineRule="auto"/>
        <w:contextualSpacing/>
        <w:jc w:val="both"/>
        <w:rPr>
          <w:rFonts w:ascii="Times New Roman" w:eastAsia="Calibri" w:hAnsi="Times New Roman" w:cs="Times New Roman"/>
          <w:lang w:val="es-ES"/>
        </w:rPr>
      </w:pPr>
      <w:bookmarkStart w:id="0" w:name="_Hlk165391146"/>
      <w:r w:rsidRPr="00960A13">
        <w:rPr>
          <w:rFonts w:ascii="Times New Roman" w:eastAsia="Calibri" w:hAnsi="Times New Roman" w:cs="Times New Roman"/>
          <w:lang w:val="es-ES"/>
        </w:rPr>
        <w:t xml:space="preserve">Reconociendo la integralidad de las estrategias para prevenir y combatir el tráfico ilícito de armas </w:t>
      </w:r>
      <w:r w:rsidRPr="00960A13">
        <w:rPr>
          <w:rFonts w:ascii="Times New Roman" w:eastAsia="Calibri" w:hAnsi="Times New Roman" w:cs="Times New Roman"/>
          <w:bCs/>
          <w:lang w:val="es-ES"/>
        </w:rPr>
        <w:t>de fuego</w:t>
      </w:r>
      <w:r w:rsidRPr="00960A13">
        <w:rPr>
          <w:rFonts w:ascii="Times New Roman" w:eastAsia="Calibri" w:hAnsi="Times New Roman" w:cs="Times New Roman"/>
          <w:lang w:val="es-ES"/>
        </w:rPr>
        <w:t xml:space="preserve"> y municiones, instruir a la Secretaría de Seguridad Multidimensional que, a través del Departamento de Seguridad Pública, en consulta con las organizaciones expertas pertinentes, elabore una Guía </w:t>
      </w:r>
      <w:r w:rsidRPr="00960A13">
        <w:rPr>
          <w:rFonts w:ascii="Times New Roman" w:eastAsia="Calibri" w:hAnsi="Times New Roman" w:cs="Times New Roman"/>
          <w:bCs/>
          <w:lang w:val="es-ES"/>
        </w:rPr>
        <w:t>de la CIFTA</w:t>
      </w:r>
      <w:r w:rsidRPr="00960A13">
        <w:rPr>
          <w:rFonts w:ascii="Times New Roman" w:eastAsia="Calibri" w:hAnsi="Times New Roman" w:cs="Times New Roman"/>
          <w:b/>
          <w:bCs/>
          <w:lang w:val="es-ES"/>
        </w:rPr>
        <w:t xml:space="preserve"> </w:t>
      </w:r>
      <w:r w:rsidRPr="00960A13">
        <w:rPr>
          <w:rFonts w:ascii="Times New Roman" w:eastAsia="Calibri" w:hAnsi="Times New Roman" w:cs="Times New Roman"/>
          <w:lang w:val="es-ES"/>
        </w:rPr>
        <w:t xml:space="preserve">para el Diseño, Implementación y Monitoreo de Programas de Entrega Voluntaria de Armas </w:t>
      </w:r>
      <w:r w:rsidRPr="00960A13">
        <w:rPr>
          <w:rFonts w:ascii="Times New Roman" w:eastAsia="Calibri" w:hAnsi="Times New Roman" w:cs="Times New Roman"/>
          <w:bCs/>
          <w:lang w:val="es-ES"/>
        </w:rPr>
        <w:t>Pequeñas y Armas Ligeras (APAL), que considere  las buenas prácticas, las normativas nacionales y la experiencia en la región del Programa de Asistencia para el Control de Armas y Municiones (PACAM)</w:t>
      </w:r>
      <w:r w:rsidRPr="00960A13">
        <w:rPr>
          <w:rFonts w:ascii="Times New Roman" w:eastAsia="Calibri" w:hAnsi="Times New Roman" w:cs="Times New Roman"/>
          <w:lang w:val="es-ES"/>
        </w:rPr>
        <w:t>.</w:t>
      </w:r>
      <w:bookmarkEnd w:id="0"/>
    </w:p>
    <w:p w14:paraId="7603D3DB" w14:textId="77777777" w:rsidR="00960A13" w:rsidRPr="00960A13" w:rsidRDefault="00960A13" w:rsidP="00960A13">
      <w:pPr>
        <w:spacing w:line="256" w:lineRule="auto"/>
        <w:rPr>
          <w:rFonts w:ascii="Times New Roman" w:eastAsia="Calibri" w:hAnsi="Times New Roman" w:cs="Times New Roman"/>
          <w:lang w:val="es-ES"/>
        </w:rPr>
      </w:pPr>
      <w:r w:rsidRPr="00960A13">
        <w:rPr>
          <w:rFonts w:eastAsia="Calibri" w:cs="Times New Roman"/>
          <w:noProof/>
        </w:rPr>
        <mc:AlternateContent>
          <mc:Choice Requires="wps">
            <w:drawing>
              <wp:anchor distT="0" distB="0" distL="114300" distR="114300" simplePos="0" relativeHeight="251659264" behindDoc="0" locked="1" layoutInCell="1" allowOverlap="1" wp14:anchorId="0BE373D2" wp14:editId="2FDEEB20">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A28B8EA" w14:textId="27A05CD9" w:rsidR="00960A13" w:rsidRDefault="00960A13" w:rsidP="00960A1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CIFTA0104</w:t>
                            </w:r>
                            <w:r>
                              <w:rPr>
                                <w:rFonts w:ascii="Times New Roman" w:hAnsi="Times New Roman"/>
                                <w:noProof/>
                                <w:sz w:val="18"/>
                              </w:rPr>
                              <w:t>8</w:t>
                            </w:r>
                            <w:r>
                              <w:rPr>
                                <w:rFonts w:ascii="Times New Roman" w:hAnsi="Times New Roman"/>
                                <w:noProof/>
                                <w:sz w:val="18"/>
                              </w:rPr>
                              <w:t>S01</w:t>
                            </w:r>
                            <w:r>
                              <w:rPr>
                                <w:rFonts w:ascii="Times New Roman" w:hAnsi="Times New Roman"/>
                                <w:sz w:val="18"/>
                              </w:rPr>
                              <w:fldChar w:fldCharType="end"/>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BE373D2" id="_x0000_t202" coordsize="21600,21600" o:spt="202" path="m,l,21600r21600,l21600,xe">
                <v:stroke joinstyle="miter"/>
                <v:path gradientshapeok="t" o:connecttype="rect"/>
              </v:shapetype>
              <v:shape id="Text Box 1" o:spid="_x0000_s1026" type="#_x0000_t202" style="position:absolute;margin-left:-7.2pt;margin-top:10in;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" filled="f" stroked="f">
                <v:stroke joinstyle="round"/>
                <v:textbox>
                  <w:txbxContent>
                    <w:p w14:paraId="6A28B8EA" w14:textId="27A05CD9" w:rsidR="00960A13" w:rsidRDefault="00960A13" w:rsidP="00960A1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CIFTA0104</w:t>
                      </w:r>
                      <w:r>
                        <w:rPr>
                          <w:rFonts w:ascii="Times New Roman" w:hAnsi="Times New Roman"/>
                          <w:noProof/>
                          <w:sz w:val="18"/>
                        </w:rPr>
                        <w:t>8</w:t>
                      </w:r>
                      <w:r>
                        <w:rPr>
                          <w:rFonts w:ascii="Times New Roman" w:hAnsi="Times New Roman"/>
                          <w:noProof/>
                          <w:sz w:val="18"/>
                        </w:rPr>
                        <w:t>S01</w:t>
                      </w:r>
                      <w:r>
                        <w:rPr>
                          <w:rFonts w:ascii="Times New Roman" w:hAnsi="Times New Roman"/>
                          <w:sz w:val="18"/>
                        </w:rPr>
                        <w:fldChar w:fldCharType="end"/>
                      </w:r>
                    </w:p>
                  </w:txbxContent>
                </v:textbox>
                <w10:wrap anchory="page"/>
                <w10:anchorlock/>
              </v:shape>
            </w:pict>
          </mc:Fallback>
        </mc:AlternateContent>
      </w:r>
    </w:p>
    <w:p w14:paraId="11C3C0B7" w14:textId="51D4C224" w:rsidR="006D1F4F" w:rsidRPr="00960A13" w:rsidRDefault="006D1F4F" w:rsidP="00960A13">
      <w:pPr>
        <w:rPr>
          <w:lang w:val="es-ES"/>
        </w:rPr>
      </w:pPr>
    </w:p>
    <w:sectPr w:rsidR="006D1F4F" w:rsidRPr="00960A13" w:rsidSect="00F86DC4">
      <w:headerReference w:type="default" r:id="rId11"/>
      <w:pgSz w:w="12240" w:h="15840"/>
      <w:pgMar w:top="2160" w:right="1570" w:bottom="1296" w:left="1699"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3522D" w14:textId="77777777" w:rsidR="002C722A" w:rsidRDefault="002C722A" w:rsidP="006D1F4F">
      <w:pPr>
        <w:spacing w:after="0" w:line="240" w:lineRule="auto"/>
      </w:pPr>
      <w:r>
        <w:separator/>
      </w:r>
    </w:p>
  </w:endnote>
  <w:endnote w:type="continuationSeparator" w:id="0">
    <w:p w14:paraId="0E33739E" w14:textId="77777777" w:rsidR="002C722A" w:rsidRDefault="002C722A" w:rsidP="006D1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2BDEC" w14:textId="77777777" w:rsidR="002C722A" w:rsidRDefault="002C722A" w:rsidP="006D1F4F">
      <w:pPr>
        <w:spacing w:after="0" w:line="240" w:lineRule="auto"/>
      </w:pPr>
      <w:r>
        <w:separator/>
      </w:r>
    </w:p>
  </w:footnote>
  <w:footnote w:type="continuationSeparator" w:id="0">
    <w:p w14:paraId="61ACBD9E" w14:textId="77777777" w:rsidR="002C722A" w:rsidRDefault="002C722A" w:rsidP="006D1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456829"/>
      <w:docPartObj>
        <w:docPartGallery w:val="Page Numbers (Top of Page)"/>
        <w:docPartUnique/>
      </w:docPartObj>
    </w:sdtPr>
    <w:sdtEndPr>
      <w:rPr>
        <w:rFonts w:ascii="Times New Roman" w:hAnsi="Times New Roman" w:cs="Times New Roman"/>
        <w:noProof/>
      </w:rPr>
    </w:sdtEndPr>
    <w:sdtContent>
      <w:p w14:paraId="6E213042" w14:textId="38FE288E" w:rsidR="00F86DC4" w:rsidRPr="00F86DC4" w:rsidRDefault="00F86DC4">
        <w:pPr>
          <w:pStyle w:val="Header"/>
          <w:jc w:val="center"/>
          <w:rPr>
            <w:rFonts w:ascii="Times New Roman" w:hAnsi="Times New Roman" w:cs="Times New Roman"/>
          </w:rPr>
        </w:pPr>
        <w:r w:rsidRPr="00F86DC4">
          <w:rPr>
            <w:rFonts w:ascii="Times New Roman" w:hAnsi="Times New Roman" w:cs="Times New Roman"/>
          </w:rPr>
          <w:fldChar w:fldCharType="begin"/>
        </w:r>
        <w:r w:rsidRPr="00F86DC4">
          <w:rPr>
            <w:rFonts w:ascii="Times New Roman" w:hAnsi="Times New Roman" w:cs="Times New Roman"/>
          </w:rPr>
          <w:instrText xml:space="preserve"> PAGE   \* MERGEFORMAT </w:instrText>
        </w:r>
        <w:r w:rsidRPr="00F86DC4">
          <w:rPr>
            <w:rFonts w:ascii="Times New Roman" w:hAnsi="Times New Roman" w:cs="Times New Roman"/>
          </w:rPr>
          <w:fldChar w:fldCharType="separate"/>
        </w:r>
        <w:r w:rsidRPr="00F86DC4">
          <w:rPr>
            <w:rFonts w:ascii="Times New Roman" w:hAnsi="Times New Roman" w:cs="Times New Roman"/>
            <w:noProof/>
          </w:rPr>
          <w:t>2</w:t>
        </w:r>
        <w:r w:rsidRPr="00F86DC4">
          <w:rPr>
            <w:rFonts w:ascii="Times New Roman" w:hAnsi="Times New Roman" w:cs="Times New Roman"/>
            <w:noProof/>
          </w:rPr>
          <w:fldChar w:fldCharType="end"/>
        </w:r>
      </w:p>
    </w:sdtContent>
  </w:sdt>
  <w:p w14:paraId="13D5CF29" w14:textId="77777777" w:rsidR="00F86DC4" w:rsidRDefault="00F86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7D87"/>
    <w:multiLevelType w:val="hybridMultilevel"/>
    <w:tmpl w:val="14F8D204"/>
    <w:lvl w:ilvl="0" w:tplc="FFFFFFFF">
      <w:start w:val="1"/>
      <w:numFmt w:val="lowerLetter"/>
      <w:lvlText w:val="%1."/>
      <w:lvlJc w:val="left"/>
      <w:pPr>
        <w:ind w:left="3240" w:hanging="360"/>
      </w:pPr>
      <w:rPr>
        <w:rFonts w:hint="default"/>
      </w:r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1" w15:restartNumberingAfterBreak="0">
    <w:nsid w:val="3AC37F48"/>
    <w:multiLevelType w:val="hybridMultilevel"/>
    <w:tmpl w:val="7E4808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A836DE2"/>
    <w:multiLevelType w:val="hybridMultilevel"/>
    <w:tmpl w:val="E5F6C3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2BB4BA6"/>
    <w:multiLevelType w:val="hybridMultilevel"/>
    <w:tmpl w:val="C054D2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05504669">
    <w:abstractNumId w:val="2"/>
  </w:num>
  <w:num w:numId="2" w16cid:durableId="901672424">
    <w:abstractNumId w:val="1"/>
  </w:num>
  <w:num w:numId="3" w16cid:durableId="462623085">
    <w:abstractNumId w:val="0"/>
  </w:num>
  <w:num w:numId="4" w16cid:durableId="1772168539">
    <w:abstractNumId w:val="3"/>
  </w:num>
  <w:num w:numId="5" w16cid:durableId="5779867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80160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FD1"/>
    <w:rsid w:val="00112F9A"/>
    <w:rsid w:val="00121200"/>
    <w:rsid w:val="00133FD1"/>
    <w:rsid w:val="001823C1"/>
    <w:rsid w:val="001F2942"/>
    <w:rsid w:val="0020555D"/>
    <w:rsid w:val="002120F0"/>
    <w:rsid w:val="002165B4"/>
    <w:rsid w:val="00257FF4"/>
    <w:rsid w:val="002613B2"/>
    <w:rsid w:val="002B3D43"/>
    <w:rsid w:val="002B54A7"/>
    <w:rsid w:val="002C722A"/>
    <w:rsid w:val="0031322B"/>
    <w:rsid w:val="003A0E8E"/>
    <w:rsid w:val="003A59E7"/>
    <w:rsid w:val="003B6506"/>
    <w:rsid w:val="003F5B91"/>
    <w:rsid w:val="004129F6"/>
    <w:rsid w:val="00420FE6"/>
    <w:rsid w:val="00484655"/>
    <w:rsid w:val="004D1726"/>
    <w:rsid w:val="006630C0"/>
    <w:rsid w:val="006D1F4F"/>
    <w:rsid w:val="006D4368"/>
    <w:rsid w:val="006F4C4F"/>
    <w:rsid w:val="00703EC5"/>
    <w:rsid w:val="00722445"/>
    <w:rsid w:val="007319A8"/>
    <w:rsid w:val="0075297D"/>
    <w:rsid w:val="007812AC"/>
    <w:rsid w:val="007C551B"/>
    <w:rsid w:val="008C0D2C"/>
    <w:rsid w:val="008C29E8"/>
    <w:rsid w:val="008D34E7"/>
    <w:rsid w:val="008E21CA"/>
    <w:rsid w:val="009209B9"/>
    <w:rsid w:val="00960A13"/>
    <w:rsid w:val="00A61A78"/>
    <w:rsid w:val="00A648A3"/>
    <w:rsid w:val="00A833F5"/>
    <w:rsid w:val="00AF563B"/>
    <w:rsid w:val="00B12A8D"/>
    <w:rsid w:val="00B8510D"/>
    <w:rsid w:val="00B90D3D"/>
    <w:rsid w:val="00BE656E"/>
    <w:rsid w:val="00C911AE"/>
    <w:rsid w:val="00CC036C"/>
    <w:rsid w:val="00CC50BE"/>
    <w:rsid w:val="00D61EA8"/>
    <w:rsid w:val="00D67408"/>
    <w:rsid w:val="00D70090"/>
    <w:rsid w:val="00D74570"/>
    <w:rsid w:val="00DA02D3"/>
    <w:rsid w:val="00DE6527"/>
    <w:rsid w:val="00E25293"/>
    <w:rsid w:val="00E44963"/>
    <w:rsid w:val="00E45719"/>
    <w:rsid w:val="00E514FE"/>
    <w:rsid w:val="00E74BA2"/>
    <w:rsid w:val="00E76A1B"/>
    <w:rsid w:val="00EF7C0D"/>
    <w:rsid w:val="00F14C02"/>
    <w:rsid w:val="00F81B9C"/>
    <w:rsid w:val="00F86DC4"/>
    <w:rsid w:val="00FA3607"/>
    <w:rsid w:val="00FA4B65"/>
    <w:rsid w:val="00FC7B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A75BF7"/>
  <w15:chartTrackingRefBased/>
  <w15:docId w15:val="{8E7AE80D-1004-4B7F-B3FA-748EE0ED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3F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FD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33FD1"/>
    <w:pPr>
      <w:ind w:left="720"/>
      <w:contextualSpacing/>
    </w:pPr>
  </w:style>
  <w:style w:type="character" w:styleId="CommentReference">
    <w:name w:val="annotation reference"/>
    <w:basedOn w:val="DefaultParagraphFont"/>
    <w:uiPriority w:val="99"/>
    <w:semiHidden/>
    <w:unhideWhenUsed/>
    <w:rsid w:val="00112F9A"/>
    <w:rPr>
      <w:sz w:val="16"/>
      <w:szCs w:val="16"/>
    </w:rPr>
  </w:style>
  <w:style w:type="paragraph" w:styleId="CommentText">
    <w:name w:val="annotation text"/>
    <w:basedOn w:val="Normal"/>
    <w:link w:val="CommentTextChar"/>
    <w:uiPriority w:val="99"/>
    <w:unhideWhenUsed/>
    <w:rsid w:val="00112F9A"/>
    <w:pPr>
      <w:spacing w:line="240" w:lineRule="auto"/>
    </w:pPr>
    <w:rPr>
      <w:sz w:val="20"/>
      <w:szCs w:val="20"/>
    </w:rPr>
  </w:style>
  <w:style w:type="character" w:customStyle="1" w:styleId="CommentTextChar">
    <w:name w:val="Comment Text Char"/>
    <w:basedOn w:val="DefaultParagraphFont"/>
    <w:link w:val="CommentText"/>
    <w:uiPriority w:val="99"/>
    <w:rsid w:val="00112F9A"/>
    <w:rPr>
      <w:sz w:val="20"/>
      <w:szCs w:val="20"/>
    </w:rPr>
  </w:style>
  <w:style w:type="paragraph" w:styleId="CommentSubject">
    <w:name w:val="annotation subject"/>
    <w:basedOn w:val="CommentText"/>
    <w:next w:val="CommentText"/>
    <w:link w:val="CommentSubjectChar"/>
    <w:uiPriority w:val="99"/>
    <w:semiHidden/>
    <w:unhideWhenUsed/>
    <w:rsid w:val="00112F9A"/>
    <w:rPr>
      <w:b/>
      <w:bCs/>
    </w:rPr>
  </w:style>
  <w:style w:type="character" w:customStyle="1" w:styleId="CommentSubjectChar">
    <w:name w:val="Comment Subject Char"/>
    <w:basedOn w:val="CommentTextChar"/>
    <w:link w:val="CommentSubject"/>
    <w:uiPriority w:val="99"/>
    <w:semiHidden/>
    <w:rsid w:val="00112F9A"/>
    <w:rPr>
      <w:b/>
      <w:bCs/>
      <w:sz w:val="20"/>
      <w:szCs w:val="20"/>
    </w:rPr>
  </w:style>
  <w:style w:type="paragraph" w:styleId="BalloonText">
    <w:name w:val="Balloon Text"/>
    <w:basedOn w:val="Normal"/>
    <w:link w:val="BalloonTextChar"/>
    <w:uiPriority w:val="99"/>
    <w:semiHidden/>
    <w:unhideWhenUsed/>
    <w:rsid w:val="00112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F9A"/>
    <w:rPr>
      <w:rFonts w:ascii="Segoe UI" w:hAnsi="Segoe UI" w:cs="Segoe UI"/>
      <w:sz w:val="18"/>
      <w:szCs w:val="18"/>
    </w:rPr>
  </w:style>
  <w:style w:type="paragraph" w:styleId="FootnoteText">
    <w:name w:val="footnote text"/>
    <w:basedOn w:val="Normal"/>
    <w:link w:val="FootnoteTextChar"/>
    <w:uiPriority w:val="99"/>
    <w:semiHidden/>
    <w:unhideWhenUsed/>
    <w:rsid w:val="006D1F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1F4F"/>
    <w:rPr>
      <w:sz w:val="20"/>
      <w:szCs w:val="20"/>
    </w:rPr>
  </w:style>
  <w:style w:type="character" w:styleId="FootnoteReference">
    <w:name w:val="footnote reference"/>
    <w:basedOn w:val="DefaultParagraphFont"/>
    <w:uiPriority w:val="99"/>
    <w:semiHidden/>
    <w:unhideWhenUsed/>
    <w:rsid w:val="006D1F4F"/>
    <w:rPr>
      <w:vertAlign w:val="superscript"/>
    </w:rPr>
  </w:style>
  <w:style w:type="paragraph" w:styleId="Revision">
    <w:name w:val="Revision"/>
    <w:hidden/>
    <w:uiPriority w:val="99"/>
    <w:semiHidden/>
    <w:rsid w:val="003A59E7"/>
    <w:pPr>
      <w:spacing w:after="0" w:line="240" w:lineRule="auto"/>
    </w:pPr>
  </w:style>
  <w:style w:type="paragraph" w:styleId="Header">
    <w:name w:val="header"/>
    <w:basedOn w:val="Normal"/>
    <w:link w:val="HeaderChar"/>
    <w:uiPriority w:val="99"/>
    <w:unhideWhenUsed/>
    <w:rsid w:val="00F86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DC4"/>
  </w:style>
  <w:style w:type="paragraph" w:styleId="Footer">
    <w:name w:val="footer"/>
    <w:basedOn w:val="Normal"/>
    <w:link w:val="FooterChar"/>
    <w:uiPriority w:val="99"/>
    <w:unhideWhenUsed/>
    <w:rsid w:val="00F86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13958">
      <w:bodyDiv w:val="1"/>
      <w:marLeft w:val="0"/>
      <w:marRight w:val="0"/>
      <w:marTop w:val="0"/>
      <w:marBottom w:val="0"/>
      <w:divBdr>
        <w:top w:val="none" w:sz="0" w:space="0" w:color="auto"/>
        <w:left w:val="none" w:sz="0" w:space="0" w:color="auto"/>
        <w:bottom w:val="none" w:sz="0" w:space="0" w:color="auto"/>
        <w:right w:val="none" w:sz="0" w:space="0" w:color="auto"/>
      </w:divBdr>
    </w:div>
    <w:div w:id="707951852">
      <w:bodyDiv w:val="1"/>
      <w:marLeft w:val="0"/>
      <w:marRight w:val="0"/>
      <w:marTop w:val="0"/>
      <w:marBottom w:val="0"/>
      <w:divBdr>
        <w:top w:val="none" w:sz="0" w:space="0" w:color="auto"/>
        <w:left w:val="none" w:sz="0" w:space="0" w:color="auto"/>
        <w:bottom w:val="none" w:sz="0" w:space="0" w:color="auto"/>
        <w:right w:val="none" w:sz="0" w:space="0" w:color="auto"/>
      </w:divBdr>
    </w:div>
    <w:div w:id="129298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0d1605-260b-47fd-804b-8c27edd2405b">
      <Terms xmlns="http://schemas.microsoft.com/office/infopath/2007/PartnerControls"/>
    </lcf76f155ced4ddcb4097134ff3c332f>
    <TaxCatchAll xmlns="730f74aa-8393-4aa5-b2f8-3c7aae566a68" xsi:nil="true"/>
    <SharedWithUsers xmlns="8b0d1605-260b-47fd-804b-8c27edd2405b">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A4F217CB57A14084E98EFFAD3C7D62" ma:contentTypeVersion="19" ma:contentTypeDescription="Create a new document." ma:contentTypeScope="" ma:versionID="a2b1e1266c5786649f798c11cede39b1">
  <xsd:schema xmlns:xsd="http://www.w3.org/2001/XMLSchema" xmlns:xs="http://www.w3.org/2001/XMLSchema" xmlns:p="http://schemas.microsoft.com/office/2006/metadata/properties" xmlns:ns2="8b0d1605-260b-47fd-804b-8c27edd2405b" xmlns:ns3="730f74aa-8393-4aa5-b2f8-3c7aae566a68" targetNamespace="http://schemas.microsoft.com/office/2006/metadata/properties" ma:root="true" ma:fieldsID="f1c5a18569ec6d40c5775c38f12551a6" ns2:_="" ns3:_="">
    <xsd:import namespace="8b0d1605-260b-47fd-804b-8c27edd2405b"/>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d1605-260b-47fd-804b-8c27edd2405b"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9a1c488-1506-4aa4-94ac-8fcdf25c1a62}"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051551-A973-4958-85EA-F3E443E7B823}">
  <ds:schemaRefs>
    <ds:schemaRef ds:uri="http://schemas.microsoft.com/office/2006/metadata/properties"/>
    <ds:schemaRef ds:uri="http://schemas.microsoft.com/office/infopath/2007/PartnerControls"/>
    <ds:schemaRef ds:uri="8b0d1605-260b-47fd-804b-8c27edd2405b"/>
    <ds:schemaRef ds:uri="730f74aa-8393-4aa5-b2f8-3c7aae566a68"/>
  </ds:schemaRefs>
</ds:datastoreItem>
</file>

<file path=customXml/itemProps2.xml><?xml version="1.0" encoding="utf-8"?>
<ds:datastoreItem xmlns:ds="http://schemas.openxmlformats.org/officeDocument/2006/customXml" ds:itemID="{E0C89AB7-39C6-4EFB-8D14-6B9CBE68D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0d1605-260b-47fd-804b-8c27edd2405b"/>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C0579A-1240-4163-8766-070F2D5146D7}">
  <ds:schemaRefs>
    <ds:schemaRef ds:uri="http://schemas.openxmlformats.org/officeDocument/2006/bibliography"/>
  </ds:schemaRefs>
</ds:datastoreItem>
</file>

<file path=customXml/itemProps4.xml><?xml version="1.0" encoding="utf-8"?>
<ds:datastoreItem xmlns:ds="http://schemas.openxmlformats.org/officeDocument/2006/customXml" ds:itemID="{D57F2C55-7DBD-4CE4-9393-A849D8E8D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575</Words>
  <Characters>3352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Zapata Zaldívar, Mauricio Iván</dc:creator>
  <cp:keywords/>
  <dc:description/>
  <cp:lastModifiedBy>Bejos, Michael</cp:lastModifiedBy>
  <cp:revision>5</cp:revision>
  <dcterms:created xsi:type="dcterms:W3CDTF">2024-04-23T18:07:00Z</dcterms:created>
  <dcterms:modified xsi:type="dcterms:W3CDTF">2024-05-14T20:20:00Z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0x01010003A4F217CB57A14084E98EFFAD3C7D62</vt:lpwstr>
  </property>
  <property fmtid="{D5CDD505-2E9C-101B-9397-08002B2CF9AE}" pid="4" name="GrammarlyDocumentId">
    <vt:lpwstr>d9bc6931ea92fa54b627286b7e67f2d3e5988c0fd8e975244deb1842125d977e</vt:lpwstr>
  </property>
</Properties>
</file>