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10B0" w14:textId="77777777" w:rsidR="0064656F" w:rsidRDefault="0064656F" w:rsidP="0064656F">
      <w:pPr>
        <w:tabs>
          <w:tab w:val="left" w:pos="6300"/>
        </w:tabs>
        <w:suppressAutoHyphens/>
        <w:ind w:right="-209"/>
        <w:jc w:val="both"/>
        <w:rPr>
          <w:sz w:val="22"/>
          <w:szCs w:val="22"/>
        </w:rPr>
      </w:pPr>
      <w:r>
        <w:rPr>
          <w:sz w:val="22"/>
          <w:szCs w:val="22"/>
        </w:rPr>
        <w:t>INTER-AMERICAN CONVENTION AGAINST</w:t>
      </w:r>
      <w:r>
        <w:rPr>
          <w:caps/>
          <w:sz w:val="22"/>
          <w:szCs w:val="22"/>
        </w:rPr>
        <w:t xml:space="preserve"> THE</w:t>
      </w:r>
      <w:r>
        <w:rPr>
          <w:sz w:val="22"/>
          <w:szCs w:val="22"/>
        </w:rPr>
        <w:tab/>
        <w:t>OEA/</w:t>
      </w:r>
      <w:proofErr w:type="spellStart"/>
      <w:r>
        <w:rPr>
          <w:sz w:val="22"/>
          <w:szCs w:val="22"/>
        </w:rPr>
        <w:t>Ser.L</w:t>
      </w:r>
      <w:proofErr w:type="spellEnd"/>
      <w:r>
        <w:rPr>
          <w:sz w:val="22"/>
          <w:szCs w:val="22"/>
        </w:rPr>
        <w:t>/XXII.2.2</w:t>
      </w:r>
    </w:p>
    <w:p w14:paraId="585EE968" w14:textId="64BD4B45" w:rsidR="0064656F" w:rsidRDefault="0064656F" w:rsidP="0064656F">
      <w:pPr>
        <w:tabs>
          <w:tab w:val="left" w:pos="6300"/>
        </w:tabs>
        <w:suppressAutoHyphens/>
        <w:ind w:right="-1170"/>
        <w:jc w:val="both"/>
        <w:rPr>
          <w:sz w:val="22"/>
          <w:szCs w:val="22"/>
        </w:rPr>
      </w:pPr>
      <w:r>
        <w:rPr>
          <w:sz w:val="22"/>
          <w:szCs w:val="22"/>
        </w:rPr>
        <w:t>ILLICIT MANUFACTURING OF AND TRAFFICKING</w:t>
      </w:r>
      <w:r>
        <w:rPr>
          <w:caps/>
          <w:sz w:val="22"/>
          <w:szCs w:val="22"/>
        </w:rPr>
        <w:t xml:space="preserve"> </w:t>
      </w:r>
      <w:r>
        <w:rPr>
          <w:caps/>
          <w:sz w:val="22"/>
          <w:szCs w:val="22"/>
        </w:rPr>
        <w:tab/>
      </w:r>
      <w:r>
        <w:rPr>
          <w:sz w:val="22"/>
          <w:szCs w:val="22"/>
        </w:rPr>
        <w:t>CIFTA/CC-XX/</w:t>
      </w:r>
      <w:r>
        <w:rPr>
          <w:sz w:val="22"/>
          <w:szCs w:val="22"/>
        </w:rPr>
        <w:t>doc</w:t>
      </w:r>
      <w:r>
        <w:rPr>
          <w:sz w:val="22"/>
          <w:szCs w:val="22"/>
        </w:rPr>
        <w:t>.</w:t>
      </w:r>
      <w:r>
        <w:rPr>
          <w:sz w:val="22"/>
          <w:szCs w:val="22"/>
        </w:rPr>
        <w:t>11</w:t>
      </w:r>
      <w:r>
        <w:rPr>
          <w:sz w:val="22"/>
          <w:szCs w:val="22"/>
        </w:rPr>
        <w:t>/2</w:t>
      </w:r>
      <w:r>
        <w:rPr>
          <w:sz w:val="22"/>
          <w:szCs w:val="22"/>
        </w:rPr>
        <w:t>1</w:t>
      </w:r>
      <w:r>
        <w:rPr>
          <w:sz w:val="22"/>
          <w:szCs w:val="22"/>
        </w:rPr>
        <w:t xml:space="preserve"> </w:t>
      </w:r>
    </w:p>
    <w:p w14:paraId="4C2D20D5" w14:textId="77777777" w:rsidR="0064656F" w:rsidRDefault="0064656F" w:rsidP="0064656F">
      <w:pPr>
        <w:tabs>
          <w:tab w:val="left" w:pos="6300"/>
        </w:tabs>
        <w:suppressAutoHyphens/>
        <w:ind w:right="-705"/>
        <w:jc w:val="both"/>
        <w:rPr>
          <w:sz w:val="22"/>
          <w:szCs w:val="22"/>
        </w:rPr>
      </w:pPr>
      <w:r>
        <w:rPr>
          <w:sz w:val="22"/>
          <w:szCs w:val="22"/>
        </w:rPr>
        <w:t>IN FIREARMS, AMMUNITION, EXPLOSIVES,</w:t>
      </w:r>
      <w:r>
        <w:rPr>
          <w:sz w:val="22"/>
          <w:szCs w:val="22"/>
        </w:rPr>
        <w:tab/>
        <w:t>13 January 2021</w:t>
      </w:r>
    </w:p>
    <w:p w14:paraId="7A51745A" w14:textId="77777777" w:rsidR="0064656F" w:rsidRDefault="0064656F" w:rsidP="0064656F">
      <w:pPr>
        <w:tabs>
          <w:tab w:val="left" w:pos="6300"/>
        </w:tabs>
        <w:ind w:right="-389"/>
        <w:jc w:val="both"/>
        <w:rPr>
          <w:sz w:val="22"/>
          <w:szCs w:val="22"/>
        </w:rPr>
      </w:pPr>
      <w:r>
        <w:rPr>
          <w:sz w:val="22"/>
          <w:szCs w:val="22"/>
        </w:rPr>
        <w:t>AND OTHER RELATED MATERIALS (CIFTA)</w:t>
      </w:r>
      <w:r>
        <w:rPr>
          <w:caps/>
          <w:sz w:val="22"/>
          <w:szCs w:val="22"/>
        </w:rPr>
        <w:tab/>
      </w:r>
      <w:r>
        <w:rPr>
          <w:sz w:val="22"/>
          <w:szCs w:val="22"/>
        </w:rPr>
        <w:t>Original: Spanish</w:t>
      </w:r>
    </w:p>
    <w:p w14:paraId="21E98CE5" w14:textId="77777777" w:rsidR="0064656F" w:rsidRDefault="0064656F" w:rsidP="0064656F">
      <w:pPr>
        <w:pStyle w:val="Heading3"/>
        <w:keepNext w:val="0"/>
        <w:tabs>
          <w:tab w:val="left" w:pos="6300"/>
        </w:tabs>
        <w:suppressAutoHyphens/>
        <w:spacing w:before="0" w:after="0"/>
        <w:rPr>
          <w:rFonts w:ascii="Times New Roman" w:hAnsi="Times New Roman" w:cs="Times New Roman"/>
          <w:b w:val="0"/>
          <w:sz w:val="22"/>
          <w:szCs w:val="22"/>
          <w:u w:val="single"/>
        </w:rPr>
      </w:pPr>
      <w:r>
        <w:rPr>
          <w:rFonts w:ascii="Times New Roman" w:hAnsi="Times New Roman" w:cs="Times New Roman"/>
          <w:b w:val="0"/>
          <w:sz w:val="22"/>
          <w:szCs w:val="22"/>
          <w:u w:val="single"/>
        </w:rPr>
        <w:t>Consultative Committee</w:t>
      </w:r>
    </w:p>
    <w:p w14:paraId="17CEEBC2" w14:textId="77777777" w:rsidR="0064656F" w:rsidRDefault="0064656F" w:rsidP="0064656F">
      <w:pPr>
        <w:tabs>
          <w:tab w:val="left" w:pos="6300"/>
        </w:tabs>
        <w:suppressAutoHyphens/>
        <w:jc w:val="both"/>
        <w:rPr>
          <w:sz w:val="22"/>
          <w:szCs w:val="22"/>
        </w:rPr>
      </w:pPr>
      <w:r>
        <w:rPr>
          <w:sz w:val="22"/>
          <w:szCs w:val="22"/>
          <w:u w:val="single"/>
        </w:rPr>
        <w:t>Twentieth Regular Meeting</w:t>
      </w:r>
    </w:p>
    <w:p w14:paraId="78373EA6" w14:textId="77777777" w:rsidR="0064656F" w:rsidRDefault="0064656F" w:rsidP="0064656F">
      <w:pPr>
        <w:tabs>
          <w:tab w:val="left" w:pos="6300"/>
        </w:tabs>
        <w:suppressAutoHyphens/>
        <w:jc w:val="both"/>
        <w:rPr>
          <w:sz w:val="22"/>
          <w:szCs w:val="22"/>
        </w:rPr>
      </w:pPr>
      <w:r>
        <w:rPr>
          <w:sz w:val="22"/>
          <w:szCs w:val="22"/>
        </w:rPr>
        <w:t>December 17, 2020</w:t>
      </w:r>
    </w:p>
    <w:p w14:paraId="7A6B69F3" w14:textId="77777777" w:rsidR="0064656F" w:rsidRDefault="0064656F" w:rsidP="0064656F">
      <w:pPr>
        <w:tabs>
          <w:tab w:val="left" w:pos="6300"/>
        </w:tabs>
        <w:suppressAutoHyphens/>
        <w:jc w:val="both"/>
        <w:rPr>
          <w:sz w:val="22"/>
          <w:szCs w:val="22"/>
        </w:rPr>
      </w:pPr>
      <w:r>
        <w:rPr>
          <w:sz w:val="22"/>
          <w:szCs w:val="22"/>
        </w:rPr>
        <w:t>Washington, D.C.</w:t>
      </w:r>
    </w:p>
    <w:p w14:paraId="05CC9507" w14:textId="77777777" w:rsidR="0064656F" w:rsidRDefault="0064656F" w:rsidP="0064656F">
      <w:pPr>
        <w:pStyle w:val="BodyText"/>
        <w:suppressAutoHyphens/>
        <w:jc w:val="left"/>
        <w:rPr>
          <w:b w:val="0"/>
          <w:sz w:val="22"/>
          <w:szCs w:val="22"/>
        </w:rPr>
      </w:pPr>
    </w:p>
    <w:p w14:paraId="147DE9DD" w14:textId="77777777" w:rsidR="0064656F" w:rsidRDefault="0064656F" w:rsidP="0064656F">
      <w:pPr>
        <w:suppressAutoHyphens/>
        <w:jc w:val="both"/>
        <w:rPr>
          <w:sz w:val="22"/>
          <w:szCs w:val="22"/>
        </w:rPr>
      </w:pPr>
    </w:p>
    <w:p w14:paraId="3D817F3A" w14:textId="77777777" w:rsidR="0064656F" w:rsidRDefault="0064656F" w:rsidP="0064656F">
      <w:pPr>
        <w:suppressAutoHyphens/>
        <w:jc w:val="both"/>
        <w:rPr>
          <w:sz w:val="22"/>
          <w:szCs w:val="22"/>
        </w:rPr>
      </w:pPr>
    </w:p>
    <w:p w14:paraId="2BFAB9E6" w14:textId="77777777" w:rsidR="0064656F" w:rsidRDefault="0064656F" w:rsidP="0064656F">
      <w:pPr>
        <w:suppressAutoHyphens/>
        <w:jc w:val="both"/>
        <w:rPr>
          <w:sz w:val="22"/>
          <w:szCs w:val="22"/>
        </w:rPr>
      </w:pPr>
    </w:p>
    <w:p w14:paraId="4CBA80A0" w14:textId="77777777" w:rsidR="0064656F" w:rsidRDefault="0064656F" w:rsidP="0064656F">
      <w:pPr>
        <w:suppressAutoHyphens/>
        <w:jc w:val="center"/>
        <w:rPr>
          <w:sz w:val="22"/>
          <w:szCs w:val="22"/>
        </w:rPr>
      </w:pPr>
      <w:r>
        <w:rPr>
          <w:sz w:val="22"/>
          <w:szCs w:val="22"/>
        </w:rPr>
        <w:t>REPORT OF THE PRO TEMPORE SECRETARIAT OF THE CONSULTATIVE COMMITTEE OF THE CIFTA ON THE ACTIVITIES CARRIED OUT IN THE 2019-2020 TERM</w:t>
      </w:r>
    </w:p>
    <w:p w14:paraId="29E54C53" w14:textId="77777777" w:rsidR="0064656F" w:rsidRDefault="0064656F" w:rsidP="0064656F">
      <w:pPr>
        <w:suppressAutoHyphens/>
        <w:jc w:val="both"/>
        <w:rPr>
          <w:sz w:val="22"/>
          <w:szCs w:val="22"/>
        </w:rPr>
      </w:pPr>
    </w:p>
    <w:p w14:paraId="5CADC998" w14:textId="77777777" w:rsidR="0064656F" w:rsidRDefault="0064656F" w:rsidP="0064656F">
      <w:pPr>
        <w:pStyle w:val="BodyText"/>
        <w:suppressAutoHyphens/>
        <w:jc w:val="both"/>
        <w:rPr>
          <w:sz w:val="22"/>
          <w:szCs w:val="22"/>
        </w:rPr>
      </w:pPr>
    </w:p>
    <w:p w14:paraId="121BA3F7" w14:textId="77777777" w:rsidR="0064656F" w:rsidRDefault="0064656F" w:rsidP="0064656F">
      <w:pPr>
        <w:pStyle w:val="Heading1"/>
        <w:keepNext w:val="0"/>
        <w:suppressAutoHyphens/>
        <w:jc w:val="both"/>
        <w:rPr>
          <w:sz w:val="22"/>
          <w:szCs w:val="22"/>
          <w:u w:val="none"/>
        </w:rPr>
      </w:pPr>
      <w:r>
        <w:rPr>
          <w:sz w:val="22"/>
          <w:szCs w:val="22"/>
          <w:u w:val="none"/>
        </w:rPr>
        <w:tab/>
      </w:r>
      <w:proofErr w:type="gramStart"/>
      <w:r>
        <w:rPr>
          <w:sz w:val="22"/>
          <w:szCs w:val="22"/>
          <w:u w:val="none"/>
        </w:rPr>
        <w:t xml:space="preserve">The </w:t>
      </w:r>
      <w:r>
        <w:rPr>
          <w:i/>
          <w:iCs/>
          <w:sz w:val="22"/>
          <w:szCs w:val="22"/>
          <w:u w:val="none"/>
        </w:rPr>
        <w:t>Pro Tempore</w:t>
      </w:r>
      <w:r>
        <w:rPr>
          <w:sz w:val="22"/>
          <w:szCs w:val="22"/>
          <w:u w:val="none"/>
        </w:rPr>
        <w:t xml:space="preserve"> Secretariat of the Consultative Committee of the Inter-American Convention against the Illicit Manufacturing of and Trafficking in Firearms, Ammunition, Explosives, and Other Related Materials (CIFTA) has the honor to hereby submit the report on the activities carried out </w:t>
      </w:r>
      <w:r>
        <w:rPr>
          <w:rStyle w:val="PageNumber1"/>
          <w:sz w:val="22"/>
          <w:szCs w:val="22"/>
          <w:u w:val="none"/>
        </w:rPr>
        <w:t>since its election on April 5, 2019,</w:t>
      </w:r>
      <w:r>
        <w:rPr>
          <w:sz w:val="22"/>
          <w:szCs w:val="22"/>
          <w:u w:val="none"/>
        </w:rPr>
        <w:t xml:space="preserve"> </w:t>
      </w:r>
      <w:r>
        <w:rPr>
          <w:rStyle w:val="PageNumber1"/>
          <w:sz w:val="22"/>
          <w:szCs w:val="22"/>
          <w:u w:val="none"/>
        </w:rPr>
        <w:t>at the Nineteenth Regular Meeting of the Consultative Committee of CIFTA</w:t>
      </w:r>
      <w:r>
        <w:rPr>
          <w:sz w:val="22"/>
          <w:szCs w:val="22"/>
          <w:u w:val="none"/>
        </w:rPr>
        <w:t>, in fulfillment of Article 5 of the Consultative Committee's Rules of Procedure, using as a frame of reference the “</w:t>
      </w:r>
      <w:r>
        <w:rPr>
          <w:rFonts w:eastAsia="Batang"/>
          <w:color w:val="000000"/>
          <w:sz w:val="22"/>
          <w:szCs w:val="22"/>
          <w:u w:val="none"/>
        </w:rPr>
        <w:t>2018-2022 Course of Action for the Operation and Implementation of the CIFTA</w:t>
      </w:r>
      <w:r>
        <w:rPr>
          <w:sz w:val="22"/>
          <w:szCs w:val="22"/>
          <w:u w:val="none"/>
        </w:rPr>
        <w:t xml:space="preserve">,” as well as the decisions and mandates adopted by the Ministers of Foreign Affairs of the Hemisphere, contained in </w:t>
      </w:r>
      <w:bookmarkStart w:id="0" w:name="_Toc398801941"/>
      <w:bookmarkStart w:id="1" w:name="_Toc366684259"/>
      <w:r>
        <w:rPr>
          <w:sz w:val="22"/>
          <w:szCs w:val="22"/>
          <w:u w:val="none"/>
        </w:rPr>
        <w:t>resolution AG/RES. 2950 (L-O/20)</w:t>
      </w:r>
      <w:bookmarkEnd w:id="0"/>
      <w:r>
        <w:rPr>
          <w:sz w:val="22"/>
          <w:szCs w:val="22"/>
          <w:u w:val="none"/>
        </w:rPr>
        <w:t>, entitled “Advancing Hemispheric Security: A Multidimensional Approach</w:t>
      </w:r>
      <w:bookmarkEnd w:id="1"/>
      <w:r>
        <w:rPr>
          <w:sz w:val="22"/>
          <w:szCs w:val="22"/>
          <w:u w:val="none"/>
        </w:rPr>
        <w:t>.”</w:t>
      </w:r>
      <w:proofErr w:type="gramEnd"/>
      <w:r>
        <w:rPr>
          <w:sz w:val="22"/>
          <w:szCs w:val="22"/>
          <w:u w:val="none"/>
        </w:rPr>
        <w:t xml:space="preserve"> </w:t>
      </w:r>
    </w:p>
    <w:p w14:paraId="496DE2BE" w14:textId="77777777" w:rsidR="0064656F" w:rsidRDefault="0064656F" w:rsidP="0064656F">
      <w:pPr>
        <w:suppressAutoHyphens/>
        <w:jc w:val="both"/>
        <w:rPr>
          <w:sz w:val="22"/>
          <w:szCs w:val="22"/>
        </w:rPr>
      </w:pPr>
    </w:p>
    <w:p w14:paraId="17A06CB7" w14:textId="77777777" w:rsidR="0064656F" w:rsidRDefault="0064656F" w:rsidP="0064656F">
      <w:pPr>
        <w:suppressAutoHyphens/>
        <w:jc w:val="both"/>
        <w:rPr>
          <w:b/>
          <w:bCs/>
          <w:sz w:val="22"/>
          <w:szCs w:val="22"/>
        </w:rPr>
      </w:pPr>
      <w:r>
        <w:rPr>
          <w:b/>
          <w:bCs/>
          <w:sz w:val="22"/>
          <w:szCs w:val="22"/>
        </w:rPr>
        <w:t xml:space="preserve">Status of signatures and ratifications of the CIFTA Convention  </w:t>
      </w:r>
    </w:p>
    <w:p w14:paraId="00776C38" w14:textId="77777777" w:rsidR="0064656F" w:rsidRDefault="0064656F" w:rsidP="0064656F">
      <w:pPr>
        <w:suppressAutoHyphens/>
        <w:jc w:val="both"/>
        <w:rPr>
          <w:sz w:val="22"/>
          <w:szCs w:val="22"/>
          <w:u w:val="single"/>
        </w:rPr>
      </w:pPr>
    </w:p>
    <w:p w14:paraId="007F5B9E" w14:textId="77777777" w:rsidR="0064656F" w:rsidRDefault="0064656F" w:rsidP="0064656F">
      <w:pPr>
        <w:suppressAutoHyphens/>
        <w:ind w:firstLine="720"/>
        <w:jc w:val="both"/>
        <w:rPr>
          <w:rStyle w:val="PageNumber1"/>
        </w:rPr>
      </w:pPr>
      <w:r>
        <w:rPr>
          <w:rStyle w:val="PageNumber1"/>
          <w:sz w:val="22"/>
          <w:szCs w:val="22"/>
        </w:rPr>
        <w:t>To date, 31 states have ratified or acceded to the Inter-American Convention against the Illicit Manufacturing of and Trafficking in Firearms, Ammunition, Explosives, and Other Related Materials.</w:t>
      </w:r>
    </w:p>
    <w:p w14:paraId="30EA6383" w14:textId="77777777" w:rsidR="0064656F" w:rsidRDefault="0064656F" w:rsidP="0064656F">
      <w:pPr>
        <w:suppressAutoHyphens/>
        <w:jc w:val="both"/>
      </w:pPr>
    </w:p>
    <w:p w14:paraId="2AF876E3" w14:textId="77777777" w:rsidR="0064656F" w:rsidRDefault="0064656F" w:rsidP="0064656F">
      <w:pPr>
        <w:suppressAutoHyphens/>
        <w:ind w:firstLine="720"/>
        <w:jc w:val="both"/>
        <w:rPr>
          <w:rStyle w:val="PageNumber1"/>
        </w:rPr>
      </w:pPr>
      <w:r>
        <w:rPr>
          <w:rStyle w:val="PageNumber1"/>
          <w:sz w:val="22"/>
          <w:szCs w:val="22"/>
        </w:rPr>
        <w:t xml:space="preserve">In </w:t>
      </w:r>
      <w:proofErr w:type="gramStart"/>
      <w:r>
        <w:rPr>
          <w:rStyle w:val="PageNumber1"/>
          <w:sz w:val="22"/>
          <w:szCs w:val="22"/>
        </w:rPr>
        <w:t>letters</w:t>
      </w:r>
      <w:proofErr w:type="gramEnd"/>
      <w:r>
        <w:rPr>
          <w:rStyle w:val="PageNumber1"/>
          <w:sz w:val="22"/>
          <w:szCs w:val="22"/>
        </w:rPr>
        <w:t xml:space="preserve"> it sent to the permanent representatives to the OAS on December 3, 2020, the </w:t>
      </w:r>
      <w:r>
        <w:rPr>
          <w:rStyle w:val="PageNumber1"/>
          <w:i/>
          <w:iCs/>
          <w:sz w:val="22"/>
          <w:szCs w:val="22"/>
        </w:rPr>
        <w:t>Pro Tempore</w:t>
      </w:r>
      <w:r>
        <w:rPr>
          <w:rStyle w:val="PageNumber1"/>
          <w:sz w:val="22"/>
          <w:szCs w:val="22"/>
        </w:rPr>
        <w:t xml:space="preserve"> Secretariat sought to urge the signatory states that had not yet ratified the Convention – Canada, the United States, and Jamaica – to consider ratifying it as soon as possible. They </w:t>
      </w:r>
      <w:proofErr w:type="gramStart"/>
      <w:r>
        <w:rPr>
          <w:rStyle w:val="PageNumber1"/>
          <w:sz w:val="22"/>
          <w:szCs w:val="22"/>
        </w:rPr>
        <w:t>were also asked</w:t>
      </w:r>
      <w:proofErr w:type="gramEnd"/>
      <w:r>
        <w:rPr>
          <w:rStyle w:val="PageNumber1"/>
          <w:sz w:val="22"/>
          <w:szCs w:val="22"/>
        </w:rPr>
        <w:t xml:space="preserve"> to report on action their government had taken to that end.</w:t>
      </w:r>
    </w:p>
    <w:p w14:paraId="18F5A8F0" w14:textId="77777777" w:rsidR="0064656F" w:rsidRDefault="0064656F" w:rsidP="0064656F">
      <w:pPr>
        <w:suppressAutoHyphens/>
        <w:jc w:val="both"/>
        <w:rPr>
          <w:b/>
          <w:bCs/>
        </w:rPr>
      </w:pPr>
    </w:p>
    <w:p w14:paraId="235EBF71" w14:textId="77777777" w:rsidR="0064656F" w:rsidRDefault="0064656F" w:rsidP="0064656F">
      <w:pPr>
        <w:suppressAutoHyphens/>
        <w:jc w:val="both"/>
        <w:rPr>
          <w:rStyle w:val="PageNumber1"/>
        </w:rPr>
      </w:pPr>
      <w:r>
        <w:rPr>
          <w:rStyle w:val="PageNumber1"/>
          <w:b/>
          <w:bCs/>
          <w:sz w:val="22"/>
          <w:szCs w:val="22"/>
        </w:rPr>
        <w:t>Questionnaire on the level of implementation and effectiveness of the CIFTA</w:t>
      </w:r>
    </w:p>
    <w:p w14:paraId="04E30F62" w14:textId="77777777" w:rsidR="0064656F" w:rsidRDefault="0064656F" w:rsidP="0064656F">
      <w:pPr>
        <w:suppressAutoHyphens/>
        <w:jc w:val="both"/>
      </w:pPr>
    </w:p>
    <w:p w14:paraId="15D1DCB6" w14:textId="77777777" w:rsidR="0064656F" w:rsidRDefault="0064656F" w:rsidP="0064656F">
      <w:pPr>
        <w:suppressAutoHyphens/>
        <w:jc w:val="both"/>
        <w:rPr>
          <w:rStyle w:val="PageNumber1"/>
        </w:rPr>
      </w:pPr>
      <w:r>
        <w:rPr>
          <w:rStyle w:val="PageNumber1"/>
          <w:sz w:val="22"/>
          <w:szCs w:val="22"/>
        </w:rPr>
        <w:tab/>
        <w:t xml:space="preserve">By way of background, with regard to its application it should be borne in mind that in order to ascertain the </w:t>
      </w:r>
      <w:proofErr w:type="gramStart"/>
      <w:r>
        <w:rPr>
          <w:rStyle w:val="PageNumber1"/>
          <w:sz w:val="22"/>
          <w:szCs w:val="22"/>
        </w:rPr>
        <w:t>current status</w:t>
      </w:r>
      <w:proofErr w:type="gramEnd"/>
      <w:r>
        <w:rPr>
          <w:rStyle w:val="PageNumber1"/>
          <w:sz w:val="22"/>
          <w:szCs w:val="22"/>
        </w:rPr>
        <w:t xml:space="preserve"> of the </w:t>
      </w:r>
      <w:proofErr w:type="spellStart"/>
      <w:r>
        <w:rPr>
          <w:rStyle w:val="PageNumber1"/>
          <w:sz w:val="22"/>
          <w:szCs w:val="22"/>
        </w:rPr>
        <w:t>states</w:t>
      </w:r>
      <w:proofErr w:type="spellEnd"/>
      <w:r>
        <w:rPr>
          <w:rStyle w:val="PageNumber1"/>
          <w:sz w:val="22"/>
          <w:szCs w:val="22"/>
        </w:rPr>
        <w:t xml:space="preserve"> party to the Convention and those not party, the “Questionnaire on the Implementation and Effectiveness of CIFTA” has been sent to them since 2011. This request for information </w:t>
      </w:r>
      <w:proofErr w:type="gramStart"/>
      <w:r>
        <w:rPr>
          <w:rStyle w:val="PageNumber1"/>
          <w:sz w:val="22"/>
          <w:szCs w:val="22"/>
        </w:rPr>
        <w:t>has been reiterated</w:t>
      </w:r>
      <w:proofErr w:type="gramEnd"/>
      <w:r>
        <w:rPr>
          <w:rStyle w:val="PageNumber1"/>
          <w:sz w:val="22"/>
          <w:szCs w:val="22"/>
        </w:rPr>
        <w:t xml:space="preserve"> to all member states of the Organization of American States on an annual basis. </w:t>
      </w:r>
    </w:p>
    <w:p w14:paraId="2F0CF37E" w14:textId="77777777" w:rsidR="0064656F" w:rsidRDefault="0064656F" w:rsidP="0064656F">
      <w:pPr>
        <w:suppressAutoHyphens/>
        <w:jc w:val="both"/>
      </w:pPr>
    </w:p>
    <w:p w14:paraId="1EE601E7" w14:textId="77777777" w:rsidR="0064656F" w:rsidRDefault="0064656F" w:rsidP="0064656F">
      <w:pPr>
        <w:suppressAutoHyphens/>
        <w:jc w:val="both"/>
        <w:rPr>
          <w:rStyle w:val="PageNumber1"/>
        </w:rPr>
      </w:pPr>
      <w:r>
        <w:rPr>
          <w:rStyle w:val="PageNumber1"/>
          <w:sz w:val="22"/>
          <w:szCs w:val="22"/>
        </w:rPr>
        <w:tab/>
        <w:t xml:space="preserve">During 2019-2020 period, five updated questionnaires </w:t>
      </w:r>
      <w:proofErr w:type="gramStart"/>
      <w:r>
        <w:rPr>
          <w:rStyle w:val="PageNumber1"/>
          <w:sz w:val="22"/>
          <w:szCs w:val="22"/>
        </w:rPr>
        <w:t>were received</w:t>
      </w:r>
      <w:proofErr w:type="gramEnd"/>
      <w:r>
        <w:rPr>
          <w:rStyle w:val="PageNumber1"/>
          <w:sz w:val="22"/>
          <w:szCs w:val="22"/>
        </w:rPr>
        <w:t xml:space="preserve"> from Chile, Costa Rica, Mexico, Panama, and Peru. The Technical Secretariat urged member states that had not yet done so to send in their updated questionnaires. </w:t>
      </w:r>
    </w:p>
    <w:p w14:paraId="78E3C3EF" w14:textId="77777777" w:rsidR="0064656F" w:rsidRDefault="0064656F" w:rsidP="0064656F">
      <w:pPr>
        <w:suppressAutoHyphens/>
        <w:jc w:val="both"/>
        <w:rPr>
          <w:rStyle w:val="PageNumber1"/>
          <w:bCs/>
          <w:sz w:val="22"/>
          <w:szCs w:val="22"/>
        </w:rPr>
      </w:pPr>
    </w:p>
    <w:p w14:paraId="54E0952E" w14:textId="77777777" w:rsidR="0064656F" w:rsidRDefault="0064656F" w:rsidP="0064656F">
      <w:pPr>
        <w:suppressAutoHyphens/>
        <w:jc w:val="both"/>
        <w:rPr>
          <w:rStyle w:val="PageNumber1"/>
          <w:b/>
          <w:bCs/>
          <w:sz w:val="22"/>
          <w:szCs w:val="22"/>
        </w:rPr>
      </w:pPr>
      <w:r>
        <w:rPr>
          <w:rStyle w:val="PageNumber1"/>
          <w:b/>
          <w:bCs/>
          <w:sz w:val="22"/>
          <w:szCs w:val="22"/>
        </w:rPr>
        <w:t>Regional and international cooperation and coordination</w:t>
      </w:r>
    </w:p>
    <w:p w14:paraId="46C7F6C7" w14:textId="77777777" w:rsidR="0064656F" w:rsidRDefault="0064656F" w:rsidP="0064656F">
      <w:pPr>
        <w:suppressAutoHyphens/>
        <w:jc w:val="both"/>
        <w:rPr>
          <w:rStyle w:val="PageNumber1"/>
          <w:sz w:val="22"/>
          <w:szCs w:val="22"/>
        </w:rPr>
      </w:pPr>
    </w:p>
    <w:p w14:paraId="00530DCF" w14:textId="77777777" w:rsidR="0064656F" w:rsidRDefault="0064656F" w:rsidP="0064656F">
      <w:pPr>
        <w:suppressAutoHyphens/>
        <w:jc w:val="both"/>
        <w:rPr>
          <w:rStyle w:val="PageNumber1"/>
          <w:sz w:val="22"/>
          <w:szCs w:val="22"/>
        </w:rPr>
      </w:pPr>
      <w:r>
        <w:rPr>
          <w:rStyle w:val="PageNumber1"/>
          <w:sz w:val="22"/>
          <w:szCs w:val="22"/>
        </w:rPr>
        <w:lastRenderedPageBreak/>
        <w:tab/>
      </w:r>
      <w:proofErr w:type="gramStart"/>
      <w:r>
        <w:rPr>
          <w:rStyle w:val="PageNumber1"/>
          <w:sz w:val="22"/>
          <w:szCs w:val="22"/>
        </w:rPr>
        <w:t xml:space="preserve">Guided by the mandate contained in paragraph 92 of resolution AG/RES 2907 of 2017, to promote and strengthen synergies involving OAS member states and other international and regional organizations and mechanisms engaged with the issue of illicit firearms trafficking, as </w:t>
      </w:r>
      <w:r>
        <w:rPr>
          <w:rStyle w:val="PageNumber1"/>
          <w:i/>
          <w:iCs/>
          <w:sz w:val="22"/>
          <w:szCs w:val="22"/>
        </w:rPr>
        <w:t>Pro Tempore</w:t>
      </w:r>
      <w:r>
        <w:rPr>
          <w:rStyle w:val="PageNumber1"/>
          <w:sz w:val="22"/>
          <w:szCs w:val="22"/>
        </w:rPr>
        <w:t xml:space="preserve"> Secretariat Mexico hosted two consecutive editions</w:t>
      </w:r>
      <w:r>
        <w:rPr>
          <w:rStyle w:val="PageNumber1"/>
          <w:sz w:val="22"/>
          <w:szCs w:val="22"/>
          <w:u w:val="single"/>
          <w:vertAlign w:val="superscript"/>
          <w:lang w:val="es-ES_tradnl"/>
        </w:rPr>
        <w:footnoteReference w:id="1"/>
      </w:r>
      <w:r>
        <w:rPr>
          <w:rStyle w:val="PageNumber1"/>
          <w:sz w:val="22"/>
          <w:szCs w:val="22"/>
          <w:vertAlign w:val="superscript"/>
        </w:rPr>
        <w:t>/</w:t>
      </w:r>
      <w:r>
        <w:rPr>
          <w:rStyle w:val="PageNumber1"/>
          <w:sz w:val="22"/>
          <w:szCs w:val="22"/>
        </w:rPr>
        <w:t xml:space="preserve"> of the meeting “Strengthening Regional Cooperation in the Americas to Prevent and Combat Illicit Firearms Trafficking and Related Crimes,” organized jointly with the United Nations Office on Drugs and Crime’s Global Firearms </w:t>
      </w:r>
      <w:proofErr w:type="spellStart"/>
      <w:r>
        <w:rPr>
          <w:rStyle w:val="PageNumber1"/>
          <w:sz w:val="22"/>
          <w:szCs w:val="22"/>
        </w:rPr>
        <w:t>Programme</w:t>
      </w:r>
      <w:proofErr w:type="spellEnd"/>
      <w:r>
        <w:rPr>
          <w:rStyle w:val="PageNumber1"/>
          <w:sz w:val="22"/>
          <w:szCs w:val="22"/>
        </w:rPr>
        <w:t>.</w:t>
      </w:r>
      <w:proofErr w:type="gramEnd"/>
      <w:r>
        <w:rPr>
          <w:rStyle w:val="PageNumber1"/>
          <w:sz w:val="22"/>
          <w:szCs w:val="22"/>
        </w:rPr>
        <w:t xml:space="preserve"> </w:t>
      </w:r>
    </w:p>
    <w:p w14:paraId="0D4565B1" w14:textId="77777777" w:rsidR="0064656F" w:rsidRDefault="0064656F" w:rsidP="0064656F">
      <w:pPr>
        <w:suppressAutoHyphens/>
        <w:jc w:val="both"/>
        <w:rPr>
          <w:rStyle w:val="PageNumber1"/>
          <w:sz w:val="22"/>
          <w:szCs w:val="22"/>
        </w:rPr>
      </w:pPr>
    </w:p>
    <w:p w14:paraId="3A5AE037" w14:textId="77777777" w:rsidR="0064656F" w:rsidRDefault="0064656F" w:rsidP="0064656F">
      <w:pPr>
        <w:suppressAutoHyphens/>
        <w:jc w:val="both"/>
        <w:rPr>
          <w:rStyle w:val="PageNumber1"/>
          <w:sz w:val="22"/>
          <w:szCs w:val="22"/>
        </w:rPr>
      </w:pPr>
      <w:r>
        <w:rPr>
          <w:rStyle w:val="PageNumber1"/>
          <w:sz w:val="22"/>
          <w:szCs w:val="22"/>
        </w:rPr>
        <w:t>Notable conclusions arising from both meetings included:</w:t>
      </w:r>
    </w:p>
    <w:p w14:paraId="4B586694" w14:textId="77777777" w:rsidR="0064656F" w:rsidRDefault="0064656F" w:rsidP="0064656F">
      <w:pPr>
        <w:suppressAutoHyphens/>
        <w:jc w:val="both"/>
        <w:rPr>
          <w:rStyle w:val="PageNumber1"/>
          <w:sz w:val="22"/>
          <w:szCs w:val="22"/>
        </w:rPr>
      </w:pPr>
    </w:p>
    <w:p w14:paraId="196406B2" w14:textId="77777777" w:rsidR="0064656F" w:rsidRDefault="0064656F" w:rsidP="0064656F">
      <w:pPr>
        <w:pStyle w:val="ListParagraph"/>
        <w:numPr>
          <w:ilvl w:val="0"/>
          <w:numId w:val="31"/>
        </w:numPr>
        <w:suppressAutoHyphens/>
        <w:ind w:left="709"/>
        <w:jc w:val="both"/>
        <w:rPr>
          <w:rStyle w:val="PageNumber1"/>
          <w:sz w:val="22"/>
          <w:szCs w:val="22"/>
        </w:rPr>
      </w:pPr>
      <w:r>
        <w:rPr>
          <w:rStyle w:val="PageNumber1"/>
          <w:sz w:val="22"/>
          <w:szCs w:val="22"/>
        </w:rPr>
        <w:t>Most countries of the Americas are signatories to the Palermo Convention, the Protocol against the Illicit Manufacturing of and Trafficking in Firearms, Their Parts and Components and Ammunition, and to the CIFTA and hence need no additional agreement to cooperate, but rather just need to establish mechanisms to engage in counteracting arms trafficking.</w:t>
      </w:r>
    </w:p>
    <w:p w14:paraId="2D61A6B8" w14:textId="77777777" w:rsidR="0064656F" w:rsidRDefault="0064656F" w:rsidP="0064656F">
      <w:pPr>
        <w:pStyle w:val="ListParagraph"/>
        <w:numPr>
          <w:ilvl w:val="0"/>
          <w:numId w:val="31"/>
        </w:numPr>
        <w:suppressAutoHyphens/>
        <w:ind w:left="709"/>
        <w:jc w:val="both"/>
        <w:rPr>
          <w:rStyle w:val="PageNumber1"/>
          <w:sz w:val="22"/>
          <w:szCs w:val="22"/>
        </w:rPr>
      </w:pPr>
      <w:r>
        <w:rPr>
          <w:rStyle w:val="PageNumber1"/>
          <w:sz w:val="22"/>
          <w:szCs w:val="22"/>
        </w:rPr>
        <w:t xml:space="preserve">Standardize </w:t>
      </w:r>
      <w:proofErr w:type="gramStart"/>
      <w:r>
        <w:rPr>
          <w:rStyle w:val="PageNumber1"/>
          <w:sz w:val="22"/>
          <w:szCs w:val="22"/>
        </w:rPr>
        <w:t>ballistics fingerprinting</w:t>
      </w:r>
      <w:proofErr w:type="gramEnd"/>
      <w:r>
        <w:rPr>
          <w:rStyle w:val="PageNumber1"/>
          <w:sz w:val="22"/>
          <w:szCs w:val="22"/>
        </w:rPr>
        <w:t xml:space="preserve"> systems internationally for information sharing with a view to seeking more economical alternatives to the existing ones.</w:t>
      </w:r>
    </w:p>
    <w:p w14:paraId="1645A255" w14:textId="77777777" w:rsidR="0064656F" w:rsidRDefault="0064656F" w:rsidP="0064656F">
      <w:pPr>
        <w:pStyle w:val="ListParagraph"/>
        <w:numPr>
          <w:ilvl w:val="0"/>
          <w:numId w:val="31"/>
        </w:numPr>
        <w:suppressAutoHyphens/>
        <w:ind w:left="709"/>
        <w:jc w:val="both"/>
        <w:rPr>
          <w:rStyle w:val="PageNumber1"/>
          <w:sz w:val="22"/>
          <w:szCs w:val="22"/>
        </w:rPr>
      </w:pPr>
      <w:r>
        <w:rPr>
          <w:rStyle w:val="PageNumber1"/>
          <w:sz w:val="22"/>
          <w:szCs w:val="22"/>
        </w:rPr>
        <w:t>Reform national laws on firearms, their components, and ammunition, as they are not up to date and hinder efforts to tackle the crime of illicit arms trafficking.</w:t>
      </w:r>
    </w:p>
    <w:p w14:paraId="08716748" w14:textId="77777777" w:rsidR="0064656F" w:rsidRDefault="0064656F" w:rsidP="0064656F">
      <w:pPr>
        <w:suppressAutoHyphens/>
        <w:jc w:val="both"/>
        <w:rPr>
          <w:rStyle w:val="PageNumber1"/>
          <w:sz w:val="22"/>
          <w:szCs w:val="22"/>
        </w:rPr>
      </w:pPr>
    </w:p>
    <w:p w14:paraId="0193E4D1" w14:textId="77777777" w:rsidR="0064656F" w:rsidRDefault="0064656F" w:rsidP="0064656F">
      <w:pPr>
        <w:suppressAutoHyphens/>
        <w:jc w:val="both"/>
        <w:rPr>
          <w:rStyle w:val="PageNumber1"/>
          <w:sz w:val="22"/>
          <w:szCs w:val="22"/>
        </w:rPr>
      </w:pPr>
      <w:r>
        <w:rPr>
          <w:rStyle w:val="PageNumber1"/>
          <w:sz w:val="22"/>
          <w:szCs w:val="22"/>
        </w:rPr>
        <w:tab/>
        <w:t xml:space="preserve">Mexico chaired the Working Group on Firearms of the Palermo Convention on July 16 and 17, 2020. During its </w:t>
      </w:r>
      <w:proofErr w:type="gramStart"/>
      <w:r>
        <w:rPr>
          <w:rStyle w:val="PageNumber1"/>
          <w:sz w:val="22"/>
          <w:szCs w:val="22"/>
        </w:rPr>
        <w:t>chairmanship</w:t>
      </w:r>
      <w:proofErr w:type="gramEnd"/>
      <w:r>
        <w:rPr>
          <w:rStyle w:val="PageNumber1"/>
          <w:sz w:val="22"/>
          <w:szCs w:val="22"/>
        </w:rPr>
        <w:t>, Mexico promoted information sharing to understand current trends in illicit firearms trafficking and further stressed the importance of capacity building for national, regional and international specialized agencies to be able to settle cases, as well as to collect data in this area. Lastly, Mexico promoted multilateral cooperation to fulfill target 16.4 of the Sustainable Development Goals, which calls for a reduction of illicit financial and arms flows.</w:t>
      </w:r>
    </w:p>
    <w:p w14:paraId="21BDC71F" w14:textId="77777777" w:rsidR="0064656F" w:rsidRDefault="0064656F" w:rsidP="0064656F">
      <w:pPr>
        <w:suppressAutoHyphens/>
        <w:jc w:val="both"/>
        <w:rPr>
          <w:rStyle w:val="PageNumber1"/>
          <w:sz w:val="22"/>
          <w:szCs w:val="22"/>
        </w:rPr>
      </w:pPr>
    </w:p>
    <w:p w14:paraId="088CB5A6" w14:textId="77777777" w:rsidR="0064656F" w:rsidRDefault="0064656F" w:rsidP="0064656F">
      <w:pPr>
        <w:suppressAutoHyphens/>
        <w:jc w:val="both"/>
        <w:rPr>
          <w:rStyle w:val="PageNumber1"/>
          <w:sz w:val="22"/>
          <w:szCs w:val="22"/>
        </w:rPr>
      </w:pPr>
      <w:r>
        <w:rPr>
          <w:rStyle w:val="PageNumber1"/>
          <w:sz w:val="22"/>
          <w:szCs w:val="22"/>
        </w:rPr>
        <w:tab/>
        <w:t>The Technical Secretariat of CIFTA delivered a presentation at the meeting, on the groundbreaking nature of the Convention, highlighting the progress made, such as the model legislation and the courses of action approved, and the support provided by the Department against Transnational Organized Crime and the Department of Public Security to help member states meet their obligations under the Convention.</w:t>
      </w:r>
    </w:p>
    <w:p w14:paraId="192167ED" w14:textId="77777777" w:rsidR="0064656F" w:rsidRDefault="0064656F" w:rsidP="0064656F">
      <w:pPr>
        <w:suppressAutoHyphens/>
        <w:jc w:val="both"/>
        <w:rPr>
          <w:rStyle w:val="PageNumber1"/>
          <w:sz w:val="22"/>
          <w:szCs w:val="22"/>
        </w:rPr>
      </w:pPr>
    </w:p>
    <w:p w14:paraId="319CBD49" w14:textId="77777777" w:rsidR="0064656F" w:rsidRDefault="0064656F" w:rsidP="0064656F">
      <w:pPr>
        <w:suppressAutoHyphens/>
        <w:jc w:val="both"/>
        <w:rPr>
          <w:rStyle w:val="PageNumber1"/>
          <w:sz w:val="22"/>
          <w:szCs w:val="22"/>
        </w:rPr>
      </w:pPr>
      <w:r>
        <w:rPr>
          <w:rStyle w:val="PageNumber1"/>
          <w:sz w:val="22"/>
          <w:szCs w:val="22"/>
        </w:rPr>
        <w:tab/>
        <w:t>It is worth noting that as part of preparations for the next Conference of States Parties to the Arms Trade Treaty (ATT), Mexico is facilitating the Working Group on Transparency and Reporting along with Belgium.</w:t>
      </w:r>
    </w:p>
    <w:p w14:paraId="651674F8" w14:textId="77777777" w:rsidR="0064656F" w:rsidRDefault="0064656F" w:rsidP="0064656F">
      <w:pPr>
        <w:suppressAutoHyphens/>
        <w:jc w:val="both"/>
        <w:rPr>
          <w:rStyle w:val="PageNumber1"/>
          <w:sz w:val="22"/>
          <w:szCs w:val="22"/>
        </w:rPr>
      </w:pPr>
    </w:p>
    <w:p w14:paraId="29922F51" w14:textId="77777777" w:rsidR="0064656F" w:rsidRDefault="0064656F" w:rsidP="0064656F">
      <w:pPr>
        <w:suppressAutoHyphens/>
        <w:jc w:val="both"/>
        <w:rPr>
          <w:rStyle w:val="PageNumber1"/>
          <w:sz w:val="22"/>
          <w:szCs w:val="22"/>
        </w:rPr>
      </w:pPr>
      <w:r>
        <w:rPr>
          <w:rStyle w:val="PageNumber1"/>
          <w:sz w:val="22"/>
          <w:szCs w:val="22"/>
        </w:rPr>
        <w:tab/>
      </w:r>
      <w:proofErr w:type="gramStart"/>
      <w:r>
        <w:rPr>
          <w:rStyle w:val="PageNumber1"/>
          <w:sz w:val="22"/>
          <w:szCs w:val="22"/>
        </w:rPr>
        <w:t>Furthermore, consistent with the mandate, contained in paragraph 109 of resolution AG/RES. 2950 of 2020, to invite member states to collaborate on the hemispheric study on the illicit trade in small arms and light weapons and ammunition in the Americas, Mexico has worked alongside the Department against Transnational Organized Crime and the Department of Public Security and is currently conducting an analysis to draw up a road map for embarking on preparations for the study, as well as for exploring sources of funding.</w:t>
      </w:r>
      <w:proofErr w:type="gramEnd"/>
      <w:r>
        <w:rPr>
          <w:rStyle w:val="PageNumber1"/>
          <w:sz w:val="22"/>
          <w:szCs w:val="22"/>
        </w:rPr>
        <w:t xml:space="preserve"> </w:t>
      </w:r>
    </w:p>
    <w:p w14:paraId="682DF0B8" w14:textId="77777777" w:rsidR="0064656F" w:rsidRDefault="0064656F" w:rsidP="0064656F">
      <w:pPr>
        <w:suppressAutoHyphens/>
        <w:jc w:val="both"/>
        <w:rPr>
          <w:rStyle w:val="PageNumber1"/>
          <w:sz w:val="22"/>
          <w:szCs w:val="22"/>
        </w:rPr>
      </w:pPr>
    </w:p>
    <w:p w14:paraId="4578A8D2" w14:textId="77777777" w:rsidR="0064656F" w:rsidRDefault="0064656F" w:rsidP="0064656F">
      <w:pPr>
        <w:suppressAutoHyphens/>
        <w:jc w:val="both"/>
        <w:rPr>
          <w:rStyle w:val="PageNumber1"/>
          <w:sz w:val="22"/>
          <w:szCs w:val="22"/>
        </w:rPr>
      </w:pPr>
      <w:r>
        <w:rPr>
          <w:rStyle w:val="PageNumber1"/>
          <w:sz w:val="22"/>
          <w:szCs w:val="22"/>
        </w:rPr>
        <w:lastRenderedPageBreak/>
        <w:tab/>
      </w:r>
      <w:proofErr w:type="gramStart"/>
      <w:r>
        <w:rPr>
          <w:rStyle w:val="PageNumber1"/>
          <w:sz w:val="22"/>
          <w:szCs w:val="22"/>
        </w:rPr>
        <w:t xml:space="preserve">In conclusion, the </w:t>
      </w:r>
      <w:r>
        <w:rPr>
          <w:rStyle w:val="PageNumber1"/>
          <w:i/>
          <w:iCs/>
          <w:sz w:val="22"/>
          <w:szCs w:val="22"/>
        </w:rPr>
        <w:t>Pro Tempore</w:t>
      </w:r>
      <w:r>
        <w:rPr>
          <w:rStyle w:val="PageNumber1"/>
          <w:sz w:val="22"/>
          <w:szCs w:val="22"/>
        </w:rPr>
        <w:t xml:space="preserve"> Secretariat would like to refer to paragraph 18 of the Declaration on the Occasion of the 20</w:t>
      </w:r>
      <w:r>
        <w:rPr>
          <w:rStyle w:val="PageNumber1"/>
          <w:sz w:val="22"/>
          <w:szCs w:val="22"/>
          <w:vertAlign w:val="superscript"/>
        </w:rPr>
        <w:t>th</w:t>
      </w:r>
      <w:r>
        <w:rPr>
          <w:rStyle w:val="PageNumber1"/>
          <w:sz w:val="22"/>
          <w:szCs w:val="22"/>
        </w:rPr>
        <w:t xml:space="preserve"> Anniversary of CIFTA, “Hemispheric Cooperation to Prevent, Combat, and Eradicate the Illicit Manufacturing of and Trafficking in Firearms, Ammunition, Explosives, and Other Related Materials,” to respectfully urge states, international organizations, and other allies to make financial contributions to the trust fund established to improve the operations and functions of the CIFTA.</w:t>
      </w:r>
      <w:proofErr w:type="gramEnd"/>
    </w:p>
    <w:p w14:paraId="40F1624C" w14:textId="77777777" w:rsidR="0064656F" w:rsidRDefault="0064656F" w:rsidP="0064656F">
      <w:pPr>
        <w:suppressAutoHyphens/>
        <w:jc w:val="both"/>
        <w:rPr>
          <w:rStyle w:val="PageNumber1"/>
          <w:sz w:val="22"/>
          <w:szCs w:val="22"/>
        </w:rPr>
      </w:pPr>
    </w:p>
    <w:p w14:paraId="0754C791" w14:textId="77777777" w:rsidR="0064656F" w:rsidRDefault="0064656F" w:rsidP="0064656F">
      <w:pPr>
        <w:suppressAutoHyphens/>
        <w:jc w:val="both"/>
        <w:rPr>
          <w:rStyle w:val="PageNumber1"/>
          <w:b/>
          <w:sz w:val="22"/>
          <w:szCs w:val="22"/>
        </w:rPr>
      </w:pPr>
      <w:r>
        <w:rPr>
          <w:rStyle w:val="PageNumber1"/>
          <w:b/>
          <w:sz w:val="22"/>
          <w:szCs w:val="22"/>
        </w:rPr>
        <w:t>Preparations for the Twentieth Regular Meeting of the Consultative Committee</w:t>
      </w:r>
    </w:p>
    <w:p w14:paraId="5A78C3DD" w14:textId="77777777" w:rsidR="0064656F" w:rsidRDefault="0064656F" w:rsidP="0064656F">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rPr>
      </w:pPr>
    </w:p>
    <w:p w14:paraId="65FEEC58" w14:textId="77777777" w:rsidR="0064656F" w:rsidRDefault="0064656F" w:rsidP="0064656F">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rPr>
      </w:pPr>
      <w:r>
        <w:rPr>
          <w:rStyle w:val="PageNumber1"/>
          <w:rFonts w:ascii="Times New Roman" w:hAnsi="Times New Roman"/>
          <w:sz w:val="22"/>
          <w:szCs w:val="22"/>
        </w:rPr>
        <w:t xml:space="preserve">Although this </w:t>
      </w:r>
      <w:r>
        <w:rPr>
          <w:rStyle w:val="PageNumber1"/>
          <w:rFonts w:ascii="Times New Roman" w:hAnsi="Times New Roman"/>
          <w:i/>
          <w:iCs/>
          <w:sz w:val="22"/>
          <w:szCs w:val="22"/>
        </w:rPr>
        <w:t>Pro Tempore</w:t>
      </w:r>
      <w:r>
        <w:rPr>
          <w:rStyle w:val="PageNumber1"/>
          <w:rFonts w:ascii="Times New Roman" w:hAnsi="Times New Roman"/>
          <w:sz w:val="22"/>
          <w:szCs w:val="22"/>
        </w:rPr>
        <w:t xml:space="preserve"> Secretariat had intended to hold the Twentieth Regular Meeting of the Consultative Committee on or around April 5 to mark Inter-American Day for Countering the Illicit Manufacturing of and Trafficking in Firearms, due to the COVID-19 countermeasures in force at that time, the </w:t>
      </w:r>
      <w:r>
        <w:rPr>
          <w:rStyle w:val="PageNumber1"/>
          <w:rFonts w:ascii="Times New Roman" w:hAnsi="Times New Roman"/>
          <w:i/>
          <w:iCs/>
          <w:sz w:val="22"/>
          <w:szCs w:val="22"/>
        </w:rPr>
        <w:t>Pro Tempore</w:t>
      </w:r>
      <w:r>
        <w:rPr>
          <w:rStyle w:val="PageNumber1"/>
          <w:rFonts w:ascii="Times New Roman" w:hAnsi="Times New Roman"/>
          <w:sz w:val="22"/>
          <w:szCs w:val="22"/>
        </w:rPr>
        <w:t xml:space="preserve"> Secretariat requested the OAS Permanent Council to postpone that meeting. That request </w:t>
      </w:r>
      <w:proofErr w:type="gramStart"/>
      <w:r>
        <w:rPr>
          <w:rStyle w:val="PageNumber1"/>
          <w:rFonts w:ascii="Times New Roman" w:hAnsi="Times New Roman"/>
          <w:sz w:val="22"/>
          <w:szCs w:val="22"/>
        </w:rPr>
        <w:t>was granted</w:t>
      </w:r>
      <w:proofErr w:type="gramEnd"/>
      <w:r>
        <w:rPr>
          <w:rStyle w:val="PageNumber1"/>
          <w:rFonts w:ascii="Times New Roman" w:hAnsi="Times New Roman"/>
          <w:sz w:val="22"/>
          <w:szCs w:val="22"/>
        </w:rPr>
        <w:t xml:space="preserve"> with the approval of resolution</w:t>
      </w:r>
      <w:r>
        <w:rPr>
          <w:rFonts w:ascii="Times New Roman" w:hAnsi="Times New Roman"/>
          <w:sz w:val="22"/>
          <w:szCs w:val="22"/>
        </w:rPr>
        <w:t xml:space="preserve"> </w:t>
      </w:r>
      <w:r>
        <w:rPr>
          <w:rStyle w:val="PageNumber1"/>
          <w:rFonts w:ascii="Times New Roman" w:hAnsi="Times New Roman"/>
          <w:sz w:val="22"/>
          <w:szCs w:val="22"/>
        </w:rPr>
        <w:t xml:space="preserve">CP/RES. 1152 (2282/20). </w:t>
      </w:r>
    </w:p>
    <w:p w14:paraId="7FBDDDDB" w14:textId="77777777" w:rsidR="0064656F" w:rsidRDefault="0064656F" w:rsidP="0064656F">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rPr>
      </w:pPr>
    </w:p>
    <w:p w14:paraId="31F51E5C" w14:textId="77777777" w:rsidR="0064656F" w:rsidRDefault="0064656F" w:rsidP="0064656F">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rPr>
      </w:pPr>
      <w:r>
        <w:rPr>
          <w:rStyle w:val="PageNumber1"/>
          <w:rFonts w:ascii="Times New Roman" w:hAnsi="Times New Roman"/>
          <w:sz w:val="22"/>
          <w:szCs w:val="22"/>
        </w:rPr>
        <w:t xml:space="preserve">Months later, once the appropriate protocols had been established, and pursuant to the decisions adopted in resolution AG/RES. 2950 (L-O/20) of 2020, the </w:t>
      </w:r>
      <w:r>
        <w:rPr>
          <w:rStyle w:val="PageNumber1"/>
          <w:rFonts w:ascii="Times New Roman" w:hAnsi="Times New Roman"/>
          <w:i/>
          <w:iCs/>
          <w:sz w:val="22"/>
          <w:szCs w:val="22"/>
        </w:rPr>
        <w:t>Pro Tempore</w:t>
      </w:r>
      <w:r>
        <w:rPr>
          <w:rStyle w:val="PageNumber1"/>
          <w:rFonts w:ascii="Times New Roman" w:hAnsi="Times New Roman"/>
          <w:sz w:val="22"/>
          <w:szCs w:val="22"/>
        </w:rPr>
        <w:t xml:space="preserve"> Secretariat again requested the Permanent Council to approve a resolution establishing the place and date of that regular meeting. That request </w:t>
      </w:r>
      <w:proofErr w:type="gramStart"/>
      <w:r>
        <w:rPr>
          <w:rStyle w:val="PageNumber1"/>
          <w:rFonts w:ascii="Times New Roman" w:hAnsi="Times New Roman"/>
          <w:sz w:val="22"/>
          <w:szCs w:val="22"/>
        </w:rPr>
        <w:t>was granted</w:t>
      </w:r>
      <w:proofErr w:type="gramEnd"/>
      <w:r>
        <w:rPr>
          <w:rStyle w:val="PageNumber1"/>
          <w:rFonts w:ascii="Times New Roman" w:hAnsi="Times New Roman"/>
          <w:sz w:val="22"/>
          <w:szCs w:val="22"/>
        </w:rPr>
        <w:t xml:space="preserve"> in CP/RES. 1162 of November 18, 2020, setting December 17, 2020, as the date for the Twentieth Regular Meeting of the Consultative Committee of CIFTA, to be held virtually from OAS headquarters.</w:t>
      </w:r>
    </w:p>
    <w:p w14:paraId="239A7662" w14:textId="77777777" w:rsidR="0064656F" w:rsidRDefault="0064656F" w:rsidP="0064656F">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rPr>
      </w:pPr>
    </w:p>
    <w:p w14:paraId="77BC4199" w14:textId="77777777" w:rsidR="0064656F" w:rsidRDefault="0064656F" w:rsidP="0064656F">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rPr>
      </w:pPr>
      <w:r>
        <w:rPr>
          <w:rStyle w:val="PageNumber1"/>
          <w:rFonts w:ascii="Times New Roman" w:hAnsi="Times New Roman"/>
          <w:sz w:val="22"/>
          <w:szCs w:val="22"/>
        </w:rPr>
        <w:t xml:space="preserve">Under the provisions set forth in paragraph 6 of Article XXI of the Convention, the </w:t>
      </w:r>
      <w:r>
        <w:rPr>
          <w:rStyle w:val="PageNumber1"/>
          <w:rFonts w:ascii="Times New Roman" w:hAnsi="Times New Roman"/>
          <w:i/>
          <w:sz w:val="22"/>
          <w:szCs w:val="22"/>
        </w:rPr>
        <w:t>Pro Tempore</w:t>
      </w:r>
      <w:r>
        <w:rPr>
          <w:rStyle w:val="PageNumber1"/>
          <w:rFonts w:ascii="Times New Roman" w:hAnsi="Times New Roman"/>
          <w:sz w:val="22"/>
          <w:szCs w:val="22"/>
        </w:rPr>
        <w:t xml:space="preserve"> Secretariat convened the Twentieth Regular Meeting of the Consultative Committee, through document CIFTA/CC-XX/doc.1/20, and prepared the draft agenda, draft schedule, and draft list of invited guests. These documents were distributed and submitted to the member states of the Organization for consideration through a virtual process that </w:t>
      </w:r>
      <w:proofErr w:type="gramStart"/>
      <w:r>
        <w:rPr>
          <w:rStyle w:val="PageNumber1"/>
          <w:rFonts w:ascii="Times New Roman" w:hAnsi="Times New Roman"/>
          <w:sz w:val="22"/>
          <w:szCs w:val="22"/>
        </w:rPr>
        <w:t>was put</w:t>
      </w:r>
      <w:proofErr w:type="gramEnd"/>
      <w:r>
        <w:rPr>
          <w:rStyle w:val="PageNumber1"/>
          <w:rFonts w:ascii="Times New Roman" w:hAnsi="Times New Roman"/>
          <w:sz w:val="22"/>
          <w:szCs w:val="22"/>
        </w:rPr>
        <w:t xml:space="preserve"> in place in view of the preventive measures taken to deal with the COVID-19 pandemic.</w:t>
      </w:r>
    </w:p>
    <w:p w14:paraId="0C2D8D09" w14:textId="77777777" w:rsidR="0064656F" w:rsidRDefault="0064656F" w:rsidP="0064656F">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rPr>
      </w:pPr>
    </w:p>
    <w:p w14:paraId="4A884EE3" w14:textId="77777777" w:rsidR="0064656F" w:rsidRDefault="0064656F" w:rsidP="0064656F">
      <w:pPr>
        <w:pStyle w:val="NormalWeb"/>
        <w:suppressAutoHyphens/>
        <w:spacing w:before="0" w:beforeAutospacing="0" w:after="0" w:afterAutospacing="0"/>
        <w:jc w:val="both"/>
        <w:rPr>
          <w:rStyle w:val="PageNumber1"/>
          <w:rFonts w:ascii="Times New Roman" w:hAnsi="Times New Roman"/>
          <w:sz w:val="22"/>
          <w:szCs w:val="22"/>
        </w:rPr>
      </w:pPr>
    </w:p>
    <w:p w14:paraId="6A473247" w14:textId="77777777" w:rsidR="0064656F" w:rsidRDefault="0064656F" w:rsidP="0064656F">
      <w:pPr>
        <w:suppressAutoHyphens/>
        <w:jc w:val="both"/>
      </w:pPr>
    </w:p>
    <w:p w14:paraId="4860C980" w14:textId="77777777" w:rsidR="0064656F" w:rsidRDefault="0064656F" w:rsidP="0064656F">
      <w:pPr>
        <w:suppressAutoHyphens/>
        <w:jc w:val="center"/>
        <w:rPr>
          <w:rStyle w:val="PageNumber1"/>
        </w:rPr>
      </w:pPr>
      <w:r>
        <w:rPr>
          <w:rStyle w:val="PageNumber1"/>
          <w:sz w:val="22"/>
          <w:szCs w:val="22"/>
        </w:rPr>
        <w:t xml:space="preserve">Luz Elena </w:t>
      </w:r>
      <w:proofErr w:type="spellStart"/>
      <w:r>
        <w:rPr>
          <w:rStyle w:val="PageNumber1"/>
          <w:sz w:val="22"/>
          <w:szCs w:val="22"/>
        </w:rPr>
        <w:t>Baños</w:t>
      </w:r>
      <w:proofErr w:type="spellEnd"/>
      <w:r>
        <w:rPr>
          <w:rStyle w:val="PageNumber1"/>
          <w:sz w:val="22"/>
          <w:szCs w:val="22"/>
        </w:rPr>
        <w:t xml:space="preserve"> Rivas</w:t>
      </w:r>
    </w:p>
    <w:p w14:paraId="441F0911" w14:textId="77777777" w:rsidR="0064656F" w:rsidRDefault="0064656F" w:rsidP="0064656F">
      <w:pPr>
        <w:suppressAutoHyphens/>
        <w:jc w:val="center"/>
        <w:rPr>
          <w:rStyle w:val="PageNumber1"/>
          <w:sz w:val="22"/>
          <w:szCs w:val="22"/>
        </w:rPr>
      </w:pPr>
      <w:r>
        <w:rPr>
          <w:rStyle w:val="PageNumber1"/>
          <w:sz w:val="22"/>
          <w:szCs w:val="22"/>
        </w:rPr>
        <w:t>Ambassador and Permanent Representative of Mexico to the OAS</w:t>
      </w:r>
    </w:p>
    <w:p w14:paraId="75ABBBA5" w14:textId="386365AA" w:rsidR="0064656F" w:rsidRDefault="0064656F" w:rsidP="0064656F">
      <w:pPr>
        <w:suppressAutoHyphens/>
        <w:jc w:val="center"/>
      </w:pPr>
      <w:r>
        <w:rPr>
          <w:noProof/>
        </w:rPr>
        <mc:AlternateContent>
          <mc:Choice Requires="wps">
            <w:drawing>
              <wp:anchor distT="0" distB="0" distL="114300" distR="114300" simplePos="0" relativeHeight="251659264" behindDoc="0" locked="1" layoutInCell="1" allowOverlap="1" wp14:anchorId="1DA6FC61" wp14:editId="699C9DE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2CD527" w14:textId="12574FF1" w:rsidR="0064656F" w:rsidRDefault="0064656F" w:rsidP="0064656F">
                            <w:pPr>
                              <w:rPr>
                                <w:sz w:val="18"/>
                              </w:rPr>
                            </w:pPr>
                            <w:r>
                              <w:rPr>
                                <w:sz w:val="18"/>
                              </w:rPr>
                              <w:fldChar w:fldCharType="begin"/>
                            </w:r>
                            <w:r>
                              <w:rPr>
                                <w:sz w:val="18"/>
                              </w:rPr>
                              <w:instrText xml:space="preserve"> FILENAME  \* MERGEFORMAT </w:instrText>
                            </w:r>
                            <w:r>
                              <w:rPr>
                                <w:sz w:val="18"/>
                              </w:rPr>
                              <w:fldChar w:fldCharType="separate"/>
                            </w:r>
                            <w:r w:rsidR="00843826">
                              <w:rPr>
                                <w:noProof/>
                                <w:sz w:val="18"/>
                              </w:rPr>
                              <w:t>CIFTA00885E01</w:t>
                            </w:r>
                            <w:r>
                              <w:rPr>
                                <w:sz w:val="18"/>
                              </w:rPr>
                              <w:fldChar w:fldCharType="end"/>
                            </w: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A6FC6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2A2CD527" w14:textId="12574FF1" w:rsidR="0064656F" w:rsidRDefault="0064656F" w:rsidP="0064656F">
                      <w:pPr>
                        <w:rPr>
                          <w:sz w:val="18"/>
                        </w:rPr>
                      </w:pPr>
                      <w:r>
                        <w:rPr>
                          <w:sz w:val="18"/>
                        </w:rPr>
                        <w:fldChar w:fldCharType="begin"/>
                      </w:r>
                      <w:r>
                        <w:rPr>
                          <w:sz w:val="18"/>
                        </w:rPr>
                        <w:instrText xml:space="preserve"> FILENAME  \* MERGEFORMAT </w:instrText>
                      </w:r>
                      <w:r>
                        <w:rPr>
                          <w:sz w:val="18"/>
                        </w:rPr>
                        <w:fldChar w:fldCharType="separate"/>
                      </w:r>
                      <w:r w:rsidR="00843826">
                        <w:rPr>
                          <w:noProof/>
                          <w:sz w:val="18"/>
                        </w:rPr>
                        <w:t>CIFTA00885E01</w:t>
                      </w:r>
                      <w:r>
                        <w:rPr>
                          <w:sz w:val="18"/>
                        </w:rPr>
                        <w:fldChar w:fldCharType="end"/>
                      </w:r>
                      <w:bookmarkStart w:id="3" w:name="_GoBack"/>
                      <w:bookmarkEnd w:id="3"/>
                    </w:p>
                  </w:txbxContent>
                </v:textbox>
                <w10:wrap anchory="page"/>
                <w10:anchorlock/>
              </v:shape>
            </w:pict>
          </mc:Fallback>
        </mc:AlternateContent>
      </w:r>
      <w:r>
        <w:rPr>
          <w:rStyle w:val="PageNumber1"/>
          <w:i/>
          <w:iCs/>
          <w:sz w:val="22"/>
          <w:szCs w:val="22"/>
        </w:rPr>
        <w:t>Pro Tempore</w:t>
      </w:r>
      <w:r>
        <w:rPr>
          <w:rStyle w:val="PageNumber1"/>
          <w:sz w:val="22"/>
          <w:szCs w:val="22"/>
        </w:rPr>
        <w:t xml:space="preserve"> Secretariat of the Consultative Committee of CIFTA</w:t>
      </w:r>
    </w:p>
    <w:p w14:paraId="0B6544A9" w14:textId="18CA22D5" w:rsidR="00430525" w:rsidRPr="0064656F" w:rsidRDefault="00430525" w:rsidP="0064656F"/>
    <w:sectPr w:rsidR="00430525" w:rsidRPr="0064656F" w:rsidSect="007742FC">
      <w:headerReference w:type="even" r:id="rId10"/>
      <w:headerReference w:type="default" r:id="rId11"/>
      <w:footerReference w:type="even" r:id="rId12"/>
      <w:footerReference w:type="default" r:id="rId13"/>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E2B1" w14:textId="77777777" w:rsidR="00103B12" w:rsidRDefault="00103B12">
      <w:r>
        <w:separator/>
      </w:r>
    </w:p>
  </w:endnote>
  <w:endnote w:type="continuationSeparator" w:id="0">
    <w:p w14:paraId="21292754" w14:textId="77777777" w:rsidR="00103B12" w:rsidRDefault="0010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398F" w14:textId="777777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E64F" w14:textId="77777777" w:rsidR="00743927" w:rsidRDefault="00743927" w:rsidP="0077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126D" w14:textId="52890C0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826">
      <w:rPr>
        <w:rStyle w:val="PageNumber"/>
        <w:noProof/>
      </w:rPr>
      <w:t>3</w:t>
    </w:r>
    <w:r>
      <w:rPr>
        <w:rStyle w:val="PageNumber"/>
      </w:rPr>
      <w:fldChar w:fldCharType="end"/>
    </w:r>
  </w:p>
  <w:p w14:paraId="1C6BBE76" w14:textId="77777777" w:rsidR="00743927" w:rsidRDefault="00743927" w:rsidP="007742FC">
    <w:pPr>
      <w:pStyle w:val="Footer"/>
      <w:framePr w:wrap="around" w:vAnchor="text" w:hAnchor="margin" w:xAlign="center" w:y="1"/>
      <w:ind w:right="360"/>
      <w:rPr>
        <w:rStyle w:val="PageNumber"/>
      </w:rPr>
    </w:pPr>
  </w:p>
  <w:p w14:paraId="6C7666B1" w14:textId="77777777" w:rsidR="00743927" w:rsidRDefault="007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F6B2" w14:textId="77777777" w:rsidR="00103B12" w:rsidRDefault="00103B12">
      <w:r>
        <w:separator/>
      </w:r>
    </w:p>
  </w:footnote>
  <w:footnote w:type="continuationSeparator" w:id="0">
    <w:p w14:paraId="1F56F675" w14:textId="77777777" w:rsidR="00103B12" w:rsidRDefault="00103B12">
      <w:r>
        <w:continuationSeparator/>
      </w:r>
    </w:p>
  </w:footnote>
  <w:footnote w:id="1">
    <w:p w14:paraId="584AAD6A" w14:textId="77777777" w:rsidR="0064656F" w:rsidRDefault="0064656F" w:rsidP="0064656F">
      <w:pPr>
        <w:pStyle w:val="FootnoteText"/>
        <w:ind w:left="720" w:hanging="360"/>
        <w:jc w:val="both"/>
      </w:pPr>
      <w:r>
        <w:rPr>
          <w:rStyle w:val="FootnoteReference"/>
        </w:rPr>
        <w:footnoteRef/>
      </w:r>
      <w:r>
        <w:t>.</w:t>
      </w:r>
      <w:r>
        <w:tab/>
        <w:t xml:space="preserve">The first meeting </w:t>
      </w:r>
      <w:proofErr w:type="gramStart"/>
      <w:r>
        <w:t>was held</w:t>
      </w:r>
      <w:proofErr w:type="gramEnd"/>
      <w:r>
        <w:t xml:space="preserve"> November 5 to 7, 2019 at the Ministry of Foreign Affairs, and drew participation from representatives of Belize, Costa Rica, Cuba, El Salvador, Guatemala, Honduras, Mexico, Nicaragua, Panama, and Dominican Republic.</w:t>
      </w:r>
    </w:p>
    <w:p w14:paraId="43EB9ABE" w14:textId="77777777" w:rsidR="0064656F" w:rsidRDefault="0064656F" w:rsidP="0064656F">
      <w:pPr>
        <w:pStyle w:val="FootnoteText"/>
        <w:ind w:left="720" w:hanging="360"/>
        <w:jc w:val="both"/>
      </w:pPr>
      <w:r>
        <w:br/>
        <w:t xml:space="preserve">Later on, from November 13 to 15, the second edition was held at Hotel Fiesta Americana </w:t>
      </w:r>
      <w:proofErr w:type="spellStart"/>
      <w:r>
        <w:t>Reforma</w:t>
      </w:r>
      <w:proofErr w:type="spellEnd"/>
      <w:r>
        <w:t>, with representatives from Argentina, Brazil, Chile, Colombia, Ecuador, Guyana, Mexico, Peru, Paraguay, Uruguay, and Venezuela participating.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1233" w14:textId="77777777" w:rsidR="00743927" w:rsidRPr="005079FE" w:rsidRDefault="00743927" w:rsidP="003652E9">
    <w:pPr>
      <w:pStyle w:val="Header"/>
      <w:framePr w:wrap="around" w:vAnchor="text" w:hAnchor="margin" w:xAlign="center" w:y="1"/>
      <w:rPr>
        <w:rStyle w:val="PageNumber"/>
        <w:sz w:val="22"/>
        <w:szCs w:val="22"/>
      </w:rPr>
    </w:pPr>
    <w:r w:rsidRPr="005079FE">
      <w:rPr>
        <w:rStyle w:val="PageNumber"/>
        <w:sz w:val="22"/>
        <w:szCs w:val="22"/>
      </w:rPr>
      <w:fldChar w:fldCharType="begin"/>
    </w:r>
    <w:r w:rsidRPr="005079FE">
      <w:rPr>
        <w:rStyle w:val="PageNumber"/>
        <w:sz w:val="22"/>
        <w:szCs w:val="22"/>
      </w:rPr>
      <w:instrText xml:space="preserve">PAGE  </w:instrText>
    </w:r>
    <w:r w:rsidRPr="005079FE">
      <w:rPr>
        <w:rStyle w:val="PageNumber"/>
        <w:sz w:val="22"/>
        <w:szCs w:val="22"/>
      </w:rPr>
      <w:fldChar w:fldCharType="separate"/>
    </w:r>
    <w:r>
      <w:rPr>
        <w:rStyle w:val="PageNumber"/>
        <w:noProof/>
        <w:sz w:val="22"/>
        <w:szCs w:val="22"/>
      </w:rPr>
      <w:t>- 4 -</w:t>
    </w:r>
    <w:r w:rsidRPr="005079FE">
      <w:rPr>
        <w:rStyle w:val="PageNumber"/>
        <w:sz w:val="22"/>
        <w:szCs w:val="22"/>
      </w:rPr>
      <w:fldChar w:fldCharType="end"/>
    </w:r>
  </w:p>
  <w:p w14:paraId="77B00777" w14:textId="77777777" w:rsidR="00743927" w:rsidRDefault="007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8E24" w14:textId="77777777" w:rsidR="00743927" w:rsidRPr="0094193A" w:rsidRDefault="00743927" w:rsidP="003652E9">
    <w:pPr>
      <w:pStyle w:val="Header"/>
      <w:framePr w:wrap="around" w:vAnchor="text" w:hAnchor="margin" w:xAlign="center" w:y="1"/>
      <w:rPr>
        <w:rStyle w:val="PageNumber"/>
        <w:sz w:val="22"/>
        <w:szCs w:val="22"/>
      </w:rPr>
    </w:pPr>
  </w:p>
  <w:p w14:paraId="5912D2BE" w14:textId="77777777" w:rsidR="00743927" w:rsidRDefault="007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A528A"/>
    <w:multiLevelType w:val="multilevel"/>
    <w:tmpl w:val="12C22026"/>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rPr>
        <w:b/>
        <w:color w:val="000080"/>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low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C8D"/>
    <w:multiLevelType w:val="hybridMultilevel"/>
    <w:tmpl w:val="1496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138E1"/>
    <w:multiLevelType w:val="hybridMultilevel"/>
    <w:tmpl w:val="5A3AD338"/>
    <w:lvl w:ilvl="0" w:tplc="A8DECE2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4E82"/>
    <w:multiLevelType w:val="hybridMultilevel"/>
    <w:tmpl w:val="0E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A4371"/>
    <w:multiLevelType w:val="hybridMultilevel"/>
    <w:tmpl w:val="19CAAE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2B472D2"/>
    <w:multiLevelType w:val="hybridMultilevel"/>
    <w:tmpl w:val="79A2B52E"/>
    <w:lvl w:ilvl="0" w:tplc="4AB6B3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4252BFA"/>
    <w:multiLevelType w:val="hybridMultilevel"/>
    <w:tmpl w:val="76AE70D8"/>
    <w:lvl w:ilvl="0" w:tplc="705CE442">
      <w:start w:val="2"/>
      <w:numFmt w:val="lowerLetter"/>
      <w:lvlText w:val="%1.)"/>
      <w:lvlJc w:val="left"/>
      <w:pPr>
        <w:tabs>
          <w:tab w:val="num" w:pos="720"/>
        </w:tabs>
        <w:ind w:left="720" w:hanging="360"/>
      </w:pPr>
      <w:rPr>
        <w:rFonts w:hint="default"/>
      </w:rPr>
    </w:lvl>
    <w:lvl w:ilvl="1" w:tplc="89E0F1F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35C283C">
      <w:start w:val="2"/>
      <w:numFmt w:val="lowerLetter"/>
      <w:lvlText w:val="%4."/>
      <w:lvlJc w:val="left"/>
      <w:pPr>
        <w:tabs>
          <w:tab w:val="num" w:pos="3420"/>
        </w:tabs>
        <w:ind w:left="34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C622A8"/>
    <w:multiLevelType w:val="hybridMultilevel"/>
    <w:tmpl w:val="8B7814BE"/>
    <w:lvl w:ilvl="0" w:tplc="290E5512">
      <w:start w:val="1"/>
      <w:numFmt w:val="bullet"/>
      <w:lvlText w:val="•"/>
      <w:lvlJc w:val="left"/>
      <w:pPr>
        <w:tabs>
          <w:tab w:val="num" w:pos="720"/>
        </w:tabs>
        <w:ind w:left="720" w:hanging="360"/>
      </w:pPr>
      <w:rPr>
        <w:rFonts w:ascii="Arial" w:hAnsi="Arial" w:hint="default"/>
      </w:rPr>
    </w:lvl>
    <w:lvl w:ilvl="1" w:tplc="F5EE69E6" w:tentative="1">
      <w:start w:val="1"/>
      <w:numFmt w:val="bullet"/>
      <w:lvlText w:val="•"/>
      <w:lvlJc w:val="left"/>
      <w:pPr>
        <w:tabs>
          <w:tab w:val="num" w:pos="1440"/>
        </w:tabs>
        <w:ind w:left="1440" w:hanging="360"/>
      </w:pPr>
      <w:rPr>
        <w:rFonts w:ascii="Arial" w:hAnsi="Arial" w:hint="default"/>
      </w:rPr>
    </w:lvl>
    <w:lvl w:ilvl="2" w:tplc="160C1D78" w:tentative="1">
      <w:start w:val="1"/>
      <w:numFmt w:val="bullet"/>
      <w:lvlText w:val="•"/>
      <w:lvlJc w:val="left"/>
      <w:pPr>
        <w:tabs>
          <w:tab w:val="num" w:pos="2160"/>
        </w:tabs>
        <w:ind w:left="2160" w:hanging="360"/>
      </w:pPr>
      <w:rPr>
        <w:rFonts w:ascii="Arial" w:hAnsi="Arial" w:hint="default"/>
      </w:rPr>
    </w:lvl>
    <w:lvl w:ilvl="3" w:tplc="094E4634" w:tentative="1">
      <w:start w:val="1"/>
      <w:numFmt w:val="bullet"/>
      <w:lvlText w:val="•"/>
      <w:lvlJc w:val="left"/>
      <w:pPr>
        <w:tabs>
          <w:tab w:val="num" w:pos="2880"/>
        </w:tabs>
        <w:ind w:left="2880" w:hanging="360"/>
      </w:pPr>
      <w:rPr>
        <w:rFonts w:ascii="Arial" w:hAnsi="Arial" w:hint="default"/>
      </w:rPr>
    </w:lvl>
    <w:lvl w:ilvl="4" w:tplc="85B01E12" w:tentative="1">
      <w:start w:val="1"/>
      <w:numFmt w:val="bullet"/>
      <w:lvlText w:val="•"/>
      <w:lvlJc w:val="left"/>
      <w:pPr>
        <w:tabs>
          <w:tab w:val="num" w:pos="3600"/>
        </w:tabs>
        <w:ind w:left="3600" w:hanging="360"/>
      </w:pPr>
      <w:rPr>
        <w:rFonts w:ascii="Arial" w:hAnsi="Arial" w:hint="default"/>
      </w:rPr>
    </w:lvl>
    <w:lvl w:ilvl="5" w:tplc="EA22D380" w:tentative="1">
      <w:start w:val="1"/>
      <w:numFmt w:val="bullet"/>
      <w:lvlText w:val="•"/>
      <w:lvlJc w:val="left"/>
      <w:pPr>
        <w:tabs>
          <w:tab w:val="num" w:pos="4320"/>
        </w:tabs>
        <w:ind w:left="4320" w:hanging="360"/>
      </w:pPr>
      <w:rPr>
        <w:rFonts w:ascii="Arial" w:hAnsi="Arial" w:hint="default"/>
      </w:rPr>
    </w:lvl>
    <w:lvl w:ilvl="6" w:tplc="89342B04" w:tentative="1">
      <w:start w:val="1"/>
      <w:numFmt w:val="bullet"/>
      <w:lvlText w:val="•"/>
      <w:lvlJc w:val="left"/>
      <w:pPr>
        <w:tabs>
          <w:tab w:val="num" w:pos="5040"/>
        </w:tabs>
        <w:ind w:left="5040" w:hanging="360"/>
      </w:pPr>
      <w:rPr>
        <w:rFonts w:ascii="Arial" w:hAnsi="Arial" w:hint="default"/>
      </w:rPr>
    </w:lvl>
    <w:lvl w:ilvl="7" w:tplc="BC4E8A26" w:tentative="1">
      <w:start w:val="1"/>
      <w:numFmt w:val="bullet"/>
      <w:lvlText w:val="•"/>
      <w:lvlJc w:val="left"/>
      <w:pPr>
        <w:tabs>
          <w:tab w:val="num" w:pos="5760"/>
        </w:tabs>
        <w:ind w:left="5760" w:hanging="360"/>
      </w:pPr>
      <w:rPr>
        <w:rFonts w:ascii="Arial" w:hAnsi="Arial" w:hint="default"/>
      </w:rPr>
    </w:lvl>
    <w:lvl w:ilvl="8" w:tplc="4614C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8B64A7"/>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8425C"/>
    <w:multiLevelType w:val="hybridMultilevel"/>
    <w:tmpl w:val="DC648C2A"/>
    <w:lvl w:ilvl="0" w:tplc="4CDAA3F8">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4CDAA3F8">
      <w:start w:val="1"/>
      <w:numFmt w:val="bullet"/>
      <w:lvlText w:val=""/>
      <w:lvlJc w:val="left"/>
      <w:pPr>
        <w:tabs>
          <w:tab w:val="num" w:pos="6480"/>
        </w:tabs>
        <w:ind w:left="6480" w:hanging="360"/>
      </w:pPr>
      <w:rPr>
        <w:rFonts w:ascii="Symbol" w:hAnsi="Symbol"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FF64BE1"/>
    <w:multiLevelType w:val="hybridMultilevel"/>
    <w:tmpl w:val="6B1233F4"/>
    <w:lvl w:ilvl="0" w:tplc="27F085FA">
      <w:numFmt w:val="bullet"/>
      <w:lvlText w:val=""/>
      <w:lvlJc w:val="left"/>
      <w:pPr>
        <w:ind w:left="1080" w:hanging="72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268BD"/>
    <w:multiLevelType w:val="hybridMultilevel"/>
    <w:tmpl w:val="B1524184"/>
    <w:styleLink w:val="ImportedStyle2"/>
    <w:lvl w:ilvl="0" w:tplc="AEF0A6FC">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22AB56">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4E8BFE6">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DC5FE6">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DDF4">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C244">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9938">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AEB2">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09E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2F7AF4"/>
    <w:multiLevelType w:val="hybridMultilevel"/>
    <w:tmpl w:val="E3CA5098"/>
    <w:lvl w:ilvl="0" w:tplc="E1C4DD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F02E6"/>
    <w:multiLevelType w:val="hybridMultilevel"/>
    <w:tmpl w:val="3004725C"/>
    <w:lvl w:ilvl="0" w:tplc="F71A6D2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0C53C0C"/>
    <w:multiLevelType w:val="hybridMultilevel"/>
    <w:tmpl w:val="B1524184"/>
    <w:numStyleLink w:val="ImportedStyle2"/>
  </w:abstractNum>
  <w:abstractNum w:abstractNumId="23"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872859"/>
    <w:multiLevelType w:val="hybridMultilevel"/>
    <w:tmpl w:val="991C581E"/>
    <w:lvl w:ilvl="0" w:tplc="7F204FF2">
      <w:start w:val="1"/>
      <w:numFmt w:val="decimal"/>
      <w:lvlText w:val="%1."/>
      <w:lvlJc w:val="left"/>
      <w:pPr>
        <w:tabs>
          <w:tab w:val="num" w:pos="720"/>
        </w:tabs>
        <w:ind w:left="720" w:hanging="360"/>
      </w:pPr>
      <w:rPr>
        <w:lang w:val="es-AR"/>
      </w:rPr>
    </w:lvl>
    <w:lvl w:ilvl="1" w:tplc="C9D8F6CE">
      <w:start w:val="1"/>
      <w:numFmt w:val="lowerLetter"/>
      <w:lvlText w:val="%2)"/>
      <w:lvlJc w:val="left"/>
      <w:pPr>
        <w:tabs>
          <w:tab w:val="num" w:pos="1440"/>
        </w:tabs>
        <w:ind w:left="1440" w:hanging="360"/>
      </w:pPr>
      <w:rPr>
        <w:b/>
        <w:color w:val="000000"/>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262E303E">
      <w:start w:val="1"/>
      <w:numFmt w:val="low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7054CFA"/>
    <w:multiLevelType w:val="hybridMultilevel"/>
    <w:tmpl w:val="4D90065A"/>
    <w:lvl w:ilvl="0" w:tplc="8B1661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2F7191"/>
    <w:multiLevelType w:val="hybridMultilevel"/>
    <w:tmpl w:val="2DDEEBF0"/>
    <w:lvl w:ilvl="0" w:tplc="E41C8F2E">
      <w:start w:val="2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9"/>
  </w:num>
  <w:num w:numId="3">
    <w:abstractNumId w:val="28"/>
  </w:num>
  <w:num w:numId="4">
    <w:abstractNumId w:val="25"/>
  </w:num>
  <w:num w:numId="5">
    <w:abstractNumId w:val="14"/>
  </w:num>
  <w:num w:numId="6">
    <w:abstractNumId w:val="24"/>
  </w:num>
  <w:num w:numId="7">
    <w:abstractNumId w:val="20"/>
  </w:num>
  <w:num w:numId="8">
    <w:abstractNumId w:val="2"/>
  </w:num>
  <w:num w:numId="9">
    <w:abstractNumId w:val="23"/>
  </w:num>
  <w:num w:numId="10">
    <w:abstractNumId w:val="12"/>
  </w:num>
  <w:num w:numId="11">
    <w:abstractNumId w:val="0"/>
  </w:num>
  <w:num w:numId="1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6"/>
  </w:num>
  <w:num w:numId="16">
    <w:abstractNumId w:val="15"/>
  </w:num>
  <w:num w:numId="17">
    <w:abstractNumId w:val="8"/>
  </w:num>
  <w:num w:numId="18">
    <w:abstractNumId w:val="7"/>
  </w:num>
  <w:num w:numId="19">
    <w:abstractNumId w:val="26"/>
  </w:num>
  <w:num w:numId="20">
    <w:abstractNumId w:val="1"/>
  </w:num>
  <w:num w:numId="21">
    <w:abstractNumId w:val="18"/>
  </w:num>
  <w:num w:numId="22">
    <w:abstractNumId w:val="11"/>
  </w:num>
  <w:num w:numId="23">
    <w:abstractNumId w:val="9"/>
  </w:num>
  <w:num w:numId="24">
    <w:abstractNumId w:val="27"/>
  </w:num>
  <w:num w:numId="25">
    <w:abstractNumId w:val="3"/>
  </w:num>
  <w:num w:numId="26">
    <w:abstractNumId w:val="4"/>
  </w:num>
  <w:num w:numId="27">
    <w:abstractNumId w:val="17"/>
  </w:num>
  <w:num w:numId="28">
    <w:abstractNumId w:val="22"/>
  </w:num>
  <w:num w:numId="29">
    <w:abstractNumId w:val="5"/>
  </w:num>
  <w:num w:numId="30">
    <w:abstractNumId w:val="16"/>
  </w:num>
  <w:num w:numId="3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6"/>
    <w:rsid w:val="00021985"/>
    <w:rsid w:val="0004548E"/>
    <w:rsid w:val="0006778D"/>
    <w:rsid w:val="00074CBB"/>
    <w:rsid w:val="00087E44"/>
    <w:rsid w:val="000975A2"/>
    <w:rsid w:val="000A1274"/>
    <w:rsid w:val="000A2095"/>
    <w:rsid w:val="000A5B49"/>
    <w:rsid w:val="000B357D"/>
    <w:rsid w:val="000D1B4D"/>
    <w:rsid w:val="000D263C"/>
    <w:rsid w:val="000D2643"/>
    <w:rsid w:val="000D3F08"/>
    <w:rsid w:val="000F0C87"/>
    <w:rsid w:val="000F797A"/>
    <w:rsid w:val="00102AC2"/>
    <w:rsid w:val="00103B12"/>
    <w:rsid w:val="00147000"/>
    <w:rsid w:val="0018748E"/>
    <w:rsid w:val="0019104A"/>
    <w:rsid w:val="001B0551"/>
    <w:rsid w:val="001B74D7"/>
    <w:rsid w:val="001D1222"/>
    <w:rsid w:val="001D2D91"/>
    <w:rsid w:val="001D467F"/>
    <w:rsid w:val="001F7975"/>
    <w:rsid w:val="00204277"/>
    <w:rsid w:val="00207709"/>
    <w:rsid w:val="00232256"/>
    <w:rsid w:val="00234770"/>
    <w:rsid w:val="00280F06"/>
    <w:rsid w:val="002819B4"/>
    <w:rsid w:val="002B0450"/>
    <w:rsid w:val="002B614C"/>
    <w:rsid w:val="002C1519"/>
    <w:rsid w:val="002C5C19"/>
    <w:rsid w:val="002C6E73"/>
    <w:rsid w:val="002F18DF"/>
    <w:rsid w:val="002F2EDB"/>
    <w:rsid w:val="00313B46"/>
    <w:rsid w:val="0031650C"/>
    <w:rsid w:val="003178AA"/>
    <w:rsid w:val="003238D2"/>
    <w:rsid w:val="003251EC"/>
    <w:rsid w:val="00327A93"/>
    <w:rsid w:val="00331570"/>
    <w:rsid w:val="00331844"/>
    <w:rsid w:val="003334F8"/>
    <w:rsid w:val="003342AC"/>
    <w:rsid w:val="00346F5C"/>
    <w:rsid w:val="00351912"/>
    <w:rsid w:val="00352D93"/>
    <w:rsid w:val="0035383F"/>
    <w:rsid w:val="00354D20"/>
    <w:rsid w:val="0035780A"/>
    <w:rsid w:val="003601F3"/>
    <w:rsid w:val="0036042E"/>
    <w:rsid w:val="003652E9"/>
    <w:rsid w:val="00365545"/>
    <w:rsid w:val="003667B4"/>
    <w:rsid w:val="003827F8"/>
    <w:rsid w:val="00383AD7"/>
    <w:rsid w:val="00391A8F"/>
    <w:rsid w:val="00394BA4"/>
    <w:rsid w:val="003A6F03"/>
    <w:rsid w:val="003B0684"/>
    <w:rsid w:val="003B72DD"/>
    <w:rsid w:val="003D2CDD"/>
    <w:rsid w:val="003D3F36"/>
    <w:rsid w:val="003D5812"/>
    <w:rsid w:val="003E0421"/>
    <w:rsid w:val="003E21FF"/>
    <w:rsid w:val="003E5BFB"/>
    <w:rsid w:val="003E6E67"/>
    <w:rsid w:val="0041133A"/>
    <w:rsid w:val="00411C77"/>
    <w:rsid w:val="00417320"/>
    <w:rsid w:val="00430525"/>
    <w:rsid w:val="00430B70"/>
    <w:rsid w:val="004472EF"/>
    <w:rsid w:val="004504CF"/>
    <w:rsid w:val="00460B5A"/>
    <w:rsid w:val="00464A88"/>
    <w:rsid w:val="0048561F"/>
    <w:rsid w:val="00485629"/>
    <w:rsid w:val="00496450"/>
    <w:rsid w:val="004A149B"/>
    <w:rsid w:val="004C071E"/>
    <w:rsid w:val="004C16D1"/>
    <w:rsid w:val="004D3DC2"/>
    <w:rsid w:val="004F01F7"/>
    <w:rsid w:val="004F0855"/>
    <w:rsid w:val="00500C26"/>
    <w:rsid w:val="00536EE3"/>
    <w:rsid w:val="00545ABF"/>
    <w:rsid w:val="0057084D"/>
    <w:rsid w:val="00571ECC"/>
    <w:rsid w:val="00574C4A"/>
    <w:rsid w:val="00580E86"/>
    <w:rsid w:val="00584E96"/>
    <w:rsid w:val="00592A49"/>
    <w:rsid w:val="00592FEC"/>
    <w:rsid w:val="005938B5"/>
    <w:rsid w:val="005C0CC7"/>
    <w:rsid w:val="00623FB2"/>
    <w:rsid w:val="00624704"/>
    <w:rsid w:val="00626804"/>
    <w:rsid w:val="0064656F"/>
    <w:rsid w:val="00656C4C"/>
    <w:rsid w:val="00692DE7"/>
    <w:rsid w:val="006A65A2"/>
    <w:rsid w:val="006B2BCA"/>
    <w:rsid w:val="007011DD"/>
    <w:rsid w:val="00702106"/>
    <w:rsid w:val="00710E7D"/>
    <w:rsid w:val="00722DB6"/>
    <w:rsid w:val="00727508"/>
    <w:rsid w:val="00743927"/>
    <w:rsid w:val="007634E5"/>
    <w:rsid w:val="007742FC"/>
    <w:rsid w:val="007757EF"/>
    <w:rsid w:val="0078715A"/>
    <w:rsid w:val="007A3DB3"/>
    <w:rsid w:val="007A59E9"/>
    <w:rsid w:val="007B0F96"/>
    <w:rsid w:val="007C42DA"/>
    <w:rsid w:val="007E02CE"/>
    <w:rsid w:val="007F0775"/>
    <w:rsid w:val="007F1EFF"/>
    <w:rsid w:val="008000F7"/>
    <w:rsid w:val="00800C2E"/>
    <w:rsid w:val="0080620E"/>
    <w:rsid w:val="0081323F"/>
    <w:rsid w:val="0083032D"/>
    <w:rsid w:val="0083051F"/>
    <w:rsid w:val="0084221F"/>
    <w:rsid w:val="00843826"/>
    <w:rsid w:val="00847546"/>
    <w:rsid w:val="0086674D"/>
    <w:rsid w:val="00875371"/>
    <w:rsid w:val="0087762A"/>
    <w:rsid w:val="008D1406"/>
    <w:rsid w:val="008D5935"/>
    <w:rsid w:val="008D6FCA"/>
    <w:rsid w:val="008F0D9F"/>
    <w:rsid w:val="00900297"/>
    <w:rsid w:val="009143CA"/>
    <w:rsid w:val="00922C91"/>
    <w:rsid w:val="009547F1"/>
    <w:rsid w:val="00961F83"/>
    <w:rsid w:val="00985345"/>
    <w:rsid w:val="00990A33"/>
    <w:rsid w:val="009938ED"/>
    <w:rsid w:val="00995CB7"/>
    <w:rsid w:val="009A4040"/>
    <w:rsid w:val="009B3764"/>
    <w:rsid w:val="009C289A"/>
    <w:rsid w:val="009F455B"/>
    <w:rsid w:val="00A02D2B"/>
    <w:rsid w:val="00A02DD0"/>
    <w:rsid w:val="00A1462C"/>
    <w:rsid w:val="00A16468"/>
    <w:rsid w:val="00A24D5B"/>
    <w:rsid w:val="00A4118A"/>
    <w:rsid w:val="00A41698"/>
    <w:rsid w:val="00A4417C"/>
    <w:rsid w:val="00A81571"/>
    <w:rsid w:val="00A82BBC"/>
    <w:rsid w:val="00A872D0"/>
    <w:rsid w:val="00A87EDD"/>
    <w:rsid w:val="00AA3E78"/>
    <w:rsid w:val="00AD02D9"/>
    <w:rsid w:val="00AD29BA"/>
    <w:rsid w:val="00B10299"/>
    <w:rsid w:val="00B332CD"/>
    <w:rsid w:val="00B33734"/>
    <w:rsid w:val="00B53A5C"/>
    <w:rsid w:val="00B60981"/>
    <w:rsid w:val="00B66AE1"/>
    <w:rsid w:val="00B6701E"/>
    <w:rsid w:val="00B674AB"/>
    <w:rsid w:val="00B84E8F"/>
    <w:rsid w:val="00B85B24"/>
    <w:rsid w:val="00B933B2"/>
    <w:rsid w:val="00BC1211"/>
    <w:rsid w:val="00BE234D"/>
    <w:rsid w:val="00BE7DB2"/>
    <w:rsid w:val="00C019E9"/>
    <w:rsid w:val="00C101D3"/>
    <w:rsid w:val="00C5067C"/>
    <w:rsid w:val="00C50FF6"/>
    <w:rsid w:val="00C73153"/>
    <w:rsid w:val="00C926D1"/>
    <w:rsid w:val="00CA6902"/>
    <w:rsid w:val="00CB3504"/>
    <w:rsid w:val="00CB6214"/>
    <w:rsid w:val="00CC6E49"/>
    <w:rsid w:val="00CE271D"/>
    <w:rsid w:val="00D01A92"/>
    <w:rsid w:val="00D06542"/>
    <w:rsid w:val="00D20712"/>
    <w:rsid w:val="00D57059"/>
    <w:rsid w:val="00D57E94"/>
    <w:rsid w:val="00D670F9"/>
    <w:rsid w:val="00D7557E"/>
    <w:rsid w:val="00D82B07"/>
    <w:rsid w:val="00DA2603"/>
    <w:rsid w:val="00DB7D33"/>
    <w:rsid w:val="00DC7D8C"/>
    <w:rsid w:val="00DD087B"/>
    <w:rsid w:val="00DE7ABF"/>
    <w:rsid w:val="00DF4098"/>
    <w:rsid w:val="00E04ACD"/>
    <w:rsid w:val="00E0532A"/>
    <w:rsid w:val="00E05AE7"/>
    <w:rsid w:val="00E2436F"/>
    <w:rsid w:val="00E512DF"/>
    <w:rsid w:val="00E801BF"/>
    <w:rsid w:val="00E910B3"/>
    <w:rsid w:val="00E91D83"/>
    <w:rsid w:val="00E9653B"/>
    <w:rsid w:val="00EA50B1"/>
    <w:rsid w:val="00EA786D"/>
    <w:rsid w:val="00EB2A2C"/>
    <w:rsid w:val="00EC35DD"/>
    <w:rsid w:val="00F072DF"/>
    <w:rsid w:val="00F1256B"/>
    <w:rsid w:val="00F22AEC"/>
    <w:rsid w:val="00F26772"/>
    <w:rsid w:val="00F52FF3"/>
    <w:rsid w:val="00F86451"/>
    <w:rsid w:val="00FA28E8"/>
    <w:rsid w:val="00FA3E90"/>
    <w:rsid w:val="00FC193C"/>
    <w:rsid w:val="00FC1CEC"/>
    <w:rsid w:val="00FE4573"/>
    <w:rsid w:val="00FF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340C7D"/>
  <w15:chartTrackingRefBased/>
  <w15:docId w15:val="{4EBAEBE4-2D51-4E3C-A88F-932CC37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06"/>
    <w:rPr>
      <w:lang w:val="en-US" w:eastAsia="en-US"/>
    </w:rPr>
  </w:style>
  <w:style w:type="paragraph" w:styleId="Heading1">
    <w:name w:val="heading 1"/>
    <w:basedOn w:val="Normal"/>
    <w:next w:val="Normal"/>
    <w:link w:val="Heading1Char"/>
    <w:qFormat/>
    <w:rsid w:val="00280F06"/>
    <w:pPr>
      <w:keepNext/>
      <w:outlineLvl w:val="0"/>
    </w:pPr>
    <w:rPr>
      <w:sz w:val="24"/>
      <w:u w:val="single"/>
    </w:rPr>
  </w:style>
  <w:style w:type="paragraph" w:styleId="Heading2">
    <w:name w:val="heading 2"/>
    <w:basedOn w:val="Normal"/>
    <w:next w:val="Normal"/>
    <w:qFormat/>
    <w:rsid w:val="00280F06"/>
    <w:pPr>
      <w:keepNext/>
      <w:outlineLvl w:val="1"/>
    </w:pPr>
    <w:rPr>
      <w:b/>
      <w:sz w:val="24"/>
      <w:u w:val="single"/>
    </w:rPr>
  </w:style>
  <w:style w:type="paragraph" w:styleId="Heading3">
    <w:name w:val="heading 3"/>
    <w:basedOn w:val="Normal"/>
    <w:next w:val="Normal"/>
    <w:link w:val="Heading3Char"/>
    <w:qFormat/>
    <w:rsid w:val="00280F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F06"/>
    <w:pPr>
      <w:jc w:val="center"/>
    </w:pPr>
    <w:rPr>
      <w:sz w:val="24"/>
    </w:rPr>
  </w:style>
  <w:style w:type="paragraph" w:styleId="BodyText">
    <w:name w:val="Body Text"/>
    <w:basedOn w:val="Normal"/>
    <w:link w:val="BodyTextChar"/>
    <w:uiPriority w:val="99"/>
    <w:rsid w:val="00280F06"/>
    <w:pPr>
      <w:jc w:val="center"/>
    </w:pPr>
    <w:rPr>
      <w:b/>
      <w:sz w:val="24"/>
    </w:rPr>
  </w:style>
  <w:style w:type="character" w:styleId="Hyperlink">
    <w:name w:val="Hyperlink"/>
    <w:rsid w:val="00280F06"/>
    <w:rPr>
      <w:color w:val="0000FF"/>
      <w:u w:val="single"/>
    </w:rPr>
  </w:style>
  <w:style w:type="paragraph" w:styleId="FootnoteText">
    <w:name w:val="footnote text"/>
    <w:basedOn w:val="Normal"/>
    <w:link w:val="FootnoteTextChar"/>
    <w:uiPriority w:val="99"/>
    <w:semiHidden/>
    <w:rsid w:val="00280F06"/>
  </w:style>
  <w:style w:type="paragraph" w:styleId="Footer">
    <w:name w:val="footer"/>
    <w:basedOn w:val="Normal"/>
    <w:rsid w:val="00280F06"/>
    <w:pPr>
      <w:tabs>
        <w:tab w:val="center" w:pos="4320"/>
        <w:tab w:val="right" w:pos="8640"/>
      </w:tabs>
    </w:pPr>
  </w:style>
  <w:style w:type="character" w:styleId="PageNumber">
    <w:name w:val="page number"/>
    <w:basedOn w:val="DefaultParagraphFont"/>
    <w:rsid w:val="00280F06"/>
  </w:style>
  <w:style w:type="paragraph" w:styleId="Header">
    <w:name w:val="header"/>
    <w:basedOn w:val="Normal"/>
    <w:rsid w:val="00280F06"/>
    <w:pPr>
      <w:tabs>
        <w:tab w:val="center" w:pos="4320"/>
        <w:tab w:val="right" w:pos="8640"/>
      </w:tabs>
    </w:pPr>
  </w:style>
  <w:style w:type="paragraph" w:styleId="BodyTextIndent">
    <w:name w:val="Body Text Indent"/>
    <w:basedOn w:val="Normal"/>
    <w:rsid w:val="00280F06"/>
    <w:pPr>
      <w:spacing w:after="120"/>
      <w:ind w:left="360"/>
    </w:pPr>
  </w:style>
  <w:style w:type="paragraph" w:customStyle="1" w:styleId="CharCharCarCharCharChar">
    <w:name w:val="Char Char Car Char Char Char"/>
    <w:basedOn w:val="Normal"/>
    <w:next w:val="Normal"/>
    <w:rsid w:val="00280F06"/>
    <w:pPr>
      <w:spacing w:after="160" w:line="240" w:lineRule="exact"/>
    </w:pPr>
    <w:rPr>
      <w:rFonts w:ascii="Tahoma" w:hAnsi="Tahoma"/>
      <w:sz w:val="24"/>
    </w:rPr>
  </w:style>
  <w:style w:type="paragraph" w:customStyle="1" w:styleId="CharCharCar">
    <w:name w:val="Char Char Car"/>
    <w:basedOn w:val="Normal"/>
    <w:next w:val="Normal"/>
    <w:rsid w:val="00280F06"/>
    <w:pPr>
      <w:spacing w:after="160" w:line="240" w:lineRule="exact"/>
    </w:pPr>
    <w:rPr>
      <w:rFonts w:ascii="Tahoma" w:hAnsi="Tahoma"/>
      <w:sz w:val="24"/>
    </w:rPr>
  </w:style>
  <w:style w:type="character" w:styleId="CommentReference">
    <w:name w:val="annotation reference"/>
    <w:rsid w:val="00280F06"/>
    <w:rPr>
      <w:sz w:val="16"/>
      <w:szCs w:val="16"/>
    </w:rPr>
  </w:style>
  <w:style w:type="paragraph" w:styleId="CommentText">
    <w:name w:val="annotation text"/>
    <w:basedOn w:val="Normal"/>
    <w:link w:val="CommentTextChar"/>
    <w:rsid w:val="00280F06"/>
  </w:style>
  <w:style w:type="character" w:customStyle="1" w:styleId="CommentTextChar">
    <w:name w:val="Comment Text Char"/>
    <w:link w:val="CommentText"/>
    <w:rsid w:val="00280F06"/>
    <w:rPr>
      <w:lang w:val="en-US" w:eastAsia="en-US" w:bidi="ar-SA"/>
    </w:rPr>
  </w:style>
  <w:style w:type="paragraph" w:styleId="CommentSubject">
    <w:name w:val="annotation subject"/>
    <w:basedOn w:val="CommentText"/>
    <w:next w:val="CommentText"/>
    <w:link w:val="CommentSubjectChar"/>
    <w:rsid w:val="00280F06"/>
    <w:rPr>
      <w:b/>
      <w:bCs/>
    </w:rPr>
  </w:style>
  <w:style w:type="character" w:customStyle="1" w:styleId="CommentSubjectChar">
    <w:name w:val="Comment Subject Char"/>
    <w:link w:val="CommentSubject"/>
    <w:rsid w:val="00280F06"/>
    <w:rPr>
      <w:b/>
      <w:bCs/>
      <w:lang w:val="en-US" w:eastAsia="en-US" w:bidi="ar-SA"/>
    </w:rPr>
  </w:style>
  <w:style w:type="paragraph" w:styleId="ListParagraph">
    <w:name w:val="List Paragraph"/>
    <w:basedOn w:val="Normal"/>
    <w:uiPriority w:val="99"/>
    <w:qFormat/>
    <w:rsid w:val="00280F06"/>
    <w:pPr>
      <w:ind w:left="720"/>
    </w:pPr>
  </w:style>
  <w:style w:type="paragraph" w:styleId="NormalWeb">
    <w:name w:val="Normal (Web)"/>
    <w:basedOn w:val="Normal"/>
    <w:uiPriority w:val="99"/>
    <w:unhideWhenUsed/>
    <w:rsid w:val="00280F06"/>
    <w:pPr>
      <w:spacing w:before="100" w:beforeAutospacing="1" w:after="100" w:afterAutospacing="1"/>
    </w:pPr>
    <w:rPr>
      <w:rFonts w:ascii="Times" w:hAnsi="Times"/>
    </w:rPr>
  </w:style>
  <w:style w:type="character" w:styleId="FollowedHyperlink">
    <w:name w:val="FollowedHyperlink"/>
    <w:rsid w:val="00280F06"/>
    <w:rPr>
      <w:color w:val="800080"/>
      <w:u w:val="single"/>
    </w:rPr>
  </w:style>
  <w:style w:type="character" w:customStyle="1" w:styleId="contenido1">
    <w:name w:val="contenido1"/>
    <w:rsid w:val="00990A33"/>
    <w:rPr>
      <w:rFonts w:ascii="Verdana" w:hAnsi="Verdana" w:hint="default"/>
      <w:color w:val="333333"/>
      <w:sz w:val="17"/>
      <w:szCs w:val="17"/>
    </w:rPr>
  </w:style>
  <w:style w:type="character" w:customStyle="1" w:styleId="Heading3Char">
    <w:name w:val="Heading 3 Char"/>
    <w:link w:val="Heading3"/>
    <w:semiHidden/>
    <w:locked/>
    <w:rsid w:val="0041133A"/>
    <w:rPr>
      <w:rFonts w:ascii="Arial" w:hAnsi="Arial" w:cs="Arial"/>
      <w:b/>
      <w:bCs/>
      <w:sz w:val="26"/>
      <w:szCs w:val="26"/>
      <w:lang w:val="en-US" w:eastAsia="en-US" w:bidi="ar-SA"/>
    </w:rPr>
  </w:style>
  <w:style w:type="character" w:customStyle="1" w:styleId="PageNumber1">
    <w:name w:val="Page Number1"/>
    <w:rsid w:val="0035780A"/>
  </w:style>
  <w:style w:type="paragraph" w:customStyle="1" w:styleId="Heading31">
    <w:name w:val="Heading 31"/>
    <w:next w:val="Normal"/>
    <w:rsid w:val="0035780A"/>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Arial" w:eastAsia="Arial Unicode MS" w:hAnsi="Arial" w:cs="Arial Unicode MS"/>
      <w:b/>
      <w:bCs/>
      <w:color w:val="000000"/>
      <w:sz w:val="26"/>
      <w:szCs w:val="26"/>
      <w:u w:color="000000"/>
      <w:lang w:val="en-US" w:eastAsia="en-US"/>
    </w:rPr>
  </w:style>
  <w:style w:type="numbering" w:customStyle="1" w:styleId="ImportedStyle2">
    <w:name w:val="Imported Style 2"/>
    <w:rsid w:val="0035780A"/>
    <w:pPr>
      <w:numPr>
        <w:numId w:val="27"/>
      </w:numPr>
    </w:pPr>
  </w:style>
  <w:style w:type="paragraph" w:styleId="BalloonText">
    <w:name w:val="Balloon Text"/>
    <w:basedOn w:val="Normal"/>
    <w:link w:val="BalloonTextChar"/>
    <w:rsid w:val="00E05AE7"/>
    <w:rPr>
      <w:rFonts w:ascii="Segoe UI" w:hAnsi="Segoe UI" w:cs="Segoe UI"/>
      <w:sz w:val="18"/>
      <w:szCs w:val="18"/>
    </w:rPr>
  </w:style>
  <w:style w:type="character" w:customStyle="1" w:styleId="BalloonTextChar">
    <w:name w:val="Balloon Text Char"/>
    <w:link w:val="BalloonText"/>
    <w:rsid w:val="00E05AE7"/>
    <w:rPr>
      <w:rFonts w:ascii="Segoe UI" w:hAnsi="Segoe UI" w:cs="Segoe UI"/>
      <w:sz w:val="18"/>
      <w:szCs w:val="18"/>
    </w:rPr>
  </w:style>
  <w:style w:type="character" w:styleId="FootnoteReference">
    <w:name w:val="footnote reference"/>
    <w:uiPriority w:val="99"/>
    <w:rsid w:val="003601F3"/>
    <w:rPr>
      <w:vertAlign w:val="superscript"/>
    </w:rPr>
  </w:style>
  <w:style w:type="character" w:customStyle="1" w:styleId="Heading1Char">
    <w:name w:val="Heading 1 Char"/>
    <w:basedOn w:val="DefaultParagraphFont"/>
    <w:link w:val="Heading1"/>
    <w:rsid w:val="0064656F"/>
    <w:rPr>
      <w:sz w:val="24"/>
      <w:u w:val="single"/>
      <w:lang w:val="en-US" w:eastAsia="en-US"/>
    </w:rPr>
  </w:style>
  <w:style w:type="character" w:customStyle="1" w:styleId="FootnoteTextChar">
    <w:name w:val="Footnote Text Char"/>
    <w:basedOn w:val="DefaultParagraphFont"/>
    <w:link w:val="FootnoteText"/>
    <w:uiPriority w:val="99"/>
    <w:semiHidden/>
    <w:rsid w:val="0064656F"/>
    <w:rPr>
      <w:lang w:val="en-US" w:eastAsia="en-US"/>
    </w:rPr>
  </w:style>
  <w:style w:type="character" w:customStyle="1" w:styleId="BodyTextChar">
    <w:name w:val="Body Text Char"/>
    <w:basedOn w:val="DefaultParagraphFont"/>
    <w:link w:val="BodyText"/>
    <w:uiPriority w:val="99"/>
    <w:rsid w:val="0064656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9824">
      <w:bodyDiv w:val="1"/>
      <w:marLeft w:val="0"/>
      <w:marRight w:val="0"/>
      <w:marTop w:val="0"/>
      <w:marBottom w:val="0"/>
      <w:divBdr>
        <w:top w:val="none" w:sz="0" w:space="0" w:color="auto"/>
        <w:left w:val="none" w:sz="0" w:space="0" w:color="auto"/>
        <w:bottom w:val="none" w:sz="0" w:space="0" w:color="auto"/>
        <w:right w:val="none" w:sz="0" w:space="0" w:color="auto"/>
      </w:divBdr>
    </w:div>
    <w:div w:id="1071999395">
      <w:bodyDiv w:val="1"/>
      <w:marLeft w:val="0"/>
      <w:marRight w:val="0"/>
      <w:marTop w:val="0"/>
      <w:marBottom w:val="0"/>
      <w:divBdr>
        <w:top w:val="none" w:sz="0" w:space="0" w:color="auto"/>
        <w:left w:val="none" w:sz="0" w:space="0" w:color="auto"/>
        <w:bottom w:val="none" w:sz="0" w:space="0" w:color="auto"/>
        <w:right w:val="none" w:sz="0" w:space="0" w:color="auto"/>
      </w:divBdr>
      <w:divsChild>
        <w:div w:id="1246306014">
          <w:marLeft w:val="0"/>
          <w:marRight w:val="0"/>
          <w:marTop w:val="0"/>
          <w:marBottom w:val="0"/>
          <w:divBdr>
            <w:top w:val="none" w:sz="0" w:space="0" w:color="auto"/>
            <w:left w:val="none" w:sz="0" w:space="0" w:color="auto"/>
            <w:bottom w:val="none" w:sz="0" w:space="0" w:color="auto"/>
            <w:right w:val="none" w:sz="0" w:space="0" w:color="auto"/>
          </w:divBdr>
          <w:divsChild>
            <w:div w:id="114562275">
              <w:marLeft w:val="0"/>
              <w:marRight w:val="0"/>
              <w:marTop w:val="0"/>
              <w:marBottom w:val="0"/>
              <w:divBdr>
                <w:top w:val="none" w:sz="0" w:space="0" w:color="auto"/>
                <w:left w:val="none" w:sz="0" w:space="0" w:color="auto"/>
                <w:bottom w:val="none" w:sz="0" w:space="0" w:color="auto"/>
                <w:right w:val="none" w:sz="0" w:space="0" w:color="auto"/>
              </w:divBdr>
            </w:div>
            <w:div w:id="426392233">
              <w:marLeft w:val="0"/>
              <w:marRight w:val="0"/>
              <w:marTop w:val="0"/>
              <w:marBottom w:val="0"/>
              <w:divBdr>
                <w:top w:val="none" w:sz="0" w:space="0" w:color="auto"/>
                <w:left w:val="none" w:sz="0" w:space="0" w:color="auto"/>
                <w:bottom w:val="none" w:sz="0" w:space="0" w:color="auto"/>
                <w:right w:val="none" w:sz="0" w:space="0" w:color="auto"/>
              </w:divBdr>
            </w:div>
            <w:div w:id="490340446">
              <w:marLeft w:val="0"/>
              <w:marRight w:val="0"/>
              <w:marTop w:val="0"/>
              <w:marBottom w:val="0"/>
              <w:divBdr>
                <w:top w:val="none" w:sz="0" w:space="0" w:color="auto"/>
                <w:left w:val="none" w:sz="0" w:space="0" w:color="auto"/>
                <w:bottom w:val="none" w:sz="0" w:space="0" w:color="auto"/>
                <w:right w:val="none" w:sz="0" w:space="0" w:color="auto"/>
              </w:divBdr>
            </w:div>
            <w:div w:id="56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152">
      <w:bodyDiv w:val="1"/>
      <w:marLeft w:val="0"/>
      <w:marRight w:val="0"/>
      <w:marTop w:val="0"/>
      <w:marBottom w:val="0"/>
      <w:divBdr>
        <w:top w:val="none" w:sz="0" w:space="0" w:color="auto"/>
        <w:left w:val="none" w:sz="0" w:space="0" w:color="auto"/>
        <w:bottom w:val="none" w:sz="0" w:space="0" w:color="auto"/>
        <w:right w:val="none" w:sz="0" w:space="0" w:color="auto"/>
      </w:divBdr>
    </w:div>
    <w:div w:id="18880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E6FC-7FC7-4B2A-A914-A7982BF7F3EE}">
  <ds:schemaRefs>
    <ds:schemaRef ds:uri="http://schemas.microsoft.com/sharepoint/v3/contenttype/forms"/>
  </ds:schemaRefs>
</ds:datastoreItem>
</file>

<file path=customXml/itemProps2.xml><?xml version="1.0" encoding="utf-8"?>
<ds:datastoreItem xmlns:ds="http://schemas.openxmlformats.org/officeDocument/2006/customXml" ds:itemID="{13FBA5BF-735A-4AF9-90E0-52A0FF20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D7955-425E-4CF3-8297-0BD54C815051}">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89f4cd83-a2d3-4405-9b45-6aff5241ff8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CONTRA</vt:lpstr>
      <vt:lpstr>CONVENCIÓN INTERAMERICANA CONTRA</vt:lpstr>
    </vt:vector>
  </TitlesOfParts>
  <Company>OAS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Michael Bejos</dc:creator>
  <cp:keywords/>
  <dc:description/>
  <cp:lastModifiedBy>Lobaton, Ursula</cp:lastModifiedBy>
  <cp:revision>5</cp:revision>
  <cp:lastPrinted>2016-05-17T15:56:00Z</cp:lastPrinted>
  <dcterms:created xsi:type="dcterms:W3CDTF">2021-01-13T20:45:00Z</dcterms:created>
  <dcterms:modified xsi:type="dcterms:W3CDTF">2021-01-16T00:19:00Z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