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82F75" w14:textId="5DA57B12" w:rsidR="0074395A" w:rsidRDefault="0074395A" w:rsidP="0074395A">
      <w:pPr>
        <w:tabs>
          <w:tab w:val="left" w:pos="7200"/>
        </w:tabs>
        <w:suppressAutoHyphens/>
        <w:ind w:right="-749"/>
        <w:jc w:val="both"/>
        <w:rPr>
          <w:sz w:val="22"/>
        </w:rPr>
      </w:pPr>
      <w:r>
        <w:rPr>
          <w:caps/>
          <w:sz w:val="22"/>
        </w:rPr>
        <w:t xml:space="preserve">INTER-AMERICAN CONVENTION AGAINST THE </w:t>
      </w:r>
      <w:r>
        <w:rPr>
          <w:sz w:val="22"/>
        </w:rPr>
        <w:tab/>
        <w:t>OEA/Ser.L/XXII.2.</w:t>
      </w:r>
      <w:r w:rsidR="00D83290">
        <w:rPr>
          <w:sz w:val="22"/>
        </w:rPr>
        <w:t>2</w:t>
      </w:r>
      <w:r w:rsidR="00BB1594">
        <w:rPr>
          <w:sz w:val="22"/>
        </w:rPr>
        <w:t>4</w:t>
      </w:r>
    </w:p>
    <w:p w14:paraId="2CD16B4E" w14:textId="4F5C9998" w:rsidR="0074395A" w:rsidRDefault="0074395A" w:rsidP="0074395A">
      <w:pPr>
        <w:tabs>
          <w:tab w:val="left" w:pos="7200"/>
        </w:tabs>
        <w:suppressAutoHyphens/>
        <w:ind w:right="-749"/>
        <w:jc w:val="both"/>
        <w:rPr>
          <w:sz w:val="22"/>
        </w:rPr>
      </w:pPr>
      <w:r>
        <w:rPr>
          <w:caps/>
          <w:sz w:val="22"/>
        </w:rPr>
        <w:t xml:space="preserve">ILLICIT MANUFACTURING OF AND TRAFFICKING </w:t>
      </w:r>
      <w:r>
        <w:rPr>
          <w:caps/>
          <w:sz w:val="22"/>
        </w:rPr>
        <w:tab/>
      </w:r>
      <w:r>
        <w:rPr>
          <w:sz w:val="22"/>
        </w:rPr>
        <w:t>CIFTA/CC-XXI</w:t>
      </w:r>
      <w:r w:rsidR="00BB1594">
        <w:rPr>
          <w:sz w:val="22"/>
        </w:rPr>
        <w:t>V</w:t>
      </w:r>
      <w:r>
        <w:rPr>
          <w:sz w:val="22"/>
        </w:rPr>
        <w:t>/doc.</w:t>
      </w:r>
      <w:r w:rsidR="00BB1594">
        <w:rPr>
          <w:sz w:val="22"/>
        </w:rPr>
        <w:t>1</w:t>
      </w:r>
      <w:r>
        <w:rPr>
          <w:sz w:val="22"/>
        </w:rPr>
        <w:t>/2</w:t>
      </w:r>
      <w:r w:rsidR="00BB1594">
        <w:rPr>
          <w:sz w:val="22"/>
        </w:rPr>
        <w:t>4</w:t>
      </w:r>
    </w:p>
    <w:p w14:paraId="790E53F8" w14:textId="0A398780" w:rsidR="0074395A" w:rsidRDefault="0074395A" w:rsidP="0074395A">
      <w:pPr>
        <w:tabs>
          <w:tab w:val="left" w:pos="7200"/>
        </w:tabs>
        <w:suppressAutoHyphens/>
        <w:ind w:right="-749"/>
        <w:jc w:val="both"/>
        <w:rPr>
          <w:sz w:val="22"/>
        </w:rPr>
      </w:pPr>
      <w:r>
        <w:rPr>
          <w:caps/>
          <w:sz w:val="22"/>
        </w:rPr>
        <w:t>in firearms, ammunition, explosives,</w:t>
      </w:r>
      <w:r>
        <w:rPr>
          <w:sz w:val="22"/>
        </w:rPr>
        <w:tab/>
      </w:r>
      <w:r w:rsidR="00D83290">
        <w:rPr>
          <w:sz w:val="22"/>
        </w:rPr>
        <w:t>1</w:t>
      </w:r>
      <w:r w:rsidR="00BB1594">
        <w:rPr>
          <w:sz w:val="22"/>
        </w:rPr>
        <w:t>2 April</w:t>
      </w:r>
      <w:r w:rsidR="00D83290">
        <w:rPr>
          <w:sz w:val="22"/>
        </w:rPr>
        <w:t xml:space="preserve"> </w:t>
      </w:r>
      <w:r>
        <w:rPr>
          <w:sz w:val="22"/>
        </w:rPr>
        <w:t>202</w:t>
      </w:r>
      <w:r w:rsidR="00BB1594">
        <w:rPr>
          <w:sz w:val="22"/>
        </w:rPr>
        <w:t>4</w:t>
      </w:r>
    </w:p>
    <w:p w14:paraId="35B8399F" w14:textId="77777777" w:rsidR="0074395A" w:rsidRDefault="0074395A" w:rsidP="0074395A">
      <w:pPr>
        <w:tabs>
          <w:tab w:val="left" w:pos="7200"/>
        </w:tabs>
        <w:ind w:right="-749"/>
        <w:jc w:val="both"/>
        <w:rPr>
          <w:sz w:val="22"/>
        </w:rPr>
      </w:pPr>
      <w:r>
        <w:rPr>
          <w:sz w:val="22"/>
        </w:rPr>
        <w:t>AND OTHER RELATED MATERIALS (CIFTA)</w:t>
      </w:r>
      <w:r>
        <w:rPr>
          <w:caps/>
          <w:sz w:val="22"/>
        </w:rPr>
        <w:tab/>
      </w:r>
      <w:r>
        <w:rPr>
          <w:sz w:val="22"/>
        </w:rPr>
        <w:t>Original: Spanish</w:t>
      </w:r>
    </w:p>
    <w:p w14:paraId="77874B38" w14:textId="77777777" w:rsidR="0074395A" w:rsidRDefault="0074395A" w:rsidP="00E72E4F">
      <w:pPr>
        <w:outlineLvl w:val="2"/>
        <w:rPr>
          <w:bCs/>
          <w:sz w:val="22"/>
          <w:szCs w:val="22"/>
          <w:u w:val="single"/>
        </w:rPr>
      </w:pPr>
      <w:r>
        <w:rPr>
          <w:sz w:val="22"/>
          <w:szCs w:val="24"/>
          <w:u w:val="single"/>
        </w:rPr>
        <w:t>Consultative Committee</w:t>
      </w:r>
    </w:p>
    <w:p w14:paraId="1C5DA7F8" w14:textId="274C4302" w:rsidR="0074395A" w:rsidRDefault="0074395A" w:rsidP="0074395A">
      <w:pPr>
        <w:suppressAutoHyphens/>
        <w:jc w:val="both"/>
        <w:rPr>
          <w:sz w:val="22"/>
          <w:szCs w:val="22"/>
        </w:rPr>
      </w:pPr>
      <w:r>
        <w:rPr>
          <w:sz w:val="22"/>
          <w:szCs w:val="22"/>
          <w:u w:val="single"/>
        </w:rPr>
        <w:t>Twenty-</w:t>
      </w:r>
      <w:r w:rsidR="00BB1594">
        <w:rPr>
          <w:sz w:val="22"/>
          <w:szCs w:val="22"/>
          <w:u w:val="single"/>
        </w:rPr>
        <w:t xml:space="preserve">fourth </w:t>
      </w:r>
      <w:r w:rsidR="00D83290">
        <w:rPr>
          <w:sz w:val="22"/>
          <w:szCs w:val="22"/>
          <w:u w:val="single"/>
        </w:rPr>
        <w:t>regular meeting</w:t>
      </w:r>
    </w:p>
    <w:p w14:paraId="50019C0D" w14:textId="71584476" w:rsidR="0074395A" w:rsidRPr="00D83290" w:rsidRDefault="00BB1594" w:rsidP="0074395A">
      <w:pPr>
        <w:suppressAutoHyphens/>
        <w:jc w:val="both"/>
        <w:rPr>
          <w:sz w:val="22"/>
          <w:szCs w:val="22"/>
        </w:rPr>
      </w:pPr>
      <w:r>
        <w:rPr>
          <w:sz w:val="22"/>
          <w:szCs w:val="22"/>
        </w:rPr>
        <w:t>May 23</w:t>
      </w:r>
      <w:r w:rsidR="0074395A" w:rsidRPr="00D83290">
        <w:rPr>
          <w:sz w:val="22"/>
          <w:szCs w:val="22"/>
        </w:rPr>
        <w:t>, 202</w:t>
      </w:r>
      <w:r>
        <w:rPr>
          <w:sz w:val="22"/>
          <w:szCs w:val="22"/>
        </w:rPr>
        <w:t>4</w:t>
      </w:r>
    </w:p>
    <w:p w14:paraId="68CC7916" w14:textId="45F006FB" w:rsidR="0074395A" w:rsidRPr="00D83290" w:rsidRDefault="00D83290" w:rsidP="0074395A">
      <w:pPr>
        <w:suppressAutoHyphens/>
        <w:jc w:val="both"/>
        <w:rPr>
          <w:sz w:val="22"/>
          <w:szCs w:val="22"/>
        </w:rPr>
      </w:pPr>
      <w:r w:rsidRPr="00D83290">
        <w:rPr>
          <w:sz w:val="22"/>
          <w:szCs w:val="22"/>
        </w:rPr>
        <w:t>Washington, D.C.</w:t>
      </w:r>
      <w:r w:rsidR="0074395A" w:rsidRPr="00D83290">
        <w:rPr>
          <w:sz w:val="22"/>
          <w:szCs w:val="22"/>
        </w:rPr>
        <w:t xml:space="preserve"> (</w:t>
      </w:r>
      <w:r w:rsidR="00613BE1">
        <w:rPr>
          <w:sz w:val="22"/>
          <w:szCs w:val="22"/>
        </w:rPr>
        <w:t>Hybrid format</w:t>
      </w:r>
      <w:r w:rsidR="0074395A" w:rsidRPr="00D83290">
        <w:rPr>
          <w:sz w:val="22"/>
          <w:szCs w:val="22"/>
        </w:rPr>
        <w:t>)</w:t>
      </w:r>
    </w:p>
    <w:p w14:paraId="074E1D15" w14:textId="77777777" w:rsidR="0074395A" w:rsidRPr="00D83290" w:rsidRDefault="0074395A" w:rsidP="0074395A">
      <w:pPr>
        <w:rPr>
          <w:sz w:val="22"/>
        </w:rPr>
      </w:pPr>
    </w:p>
    <w:p w14:paraId="5ABE6B2B" w14:textId="77777777" w:rsidR="0074395A" w:rsidRDefault="0074395A" w:rsidP="0074395A">
      <w:pPr>
        <w:rPr>
          <w:sz w:val="22"/>
        </w:rPr>
      </w:pPr>
    </w:p>
    <w:p w14:paraId="6D177933" w14:textId="77777777" w:rsidR="001456D2" w:rsidRPr="00D83290" w:rsidRDefault="001456D2" w:rsidP="0074395A">
      <w:pPr>
        <w:rPr>
          <w:sz w:val="22"/>
        </w:rPr>
      </w:pPr>
    </w:p>
    <w:p w14:paraId="7C2A8FD7" w14:textId="77777777" w:rsidR="0074395A" w:rsidRPr="00D83290" w:rsidRDefault="0074395A" w:rsidP="0074395A">
      <w:pPr>
        <w:rPr>
          <w:sz w:val="22"/>
        </w:rPr>
      </w:pPr>
    </w:p>
    <w:p w14:paraId="07DD26AA" w14:textId="77777777" w:rsidR="0074395A" w:rsidRDefault="0074395A" w:rsidP="001456D2">
      <w:pPr>
        <w:jc w:val="center"/>
        <w:rPr>
          <w:sz w:val="22"/>
        </w:rPr>
      </w:pPr>
      <w:r>
        <w:rPr>
          <w:sz w:val="22"/>
        </w:rPr>
        <w:t>NOTICE</w:t>
      </w:r>
    </w:p>
    <w:p w14:paraId="4A210F77" w14:textId="77777777" w:rsidR="0074395A" w:rsidRDefault="0074395A" w:rsidP="0074395A">
      <w:pPr>
        <w:jc w:val="both"/>
        <w:rPr>
          <w:sz w:val="22"/>
          <w:szCs w:val="22"/>
        </w:rPr>
      </w:pPr>
    </w:p>
    <w:p w14:paraId="44E02B63" w14:textId="77777777" w:rsidR="001456D2" w:rsidRDefault="001456D2" w:rsidP="0074395A">
      <w:pPr>
        <w:jc w:val="both"/>
        <w:rPr>
          <w:sz w:val="22"/>
          <w:szCs w:val="22"/>
        </w:rPr>
      </w:pPr>
    </w:p>
    <w:p w14:paraId="4F3CC976" w14:textId="7BC60F8E" w:rsidR="0074395A" w:rsidRDefault="0074395A" w:rsidP="001456D2">
      <w:pPr>
        <w:spacing w:line="360" w:lineRule="auto"/>
        <w:ind w:firstLine="720"/>
        <w:jc w:val="both"/>
        <w:rPr>
          <w:sz w:val="22"/>
          <w:szCs w:val="22"/>
        </w:rPr>
      </w:pPr>
      <w:r>
        <w:rPr>
          <w:sz w:val="22"/>
        </w:rPr>
        <w:t xml:space="preserve">The General Secretariat presents its compliments to the </w:t>
      </w:r>
      <w:r w:rsidR="001456D2">
        <w:rPr>
          <w:sz w:val="22"/>
        </w:rPr>
        <w:t>p</w:t>
      </w:r>
      <w:r>
        <w:rPr>
          <w:sz w:val="22"/>
        </w:rPr>
        <w:t xml:space="preserve">ermanent </w:t>
      </w:r>
      <w:r w:rsidR="001456D2">
        <w:rPr>
          <w:sz w:val="22"/>
        </w:rPr>
        <w:t>m</w:t>
      </w:r>
      <w:r>
        <w:rPr>
          <w:sz w:val="22"/>
        </w:rPr>
        <w:t>issions and, at the request of the Secretariat Pro Tempore of the Consultative Committee of the Inter-American Convention against the Illicit Manufacturing of and Trafficking in Firearms, Ammunition, Explosives, and Other Related Materials (CIFTA), is pleased to refer to the Consultative Committee’s efforts to promote ongoing dialogue among national points of contact to combat and eradicate the illicit manufacturing of and trafficking in firearms in the Hemisphere</w:t>
      </w:r>
      <w:r>
        <w:rPr>
          <w:sz w:val="22"/>
          <w:szCs w:val="22"/>
        </w:rPr>
        <w:t xml:space="preserve">. </w:t>
      </w:r>
    </w:p>
    <w:p w14:paraId="6A099A97" w14:textId="77777777" w:rsidR="0074395A" w:rsidRDefault="0074395A" w:rsidP="001456D2">
      <w:pPr>
        <w:spacing w:line="360" w:lineRule="auto"/>
        <w:jc w:val="both"/>
        <w:rPr>
          <w:sz w:val="22"/>
          <w:szCs w:val="22"/>
        </w:rPr>
      </w:pPr>
    </w:p>
    <w:p w14:paraId="0D7C942F" w14:textId="3A1E6131" w:rsidR="0074395A" w:rsidRDefault="0074395A" w:rsidP="001456D2">
      <w:pPr>
        <w:spacing w:line="360" w:lineRule="auto"/>
        <w:ind w:firstLine="720"/>
        <w:jc w:val="both"/>
        <w:rPr>
          <w:sz w:val="22"/>
          <w:szCs w:val="22"/>
        </w:rPr>
      </w:pPr>
      <w:r>
        <w:rPr>
          <w:sz w:val="22"/>
          <w:szCs w:val="22"/>
        </w:rPr>
        <w:t>In th</w:t>
      </w:r>
      <w:r w:rsidR="00A6683F">
        <w:rPr>
          <w:sz w:val="22"/>
          <w:szCs w:val="22"/>
        </w:rPr>
        <w:t>at</w:t>
      </w:r>
      <w:r>
        <w:rPr>
          <w:sz w:val="22"/>
          <w:szCs w:val="22"/>
        </w:rPr>
        <w:t xml:space="preserve"> regard, and within the framework of the decisions taken through AG/RES. 2460 (XXXIX-O/09) “Inter-American Convention against the Illicit Manufacturing of and Trafficking in Firearms, Ammunition, Explosives, and Related Materials (CIFTA),” the Technical Secretariat respectfully requests the kind cooperation of the permanent missions in providing the following information: </w:t>
      </w:r>
    </w:p>
    <w:p w14:paraId="7F4D962D" w14:textId="77777777" w:rsidR="0074395A" w:rsidRDefault="0074395A" w:rsidP="001456D2">
      <w:pPr>
        <w:spacing w:line="360" w:lineRule="auto"/>
        <w:jc w:val="both"/>
        <w:rPr>
          <w:sz w:val="22"/>
          <w:szCs w:val="22"/>
        </w:rPr>
      </w:pPr>
    </w:p>
    <w:p w14:paraId="5E874B02" w14:textId="5A3D7DAA" w:rsidR="0074395A" w:rsidRDefault="0074395A" w:rsidP="001456D2">
      <w:pPr>
        <w:numPr>
          <w:ilvl w:val="0"/>
          <w:numId w:val="7"/>
        </w:numPr>
        <w:tabs>
          <w:tab w:val="clear" w:pos="1080"/>
        </w:tabs>
        <w:spacing w:line="360" w:lineRule="auto"/>
        <w:ind w:left="1440" w:hanging="720"/>
        <w:jc w:val="both"/>
        <w:rPr>
          <w:sz w:val="22"/>
          <w:szCs w:val="22"/>
        </w:rPr>
      </w:pPr>
      <w:r>
        <w:rPr>
          <w:sz w:val="22"/>
          <w:szCs w:val="22"/>
        </w:rPr>
        <w:t>National body or single point of contact for purposes of cooperation and information exchange, as set forth in Article XIV of the Convention</w:t>
      </w:r>
    </w:p>
    <w:p w14:paraId="075585F0" w14:textId="77777777" w:rsidR="0074395A" w:rsidRDefault="0074395A" w:rsidP="001456D2">
      <w:pPr>
        <w:spacing w:line="360" w:lineRule="auto"/>
        <w:jc w:val="both"/>
        <w:rPr>
          <w:sz w:val="22"/>
          <w:szCs w:val="22"/>
        </w:rPr>
      </w:pPr>
    </w:p>
    <w:p w14:paraId="7700057A" w14:textId="7F682AC3" w:rsidR="0074395A" w:rsidRDefault="0074395A" w:rsidP="001456D2">
      <w:pPr>
        <w:numPr>
          <w:ilvl w:val="0"/>
          <w:numId w:val="7"/>
        </w:numPr>
        <w:tabs>
          <w:tab w:val="clear" w:pos="1080"/>
        </w:tabs>
        <w:spacing w:line="360" w:lineRule="auto"/>
        <w:ind w:left="1440" w:hanging="720"/>
        <w:jc w:val="both"/>
        <w:rPr>
          <w:sz w:val="22"/>
          <w:szCs w:val="22"/>
        </w:rPr>
      </w:pPr>
      <w:r>
        <w:rPr>
          <w:sz w:val="22"/>
          <w:szCs w:val="22"/>
        </w:rPr>
        <w:t>Central national authority for mutual legal assistance, as set forth in Article XVII of the Convention</w:t>
      </w:r>
    </w:p>
    <w:p w14:paraId="56DF097D" w14:textId="77777777" w:rsidR="0074395A" w:rsidRDefault="0074395A" w:rsidP="001456D2">
      <w:pPr>
        <w:spacing w:line="360" w:lineRule="auto"/>
        <w:jc w:val="both"/>
        <w:rPr>
          <w:sz w:val="22"/>
          <w:szCs w:val="22"/>
        </w:rPr>
      </w:pPr>
    </w:p>
    <w:p w14:paraId="457BD71A" w14:textId="1F25923F" w:rsidR="0074395A" w:rsidRDefault="0074395A" w:rsidP="001456D2">
      <w:pPr>
        <w:numPr>
          <w:ilvl w:val="0"/>
          <w:numId w:val="7"/>
        </w:numPr>
        <w:tabs>
          <w:tab w:val="clear" w:pos="1080"/>
        </w:tabs>
        <w:spacing w:line="360" w:lineRule="auto"/>
        <w:ind w:left="1440" w:hanging="720"/>
        <w:jc w:val="both"/>
        <w:rPr>
          <w:sz w:val="22"/>
          <w:szCs w:val="22"/>
        </w:rPr>
      </w:pPr>
      <w:r>
        <w:rPr>
          <w:sz w:val="22"/>
          <w:szCs w:val="22"/>
        </w:rPr>
        <w:t xml:space="preserve">Operational point of contact for the tracing of firearms, ammunition, and explosives in order to establish a secure and confidential network for the exchange of information among the member states, as set forth in the Tlatelolco Commitment adopted during </w:t>
      </w:r>
      <w:r>
        <w:rPr>
          <w:sz w:val="22"/>
          <w:szCs w:val="22"/>
        </w:rPr>
        <w:lastRenderedPageBreak/>
        <w:t>the Second Conference of States Parties to the CIFTA (Mexico City, February 20-21, 2008)</w:t>
      </w:r>
    </w:p>
    <w:p w14:paraId="3AF7E05B" w14:textId="705EB196" w:rsidR="0074395A" w:rsidRDefault="0074395A" w:rsidP="001456D2">
      <w:pPr>
        <w:spacing w:line="360" w:lineRule="auto"/>
        <w:jc w:val="both"/>
        <w:rPr>
          <w:sz w:val="22"/>
          <w:szCs w:val="22"/>
        </w:rPr>
      </w:pPr>
    </w:p>
    <w:p w14:paraId="027DC980" w14:textId="3F53C8DF" w:rsidR="001318FC" w:rsidRPr="00E72E4F" w:rsidRDefault="0074395A" w:rsidP="001456D2">
      <w:pPr>
        <w:spacing w:line="360" w:lineRule="auto"/>
        <w:ind w:firstLine="720"/>
        <w:jc w:val="both"/>
        <w:rPr>
          <w:sz w:val="22"/>
          <w:szCs w:val="22"/>
          <w:u w:val="single"/>
        </w:rPr>
      </w:pPr>
      <w:r>
        <w:rPr>
          <w:sz w:val="22"/>
          <w:szCs w:val="22"/>
        </w:rPr>
        <w:t>It is kindly requested that the names of the designated points of contact and their contact information be submitted to the Technical Secretariat, through the OAS</w:t>
      </w:r>
      <w:r w:rsidR="00102766">
        <w:rPr>
          <w:sz w:val="22"/>
          <w:szCs w:val="22"/>
        </w:rPr>
        <w:t xml:space="preserve"> </w:t>
      </w:r>
      <w:r>
        <w:rPr>
          <w:sz w:val="22"/>
          <w:szCs w:val="22"/>
        </w:rPr>
        <w:t>Department against Transnational Organized Crime</w:t>
      </w:r>
      <w:r w:rsidR="0020042F">
        <w:rPr>
          <w:sz w:val="22"/>
          <w:szCs w:val="22"/>
        </w:rPr>
        <w:t xml:space="preserve"> and the Department of Public Security</w:t>
      </w:r>
      <w:r w:rsidR="003F0958">
        <w:rPr>
          <w:sz w:val="22"/>
          <w:szCs w:val="22"/>
        </w:rPr>
        <w:t xml:space="preserve"> </w:t>
      </w:r>
      <w:r w:rsidR="003F0958" w:rsidRPr="003F0958">
        <w:rPr>
          <w:sz w:val="22"/>
          <w:szCs w:val="22"/>
        </w:rPr>
        <w:t>(</w:t>
      </w:r>
      <w:hyperlink r:id="rId8" w:history="1">
        <w:r w:rsidR="003F0958" w:rsidRPr="003F0958">
          <w:rPr>
            <w:rStyle w:val="Hyperlink"/>
            <w:sz w:val="22"/>
            <w:szCs w:val="22"/>
          </w:rPr>
          <w:t>mbejos@oas.org</w:t>
        </w:r>
      </w:hyperlink>
      <w:r w:rsidR="003F0958" w:rsidRPr="003F0958">
        <w:rPr>
          <w:sz w:val="22"/>
          <w:szCs w:val="22"/>
        </w:rPr>
        <w:t xml:space="preserve"> </w:t>
      </w:r>
      <w:r w:rsidR="003F0958">
        <w:rPr>
          <w:sz w:val="22"/>
          <w:szCs w:val="22"/>
        </w:rPr>
        <w:t>and</w:t>
      </w:r>
      <w:r w:rsidR="003F0958" w:rsidRPr="003F0958">
        <w:rPr>
          <w:sz w:val="22"/>
          <w:szCs w:val="22"/>
        </w:rPr>
        <w:t xml:space="preserve"> </w:t>
      </w:r>
      <w:hyperlink r:id="rId9" w:history="1">
        <w:r w:rsidR="00AF6227" w:rsidRPr="00826C74">
          <w:rPr>
            <w:rStyle w:val="Hyperlink"/>
            <w:sz w:val="22"/>
            <w:szCs w:val="22"/>
          </w:rPr>
          <w:t>pdeluca@oas.org</w:t>
        </w:r>
      </w:hyperlink>
      <w:r w:rsidR="003F0958" w:rsidRPr="003F0958">
        <w:rPr>
          <w:sz w:val="22"/>
          <w:szCs w:val="22"/>
        </w:rPr>
        <w:t>)</w:t>
      </w:r>
      <w:r>
        <w:rPr>
          <w:sz w:val="22"/>
          <w:szCs w:val="22"/>
        </w:rPr>
        <w:t xml:space="preserve">, </w:t>
      </w:r>
      <w:r w:rsidRPr="00AF4A59">
        <w:rPr>
          <w:b/>
          <w:bCs/>
          <w:sz w:val="22"/>
          <w:szCs w:val="22"/>
          <w:u w:val="single"/>
        </w:rPr>
        <w:t xml:space="preserve">before </w:t>
      </w:r>
      <w:r w:rsidR="003D19BB">
        <w:rPr>
          <w:b/>
          <w:bCs/>
          <w:sz w:val="22"/>
          <w:szCs w:val="22"/>
          <w:u w:val="single"/>
        </w:rPr>
        <w:t>Ma</w:t>
      </w:r>
      <w:r w:rsidR="00D80221">
        <w:rPr>
          <w:b/>
          <w:bCs/>
          <w:sz w:val="22"/>
          <w:szCs w:val="22"/>
          <w:u w:val="single"/>
        </w:rPr>
        <w:t>y</w:t>
      </w:r>
      <w:r w:rsidR="00AF4A59" w:rsidRPr="00AF4A59">
        <w:rPr>
          <w:b/>
          <w:bCs/>
          <w:sz w:val="22"/>
          <w:szCs w:val="22"/>
          <w:u w:val="single"/>
        </w:rPr>
        <w:t xml:space="preserve"> </w:t>
      </w:r>
      <w:r w:rsidR="00D80221">
        <w:rPr>
          <w:b/>
          <w:bCs/>
          <w:sz w:val="22"/>
          <w:szCs w:val="22"/>
          <w:u w:val="single"/>
        </w:rPr>
        <w:t>15</w:t>
      </w:r>
      <w:r w:rsidRPr="00AF4A59">
        <w:rPr>
          <w:b/>
          <w:bCs/>
          <w:sz w:val="22"/>
          <w:szCs w:val="22"/>
          <w:u w:val="single"/>
        </w:rPr>
        <w:t>, 202</w:t>
      </w:r>
      <w:r w:rsidR="00D80221">
        <w:rPr>
          <w:b/>
          <w:bCs/>
          <w:sz w:val="22"/>
          <w:szCs w:val="22"/>
          <w:u w:val="single"/>
        </w:rPr>
        <w:t>4</w:t>
      </w:r>
      <w:r>
        <w:rPr>
          <w:sz w:val="22"/>
          <w:szCs w:val="22"/>
        </w:rPr>
        <w:t>.</w:t>
      </w:r>
      <w:r w:rsidR="008A13CD">
        <w:rPr>
          <w:noProof/>
        </w:rPr>
        <mc:AlternateContent>
          <mc:Choice Requires="wps">
            <w:drawing>
              <wp:anchor distT="0" distB="0" distL="114300" distR="114300" simplePos="0" relativeHeight="251659264" behindDoc="0" locked="1" layoutInCell="1" allowOverlap="1" wp14:anchorId="10D74AA1" wp14:editId="223ED27F">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041CE62" w14:textId="1DC8D142" w:rsidR="008A13CD" w:rsidRPr="008A13CD" w:rsidRDefault="008A13CD">
                            <w:pPr>
                              <w:rPr>
                                <w:sz w:val="18"/>
                              </w:rPr>
                            </w:pPr>
                            <w:r>
                              <w:rPr>
                                <w:sz w:val="18"/>
                              </w:rPr>
                              <w:fldChar w:fldCharType="begin"/>
                            </w:r>
                            <w:r>
                              <w:rPr>
                                <w:sz w:val="18"/>
                              </w:rPr>
                              <w:instrText xml:space="preserve"> FILENAME  \* MERGEFORMAT </w:instrText>
                            </w:r>
                            <w:r>
                              <w:rPr>
                                <w:sz w:val="18"/>
                              </w:rPr>
                              <w:fldChar w:fldCharType="separate"/>
                            </w:r>
                            <w:r>
                              <w:rPr>
                                <w:noProof/>
                                <w:sz w:val="18"/>
                              </w:rPr>
                              <w:t>CIFTA0</w:t>
                            </w:r>
                            <w:r w:rsidR="0036434B">
                              <w:rPr>
                                <w:noProof/>
                                <w:sz w:val="18"/>
                              </w:rPr>
                              <w:t>1027</w:t>
                            </w:r>
                            <w:r>
                              <w:rPr>
                                <w:noProof/>
                                <w:sz w:val="18"/>
                              </w:rPr>
                              <w:t>E</w:t>
                            </w:r>
                            <w:r w:rsidR="001456D2">
                              <w:rPr>
                                <w:noProof/>
                                <w:sz w:val="18"/>
                              </w:rPr>
                              <w:t>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D74AA1"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5041CE62" w14:textId="1DC8D142" w:rsidR="008A13CD" w:rsidRPr="008A13CD" w:rsidRDefault="008A13CD">
                      <w:pPr>
                        <w:rPr>
                          <w:sz w:val="18"/>
                        </w:rPr>
                      </w:pPr>
                      <w:r>
                        <w:rPr>
                          <w:sz w:val="18"/>
                        </w:rPr>
                        <w:fldChar w:fldCharType="begin"/>
                      </w:r>
                      <w:r>
                        <w:rPr>
                          <w:sz w:val="18"/>
                        </w:rPr>
                        <w:instrText xml:space="preserve"> FILENAME  \* MERGEFORMAT </w:instrText>
                      </w:r>
                      <w:r>
                        <w:rPr>
                          <w:sz w:val="18"/>
                        </w:rPr>
                        <w:fldChar w:fldCharType="separate"/>
                      </w:r>
                      <w:r>
                        <w:rPr>
                          <w:noProof/>
                          <w:sz w:val="18"/>
                        </w:rPr>
                        <w:t>CIFTA0</w:t>
                      </w:r>
                      <w:r w:rsidR="0036434B">
                        <w:rPr>
                          <w:noProof/>
                          <w:sz w:val="18"/>
                        </w:rPr>
                        <w:t>1027</w:t>
                      </w:r>
                      <w:r>
                        <w:rPr>
                          <w:noProof/>
                          <w:sz w:val="18"/>
                        </w:rPr>
                        <w:t>E</w:t>
                      </w:r>
                      <w:r w:rsidR="001456D2">
                        <w:rPr>
                          <w:noProof/>
                          <w:sz w:val="18"/>
                        </w:rPr>
                        <w:t>04</w:t>
                      </w:r>
                      <w:r>
                        <w:rPr>
                          <w:sz w:val="18"/>
                        </w:rPr>
                        <w:fldChar w:fldCharType="end"/>
                      </w:r>
                    </w:p>
                  </w:txbxContent>
                </v:textbox>
                <w10:wrap anchory="page"/>
                <w10:anchorlock/>
              </v:shape>
            </w:pict>
          </mc:Fallback>
        </mc:AlternateContent>
      </w:r>
    </w:p>
    <w:sectPr w:rsidR="001318FC" w:rsidRPr="00E72E4F" w:rsidSect="001456D2">
      <w:headerReference w:type="default" r:id="rId10"/>
      <w:pgSz w:w="12240" w:h="15840" w:code="1"/>
      <w:pgMar w:top="2160" w:right="1570" w:bottom="1296" w:left="1699" w:header="720" w:footer="720" w:gutter="0"/>
      <w:pgNumType w:fmt="numberInDas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705B4" w14:textId="77777777" w:rsidR="007126FA" w:rsidRDefault="007126FA">
      <w:r>
        <w:separator/>
      </w:r>
    </w:p>
  </w:endnote>
  <w:endnote w:type="continuationSeparator" w:id="0">
    <w:p w14:paraId="5E078BF6" w14:textId="77777777" w:rsidR="007126FA" w:rsidRDefault="0071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4FB5B" w14:textId="77777777" w:rsidR="007126FA" w:rsidRDefault="007126FA">
      <w:r>
        <w:separator/>
      </w:r>
    </w:p>
  </w:footnote>
  <w:footnote w:type="continuationSeparator" w:id="0">
    <w:p w14:paraId="5C832E4C" w14:textId="77777777" w:rsidR="007126FA" w:rsidRDefault="00712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23797"/>
      <w:docPartObj>
        <w:docPartGallery w:val="Page Numbers (Top of Page)"/>
        <w:docPartUnique/>
      </w:docPartObj>
    </w:sdtPr>
    <w:sdtEndPr>
      <w:rPr>
        <w:noProof/>
        <w:sz w:val="22"/>
        <w:szCs w:val="22"/>
      </w:rPr>
    </w:sdtEndPr>
    <w:sdtContent>
      <w:p w14:paraId="593EF41F" w14:textId="22FF80CC" w:rsidR="00F27B31" w:rsidRPr="00E72E4F" w:rsidRDefault="00F27B31">
        <w:pPr>
          <w:pStyle w:val="Header"/>
          <w:jc w:val="center"/>
          <w:rPr>
            <w:sz w:val="22"/>
            <w:szCs w:val="22"/>
          </w:rPr>
        </w:pPr>
        <w:r w:rsidRPr="00E72E4F">
          <w:rPr>
            <w:sz w:val="22"/>
            <w:szCs w:val="22"/>
          </w:rPr>
          <w:fldChar w:fldCharType="begin"/>
        </w:r>
        <w:r w:rsidRPr="00E72E4F">
          <w:rPr>
            <w:sz w:val="22"/>
            <w:szCs w:val="22"/>
          </w:rPr>
          <w:instrText xml:space="preserve"> PAGE   \* MERGEFORMAT </w:instrText>
        </w:r>
        <w:r w:rsidRPr="00E72E4F">
          <w:rPr>
            <w:sz w:val="22"/>
            <w:szCs w:val="22"/>
          </w:rPr>
          <w:fldChar w:fldCharType="separate"/>
        </w:r>
        <w:r w:rsidRPr="00E72E4F">
          <w:rPr>
            <w:noProof/>
            <w:sz w:val="22"/>
            <w:szCs w:val="22"/>
          </w:rPr>
          <w:t>2</w:t>
        </w:r>
        <w:r w:rsidRPr="00E72E4F">
          <w:rPr>
            <w:noProof/>
            <w:sz w:val="22"/>
            <w:szCs w:val="22"/>
          </w:rPr>
          <w:fldChar w:fldCharType="end"/>
        </w:r>
      </w:p>
    </w:sdtContent>
  </w:sdt>
  <w:p w14:paraId="5801C6E2" w14:textId="77777777" w:rsidR="00F27B31" w:rsidRDefault="00F27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F2B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43240351"/>
    <w:multiLevelType w:val="hybridMultilevel"/>
    <w:tmpl w:val="45CE86A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E757F1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6CEE320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7C3E37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7D075105"/>
    <w:multiLevelType w:val="hybridMultilevel"/>
    <w:tmpl w:val="D13C84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797334266">
    <w:abstractNumId w:val="0"/>
  </w:num>
  <w:num w:numId="2" w16cid:durableId="1040206420">
    <w:abstractNumId w:val="2"/>
  </w:num>
  <w:num w:numId="3" w16cid:durableId="1304776675">
    <w:abstractNumId w:val="4"/>
  </w:num>
  <w:num w:numId="4" w16cid:durableId="2100104406">
    <w:abstractNumId w:val="3"/>
  </w:num>
  <w:num w:numId="5" w16cid:durableId="47729236">
    <w:abstractNumId w:val="1"/>
  </w:num>
  <w:num w:numId="6" w16cid:durableId="1553274676">
    <w:abstractNumId w:val="5"/>
  </w:num>
  <w:num w:numId="7" w16cid:durableId="322589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2DB"/>
    <w:rsid w:val="00027D36"/>
    <w:rsid w:val="0004115B"/>
    <w:rsid w:val="00055F35"/>
    <w:rsid w:val="00085D57"/>
    <w:rsid w:val="000916C5"/>
    <w:rsid w:val="000A10AB"/>
    <w:rsid w:val="000A2204"/>
    <w:rsid w:val="000D65C3"/>
    <w:rsid w:val="000E1326"/>
    <w:rsid w:val="000E52BC"/>
    <w:rsid w:val="00102766"/>
    <w:rsid w:val="00114C16"/>
    <w:rsid w:val="00120B6C"/>
    <w:rsid w:val="00122119"/>
    <w:rsid w:val="00126D8E"/>
    <w:rsid w:val="00130531"/>
    <w:rsid w:val="001318FC"/>
    <w:rsid w:val="00134858"/>
    <w:rsid w:val="001456D2"/>
    <w:rsid w:val="001833BE"/>
    <w:rsid w:val="00193E67"/>
    <w:rsid w:val="001A7C14"/>
    <w:rsid w:val="001C2076"/>
    <w:rsid w:val="001D1389"/>
    <w:rsid w:val="001E4F7C"/>
    <w:rsid w:val="0020042F"/>
    <w:rsid w:val="00206E64"/>
    <w:rsid w:val="0022494E"/>
    <w:rsid w:val="00226A7C"/>
    <w:rsid w:val="00227899"/>
    <w:rsid w:val="00230FA2"/>
    <w:rsid w:val="00251ABC"/>
    <w:rsid w:val="00272FEA"/>
    <w:rsid w:val="0027690C"/>
    <w:rsid w:val="00291ED7"/>
    <w:rsid w:val="002936D4"/>
    <w:rsid w:val="002C7226"/>
    <w:rsid w:val="002E0462"/>
    <w:rsid w:val="002E0487"/>
    <w:rsid w:val="002E3C95"/>
    <w:rsid w:val="002E7685"/>
    <w:rsid w:val="003011A2"/>
    <w:rsid w:val="00332300"/>
    <w:rsid w:val="0036434B"/>
    <w:rsid w:val="00375F37"/>
    <w:rsid w:val="003A15AB"/>
    <w:rsid w:val="003B356F"/>
    <w:rsid w:val="003C1345"/>
    <w:rsid w:val="003D19BB"/>
    <w:rsid w:val="003D5A8F"/>
    <w:rsid w:val="003F0958"/>
    <w:rsid w:val="004350FC"/>
    <w:rsid w:val="004352D7"/>
    <w:rsid w:val="00436D2F"/>
    <w:rsid w:val="004462D6"/>
    <w:rsid w:val="0044784F"/>
    <w:rsid w:val="00470795"/>
    <w:rsid w:val="004718BA"/>
    <w:rsid w:val="00495E7F"/>
    <w:rsid w:val="004B5003"/>
    <w:rsid w:val="004C774B"/>
    <w:rsid w:val="004D266E"/>
    <w:rsid w:val="004E52DB"/>
    <w:rsid w:val="00521998"/>
    <w:rsid w:val="00526D8B"/>
    <w:rsid w:val="00551377"/>
    <w:rsid w:val="00554980"/>
    <w:rsid w:val="00561F84"/>
    <w:rsid w:val="00590DFF"/>
    <w:rsid w:val="005C116B"/>
    <w:rsid w:val="005C4CEF"/>
    <w:rsid w:val="005C6FE8"/>
    <w:rsid w:val="005E608B"/>
    <w:rsid w:val="0061313B"/>
    <w:rsid w:val="00613BE1"/>
    <w:rsid w:val="0062567C"/>
    <w:rsid w:val="00645240"/>
    <w:rsid w:val="00651C42"/>
    <w:rsid w:val="006528A2"/>
    <w:rsid w:val="006C7600"/>
    <w:rsid w:val="006E6F4D"/>
    <w:rsid w:val="00704353"/>
    <w:rsid w:val="007126FA"/>
    <w:rsid w:val="007227E0"/>
    <w:rsid w:val="00737E62"/>
    <w:rsid w:val="00741911"/>
    <w:rsid w:val="0074395A"/>
    <w:rsid w:val="00782606"/>
    <w:rsid w:val="007B27F6"/>
    <w:rsid w:val="007C47F0"/>
    <w:rsid w:val="00804997"/>
    <w:rsid w:val="008111FE"/>
    <w:rsid w:val="00826994"/>
    <w:rsid w:val="008424C5"/>
    <w:rsid w:val="0086491A"/>
    <w:rsid w:val="00873524"/>
    <w:rsid w:val="00881374"/>
    <w:rsid w:val="00893777"/>
    <w:rsid w:val="008A13CD"/>
    <w:rsid w:val="008B2231"/>
    <w:rsid w:val="008C228B"/>
    <w:rsid w:val="008C4934"/>
    <w:rsid w:val="008F2CF8"/>
    <w:rsid w:val="009173B7"/>
    <w:rsid w:val="00917E03"/>
    <w:rsid w:val="00927E51"/>
    <w:rsid w:val="009329A2"/>
    <w:rsid w:val="0099241F"/>
    <w:rsid w:val="00994A1C"/>
    <w:rsid w:val="009B35B2"/>
    <w:rsid w:val="009C4ED2"/>
    <w:rsid w:val="009C6D7A"/>
    <w:rsid w:val="009E0D70"/>
    <w:rsid w:val="009E214F"/>
    <w:rsid w:val="00A25021"/>
    <w:rsid w:val="00A53D34"/>
    <w:rsid w:val="00A6683F"/>
    <w:rsid w:val="00A759D0"/>
    <w:rsid w:val="00AC24F3"/>
    <w:rsid w:val="00AC2BCD"/>
    <w:rsid w:val="00AD4614"/>
    <w:rsid w:val="00AF4A59"/>
    <w:rsid w:val="00AF6227"/>
    <w:rsid w:val="00B64097"/>
    <w:rsid w:val="00B67E36"/>
    <w:rsid w:val="00B70BF8"/>
    <w:rsid w:val="00B747E4"/>
    <w:rsid w:val="00B920AE"/>
    <w:rsid w:val="00BA0089"/>
    <w:rsid w:val="00BA57AE"/>
    <w:rsid w:val="00BB1594"/>
    <w:rsid w:val="00C1361B"/>
    <w:rsid w:val="00C47B78"/>
    <w:rsid w:val="00C50CD3"/>
    <w:rsid w:val="00C5460C"/>
    <w:rsid w:val="00C76C51"/>
    <w:rsid w:val="00CA2B5D"/>
    <w:rsid w:val="00CA7119"/>
    <w:rsid w:val="00CB67DA"/>
    <w:rsid w:val="00CD46FA"/>
    <w:rsid w:val="00CE5439"/>
    <w:rsid w:val="00CF2975"/>
    <w:rsid w:val="00CF5759"/>
    <w:rsid w:val="00D00808"/>
    <w:rsid w:val="00D015EA"/>
    <w:rsid w:val="00D63797"/>
    <w:rsid w:val="00D66BA2"/>
    <w:rsid w:val="00D80221"/>
    <w:rsid w:val="00D83290"/>
    <w:rsid w:val="00D83630"/>
    <w:rsid w:val="00D93B29"/>
    <w:rsid w:val="00DD6EF5"/>
    <w:rsid w:val="00E04AEE"/>
    <w:rsid w:val="00E105B6"/>
    <w:rsid w:val="00E1622C"/>
    <w:rsid w:val="00E30B1D"/>
    <w:rsid w:val="00E44612"/>
    <w:rsid w:val="00E51B6A"/>
    <w:rsid w:val="00E6088E"/>
    <w:rsid w:val="00E72E4F"/>
    <w:rsid w:val="00E74C80"/>
    <w:rsid w:val="00E8060A"/>
    <w:rsid w:val="00E840C3"/>
    <w:rsid w:val="00E90600"/>
    <w:rsid w:val="00ED2E45"/>
    <w:rsid w:val="00F1207C"/>
    <w:rsid w:val="00F16AB0"/>
    <w:rsid w:val="00F23A58"/>
    <w:rsid w:val="00F2586F"/>
    <w:rsid w:val="00F27B31"/>
    <w:rsid w:val="00F30E61"/>
    <w:rsid w:val="00F331E0"/>
    <w:rsid w:val="00F63832"/>
    <w:rsid w:val="00F65C47"/>
    <w:rsid w:val="00F670DE"/>
    <w:rsid w:val="00F738B0"/>
    <w:rsid w:val="00FC394A"/>
    <w:rsid w:val="00FC7AAB"/>
    <w:rsid w:val="00FD2733"/>
    <w:rsid w:val="00FF0327"/>
    <w:rsid w:val="00FF4B3E"/>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F6CCC"/>
  <w15:chartTrackingRefBased/>
  <w15:docId w15:val="{03927DAF-B199-4BB1-8F86-4AE29704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rsid w:val="00E105B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pPr>
      <w:jc w:val="center"/>
    </w:pPr>
    <w:rPr>
      <w:b/>
      <w:sz w:val="24"/>
    </w:rPr>
  </w:style>
  <w:style w:type="character" w:styleId="Hyperlink">
    <w:name w:val="Hyperlink"/>
    <w:rPr>
      <w:color w:val="0000FF"/>
      <w:u w:val="singl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CB67DA"/>
    <w:rPr>
      <w:rFonts w:ascii="Tahoma" w:hAnsi="Tahoma" w:cs="Tahoma"/>
      <w:sz w:val="16"/>
      <w:szCs w:val="16"/>
    </w:rPr>
  </w:style>
  <w:style w:type="paragraph" w:styleId="BodyTextIndent">
    <w:name w:val="Body Text Indent"/>
    <w:basedOn w:val="Normal"/>
    <w:rsid w:val="00E105B6"/>
    <w:pPr>
      <w:spacing w:after="120"/>
      <w:ind w:left="360"/>
    </w:pPr>
  </w:style>
  <w:style w:type="character" w:customStyle="1" w:styleId="HeaderChar">
    <w:name w:val="Header Char"/>
    <w:basedOn w:val="DefaultParagraphFont"/>
    <w:link w:val="Header"/>
    <w:uiPriority w:val="99"/>
    <w:rsid w:val="00F27B31"/>
  </w:style>
  <w:style w:type="character" w:styleId="UnresolvedMention">
    <w:name w:val="Unresolved Mention"/>
    <w:basedOn w:val="DefaultParagraphFont"/>
    <w:uiPriority w:val="99"/>
    <w:semiHidden/>
    <w:unhideWhenUsed/>
    <w:rsid w:val="003F0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9058">
      <w:bodyDiv w:val="1"/>
      <w:marLeft w:val="0"/>
      <w:marRight w:val="0"/>
      <w:marTop w:val="0"/>
      <w:marBottom w:val="0"/>
      <w:divBdr>
        <w:top w:val="none" w:sz="0" w:space="0" w:color="auto"/>
        <w:left w:val="none" w:sz="0" w:space="0" w:color="auto"/>
        <w:bottom w:val="none" w:sz="0" w:space="0" w:color="auto"/>
        <w:right w:val="none" w:sz="0" w:space="0" w:color="auto"/>
      </w:divBdr>
    </w:div>
    <w:div w:id="92237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ejos@oa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deluca@oas.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3A673-3E10-40EC-97F9-1C77CEEB1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311</Words>
  <Characters>1929</Characters>
  <Application>Microsoft Office Word</Application>
  <DocSecurity>0</DocSecurity>
  <Lines>45</Lines>
  <Paragraphs>18</Paragraphs>
  <ScaleCrop>false</ScaleCrop>
  <HeadingPairs>
    <vt:vector size="2" baseType="variant">
      <vt:variant>
        <vt:lpstr>Title</vt:lpstr>
      </vt:variant>
      <vt:variant>
        <vt:i4>1</vt:i4>
      </vt:variant>
    </vt:vector>
  </HeadingPairs>
  <TitlesOfParts>
    <vt:vector size="1" baseType="lpstr">
      <vt:lpstr>CONVENCION INTERAMERICANA CONTRA LA FABRICACION Y EL TRAFICO ILICITO DE ARMAS DE FUEGO, MUNICIONES, EXPLOSIVOS, Y OTROS MATERIALES RELACIONADOS</vt:lpstr>
    </vt:vector>
  </TitlesOfParts>
  <Company>OAS</Company>
  <LinksUpToDate>false</LinksUpToDate>
  <CharactersWithSpaces>2222</CharactersWithSpaces>
  <SharedDoc>false</SharedDoc>
  <HLinks>
    <vt:vector size="6" baseType="variant">
      <vt:variant>
        <vt:i4>7864386</vt:i4>
      </vt:variant>
      <vt:variant>
        <vt:i4>0</vt:i4>
      </vt:variant>
      <vt:variant>
        <vt:i4>0</vt:i4>
      </vt:variant>
      <vt:variant>
        <vt:i4>5</vt:i4>
      </vt:variant>
      <vt:variant>
        <vt:lpwstr>mailto:mbejos@oas.org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CONVENCION INTERAMERICANA CONTRA LA FABRICACION Y EL TRAFICO ILICITO DE ARMAS DE FUEGO, MUNICIONES, EXPLOSIVOS, Y OTROS MATERIALES RELACIONADOS</dc:title>
  <dc:subject/>
  <dc:creator>llangberg</dc:creator>
  <cp:keywords/>
  <dc:description/>
  <cp:lastModifiedBy>Palmer, Margaret</cp:lastModifiedBy>
  <cp:revision>3</cp:revision>
  <cp:lastPrinted>2003-03-27T17:30:00Z</cp:lastPrinted>
  <dcterms:created xsi:type="dcterms:W3CDTF">2024-04-15T21:12:00Z</dcterms:created>
  <dcterms:modified xsi:type="dcterms:W3CDTF">2024-04-16T13:22:00Z</dcterms:modified>
</cp:coreProperties>
</file>