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A6CF4" w14:textId="77777777" w:rsidR="007D35EC" w:rsidRDefault="007D35EC" w:rsidP="007D35EC">
      <w:pPr>
        <w:widowControl/>
        <w:tabs>
          <w:tab w:val="clear" w:pos="6480"/>
        </w:tabs>
        <w:suppressAutoHyphens/>
        <w:ind w:right="-720"/>
        <w:rPr>
          <w:rFonts w:cs="Times New Roman"/>
          <w:spacing w:val="-2"/>
          <w:lang w:val="fr-FR"/>
        </w:rPr>
      </w:pPr>
      <w:r>
        <w:rPr>
          <w:rFonts w:cs="Times New Roman"/>
          <w:caps/>
          <w:lang w:val="fr-FR"/>
        </w:rPr>
        <w:t>CONVENTION INTERAMÉRICAINE CONTRE</w:t>
      </w:r>
      <w:r>
        <w:rPr>
          <w:rFonts w:cs="Times New Roman"/>
          <w:spacing w:val="-2"/>
          <w:lang w:val="fr-FR"/>
        </w:rPr>
        <w:tab/>
      </w:r>
      <w:r>
        <w:rPr>
          <w:rFonts w:cs="Times New Roman"/>
          <w:spacing w:val="-2"/>
          <w:lang w:val="fr-FR"/>
        </w:rPr>
        <w:tab/>
        <w:t>OEA/Ser.L/</w:t>
      </w:r>
      <w:r>
        <w:rPr>
          <w:rFonts w:cs="Times New Roman"/>
          <w:lang w:val="fr-FR"/>
        </w:rPr>
        <w:t xml:space="preserve"> </w:t>
      </w:r>
      <w:r>
        <w:rPr>
          <w:rFonts w:cs="Times New Roman"/>
          <w:spacing w:val="-2"/>
          <w:lang w:val="fr-FR"/>
        </w:rPr>
        <w:t>XXII.2.20</w:t>
      </w:r>
    </w:p>
    <w:p w14:paraId="56F2B372" w14:textId="77777777" w:rsidR="007D35EC" w:rsidRDefault="007D35EC" w:rsidP="007D35EC">
      <w:pPr>
        <w:widowControl/>
        <w:tabs>
          <w:tab w:val="clear" w:pos="6480"/>
        </w:tabs>
        <w:suppressAutoHyphens/>
        <w:ind w:right="-929"/>
        <w:rPr>
          <w:rFonts w:cs="Times New Roman"/>
          <w:lang w:val="fr-FR"/>
        </w:rPr>
      </w:pPr>
      <w:r>
        <w:rPr>
          <w:rFonts w:cs="Times New Roman"/>
          <w:caps/>
          <w:lang w:val="fr-FR"/>
        </w:rPr>
        <w:t>LA FABRICATION ET LE TRAFIC ILLICITES</w:t>
      </w:r>
      <w:r>
        <w:rPr>
          <w:rFonts w:cs="Times New Roman"/>
          <w:caps/>
          <w:lang w:val="fr-FR"/>
        </w:rPr>
        <w:tab/>
      </w:r>
      <w:r>
        <w:rPr>
          <w:rFonts w:cs="Times New Roman"/>
          <w:caps/>
          <w:lang w:val="fr-FR"/>
        </w:rPr>
        <w:tab/>
      </w:r>
      <w:r>
        <w:rPr>
          <w:rFonts w:cs="Times New Roman"/>
          <w:spacing w:val="-2"/>
          <w:lang w:val="fr-FR"/>
        </w:rPr>
        <w:t>CIFTA/CC-XX/doc.5/20</w:t>
      </w:r>
    </w:p>
    <w:p w14:paraId="37DAEEFC" w14:textId="77777777" w:rsidR="007D35EC" w:rsidRDefault="007D35EC" w:rsidP="007D35EC">
      <w:pPr>
        <w:widowControl/>
        <w:tabs>
          <w:tab w:val="clear" w:pos="6480"/>
        </w:tabs>
        <w:suppressAutoHyphens/>
        <w:ind w:right="-720"/>
        <w:rPr>
          <w:rFonts w:cs="Times New Roman"/>
          <w:lang w:val="fr-FR"/>
        </w:rPr>
      </w:pPr>
      <w:r>
        <w:rPr>
          <w:rFonts w:cs="Times New Roman"/>
          <w:caps/>
          <w:lang w:val="fr-FR"/>
        </w:rPr>
        <w:t>D’ARMES À FEU,  DE muniTions, D’ExplosiFs</w:t>
      </w:r>
      <w:r>
        <w:rPr>
          <w:rFonts w:cs="Times New Roman"/>
          <w:spacing w:val="-2"/>
          <w:lang w:val="fr-FR"/>
        </w:rPr>
        <w:tab/>
      </w:r>
      <w:r>
        <w:rPr>
          <w:rFonts w:cs="Times New Roman"/>
          <w:spacing w:val="-2"/>
          <w:lang w:val="fr-FR"/>
        </w:rPr>
        <w:tab/>
        <w:t>17 décembre 2020</w:t>
      </w:r>
    </w:p>
    <w:p w14:paraId="650F19D4" w14:textId="77777777" w:rsidR="007D35EC" w:rsidRDefault="007D35EC" w:rsidP="007D35EC">
      <w:pPr>
        <w:widowControl/>
        <w:tabs>
          <w:tab w:val="clear" w:pos="6480"/>
        </w:tabs>
        <w:ind w:right="-720"/>
        <w:rPr>
          <w:rFonts w:cs="Times New Roman"/>
          <w:lang w:val="fr-FR"/>
        </w:rPr>
      </w:pPr>
      <w:r>
        <w:rPr>
          <w:rFonts w:cs="Times New Roman"/>
          <w:caps/>
          <w:lang w:val="fr-FR"/>
        </w:rPr>
        <w:t>ET D’AUTRES MATÉRIELS CONNEXES (CIFTA)</w:t>
      </w:r>
      <w:r>
        <w:rPr>
          <w:rFonts w:cs="Times New Roman"/>
          <w:caps/>
          <w:lang w:val="fr-FR"/>
        </w:rPr>
        <w:tab/>
      </w:r>
      <w:r>
        <w:rPr>
          <w:rFonts w:cs="Times New Roman"/>
          <w:caps/>
          <w:lang w:val="fr-FR"/>
        </w:rPr>
        <w:tab/>
      </w:r>
      <w:r>
        <w:rPr>
          <w:rFonts w:cs="Times New Roman"/>
          <w:lang w:val="fr-FR"/>
        </w:rPr>
        <w:t>Original: espagnol</w:t>
      </w:r>
    </w:p>
    <w:p w14:paraId="0F5EC385" w14:textId="77777777" w:rsidR="007D35EC" w:rsidRDefault="007D35EC" w:rsidP="007D35EC">
      <w:pPr>
        <w:widowControl/>
        <w:tabs>
          <w:tab w:val="left" w:pos="6840"/>
          <w:tab w:val="left" w:pos="7020"/>
        </w:tabs>
        <w:ind w:right="-720"/>
        <w:rPr>
          <w:rFonts w:cs="Times New Roman"/>
          <w:lang w:val="fr-FR"/>
        </w:rPr>
      </w:pPr>
      <w:r>
        <w:rPr>
          <w:rFonts w:cs="Times New Roman"/>
          <w:u w:val="single"/>
          <w:lang w:val="fr-FR"/>
        </w:rPr>
        <w:t>Comité Consultatif</w:t>
      </w:r>
    </w:p>
    <w:p w14:paraId="417F6F34" w14:textId="77777777" w:rsidR="007D35EC" w:rsidRDefault="007D35EC" w:rsidP="007D35EC">
      <w:pPr>
        <w:widowControl/>
        <w:tabs>
          <w:tab w:val="left" w:pos="6840"/>
        </w:tabs>
        <w:suppressAutoHyphens/>
        <w:ind w:right="-720"/>
        <w:rPr>
          <w:rFonts w:cs="Times New Roman"/>
          <w:spacing w:val="-2"/>
          <w:lang w:val="fr-FR"/>
        </w:rPr>
      </w:pPr>
      <w:r>
        <w:rPr>
          <w:rFonts w:cs="Times New Roman"/>
          <w:u w:val="single"/>
          <w:lang w:val="fr-FR"/>
        </w:rPr>
        <w:t>Vingtième réunion ordinaire</w:t>
      </w:r>
    </w:p>
    <w:p w14:paraId="50D9E5F9" w14:textId="77777777" w:rsidR="007D35EC" w:rsidRDefault="007D35EC" w:rsidP="007D35EC">
      <w:pPr>
        <w:widowControl/>
        <w:tabs>
          <w:tab w:val="left" w:pos="6840"/>
        </w:tabs>
        <w:suppressAutoHyphens/>
        <w:ind w:right="-720"/>
        <w:rPr>
          <w:rFonts w:cs="Times New Roman"/>
          <w:lang w:val="fr-FR"/>
        </w:rPr>
      </w:pPr>
      <w:r>
        <w:rPr>
          <w:rFonts w:cs="Times New Roman"/>
          <w:spacing w:val="-2"/>
          <w:lang w:val="fr-FR"/>
        </w:rPr>
        <w:t>17 décembre 2020</w:t>
      </w:r>
    </w:p>
    <w:p w14:paraId="52585141" w14:textId="77777777" w:rsidR="007D35EC" w:rsidRDefault="007D35EC" w:rsidP="007D35EC">
      <w:pPr>
        <w:widowControl/>
        <w:tabs>
          <w:tab w:val="left" w:pos="6840"/>
        </w:tabs>
        <w:suppressAutoHyphens/>
        <w:ind w:right="-720"/>
        <w:rPr>
          <w:rFonts w:cs="Times New Roman"/>
          <w:lang w:val="fr-FR"/>
        </w:rPr>
      </w:pPr>
      <w:r>
        <w:rPr>
          <w:rFonts w:cs="Times New Roman"/>
          <w:spacing w:val="-2"/>
          <w:lang w:val="fr-FR"/>
        </w:rPr>
        <w:t>Washington, D.C.</w:t>
      </w:r>
    </w:p>
    <w:p w14:paraId="2132159D" w14:textId="77777777" w:rsidR="007D35EC" w:rsidRDefault="007D35EC" w:rsidP="007D35EC">
      <w:pPr>
        <w:pStyle w:val="BodyText"/>
        <w:jc w:val="left"/>
        <w:rPr>
          <w:b w:val="0"/>
          <w:bCs w:val="0"/>
          <w:sz w:val="22"/>
          <w:szCs w:val="22"/>
          <w:lang w:val="fr-FR"/>
        </w:rPr>
      </w:pPr>
    </w:p>
    <w:p w14:paraId="1973EA33" w14:textId="77777777" w:rsidR="007D35EC" w:rsidRDefault="007D35EC" w:rsidP="007D35EC">
      <w:pPr>
        <w:pStyle w:val="BodyText"/>
        <w:jc w:val="left"/>
        <w:rPr>
          <w:b w:val="0"/>
          <w:bCs w:val="0"/>
          <w:sz w:val="22"/>
          <w:szCs w:val="22"/>
          <w:lang w:val="fr-FR"/>
        </w:rPr>
      </w:pPr>
    </w:p>
    <w:p w14:paraId="0EEC68EB" w14:textId="77777777" w:rsidR="007D35EC" w:rsidRDefault="007D35EC" w:rsidP="007D35EC">
      <w:pPr>
        <w:widowControl/>
        <w:jc w:val="center"/>
        <w:rPr>
          <w:rFonts w:cs="Times New Roman"/>
          <w:lang w:val="fr-FR"/>
        </w:rPr>
      </w:pPr>
    </w:p>
    <w:p w14:paraId="1E81B04D" w14:textId="77777777" w:rsidR="007D35EC" w:rsidRDefault="007D35EC" w:rsidP="007D35EC">
      <w:pPr>
        <w:widowControl/>
        <w:jc w:val="center"/>
        <w:rPr>
          <w:rFonts w:cs="Times New Roman"/>
          <w:lang w:val="fr-FR"/>
        </w:rPr>
      </w:pPr>
    </w:p>
    <w:p w14:paraId="705544E6" w14:textId="77777777" w:rsidR="007D35EC" w:rsidRDefault="007D35EC" w:rsidP="007D35EC">
      <w:pPr>
        <w:widowControl/>
        <w:jc w:val="center"/>
        <w:rPr>
          <w:rFonts w:cs="Times New Roman"/>
          <w:lang w:val="fr-FR"/>
        </w:rPr>
      </w:pPr>
    </w:p>
    <w:p w14:paraId="12411DF9" w14:textId="77777777" w:rsidR="007D35EC" w:rsidRDefault="007D35EC" w:rsidP="007D35EC">
      <w:pPr>
        <w:widowControl/>
        <w:jc w:val="center"/>
        <w:rPr>
          <w:rFonts w:cs="Times New Roman"/>
          <w:lang w:val="fr-FR"/>
        </w:rPr>
      </w:pPr>
    </w:p>
    <w:p w14:paraId="67279B04" w14:textId="77777777" w:rsidR="007D35EC" w:rsidRDefault="007D35EC" w:rsidP="007D35EC">
      <w:pPr>
        <w:widowControl/>
        <w:jc w:val="center"/>
        <w:rPr>
          <w:rFonts w:cs="Times New Roman"/>
          <w:lang w:val="fr-FR"/>
        </w:rPr>
      </w:pPr>
    </w:p>
    <w:p w14:paraId="7572E62E" w14:textId="77777777" w:rsidR="007D35EC" w:rsidRDefault="007D35EC" w:rsidP="007D35EC">
      <w:pPr>
        <w:widowControl/>
        <w:jc w:val="center"/>
        <w:rPr>
          <w:rFonts w:cs="Times New Roman"/>
          <w:lang w:val="fr-FR"/>
        </w:rPr>
      </w:pPr>
    </w:p>
    <w:p w14:paraId="53F56AF8" w14:textId="77777777" w:rsidR="007D35EC" w:rsidRDefault="007D35EC" w:rsidP="007D35EC">
      <w:pPr>
        <w:widowControl/>
        <w:jc w:val="center"/>
        <w:rPr>
          <w:rFonts w:cs="Times New Roman"/>
          <w:lang w:val="fr-FR"/>
        </w:rPr>
      </w:pPr>
    </w:p>
    <w:p w14:paraId="09159A78" w14:textId="77777777" w:rsidR="007D35EC" w:rsidRDefault="007D35EC" w:rsidP="007D35EC">
      <w:pPr>
        <w:widowControl/>
        <w:jc w:val="center"/>
        <w:rPr>
          <w:rFonts w:cs="Times New Roman"/>
          <w:lang w:val="fr-FR"/>
        </w:rPr>
      </w:pPr>
    </w:p>
    <w:p w14:paraId="1CD39010" w14:textId="77777777" w:rsidR="007D35EC" w:rsidRDefault="007D35EC" w:rsidP="007D35EC">
      <w:pPr>
        <w:widowControl/>
        <w:jc w:val="center"/>
        <w:rPr>
          <w:rFonts w:cs="Times New Roman"/>
          <w:lang w:val="fr-FR"/>
        </w:rPr>
      </w:pPr>
    </w:p>
    <w:p w14:paraId="7B4A7E91" w14:textId="77777777" w:rsidR="007D35EC" w:rsidRDefault="007D35EC" w:rsidP="007D35EC">
      <w:pPr>
        <w:widowControl/>
        <w:jc w:val="center"/>
        <w:rPr>
          <w:rFonts w:cs="Times New Roman"/>
          <w:lang w:val="fr-FR"/>
        </w:rPr>
      </w:pPr>
    </w:p>
    <w:p w14:paraId="73E668D3" w14:textId="77777777" w:rsidR="007D35EC" w:rsidRDefault="007D35EC" w:rsidP="007D35EC">
      <w:pPr>
        <w:widowControl/>
        <w:jc w:val="center"/>
        <w:rPr>
          <w:rFonts w:cs="Times New Roman"/>
          <w:lang w:val="fr-FR"/>
        </w:rPr>
      </w:pPr>
    </w:p>
    <w:p w14:paraId="69505312" w14:textId="77777777" w:rsidR="007D35EC" w:rsidRDefault="007D35EC" w:rsidP="007D35EC">
      <w:pPr>
        <w:widowControl/>
        <w:jc w:val="center"/>
        <w:rPr>
          <w:rFonts w:cs="Times New Roman"/>
          <w:b/>
          <w:bCs/>
          <w:caps/>
          <w:lang w:val="fr-FR"/>
        </w:rPr>
      </w:pPr>
    </w:p>
    <w:p w14:paraId="498FD372" w14:textId="77777777" w:rsidR="007D35EC" w:rsidRDefault="007D35EC" w:rsidP="007D35EC">
      <w:pPr>
        <w:widowControl/>
        <w:jc w:val="center"/>
        <w:rPr>
          <w:rFonts w:cs="Times New Roman"/>
          <w:b/>
          <w:bCs/>
          <w:caps/>
          <w:lang w:val="fr-FR"/>
        </w:rPr>
      </w:pPr>
    </w:p>
    <w:p w14:paraId="2DAFAA8F" w14:textId="77777777" w:rsidR="007D35EC" w:rsidRDefault="007D35EC" w:rsidP="007D35EC">
      <w:pPr>
        <w:widowControl/>
        <w:jc w:val="center"/>
        <w:rPr>
          <w:rFonts w:cs="Times New Roman"/>
          <w:b/>
          <w:bCs/>
          <w:caps/>
          <w:lang w:val="fr-FR"/>
        </w:rPr>
      </w:pPr>
    </w:p>
    <w:p w14:paraId="472F0A3D" w14:textId="77777777" w:rsidR="007D35EC" w:rsidRDefault="007D35EC" w:rsidP="007D35EC">
      <w:pPr>
        <w:widowControl/>
        <w:jc w:val="center"/>
        <w:rPr>
          <w:rFonts w:cs="Times New Roman"/>
          <w:b/>
          <w:bCs/>
          <w:caps/>
          <w:lang w:val="fr-FR"/>
        </w:rPr>
      </w:pPr>
    </w:p>
    <w:p w14:paraId="72A89B47" w14:textId="77777777" w:rsidR="007D35EC" w:rsidRDefault="007D35EC" w:rsidP="007D35EC">
      <w:pPr>
        <w:widowControl/>
        <w:jc w:val="center"/>
        <w:rPr>
          <w:rFonts w:cs="Times New Roman"/>
          <w:b/>
          <w:bCs/>
          <w:caps/>
          <w:lang w:val="fr-FR"/>
        </w:rPr>
      </w:pPr>
    </w:p>
    <w:p w14:paraId="4959D9D2" w14:textId="77777777" w:rsidR="007D35EC" w:rsidRDefault="007D35EC" w:rsidP="007D35EC">
      <w:pPr>
        <w:widowControl/>
        <w:jc w:val="center"/>
        <w:rPr>
          <w:rFonts w:cs="Times New Roman"/>
          <w:caps/>
          <w:lang w:val="fr-FR"/>
        </w:rPr>
      </w:pPr>
      <w:r>
        <w:rPr>
          <w:rFonts w:cs="Times New Roman"/>
          <w:lang w:val="fr-FR"/>
        </w:rPr>
        <w:t xml:space="preserve">CE DOCUMENT EST CLASSÉ COMME </w:t>
      </w:r>
      <w:r>
        <w:rPr>
          <w:spacing w:val="-2"/>
          <w:lang w:val="fr-FR"/>
        </w:rPr>
        <w:t>CIFTA/CC-XX/doc.13/21</w:t>
      </w:r>
    </w:p>
    <w:p w14:paraId="17061DD7" w14:textId="77777777" w:rsidR="007D35EC" w:rsidRDefault="007D35EC" w:rsidP="007D35EC">
      <w:pPr>
        <w:widowControl/>
        <w:jc w:val="center"/>
        <w:rPr>
          <w:rFonts w:cs="Times New Roman"/>
          <w:lang w:val="fr-FR"/>
        </w:rPr>
      </w:pPr>
    </w:p>
    <w:p w14:paraId="38566FDE" w14:textId="77777777" w:rsidR="00377A6A" w:rsidRPr="00377A6A" w:rsidRDefault="00377A6A" w:rsidP="00377A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cs="Times New Roman"/>
          <w:lang w:val="fr-FR"/>
        </w:rPr>
        <w:sectPr w:rsidR="00377A6A" w:rsidRPr="00377A6A" w:rsidSect="00377A6A">
          <w:headerReference w:type="default" r:id="rId10"/>
          <w:pgSz w:w="12240" w:h="15840" w:code="1"/>
          <w:pgMar w:top="2160" w:right="1570" w:bottom="1296" w:left="1699" w:header="1296" w:footer="1296" w:gutter="0"/>
          <w:pgNumType w:start="1"/>
          <w:cols w:space="720"/>
          <w:titlePg/>
        </w:sectPr>
      </w:pPr>
      <w:bookmarkStart w:id="0" w:name="_GoBack"/>
      <w:bookmarkEnd w:id="0"/>
    </w:p>
    <w:p w14:paraId="6067F898" w14:textId="7C6135B6" w:rsidR="00CE3347" w:rsidRPr="00377A6A" w:rsidRDefault="00CE3347" w:rsidP="00377A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cs="Times New Roman"/>
          <w:lang w:val="fr-FR"/>
        </w:rPr>
      </w:pPr>
      <w:r w:rsidRPr="00377A6A">
        <w:rPr>
          <w:rFonts w:cs="Times New Roman"/>
          <w:lang w:val="fr-FR"/>
        </w:rPr>
        <w:lastRenderedPageBreak/>
        <w:t xml:space="preserve">ACTIVITÉS </w:t>
      </w:r>
      <w:r w:rsidR="00AE4E14" w:rsidRPr="00377A6A">
        <w:rPr>
          <w:rFonts w:cs="Times New Roman"/>
          <w:lang w:val="fr-FR"/>
        </w:rPr>
        <w:t>MEN</w:t>
      </w:r>
      <w:r w:rsidRPr="00377A6A">
        <w:rPr>
          <w:rFonts w:cs="Times New Roman"/>
          <w:lang w:val="fr-FR"/>
        </w:rPr>
        <w:t xml:space="preserve">ÉES PAR LE SECRÉTARIAT TECHNIQUE </w:t>
      </w:r>
      <w:r w:rsidR="00AE4E14" w:rsidRPr="00377A6A">
        <w:rPr>
          <w:rFonts w:cs="Times New Roman"/>
          <w:lang w:val="fr-FR"/>
        </w:rPr>
        <w:t>EN VUE DE</w:t>
      </w:r>
      <w:r w:rsidRPr="00377A6A">
        <w:rPr>
          <w:rFonts w:cs="Times New Roman"/>
          <w:lang w:val="fr-FR"/>
        </w:rPr>
        <w:t xml:space="preserve"> LA </w:t>
      </w:r>
    </w:p>
    <w:p w14:paraId="3DE99E27" w14:textId="7573393E" w:rsidR="00BE4A43" w:rsidRPr="00377A6A" w:rsidRDefault="00CE3347" w:rsidP="00377A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cs="Times New Roman"/>
          <w:b/>
          <w:bCs/>
          <w:caps/>
          <w:lang w:val="fr-FR"/>
        </w:rPr>
      </w:pPr>
      <w:r w:rsidRPr="00377A6A">
        <w:rPr>
          <w:rFonts w:cs="Times New Roman"/>
          <w:lang w:val="fr-FR"/>
        </w:rPr>
        <w:t>MISE EN ŒUVRE DE LA CIFTA</w:t>
      </w:r>
    </w:p>
    <w:p w14:paraId="46651E4D" w14:textId="77777777" w:rsidR="00BE4A43" w:rsidRPr="00377A6A" w:rsidRDefault="00BE4A43" w:rsidP="00377A6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cs="Times New Roman"/>
          <w:lang w:val="fr-FR"/>
        </w:rPr>
      </w:pPr>
    </w:p>
    <w:p w14:paraId="30484B89" w14:textId="5C0D7D78" w:rsidR="009608EE" w:rsidRPr="00377A6A" w:rsidRDefault="00CE3347" w:rsidP="00377A6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line="360" w:lineRule="auto"/>
        <w:ind w:firstLine="720"/>
        <w:rPr>
          <w:rFonts w:cs="Times New Roman"/>
          <w:lang w:val="fr-FR"/>
        </w:rPr>
      </w:pPr>
      <w:r w:rsidRPr="00377A6A">
        <w:rPr>
          <w:rFonts w:cs="Times New Roman"/>
          <w:lang w:val="fr-FR"/>
        </w:rPr>
        <w:t xml:space="preserve">Le Secrétariat technique de la Convention interaméricaine contre la fabrication et le trafic illicites d'armes à feu, de munitions, d'explosifs et d'autres matériels connexes (CIFTA), composé du Département de la sécurité publique et du Département contre la criminalité transnationale organisée du </w:t>
      </w:r>
      <w:r w:rsidR="00721265" w:rsidRPr="00377A6A">
        <w:rPr>
          <w:rFonts w:cs="Times New Roman"/>
          <w:lang w:val="fr-FR"/>
        </w:rPr>
        <w:t xml:space="preserve">Secrétariat à la sécurité multidimensionnelle </w:t>
      </w:r>
      <w:r w:rsidRPr="00377A6A">
        <w:rPr>
          <w:rFonts w:cs="Times New Roman"/>
          <w:lang w:val="fr-FR"/>
        </w:rPr>
        <w:t xml:space="preserve">de l'Organisation des États américains, a le plaisir de présenter ce rapport sur les activités menées en 2020, dans le cadre de l'actuel </w:t>
      </w:r>
      <w:r w:rsidR="00721265" w:rsidRPr="00377A6A">
        <w:rPr>
          <w:rFonts w:cs="Times New Roman"/>
          <w:lang w:val="fr-FR"/>
        </w:rPr>
        <w:t>P</w:t>
      </w:r>
      <w:r w:rsidRPr="00377A6A">
        <w:rPr>
          <w:rFonts w:cs="Times New Roman"/>
          <w:lang w:val="fr-FR"/>
        </w:rPr>
        <w:t xml:space="preserve">lan d'action pour le fonctionnement et </w:t>
      </w:r>
      <w:r w:rsidR="00721265" w:rsidRPr="00377A6A">
        <w:rPr>
          <w:rFonts w:cs="Times New Roman"/>
          <w:lang w:val="fr-FR"/>
        </w:rPr>
        <w:t>l’application</w:t>
      </w:r>
      <w:r w:rsidRPr="00377A6A">
        <w:rPr>
          <w:rFonts w:cs="Times New Roman"/>
          <w:lang w:val="fr-FR"/>
        </w:rPr>
        <w:t xml:space="preserve"> de la CIFTA</w:t>
      </w:r>
      <w:r w:rsidR="009C6E6F" w:rsidRPr="00377A6A">
        <w:rPr>
          <w:rFonts w:cs="Times New Roman"/>
          <w:lang w:val="fr-FR"/>
        </w:rPr>
        <w:t>.</w:t>
      </w:r>
    </w:p>
    <w:p w14:paraId="60869F42" w14:textId="58D3C8E8" w:rsidR="006B543D" w:rsidRPr="00377A6A" w:rsidRDefault="00CE3347" w:rsidP="00377A6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line="360" w:lineRule="auto"/>
        <w:ind w:firstLine="720"/>
        <w:rPr>
          <w:rFonts w:cs="Times New Roman"/>
          <w:lang w:val="fr-FR"/>
        </w:rPr>
      </w:pPr>
      <w:r w:rsidRPr="00377A6A">
        <w:rPr>
          <w:rFonts w:cs="Times New Roman"/>
          <w:lang w:val="fr-FR"/>
        </w:rPr>
        <w:t xml:space="preserve">Conscient de la nécessité de continuer à soutenir les États parties dans le renforcement de leurs capacités à </w:t>
      </w:r>
      <w:r w:rsidR="00895DDB" w:rsidRPr="00377A6A">
        <w:rPr>
          <w:rFonts w:cs="Times New Roman"/>
          <w:lang w:val="fr-FR"/>
        </w:rPr>
        <w:t>exécuter</w:t>
      </w:r>
      <w:r w:rsidR="00D13F45" w:rsidRPr="00377A6A">
        <w:rPr>
          <w:rFonts w:cs="Times New Roman"/>
          <w:lang w:val="fr-FR"/>
        </w:rPr>
        <w:t xml:space="preserve"> le</w:t>
      </w:r>
      <w:r w:rsidRPr="00377A6A">
        <w:rPr>
          <w:rFonts w:cs="Times New Roman"/>
          <w:lang w:val="fr-FR"/>
        </w:rPr>
        <w:t xml:space="preserve"> Plan d'action et</w:t>
      </w:r>
      <w:r w:rsidR="003719C3" w:rsidRPr="00377A6A">
        <w:rPr>
          <w:rFonts w:cs="Times New Roman"/>
          <w:lang w:val="fr-FR"/>
        </w:rPr>
        <w:t xml:space="preserve"> à</w:t>
      </w:r>
      <w:r w:rsidRPr="00377A6A">
        <w:rPr>
          <w:rFonts w:cs="Times New Roman"/>
          <w:lang w:val="fr-FR"/>
        </w:rPr>
        <w:t xml:space="preserve"> </w:t>
      </w:r>
      <w:r w:rsidR="00D13F45" w:rsidRPr="00377A6A">
        <w:rPr>
          <w:rFonts w:cs="Times New Roman"/>
          <w:lang w:val="fr-FR"/>
        </w:rPr>
        <w:t>s’acquitter des</w:t>
      </w:r>
      <w:r w:rsidRPr="00377A6A">
        <w:rPr>
          <w:rFonts w:cs="Times New Roman"/>
          <w:lang w:val="fr-FR"/>
        </w:rPr>
        <w:t xml:space="preserve"> obligations</w:t>
      </w:r>
      <w:r w:rsidR="00D13F45" w:rsidRPr="00377A6A">
        <w:rPr>
          <w:rFonts w:cs="Times New Roman"/>
          <w:lang w:val="fr-FR"/>
        </w:rPr>
        <w:t xml:space="preserve"> souscrites dans le cadre</w:t>
      </w:r>
      <w:r w:rsidRPr="00377A6A">
        <w:rPr>
          <w:rFonts w:cs="Times New Roman"/>
          <w:lang w:val="fr-FR"/>
        </w:rPr>
        <w:t xml:space="preserve"> de la CIFTA, le Secrétariat technique a </w:t>
      </w:r>
      <w:r w:rsidR="00A226FD" w:rsidRPr="00377A6A">
        <w:rPr>
          <w:rFonts w:cs="Times New Roman"/>
          <w:lang w:val="fr-FR"/>
        </w:rPr>
        <w:t>élaboré</w:t>
      </w:r>
      <w:r w:rsidRPr="00377A6A">
        <w:rPr>
          <w:rFonts w:cs="Times New Roman"/>
          <w:lang w:val="fr-FR"/>
        </w:rPr>
        <w:t xml:space="preserve"> et mis en œuvre des stratégies visant à (i) améliorer les capacités opérationnelles des États parties </w:t>
      </w:r>
      <w:r w:rsidR="00A226FD" w:rsidRPr="00377A6A">
        <w:rPr>
          <w:rFonts w:cs="Times New Roman"/>
          <w:lang w:val="fr-FR"/>
        </w:rPr>
        <w:t>en matière de</w:t>
      </w:r>
      <w:r w:rsidRPr="00377A6A">
        <w:rPr>
          <w:rFonts w:cs="Times New Roman"/>
          <w:lang w:val="fr-FR"/>
        </w:rPr>
        <w:t xml:space="preserve"> marquage, d</w:t>
      </w:r>
      <w:r w:rsidR="00A226FD" w:rsidRPr="00377A6A">
        <w:rPr>
          <w:rFonts w:cs="Times New Roman"/>
          <w:lang w:val="fr-FR"/>
        </w:rPr>
        <w:t>e</w:t>
      </w:r>
      <w:r w:rsidRPr="00377A6A">
        <w:rPr>
          <w:rFonts w:cs="Times New Roman"/>
          <w:lang w:val="fr-FR"/>
        </w:rPr>
        <w:t xml:space="preserve"> traçage, d</w:t>
      </w:r>
      <w:r w:rsidR="00A226FD" w:rsidRPr="00377A6A">
        <w:rPr>
          <w:rFonts w:cs="Times New Roman"/>
          <w:lang w:val="fr-FR"/>
        </w:rPr>
        <w:t>e</w:t>
      </w:r>
      <w:r w:rsidRPr="00377A6A">
        <w:rPr>
          <w:rFonts w:cs="Times New Roman"/>
          <w:lang w:val="fr-FR"/>
        </w:rPr>
        <w:t xml:space="preserve"> destruction et d</w:t>
      </w:r>
      <w:r w:rsidR="00A226FD" w:rsidRPr="00377A6A">
        <w:rPr>
          <w:rFonts w:cs="Times New Roman"/>
          <w:lang w:val="fr-FR"/>
        </w:rPr>
        <w:t>e</w:t>
      </w:r>
      <w:r w:rsidRPr="00377A6A">
        <w:rPr>
          <w:rFonts w:cs="Times New Roman"/>
          <w:lang w:val="fr-FR"/>
        </w:rPr>
        <w:t xml:space="preserve"> stockage des armes légères et de petit calibre, des munitions et des matériels connexes ; (ii) aider les pays à </w:t>
      </w:r>
      <w:r w:rsidR="00A226FD" w:rsidRPr="00377A6A">
        <w:rPr>
          <w:rFonts w:cs="Times New Roman"/>
          <w:lang w:val="fr-FR"/>
        </w:rPr>
        <w:t>réviser</w:t>
      </w:r>
      <w:r w:rsidRPr="00377A6A">
        <w:rPr>
          <w:rFonts w:cs="Times New Roman"/>
          <w:lang w:val="fr-FR"/>
        </w:rPr>
        <w:t xml:space="preserve"> leur cadre réglementaire en matière d'armes à feu, en tenant compte des obligations et des normes de la CIFTA ; (iii) renforcer les capacités des pays à enquêter sur les </w:t>
      </w:r>
      <w:r w:rsidR="00A226FD" w:rsidRPr="00377A6A">
        <w:rPr>
          <w:rFonts w:cs="Times New Roman"/>
          <w:lang w:val="fr-FR"/>
        </w:rPr>
        <w:t>infractions</w:t>
      </w:r>
      <w:r w:rsidRPr="00377A6A">
        <w:rPr>
          <w:rFonts w:cs="Times New Roman"/>
          <w:lang w:val="fr-FR"/>
        </w:rPr>
        <w:t xml:space="preserve"> lié</w:t>
      </w:r>
      <w:r w:rsidR="00A226FD" w:rsidRPr="00377A6A">
        <w:rPr>
          <w:rFonts w:cs="Times New Roman"/>
          <w:lang w:val="fr-FR"/>
        </w:rPr>
        <w:t>e</w:t>
      </w:r>
      <w:r w:rsidRPr="00377A6A">
        <w:rPr>
          <w:rFonts w:cs="Times New Roman"/>
          <w:lang w:val="fr-FR"/>
        </w:rPr>
        <w:t>s au trafic illicite et à la prolifération des armes à feu.</w:t>
      </w:r>
      <w:r w:rsidR="00C07BF2" w:rsidRPr="00377A6A">
        <w:rPr>
          <w:rFonts w:cs="Times New Roman"/>
          <w:lang w:val="fr-FR"/>
        </w:rPr>
        <w:t xml:space="preserve"> </w:t>
      </w:r>
    </w:p>
    <w:p w14:paraId="279894AC" w14:textId="49D3757B" w:rsidR="00C07BF2" w:rsidRPr="00377A6A" w:rsidRDefault="00CE3347" w:rsidP="00377A6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line="360" w:lineRule="auto"/>
        <w:ind w:firstLine="720"/>
        <w:rPr>
          <w:rFonts w:cs="Times New Roman"/>
          <w:lang w:val="fr-FR"/>
        </w:rPr>
      </w:pPr>
      <w:r w:rsidRPr="00377A6A">
        <w:rPr>
          <w:rFonts w:cs="Times New Roman"/>
          <w:lang w:val="fr-FR"/>
        </w:rPr>
        <w:t>En raison de la pandémie</w:t>
      </w:r>
      <w:r w:rsidR="00A226FD" w:rsidRPr="00377A6A">
        <w:rPr>
          <w:rFonts w:cs="Times New Roman"/>
          <w:lang w:val="fr-FR"/>
        </w:rPr>
        <w:t xml:space="preserve"> de</w:t>
      </w:r>
      <w:r w:rsidRPr="00377A6A">
        <w:rPr>
          <w:rFonts w:cs="Times New Roman"/>
          <w:lang w:val="fr-FR"/>
        </w:rPr>
        <w:t xml:space="preserve"> COVID-19 et de la gravité de la crise sanitaire qui touch</w:t>
      </w:r>
      <w:r w:rsidR="00A226FD" w:rsidRPr="00377A6A">
        <w:rPr>
          <w:rFonts w:cs="Times New Roman"/>
          <w:lang w:val="fr-FR"/>
        </w:rPr>
        <w:t>e</w:t>
      </w:r>
      <w:r w:rsidRPr="00377A6A">
        <w:rPr>
          <w:rFonts w:cs="Times New Roman"/>
          <w:lang w:val="fr-FR"/>
        </w:rPr>
        <w:t xml:space="preserve"> les pays de la région, le Secrétariat technique a dû faire face à une série de </w:t>
      </w:r>
      <w:r w:rsidR="003A619B" w:rsidRPr="00377A6A">
        <w:rPr>
          <w:rFonts w:cs="Times New Roman"/>
          <w:lang w:val="fr-FR"/>
        </w:rPr>
        <w:t>difficultés</w:t>
      </w:r>
      <w:r w:rsidRPr="00377A6A">
        <w:rPr>
          <w:rFonts w:cs="Times New Roman"/>
          <w:lang w:val="fr-FR"/>
        </w:rPr>
        <w:t xml:space="preserve"> logistiques et opérationnels pour mener à bien ces activités </w:t>
      </w:r>
      <w:r w:rsidR="00577433" w:rsidRPr="00377A6A">
        <w:rPr>
          <w:rFonts w:cs="Times New Roman"/>
          <w:lang w:val="fr-FR"/>
        </w:rPr>
        <w:t>en</w:t>
      </w:r>
      <w:r w:rsidRPr="00377A6A">
        <w:rPr>
          <w:rFonts w:cs="Times New Roman"/>
          <w:lang w:val="fr-FR"/>
        </w:rPr>
        <w:t xml:space="preserve"> 2020. Les mesures restrictives adoptées par les pays, y compris les restrictions </w:t>
      </w:r>
      <w:r w:rsidR="00883C8E" w:rsidRPr="00377A6A">
        <w:rPr>
          <w:rFonts w:cs="Times New Roman"/>
          <w:lang w:val="fr-FR"/>
        </w:rPr>
        <w:t xml:space="preserve">en matière </w:t>
      </w:r>
      <w:r w:rsidRPr="00377A6A">
        <w:rPr>
          <w:rFonts w:cs="Times New Roman"/>
          <w:lang w:val="fr-FR"/>
        </w:rPr>
        <w:t>de voyage, l</w:t>
      </w:r>
      <w:r w:rsidR="00883C8E" w:rsidRPr="00377A6A">
        <w:rPr>
          <w:rFonts w:cs="Times New Roman"/>
          <w:lang w:val="fr-FR"/>
        </w:rPr>
        <w:t>a</w:t>
      </w:r>
      <w:r w:rsidRPr="00377A6A">
        <w:rPr>
          <w:rFonts w:cs="Times New Roman"/>
          <w:lang w:val="fr-FR"/>
        </w:rPr>
        <w:t xml:space="preserve"> fermetures de</w:t>
      </w:r>
      <w:r w:rsidR="00446D4F" w:rsidRPr="00377A6A">
        <w:rPr>
          <w:rFonts w:cs="Times New Roman"/>
          <w:lang w:val="fr-FR"/>
        </w:rPr>
        <w:t>s</w:t>
      </w:r>
      <w:r w:rsidRPr="00377A6A">
        <w:rPr>
          <w:rFonts w:cs="Times New Roman"/>
          <w:lang w:val="fr-FR"/>
        </w:rPr>
        <w:t xml:space="preserve"> frontières et </w:t>
      </w:r>
      <w:r w:rsidR="00883C8E" w:rsidRPr="00377A6A">
        <w:rPr>
          <w:rFonts w:cs="Times New Roman"/>
          <w:lang w:val="fr-FR"/>
        </w:rPr>
        <w:t>le confinement</w:t>
      </w:r>
      <w:r w:rsidRPr="00377A6A">
        <w:rPr>
          <w:rFonts w:cs="Times New Roman"/>
          <w:lang w:val="fr-FR"/>
        </w:rPr>
        <w:t>, ont rendu difficile la réalisation d'activités opérationnelles sur le terrain. Toutefois, grâce à l'adoption de stratégies créatives dans</w:t>
      </w:r>
      <w:r w:rsidR="009A47FE" w:rsidRPr="00377A6A">
        <w:rPr>
          <w:rFonts w:cs="Times New Roman"/>
          <w:lang w:val="fr-FR"/>
        </w:rPr>
        <w:t xml:space="preserve"> le cadre de</w:t>
      </w:r>
      <w:r w:rsidRPr="00377A6A">
        <w:rPr>
          <w:rFonts w:cs="Times New Roman"/>
          <w:lang w:val="fr-FR"/>
        </w:rPr>
        <w:t xml:space="preserve"> nos programmes, il a été possible d'</w:t>
      </w:r>
      <w:r w:rsidR="00883C8E" w:rsidRPr="00377A6A">
        <w:rPr>
          <w:rFonts w:cs="Times New Roman"/>
          <w:lang w:val="fr-FR"/>
        </w:rPr>
        <w:t>éviter l’arrêt</w:t>
      </w:r>
      <w:r w:rsidRPr="00377A6A">
        <w:rPr>
          <w:rFonts w:cs="Times New Roman"/>
          <w:lang w:val="fr-FR"/>
        </w:rPr>
        <w:t xml:space="preserve"> compl</w:t>
      </w:r>
      <w:r w:rsidR="00883C8E" w:rsidRPr="00377A6A">
        <w:rPr>
          <w:rFonts w:cs="Times New Roman"/>
          <w:lang w:val="fr-FR"/>
        </w:rPr>
        <w:t>et</w:t>
      </w:r>
      <w:r w:rsidRPr="00377A6A">
        <w:rPr>
          <w:rFonts w:cs="Times New Roman"/>
          <w:lang w:val="fr-FR"/>
        </w:rPr>
        <w:t xml:space="preserve"> </w:t>
      </w:r>
      <w:r w:rsidR="00883C8E" w:rsidRPr="00377A6A">
        <w:rPr>
          <w:rFonts w:cs="Times New Roman"/>
          <w:lang w:val="fr-FR"/>
        </w:rPr>
        <w:t>d</w:t>
      </w:r>
      <w:r w:rsidRPr="00377A6A">
        <w:rPr>
          <w:rFonts w:cs="Times New Roman"/>
          <w:lang w:val="fr-FR"/>
        </w:rPr>
        <w:t xml:space="preserve">es activités et de réaliser des progrès </w:t>
      </w:r>
      <w:r w:rsidR="00883C8E" w:rsidRPr="00377A6A">
        <w:rPr>
          <w:rFonts w:cs="Times New Roman"/>
          <w:lang w:val="fr-FR"/>
        </w:rPr>
        <w:t>appréciables</w:t>
      </w:r>
      <w:r w:rsidRPr="00377A6A">
        <w:rPr>
          <w:rFonts w:cs="Times New Roman"/>
          <w:lang w:val="fr-FR"/>
        </w:rPr>
        <w:t xml:space="preserve">, </w:t>
      </w:r>
      <w:r w:rsidR="00883C8E" w:rsidRPr="00377A6A">
        <w:rPr>
          <w:rFonts w:cs="Times New Roman"/>
          <w:lang w:val="fr-FR"/>
        </w:rPr>
        <w:t>ainsi qu’il est précisé</w:t>
      </w:r>
      <w:r w:rsidRPr="00377A6A">
        <w:rPr>
          <w:rFonts w:cs="Times New Roman"/>
          <w:lang w:val="fr-FR"/>
        </w:rPr>
        <w:t xml:space="preserve"> ci-</w:t>
      </w:r>
      <w:r w:rsidR="00883C8E" w:rsidRPr="00377A6A">
        <w:rPr>
          <w:rFonts w:cs="Times New Roman"/>
          <w:lang w:val="fr-FR"/>
        </w:rPr>
        <w:t>après</w:t>
      </w:r>
      <w:r w:rsidRPr="00377A6A">
        <w:rPr>
          <w:rFonts w:cs="Times New Roman"/>
          <w:lang w:val="fr-FR"/>
        </w:rPr>
        <w:t xml:space="preserve">, dans les domaines suivants </w:t>
      </w:r>
      <w:r w:rsidR="001A342B" w:rsidRPr="00377A6A">
        <w:rPr>
          <w:rFonts w:cs="Times New Roman"/>
          <w:lang w:val="fr-FR"/>
        </w:rPr>
        <w:t>:</w:t>
      </w:r>
    </w:p>
    <w:p w14:paraId="238C6154" w14:textId="29FFCFD5" w:rsidR="001A342B" w:rsidRPr="00377A6A" w:rsidRDefault="009A47FE" w:rsidP="00377A6A">
      <w:pPr>
        <w:pStyle w:val="ListParagraph"/>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spacing w:after="120" w:line="360" w:lineRule="auto"/>
        <w:ind w:hanging="720"/>
        <w:rPr>
          <w:rFonts w:cs="Times New Roman"/>
          <w:b/>
          <w:lang w:val="fr-FR"/>
        </w:rPr>
      </w:pPr>
      <w:r w:rsidRPr="00377A6A">
        <w:rPr>
          <w:rFonts w:cs="Times New Roman"/>
          <w:b/>
          <w:lang w:val="fr-FR"/>
        </w:rPr>
        <w:t>P</w:t>
      </w:r>
      <w:r w:rsidR="00CE3347" w:rsidRPr="00377A6A">
        <w:rPr>
          <w:rFonts w:cs="Times New Roman"/>
          <w:b/>
          <w:lang w:val="fr-FR"/>
        </w:rPr>
        <w:t>rojet</w:t>
      </w:r>
      <w:r w:rsidR="00812BDA" w:rsidRPr="00377A6A">
        <w:rPr>
          <w:rFonts w:cs="Times New Roman"/>
          <w:b/>
          <w:lang w:val="fr-FR"/>
        </w:rPr>
        <w:t xml:space="preserve"> </w:t>
      </w:r>
      <w:r w:rsidRPr="00377A6A">
        <w:rPr>
          <w:rFonts w:cs="Times New Roman"/>
          <w:b/>
          <w:lang w:val="fr-FR"/>
        </w:rPr>
        <w:t>d’a</w:t>
      </w:r>
      <w:r w:rsidR="001E2125" w:rsidRPr="00377A6A">
        <w:rPr>
          <w:rFonts w:cs="Times New Roman"/>
          <w:b/>
          <w:lang w:val="fr-FR"/>
        </w:rPr>
        <w:t>ppui à la</w:t>
      </w:r>
      <w:r w:rsidR="00883C8E" w:rsidRPr="00377A6A">
        <w:rPr>
          <w:rFonts w:cs="Times New Roman"/>
          <w:b/>
          <w:lang w:val="fr-FR"/>
        </w:rPr>
        <w:t xml:space="preserve"> l</w:t>
      </w:r>
      <w:r w:rsidR="00CE3347" w:rsidRPr="00377A6A">
        <w:rPr>
          <w:rFonts w:cs="Times New Roman"/>
          <w:b/>
          <w:lang w:val="fr-FR"/>
        </w:rPr>
        <w:t>utte contre la prolifération et le trafic illicites d</w:t>
      </w:r>
      <w:r w:rsidR="001E2125" w:rsidRPr="00377A6A">
        <w:rPr>
          <w:rFonts w:cs="Times New Roman"/>
          <w:b/>
          <w:lang w:val="fr-FR"/>
        </w:rPr>
        <w:t>’</w:t>
      </w:r>
      <w:r w:rsidR="00CE3347" w:rsidRPr="00377A6A">
        <w:rPr>
          <w:rFonts w:cs="Times New Roman"/>
          <w:b/>
          <w:lang w:val="fr-FR"/>
        </w:rPr>
        <w:t xml:space="preserve">armes légères et de petit calibre et de leurs munitions et </w:t>
      </w:r>
      <w:r w:rsidR="00D4750C" w:rsidRPr="00377A6A">
        <w:rPr>
          <w:rFonts w:cs="Times New Roman"/>
          <w:b/>
          <w:lang w:val="fr-FR"/>
        </w:rPr>
        <w:t>contre leur</w:t>
      </w:r>
      <w:r w:rsidR="00CE3347" w:rsidRPr="00377A6A">
        <w:rPr>
          <w:rFonts w:cs="Times New Roman"/>
          <w:b/>
          <w:lang w:val="fr-FR"/>
        </w:rPr>
        <w:t xml:space="preserve"> impact </w:t>
      </w:r>
      <w:r w:rsidR="00D4750C" w:rsidRPr="00377A6A">
        <w:rPr>
          <w:rFonts w:cs="Times New Roman"/>
          <w:b/>
          <w:lang w:val="fr-FR"/>
        </w:rPr>
        <w:t xml:space="preserve">en </w:t>
      </w:r>
      <w:r w:rsidR="00CE3347" w:rsidRPr="00377A6A">
        <w:rPr>
          <w:rFonts w:cs="Times New Roman"/>
          <w:b/>
          <w:lang w:val="fr-FR"/>
        </w:rPr>
        <w:t xml:space="preserve">Amérique latine et </w:t>
      </w:r>
      <w:r w:rsidR="00B8061B" w:rsidRPr="00377A6A">
        <w:rPr>
          <w:rFonts w:cs="Times New Roman"/>
          <w:b/>
          <w:lang w:val="fr-FR"/>
        </w:rPr>
        <w:t xml:space="preserve">dans </w:t>
      </w:r>
      <w:r w:rsidR="00CE3347" w:rsidRPr="00377A6A">
        <w:rPr>
          <w:rFonts w:cs="Times New Roman"/>
          <w:b/>
          <w:lang w:val="fr-FR"/>
        </w:rPr>
        <w:t>les Caraïbes</w:t>
      </w:r>
    </w:p>
    <w:p w14:paraId="5B7E9AFF" w14:textId="79911F86" w:rsidR="00C608AD" w:rsidRPr="00377A6A" w:rsidRDefault="00CE3347" w:rsidP="00377A6A">
      <w:pPr>
        <w:pStyle w:val="ListParagraph"/>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spacing w:after="120" w:line="360" w:lineRule="auto"/>
        <w:ind w:hanging="720"/>
        <w:rPr>
          <w:rFonts w:cs="Times New Roman"/>
          <w:b/>
          <w:lang w:val="fr-FR"/>
        </w:rPr>
      </w:pPr>
      <w:r w:rsidRPr="00377A6A">
        <w:rPr>
          <w:rFonts w:cs="Times New Roman"/>
          <w:b/>
          <w:lang w:val="fr-FR"/>
        </w:rPr>
        <w:t xml:space="preserve">Plan de </w:t>
      </w:r>
      <w:r w:rsidR="009861CE" w:rsidRPr="00377A6A">
        <w:rPr>
          <w:rFonts w:cs="Times New Roman"/>
          <w:b/>
          <w:lang w:val="fr-FR"/>
        </w:rPr>
        <w:t>réduction des</w:t>
      </w:r>
      <w:r w:rsidRPr="00377A6A">
        <w:rPr>
          <w:rFonts w:cs="Times New Roman"/>
          <w:b/>
          <w:lang w:val="fr-FR"/>
        </w:rPr>
        <w:t xml:space="preserve"> homicides</w:t>
      </w:r>
    </w:p>
    <w:p w14:paraId="230D0D6B" w14:textId="5861C5D4" w:rsidR="00533614" w:rsidRPr="00377A6A" w:rsidRDefault="009A47FE" w:rsidP="00377A6A">
      <w:pPr>
        <w:pStyle w:val="ListParagraph"/>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spacing w:after="120" w:line="360" w:lineRule="auto"/>
        <w:ind w:hanging="720"/>
        <w:rPr>
          <w:rFonts w:cs="Times New Roman"/>
          <w:b/>
          <w:lang w:val="fr-FR"/>
        </w:rPr>
      </w:pPr>
      <w:r w:rsidRPr="00377A6A">
        <w:rPr>
          <w:rFonts w:eastAsia="MS Mincho" w:cs="Times New Roman"/>
          <w:b/>
          <w:bCs/>
          <w:lang w:val="fr-FR"/>
        </w:rPr>
        <w:t>Étude de portée continentale relative à la question du commerce illicite d'armes légères et de petit calibre ainsi que de munition</w:t>
      </w:r>
      <w:r w:rsidR="00533614" w:rsidRPr="00377A6A">
        <w:rPr>
          <w:rFonts w:cs="Times New Roman"/>
          <w:b/>
          <w:lang w:val="fr-FR"/>
        </w:rPr>
        <w:t>s</w:t>
      </w:r>
    </w:p>
    <w:p w14:paraId="46C8811C" w14:textId="678687AC" w:rsidR="001A342B" w:rsidRPr="00377A6A" w:rsidRDefault="00CE3347" w:rsidP="00377A6A">
      <w:pPr>
        <w:pStyle w:val="ListParagraph"/>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spacing w:after="120" w:line="360" w:lineRule="auto"/>
        <w:ind w:hanging="720"/>
        <w:rPr>
          <w:rFonts w:cs="Times New Roman"/>
          <w:lang w:val="fr-FR"/>
        </w:rPr>
      </w:pPr>
      <w:r w:rsidRPr="00377A6A">
        <w:rPr>
          <w:rFonts w:cs="Times New Roman"/>
          <w:b/>
          <w:lang w:val="fr-FR"/>
        </w:rPr>
        <w:t>Coopération avec d'autres organisations</w:t>
      </w:r>
    </w:p>
    <w:p w14:paraId="150DF4B4" w14:textId="77777777" w:rsidR="00A25B97" w:rsidRPr="00377A6A" w:rsidRDefault="00A25B97" w:rsidP="00377A6A">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line="360" w:lineRule="auto"/>
        <w:ind w:left="1440"/>
        <w:rPr>
          <w:rFonts w:cs="Times New Roman"/>
          <w:lang w:val="fr-FR"/>
        </w:rPr>
      </w:pPr>
    </w:p>
    <w:p w14:paraId="53715596" w14:textId="60F33146" w:rsidR="006B543D" w:rsidRPr="00377A6A" w:rsidRDefault="004450C4" w:rsidP="00377A6A">
      <w:pPr>
        <w:pStyle w:val="ListParagraph"/>
        <w:widowControl/>
        <w:numPr>
          <w:ilvl w:val="0"/>
          <w:numId w:val="4"/>
        </w:numPr>
        <w:tabs>
          <w:tab w:val="clear" w:pos="720"/>
          <w:tab w:val="clear" w:pos="1440"/>
          <w:tab w:val="clear" w:pos="2160"/>
          <w:tab w:val="clear" w:pos="2880"/>
          <w:tab w:val="clear" w:pos="3600"/>
          <w:tab w:val="clear" w:pos="4320"/>
          <w:tab w:val="clear" w:pos="5760"/>
          <w:tab w:val="clear" w:pos="6480"/>
          <w:tab w:val="clear" w:pos="7200"/>
          <w:tab w:val="clear" w:pos="7920"/>
        </w:tabs>
        <w:spacing w:after="120" w:line="360" w:lineRule="auto"/>
        <w:ind w:hanging="720"/>
        <w:rPr>
          <w:rFonts w:cs="Times New Roman"/>
          <w:b/>
          <w:lang w:val="fr-FR"/>
        </w:rPr>
      </w:pPr>
      <w:r w:rsidRPr="00377A6A">
        <w:rPr>
          <w:rFonts w:cs="Times New Roman"/>
          <w:b/>
          <w:lang w:val="fr-FR"/>
        </w:rPr>
        <w:t xml:space="preserve">Le projet </w:t>
      </w:r>
      <w:r w:rsidR="009A47FE" w:rsidRPr="00377A6A">
        <w:rPr>
          <w:rFonts w:cs="Times New Roman"/>
          <w:b/>
          <w:lang w:val="fr-FR"/>
        </w:rPr>
        <w:t>d’a</w:t>
      </w:r>
      <w:r w:rsidRPr="00377A6A">
        <w:rPr>
          <w:rFonts w:cs="Times New Roman"/>
          <w:b/>
          <w:lang w:val="fr-FR"/>
        </w:rPr>
        <w:t>ppui à la lutte contre la prolifération et le trafic illicites d’armes légères et de petit calibre et de leurs munitions et contre leur impact en Amérique latine et dans les Caraïbes</w:t>
      </w:r>
    </w:p>
    <w:p w14:paraId="3DED3E2C" w14:textId="79878CB0" w:rsidR="009608EE" w:rsidRPr="00377A6A" w:rsidRDefault="00CE3347" w:rsidP="00377A6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line="360" w:lineRule="auto"/>
        <w:ind w:firstLine="720"/>
        <w:rPr>
          <w:rFonts w:cs="Times New Roman"/>
          <w:lang w:val="fr-FR"/>
        </w:rPr>
      </w:pPr>
      <w:r w:rsidRPr="00377A6A">
        <w:rPr>
          <w:rFonts w:cs="Times New Roman"/>
          <w:lang w:val="fr-FR"/>
        </w:rPr>
        <w:t xml:space="preserve">En 2019, le Département de la sécurité publique, </w:t>
      </w:r>
      <w:r w:rsidR="00ED5024" w:rsidRPr="00377A6A">
        <w:rPr>
          <w:rFonts w:cs="Times New Roman"/>
          <w:lang w:val="fr-FR"/>
        </w:rPr>
        <w:t>avec l’appui</w:t>
      </w:r>
      <w:r w:rsidRPr="00377A6A">
        <w:rPr>
          <w:rFonts w:cs="Times New Roman"/>
          <w:lang w:val="fr-FR"/>
        </w:rPr>
        <w:t xml:space="preserve"> financier de l'Union européenne, a </w:t>
      </w:r>
      <w:r w:rsidR="008E3CD4" w:rsidRPr="00377A6A">
        <w:rPr>
          <w:rFonts w:cs="Times New Roman"/>
          <w:lang w:val="fr-FR"/>
        </w:rPr>
        <w:t>lanc</w:t>
      </w:r>
      <w:r w:rsidRPr="00377A6A">
        <w:rPr>
          <w:rFonts w:cs="Times New Roman"/>
          <w:lang w:val="fr-FR"/>
        </w:rPr>
        <w:t xml:space="preserve">é la mise en œuvre du projet </w:t>
      </w:r>
      <w:r w:rsidR="00ED5024" w:rsidRPr="00377A6A">
        <w:rPr>
          <w:rFonts w:cs="Times New Roman"/>
          <w:bCs/>
          <w:lang w:val="fr-FR"/>
        </w:rPr>
        <w:t>« Appui à la lutte contre la prolifération et le trafic illicites d’armes légères et de petit calibre et de leurs munitions et contre leur impact en Amérique latine et dans les Caraïbes »</w:t>
      </w:r>
      <w:r w:rsidRPr="00377A6A">
        <w:rPr>
          <w:rFonts w:cs="Times New Roman"/>
          <w:lang w:val="fr-FR"/>
        </w:rPr>
        <w:t xml:space="preserve">, </w:t>
      </w:r>
      <w:r w:rsidR="008E3CD4" w:rsidRPr="00377A6A">
        <w:rPr>
          <w:rFonts w:cs="Times New Roman"/>
          <w:lang w:val="fr-FR"/>
        </w:rPr>
        <w:t>lequel</w:t>
      </w:r>
      <w:r w:rsidRPr="00377A6A">
        <w:rPr>
          <w:rFonts w:cs="Times New Roman"/>
          <w:lang w:val="fr-FR"/>
        </w:rPr>
        <w:t xml:space="preserve"> prendra fin en 2021. Ce programme </w:t>
      </w:r>
      <w:r w:rsidR="00ED5024" w:rsidRPr="00377A6A">
        <w:rPr>
          <w:rFonts w:cs="Times New Roman"/>
          <w:lang w:val="fr-FR"/>
        </w:rPr>
        <w:t>intégré</w:t>
      </w:r>
      <w:r w:rsidRPr="00377A6A">
        <w:rPr>
          <w:rFonts w:cs="Times New Roman"/>
          <w:lang w:val="fr-FR"/>
        </w:rPr>
        <w:t xml:space="preserve"> </w:t>
      </w:r>
      <w:r w:rsidR="00ED5024" w:rsidRPr="00377A6A">
        <w:rPr>
          <w:rFonts w:cs="Times New Roman"/>
          <w:lang w:val="fr-FR"/>
        </w:rPr>
        <w:t>en matière de contrôle des armes</w:t>
      </w:r>
      <w:r w:rsidRPr="00377A6A">
        <w:rPr>
          <w:rFonts w:cs="Times New Roman"/>
          <w:lang w:val="fr-FR"/>
        </w:rPr>
        <w:t xml:space="preserve"> tient compte des enseignements tirés des initiatives </w:t>
      </w:r>
      <w:r w:rsidR="00ED5024" w:rsidRPr="00377A6A">
        <w:rPr>
          <w:rFonts w:cs="Times New Roman"/>
          <w:lang w:val="fr-FR"/>
        </w:rPr>
        <w:t>antérieures</w:t>
      </w:r>
      <w:r w:rsidRPr="00377A6A">
        <w:rPr>
          <w:rFonts w:cs="Times New Roman"/>
          <w:lang w:val="fr-FR"/>
        </w:rPr>
        <w:t xml:space="preserve"> et s'appuie sur les résultats fructueux du </w:t>
      </w:r>
      <w:r w:rsidR="00B97671" w:rsidRPr="00377A6A">
        <w:rPr>
          <w:rFonts w:cs="Times New Roman"/>
          <w:lang w:val="fr-FR"/>
        </w:rPr>
        <w:t>Programme d'aide au contrôle des armes et munitions</w:t>
      </w:r>
      <w:r w:rsidRPr="00377A6A">
        <w:rPr>
          <w:rFonts w:cs="Times New Roman"/>
          <w:lang w:val="fr-FR"/>
        </w:rPr>
        <w:t xml:space="preserve">, achevé en 2014, </w:t>
      </w:r>
      <w:r w:rsidR="0008221E" w:rsidRPr="00377A6A">
        <w:rPr>
          <w:rFonts w:cs="Times New Roman"/>
          <w:lang w:val="fr-FR"/>
        </w:rPr>
        <w:t>afin de</w:t>
      </w:r>
      <w:r w:rsidRPr="00377A6A">
        <w:rPr>
          <w:rFonts w:cs="Times New Roman"/>
          <w:lang w:val="fr-FR"/>
        </w:rPr>
        <w:t xml:space="preserve"> faire progresser la mise en œuvre de la CIFTA</w:t>
      </w:r>
      <w:r w:rsidR="005D0A34" w:rsidRPr="00377A6A">
        <w:rPr>
          <w:rFonts w:cs="Times New Roman"/>
          <w:lang w:val="fr-FR"/>
        </w:rPr>
        <w:t xml:space="preserve">. </w:t>
      </w:r>
    </w:p>
    <w:p w14:paraId="5177004A" w14:textId="1F9105C1" w:rsidR="009608EE" w:rsidRPr="00377A6A" w:rsidRDefault="00CE3347" w:rsidP="00377A6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line="360" w:lineRule="auto"/>
        <w:ind w:firstLine="720"/>
        <w:rPr>
          <w:rFonts w:cs="Times New Roman"/>
          <w:lang w:val="fr-FR"/>
        </w:rPr>
      </w:pPr>
      <w:r w:rsidRPr="00377A6A">
        <w:rPr>
          <w:rFonts w:cs="Times New Roman"/>
          <w:lang w:val="fr-FR"/>
        </w:rPr>
        <w:t xml:space="preserve">Le projet comporte cinq volets </w:t>
      </w:r>
      <w:r w:rsidR="005D0A34" w:rsidRPr="00377A6A">
        <w:rPr>
          <w:rFonts w:cs="Times New Roman"/>
          <w:lang w:val="fr-FR"/>
        </w:rPr>
        <w:t xml:space="preserve">: </w:t>
      </w:r>
    </w:p>
    <w:p w14:paraId="5D52FCB5" w14:textId="7462A0F1" w:rsidR="009608EE" w:rsidRPr="00377A6A" w:rsidRDefault="00CE3347" w:rsidP="00377A6A">
      <w:pPr>
        <w:pStyle w:val="ListParagraph"/>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1440" w:hanging="720"/>
        <w:contextualSpacing w:val="0"/>
        <w:rPr>
          <w:rFonts w:cs="Times New Roman"/>
          <w:lang w:val="fr-FR"/>
        </w:rPr>
      </w:pPr>
      <w:r w:rsidRPr="00377A6A">
        <w:rPr>
          <w:rFonts w:cs="Times New Roman"/>
          <w:lang w:val="fr-FR"/>
        </w:rPr>
        <w:t>Sécurité physique et gestion des stock</w:t>
      </w:r>
      <w:r w:rsidR="009608EE" w:rsidRPr="00377A6A">
        <w:rPr>
          <w:rFonts w:cs="Times New Roman"/>
          <w:lang w:val="fr-FR"/>
        </w:rPr>
        <w:t>s</w:t>
      </w:r>
    </w:p>
    <w:p w14:paraId="53B5A630" w14:textId="49DD1098" w:rsidR="009608EE" w:rsidRPr="00377A6A" w:rsidRDefault="00CE3347" w:rsidP="00377A6A">
      <w:pPr>
        <w:pStyle w:val="ListParagraph"/>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1440" w:hanging="720"/>
        <w:contextualSpacing w:val="0"/>
        <w:rPr>
          <w:rFonts w:cs="Times New Roman"/>
          <w:lang w:val="fr-FR"/>
        </w:rPr>
      </w:pPr>
      <w:r w:rsidRPr="00377A6A">
        <w:rPr>
          <w:rFonts w:cs="Times New Roman"/>
          <w:lang w:val="fr-FR"/>
        </w:rPr>
        <w:t>Marquage et traçage des armes légères et de petit calibre</w:t>
      </w:r>
      <w:r w:rsidR="009608EE" w:rsidRPr="00377A6A">
        <w:rPr>
          <w:rFonts w:cs="Times New Roman"/>
          <w:lang w:val="fr-FR"/>
        </w:rPr>
        <w:t xml:space="preserve"> </w:t>
      </w:r>
    </w:p>
    <w:p w14:paraId="7AB551A1" w14:textId="4C3E161E" w:rsidR="009608EE" w:rsidRPr="00377A6A" w:rsidRDefault="00CE3347" w:rsidP="00377A6A">
      <w:pPr>
        <w:pStyle w:val="ListParagraph"/>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1440" w:hanging="720"/>
        <w:contextualSpacing w:val="0"/>
        <w:rPr>
          <w:rFonts w:cs="Times New Roman"/>
          <w:lang w:val="fr-FR"/>
        </w:rPr>
      </w:pPr>
      <w:r w:rsidRPr="00377A6A">
        <w:rPr>
          <w:rFonts w:cs="Times New Roman"/>
          <w:lang w:val="fr-FR"/>
        </w:rPr>
        <w:t>Destruction des armes légères et de petit calibre et des munitions</w:t>
      </w:r>
    </w:p>
    <w:p w14:paraId="190997A9" w14:textId="037242D6" w:rsidR="009608EE" w:rsidRPr="00377A6A" w:rsidRDefault="006C7FD2" w:rsidP="00377A6A">
      <w:pPr>
        <w:pStyle w:val="ListParagraph"/>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1440" w:hanging="720"/>
        <w:contextualSpacing w:val="0"/>
        <w:rPr>
          <w:rFonts w:cs="Times New Roman"/>
          <w:lang w:val="fr-FR"/>
        </w:rPr>
      </w:pPr>
      <w:r w:rsidRPr="00377A6A">
        <w:rPr>
          <w:rFonts w:cs="Times New Roman"/>
          <w:lang w:val="fr-FR"/>
        </w:rPr>
        <w:t>Mécanismes de transfert et de coopération</w:t>
      </w:r>
      <w:r w:rsidR="002353EA" w:rsidRPr="00377A6A">
        <w:rPr>
          <w:rFonts w:cs="Times New Roman"/>
          <w:lang w:val="fr-FR"/>
        </w:rPr>
        <w:t xml:space="preserve"> </w:t>
      </w:r>
    </w:p>
    <w:p w14:paraId="200BDFC6" w14:textId="2346FBAC" w:rsidR="00BE4A43" w:rsidRPr="00377A6A" w:rsidRDefault="006C7FD2" w:rsidP="00377A6A">
      <w:pPr>
        <w:pStyle w:val="ListParagraph"/>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after="240" w:line="360" w:lineRule="auto"/>
        <w:ind w:left="1440" w:hanging="720"/>
        <w:contextualSpacing w:val="0"/>
        <w:rPr>
          <w:rFonts w:cs="Times New Roman"/>
          <w:lang w:val="fr-FR"/>
        </w:rPr>
      </w:pPr>
      <w:r w:rsidRPr="00377A6A">
        <w:rPr>
          <w:rFonts w:cs="Times New Roman"/>
          <w:lang w:val="fr-FR"/>
        </w:rPr>
        <w:t>Prévention de la violence armée</w:t>
      </w:r>
    </w:p>
    <w:p w14:paraId="02947D4F" w14:textId="68E03E3D" w:rsidR="005D0A34" w:rsidRPr="00377A6A" w:rsidRDefault="00741E39" w:rsidP="00377A6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line="360" w:lineRule="auto"/>
        <w:ind w:firstLine="720"/>
        <w:rPr>
          <w:rFonts w:cs="Times New Roman"/>
          <w:lang w:val="fr-FR"/>
        </w:rPr>
      </w:pPr>
      <w:r w:rsidRPr="00377A6A">
        <w:rPr>
          <w:rFonts w:cs="Times New Roman"/>
          <w:lang w:val="fr-FR"/>
        </w:rPr>
        <w:t>Nous avons le plaisir de présenter ci-</w:t>
      </w:r>
      <w:r w:rsidR="00DE11EA" w:rsidRPr="00377A6A">
        <w:rPr>
          <w:rFonts w:cs="Times New Roman"/>
          <w:lang w:val="fr-FR"/>
        </w:rPr>
        <w:t>après</w:t>
      </w:r>
      <w:r w:rsidRPr="00377A6A">
        <w:rPr>
          <w:rFonts w:cs="Times New Roman"/>
          <w:lang w:val="fr-FR"/>
        </w:rPr>
        <w:t xml:space="preserve"> les principaux résultats obtenus à ce jour pour chacun de ces volets, </w:t>
      </w:r>
      <w:r w:rsidR="00DE11EA" w:rsidRPr="00377A6A">
        <w:rPr>
          <w:rFonts w:cs="Times New Roman"/>
          <w:lang w:val="fr-FR"/>
        </w:rPr>
        <w:t>lesquels</w:t>
      </w:r>
      <w:r w:rsidR="0008221E" w:rsidRPr="00377A6A">
        <w:rPr>
          <w:rFonts w:cs="Times New Roman"/>
          <w:lang w:val="fr-FR"/>
        </w:rPr>
        <w:t xml:space="preserve"> résultats</w:t>
      </w:r>
      <w:r w:rsidRPr="00377A6A">
        <w:rPr>
          <w:rFonts w:cs="Times New Roman"/>
          <w:lang w:val="fr-FR"/>
        </w:rPr>
        <w:t xml:space="preserve"> apportent un soutien concret et significatif aux</w:t>
      </w:r>
      <w:r w:rsidR="00DE11EA" w:rsidRPr="00377A6A">
        <w:rPr>
          <w:rFonts w:cs="Times New Roman"/>
          <w:lang w:val="fr-FR"/>
        </w:rPr>
        <w:t xml:space="preserve"> efforts que déploient les</w:t>
      </w:r>
      <w:r w:rsidRPr="00377A6A">
        <w:rPr>
          <w:rFonts w:cs="Times New Roman"/>
          <w:lang w:val="fr-FR"/>
        </w:rPr>
        <w:t xml:space="preserve"> pays de la région </w:t>
      </w:r>
      <w:r w:rsidR="00DE11EA" w:rsidRPr="00377A6A">
        <w:rPr>
          <w:rFonts w:cs="Times New Roman"/>
          <w:lang w:val="fr-FR"/>
        </w:rPr>
        <w:t>pour s’acquitter</w:t>
      </w:r>
      <w:r w:rsidRPr="00377A6A">
        <w:rPr>
          <w:rFonts w:cs="Times New Roman"/>
          <w:lang w:val="fr-FR"/>
        </w:rPr>
        <w:t xml:space="preserve"> de</w:t>
      </w:r>
      <w:r w:rsidR="00DE11EA" w:rsidRPr="00377A6A">
        <w:rPr>
          <w:rFonts w:cs="Times New Roman"/>
          <w:lang w:val="fr-FR"/>
        </w:rPr>
        <w:t>s</w:t>
      </w:r>
      <w:r w:rsidRPr="00377A6A">
        <w:rPr>
          <w:rFonts w:cs="Times New Roman"/>
          <w:lang w:val="fr-FR"/>
        </w:rPr>
        <w:t xml:space="preserve"> engagements</w:t>
      </w:r>
      <w:r w:rsidR="00DE11EA" w:rsidRPr="00377A6A">
        <w:rPr>
          <w:rFonts w:cs="Times New Roman"/>
          <w:lang w:val="fr-FR"/>
        </w:rPr>
        <w:t xml:space="preserve"> souscrits</w:t>
      </w:r>
      <w:r w:rsidRPr="00377A6A">
        <w:rPr>
          <w:rFonts w:cs="Times New Roman"/>
          <w:lang w:val="fr-FR"/>
        </w:rPr>
        <w:t xml:space="preserve"> au titre de la Convention</w:t>
      </w:r>
      <w:r w:rsidR="00A619BC" w:rsidRPr="00377A6A">
        <w:rPr>
          <w:rFonts w:cs="Times New Roman"/>
          <w:lang w:val="fr-FR"/>
        </w:rPr>
        <w:t xml:space="preserve">. </w:t>
      </w:r>
    </w:p>
    <w:p w14:paraId="1597F307" w14:textId="25A1312F" w:rsidR="008E6EC8" w:rsidRPr="00377A6A" w:rsidRDefault="00041559" w:rsidP="00377A6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120" w:line="360" w:lineRule="auto"/>
        <w:ind w:firstLine="720"/>
        <w:rPr>
          <w:rFonts w:cs="Times New Roman"/>
          <w:i/>
          <w:iCs/>
          <w:lang w:val="fr-FR"/>
        </w:rPr>
      </w:pPr>
      <w:r w:rsidRPr="00377A6A">
        <w:rPr>
          <w:rFonts w:cs="Times New Roman"/>
          <w:i/>
          <w:iCs/>
          <w:lang w:val="fr-FR"/>
        </w:rPr>
        <w:t>Sécurité physique et gestion des stocks</w:t>
      </w:r>
    </w:p>
    <w:p w14:paraId="01531749" w14:textId="0B3F7FD4" w:rsidR="008E6EC8" w:rsidRPr="00377A6A" w:rsidRDefault="008B396A" w:rsidP="00377A6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line="360" w:lineRule="auto"/>
        <w:ind w:firstLine="720"/>
        <w:rPr>
          <w:rFonts w:cs="Times New Roman"/>
          <w:lang w:val="fr-FR"/>
        </w:rPr>
      </w:pPr>
      <w:r w:rsidRPr="00377A6A">
        <w:rPr>
          <w:rFonts w:cs="Times New Roman"/>
          <w:lang w:val="fr-FR"/>
        </w:rPr>
        <w:t xml:space="preserve">Ce volet vise à renforcer la capacité des pays à </w:t>
      </w:r>
      <w:r w:rsidR="009E3B2F" w:rsidRPr="00377A6A">
        <w:rPr>
          <w:rFonts w:cs="Times New Roman"/>
          <w:lang w:val="fr-FR"/>
        </w:rPr>
        <w:t xml:space="preserve">maintenir la conformité de </w:t>
      </w:r>
      <w:r w:rsidRPr="00377A6A">
        <w:rPr>
          <w:rFonts w:cs="Times New Roman"/>
          <w:lang w:val="fr-FR"/>
        </w:rPr>
        <w:t xml:space="preserve">leurs arsenaux nationaux avec les normes internationales afin d'éviter les détournements et les </w:t>
      </w:r>
      <w:r w:rsidR="00C32A33" w:rsidRPr="00377A6A">
        <w:rPr>
          <w:rFonts w:cs="Times New Roman"/>
          <w:lang w:val="fr-FR"/>
        </w:rPr>
        <w:t>accidents</w:t>
      </w:r>
      <w:r w:rsidRPr="00377A6A">
        <w:rPr>
          <w:rFonts w:cs="Times New Roman"/>
          <w:lang w:val="fr-FR"/>
        </w:rPr>
        <w:t xml:space="preserve">, comme la terrible explosion </w:t>
      </w:r>
      <w:r w:rsidR="009E3B2F" w:rsidRPr="00377A6A">
        <w:rPr>
          <w:rFonts w:cs="Times New Roman"/>
          <w:lang w:val="fr-FR"/>
        </w:rPr>
        <w:t>qui s’est produite</w:t>
      </w:r>
      <w:r w:rsidRPr="00377A6A">
        <w:rPr>
          <w:rFonts w:cs="Times New Roman"/>
          <w:lang w:val="fr-FR"/>
        </w:rPr>
        <w:t xml:space="preserve"> au Liban cette année. À cette fin, nous avons organisé deux ateliers régionaux sur les bonnes pratiques en matière de sécurité physique et de gestion des stocks</w:t>
      </w:r>
      <w:r w:rsidR="00835297" w:rsidRPr="00377A6A">
        <w:rPr>
          <w:rFonts w:cs="Times New Roman"/>
          <w:lang w:val="fr-FR"/>
        </w:rPr>
        <w:t>, dont</w:t>
      </w:r>
      <w:r w:rsidRPr="00377A6A">
        <w:rPr>
          <w:rFonts w:cs="Times New Roman"/>
          <w:lang w:val="fr-FR"/>
        </w:rPr>
        <w:t xml:space="preserve"> l'un au Guatemala en décembre 2019, axé sur les pays d'Amérique latine, et l'autre, virtuel, en novembre 2020, qui a </w:t>
      </w:r>
      <w:r w:rsidR="000816DF" w:rsidRPr="00377A6A">
        <w:rPr>
          <w:rFonts w:cs="Times New Roman"/>
          <w:lang w:val="fr-FR"/>
        </w:rPr>
        <w:t>mis l’accent sur les</w:t>
      </w:r>
      <w:r w:rsidRPr="00377A6A">
        <w:rPr>
          <w:rFonts w:cs="Times New Roman"/>
          <w:lang w:val="fr-FR"/>
        </w:rPr>
        <w:t xml:space="preserve"> pays des Caraïbes et a</w:t>
      </w:r>
      <w:r w:rsidR="003D1002" w:rsidRPr="00377A6A">
        <w:rPr>
          <w:rFonts w:cs="Times New Roman"/>
          <w:lang w:val="fr-FR"/>
        </w:rPr>
        <w:t xml:space="preserve"> été</w:t>
      </w:r>
      <w:r w:rsidRPr="00377A6A">
        <w:rPr>
          <w:rFonts w:cs="Times New Roman"/>
          <w:lang w:val="fr-FR"/>
        </w:rPr>
        <w:t xml:space="preserve"> </w:t>
      </w:r>
      <w:r w:rsidR="000816DF" w:rsidRPr="00377A6A">
        <w:rPr>
          <w:rFonts w:cs="Times New Roman"/>
          <w:lang w:val="fr-FR"/>
        </w:rPr>
        <w:t>réalisé</w:t>
      </w:r>
      <w:r w:rsidRPr="00377A6A">
        <w:rPr>
          <w:rFonts w:cs="Times New Roman"/>
          <w:lang w:val="fr-FR"/>
        </w:rPr>
        <w:t xml:space="preserve"> en coopération avec </w:t>
      </w:r>
      <w:r w:rsidR="00EC3FAD" w:rsidRPr="00377A6A">
        <w:rPr>
          <w:rFonts w:cs="Times New Roman"/>
          <w:lang w:val="fr-FR"/>
        </w:rPr>
        <w:t xml:space="preserve">la </w:t>
      </w:r>
      <w:r w:rsidRPr="00377A6A">
        <w:rPr>
          <w:rFonts w:cs="Times New Roman"/>
          <w:lang w:val="fr-FR"/>
        </w:rPr>
        <w:t>CARICOM-IMPACS</w:t>
      </w:r>
      <w:r w:rsidR="008E6EC8" w:rsidRPr="00377A6A">
        <w:rPr>
          <w:rFonts w:cs="Times New Roman"/>
          <w:lang w:val="fr-FR"/>
        </w:rPr>
        <w:t xml:space="preserve">. </w:t>
      </w:r>
    </w:p>
    <w:p w14:paraId="6BB0F76D" w14:textId="245CC13B" w:rsidR="008E6EC8" w:rsidRPr="00377A6A" w:rsidRDefault="008B396A" w:rsidP="00377A6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line="360" w:lineRule="auto"/>
        <w:ind w:firstLine="720"/>
        <w:rPr>
          <w:rFonts w:cs="Times New Roman"/>
          <w:lang w:val="fr-FR"/>
        </w:rPr>
      </w:pPr>
      <w:r w:rsidRPr="00377A6A">
        <w:rPr>
          <w:rFonts w:cs="Times New Roman"/>
          <w:lang w:val="fr-FR"/>
        </w:rPr>
        <w:t xml:space="preserve">Les séminaires ont été </w:t>
      </w:r>
      <w:r w:rsidR="001F11CD" w:rsidRPr="00377A6A">
        <w:rPr>
          <w:rFonts w:cs="Times New Roman"/>
          <w:lang w:val="fr-FR"/>
        </w:rPr>
        <w:t>réalisés</w:t>
      </w:r>
      <w:r w:rsidRPr="00377A6A">
        <w:rPr>
          <w:rFonts w:cs="Times New Roman"/>
          <w:lang w:val="fr-FR"/>
        </w:rPr>
        <w:t xml:space="preserve"> par des experts de 6 organisations </w:t>
      </w:r>
      <w:r w:rsidR="003506F5" w:rsidRPr="00377A6A">
        <w:rPr>
          <w:rFonts w:cs="Times New Roman"/>
          <w:lang w:val="fr-FR"/>
        </w:rPr>
        <w:t xml:space="preserve">possédant </w:t>
      </w:r>
      <w:r w:rsidRPr="00377A6A">
        <w:rPr>
          <w:rFonts w:cs="Times New Roman"/>
          <w:lang w:val="fr-FR"/>
        </w:rPr>
        <w:t xml:space="preserve">une vaste connaissance </w:t>
      </w:r>
      <w:r w:rsidR="001F11CD" w:rsidRPr="00377A6A">
        <w:rPr>
          <w:rFonts w:cs="Times New Roman"/>
          <w:lang w:val="fr-FR"/>
        </w:rPr>
        <w:t>dans le domaine</w:t>
      </w:r>
      <w:r w:rsidRPr="00377A6A">
        <w:rPr>
          <w:rFonts w:cs="Times New Roman"/>
          <w:lang w:val="fr-FR"/>
        </w:rPr>
        <w:t xml:space="preserve">, </w:t>
      </w:r>
      <w:r w:rsidR="001F11CD" w:rsidRPr="00377A6A">
        <w:rPr>
          <w:rFonts w:cs="Times New Roman"/>
          <w:lang w:val="fr-FR"/>
        </w:rPr>
        <w:t>lesquels</w:t>
      </w:r>
      <w:r w:rsidRPr="00377A6A">
        <w:rPr>
          <w:rFonts w:cs="Times New Roman"/>
          <w:lang w:val="fr-FR"/>
        </w:rPr>
        <w:t xml:space="preserve"> ont abordé différents sujets et normes internationales en la ma</w:t>
      </w:r>
      <w:r w:rsidRPr="00377A6A">
        <w:rPr>
          <w:rFonts w:cs="Times New Roman"/>
          <w:lang w:val="fr-FR"/>
        </w:rPr>
        <w:lastRenderedPageBreak/>
        <w:t xml:space="preserve">tière. Les </w:t>
      </w:r>
      <w:r w:rsidR="001F11CD" w:rsidRPr="00377A6A">
        <w:rPr>
          <w:rFonts w:cs="Times New Roman"/>
          <w:lang w:val="fr-FR"/>
        </w:rPr>
        <w:t>responsables</w:t>
      </w:r>
      <w:r w:rsidRPr="00377A6A">
        <w:rPr>
          <w:rFonts w:cs="Times New Roman"/>
          <w:lang w:val="fr-FR"/>
        </w:rPr>
        <w:t xml:space="preserve"> des pays participants ont eu l'occasion de </w:t>
      </w:r>
      <w:r w:rsidR="001F11CD" w:rsidRPr="00377A6A">
        <w:rPr>
          <w:rFonts w:cs="Times New Roman"/>
          <w:lang w:val="fr-FR"/>
        </w:rPr>
        <w:t>dresser un tableau de la</w:t>
      </w:r>
      <w:r w:rsidRPr="00377A6A">
        <w:rPr>
          <w:rFonts w:cs="Times New Roman"/>
          <w:lang w:val="fr-FR"/>
        </w:rPr>
        <w:t xml:space="preserve"> situation nationale et d'échanger des informations sur les défis auxquels ils sont confrontés. Au total, nous avons formé 125 fonctionnaires de 18 pays</w:t>
      </w:r>
      <w:r w:rsidR="008E6EC8" w:rsidRPr="00377A6A">
        <w:rPr>
          <w:rFonts w:cs="Times New Roman"/>
          <w:lang w:val="fr-FR"/>
        </w:rPr>
        <w:t xml:space="preserve">. </w:t>
      </w:r>
    </w:p>
    <w:p w14:paraId="7F10FB5E" w14:textId="4BCA512C" w:rsidR="008E6EC8" w:rsidRPr="00377A6A" w:rsidRDefault="008B396A" w:rsidP="00377A6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line="360" w:lineRule="auto"/>
        <w:ind w:firstLine="720"/>
        <w:rPr>
          <w:rFonts w:cs="Times New Roman"/>
          <w:lang w:val="fr-FR"/>
        </w:rPr>
      </w:pPr>
      <w:r w:rsidRPr="00377A6A">
        <w:rPr>
          <w:rFonts w:cs="Times New Roman"/>
          <w:lang w:val="fr-FR"/>
        </w:rPr>
        <w:t>En plus des ateliers régionaux, 55 fonctionnaires du Pérou, d</w:t>
      </w:r>
      <w:r w:rsidR="00161087" w:rsidRPr="00377A6A">
        <w:rPr>
          <w:rFonts w:cs="Times New Roman"/>
          <w:lang w:val="fr-FR"/>
        </w:rPr>
        <w:t>’El</w:t>
      </w:r>
      <w:r w:rsidRPr="00377A6A">
        <w:rPr>
          <w:rFonts w:cs="Times New Roman"/>
          <w:lang w:val="fr-FR"/>
        </w:rPr>
        <w:t xml:space="preserve"> Salvador</w:t>
      </w:r>
      <w:r w:rsidR="00161087" w:rsidRPr="00377A6A">
        <w:rPr>
          <w:rFonts w:cs="Times New Roman"/>
          <w:lang w:val="fr-FR"/>
        </w:rPr>
        <w:t xml:space="preserve"> et de l'Équateur</w:t>
      </w:r>
      <w:r w:rsidRPr="00377A6A">
        <w:rPr>
          <w:rFonts w:cs="Times New Roman"/>
          <w:lang w:val="fr-FR"/>
        </w:rPr>
        <w:t xml:space="preserve"> ont reçu une formation dans des domaines spécifiques de la sécurité physique et de la gestion des stocks. Dans le cadre de ces formations nationales, des évaluations techniques ont été réalisées sur la situation des stocks d'armes dans chacun de ces pays afin d'apporter des améliorations conformes aux normes internationales</w:t>
      </w:r>
      <w:r w:rsidR="008E6EC8" w:rsidRPr="00377A6A">
        <w:rPr>
          <w:rFonts w:eastAsia="Times New Roman" w:cs="Times New Roman"/>
          <w:lang w:val="fr-FR"/>
        </w:rPr>
        <w:t>.</w:t>
      </w:r>
    </w:p>
    <w:p w14:paraId="49884ABF" w14:textId="4CB90A69" w:rsidR="008E6EC8" w:rsidRPr="00377A6A" w:rsidRDefault="00066B90" w:rsidP="00377A6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120" w:line="360" w:lineRule="auto"/>
        <w:ind w:firstLine="720"/>
        <w:rPr>
          <w:rFonts w:cs="Times New Roman"/>
          <w:i/>
          <w:iCs/>
          <w:lang w:val="fr-FR"/>
        </w:rPr>
      </w:pPr>
      <w:r w:rsidRPr="00377A6A">
        <w:rPr>
          <w:rFonts w:cs="Times New Roman"/>
          <w:i/>
          <w:iCs/>
          <w:lang w:val="fr-FR"/>
        </w:rPr>
        <w:t>Marquage et traçage des armes légères et de petit calibre</w:t>
      </w:r>
      <w:r w:rsidR="008E6EC8" w:rsidRPr="00377A6A">
        <w:rPr>
          <w:rFonts w:cs="Times New Roman"/>
          <w:i/>
          <w:iCs/>
          <w:lang w:val="fr-FR"/>
        </w:rPr>
        <w:t xml:space="preserve"> </w:t>
      </w:r>
      <w:r w:rsidR="00204B31" w:rsidRPr="00377A6A">
        <w:rPr>
          <w:rFonts w:cs="Times New Roman"/>
          <w:i/>
          <w:iCs/>
          <w:lang w:val="fr-FR"/>
        </w:rPr>
        <w:t>(A</w:t>
      </w:r>
      <w:r w:rsidR="00B97671" w:rsidRPr="00377A6A">
        <w:rPr>
          <w:rFonts w:cs="Times New Roman"/>
          <w:i/>
          <w:iCs/>
          <w:lang w:val="fr-FR"/>
        </w:rPr>
        <w:t>LPC</w:t>
      </w:r>
      <w:r w:rsidR="00204B31" w:rsidRPr="00377A6A">
        <w:rPr>
          <w:rFonts w:cs="Times New Roman"/>
          <w:i/>
          <w:iCs/>
          <w:lang w:val="fr-FR"/>
        </w:rPr>
        <w:t>)</w:t>
      </w:r>
    </w:p>
    <w:p w14:paraId="0CA85622" w14:textId="15A4B3CF" w:rsidR="008E6EC8" w:rsidRPr="00377A6A" w:rsidRDefault="00066B90" w:rsidP="00377A6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line="360" w:lineRule="auto"/>
        <w:ind w:firstLine="720"/>
        <w:rPr>
          <w:rFonts w:cs="Times New Roman"/>
          <w:lang w:val="fr-FR"/>
        </w:rPr>
      </w:pPr>
      <w:r w:rsidRPr="00377A6A">
        <w:rPr>
          <w:rFonts w:cs="Times New Roman"/>
          <w:lang w:val="fr-FR"/>
        </w:rPr>
        <w:t xml:space="preserve">Ce volet vise à améliorer les capacités nationales en matière de marquage et de traçage des armes légères et de petit calibre </w:t>
      </w:r>
      <w:r w:rsidR="00161087" w:rsidRPr="00377A6A">
        <w:rPr>
          <w:rFonts w:cs="Times New Roman"/>
          <w:lang w:val="fr-FR"/>
        </w:rPr>
        <w:t>ainsi qu’</w:t>
      </w:r>
      <w:r w:rsidRPr="00377A6A">
        <w:rPr>
          <w:rFonts w:cs="Times New Roman"/>
          <w:lang w:val="fr-FR"/>
        </w:rPr>
        <w:t>à promouvoir la coopération régionale dans ce domaine</w:t>
      </w:r>
      <w:r w:rsidR="008E6EC8" w:rsidRPr="00377A6A">
        <w:rPr>
          <w:rFonts w:cs="Times New Roman"/>
          <w:lang w:val="fr-FR"/>
        </w:rPr>
        <w:t xml:space="preserve">. </w:t>
      </w:r>
    </w:p>
    <w:p w14:paraId="30FD1A8A" w14:textId="3E436C58" w:rsidR="00D74A1B" w:rsidRPr="00377A6A" w:rsidRDefault="00066B90" w:rsidP="00377A6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line="360" w:lineRule="auto"/>
        <w:ind w:firstLine="720"/>
        <w:rPr>
          <w:rFonts w:cs="Times New Roman"/>
          <w:lang w:val="fr-FR"/>
        </w:rPr>
      </w:pPr>
      <w:r w:rsidRPr="00377A6A">
        <w:rPr>
          <w:rFonts w:cs="Times New Roman"/>
          <w:lang w:val="fr-FR"/>
        </w:rPr>
        <w:t xml:space="preserve">Malgré </w:t>
      </w:r>
      <w:r w:rsidR="00E70E70" w:rsidRPr="00377A6A">
        <w:rPr>
          <w:rFonts w:cs="Times New Roman"/>
          <w:lang w:val="fr-FR"/>
        </w:rPr>
        <w:t>l’impact</w:t>
      </w:r>
      <w:r w:rsidRPr="00377A6A">
        <w:rPr>
          <w:rFonts w:cs="Times New Roman"/>
          <w:lang w:val="fr-FR"/>
        </w:rPr>
        <w:t xml:space="preserve"> </w:t>
      </w:r>
      <w:r w:rsidR="001F11CD" w:rsidRPr="00377A6A">
        <w:rPr>
          <w:rFonts w:cs="Times New Roman"/>
          <w:lang w:val="fr-FR"/>
        </w:rPr>
        <w:t xml:space="preserve">que les </w:t>
      </w:r>
      <w:r w:rsidRPr="00377A6A">
        <w:rPr>
          <w:rFonts w:cs="Times New Roman"/>
          <w:lang w:val="fr-FR"/>
        </w:rPr>
        <w:t xml:space="preserve">mesures restrictives </w:t>
      </w:r>
      <w:r w:rsidR="001F11CD" w:rsidRPr="00377A6A">
        <w:rPr>
          <w:rFonts w:cs="Times New Roman"/>
          <w:lang w:val="fr-FR"/>
        </w:rPr>
        <w:t>de lutte contre la</w:t>
      </w:r>
      <w:r w:rsidRPr="00377A6A">
        <w:rPr>
          <w:rFonts w:cs="Times New Roman"/>
          <w:lang w:val="fr-FR"/>
        </w:rPr>
        <w:t xml:space="preserve"> COVID-19</w:t>
      </w:r>
      <w:r w:rsidR="001F11CD" w:rsidRPr="00377A6A">
        <w:rPr>
          <w:rFonts w:cs="Times New Roman"/>
          <w:lang w:val="fr-FR"/>
        </w:rPr>
        <w:t xml:space="preserve"> ont </w:t>
      </w:r>
      <w:r w:rsidR="00A51469" w:rsidRPr="00377A6A">
        <w:rPr>
          <w:rFonts w:cs="Times New Roman"/>
          <w:lang w:val="fr-FR"/>
        </w:rPr>
        <w:t xml:space="preserve">eu </w:t>
      </w:r>
      <w:r w:rsidRPr="00377A6A">
        <w:rPr>
          <w:rFonts w:cs="Times New Roman"/>
          <w:lang w:val="fr-FR"/>
        </w:rPr>
        <w:t xml:space="preserve">sur les activités de </w:t>
      </w:r>
      <w:r w:rsidR="001F11CD" w:rsidRPr="00377A6A">
        <w:rPr>
          <w:rFonts w:cs="Times New Roman"/>
          <w:lang w:val="fr-FR"/>
        </w:rPr>
        <w:t>ce volet</w:t>
      </w:r>
      <w:r w:rsidRPr="00377A6A">
        <w:rPr>
          <w:rFonts w:cs="Times New Roman"/>
          <w:lang w:val="fr-FR"/>
        </w:rPr>
        <w:t xml:space="preserve">, </w:t>
      </w:r>
      <w:r w:rsidR="001F11CD" w:rsidRPr="00377A6A">
        <w:rPr>
          <w:rFonts w:cs="Times New Roman"/>
          <w:lang w:val="fr-FR"/>
        </w:rPr>
        <w:t>lesquelles</w:t>
      </w:r>
      <w:r w:rsidRPr="00377A6A">
        <w:rPr>
          <w:rFonts w:cs="Times New Roman"/>
          <w:lang w:val="fr-FR"/>
        </w:rPr>
        <w:t xml:space="preserve"> sont </w:t>
      </w:r>
      <w:r w:rsidR="00E70E70" w:rsidRPr="00377A6A">
        <w:rPr>
          <w:rFonts w:cs="Times New Roman"/>
          <w:lang w:val="fr-FR"/>
        </w:rPr>
        <w:t>de nature hautement</w:t>
      </w:r>
      <w:r w:rsidRPr="00377A6A">
        <w:rPr>
          <w:rFonts w:cs="Times New Roman"/>
          <w:lang w:val="fr-FR"/>
        </w:rPr>
        <w:t xml:space="preserve"> opérationnelle et nécessitent des visites et du travail sur place, une formation et une assistance technique ont</w:t>
      </w:r>
      <w:r w:rsidR="00E70E70" w:rsidRPr="00377A6A">
        <w:rPr>
          <w:rFonts w:cs="Times New Roman"/>
          <w:lang w:val="fr-FR"/>
        </w:rPr>
        <w:t xml:space="preserve"> pu être</w:t>
      </w:r>
      <w:r w:rsidRPr="00377A6A">
        <w:rPr>
          <w:rFonts w:cs="Times New Roman"/>
          <w:lang w:val="fr-FR"/>
        </w:rPr>
        <w:t xml:space="preserve"> été fournies à six pays de la région. Quatre-vingt-quatre</w:t>
      </w:r>
      <w:r w:rsidR="00E70E70" w:rsidRPr="00377A6A">
        <w:rPr>
          <w:rFonts w:cs="Times New Roman"/>
          <w:lang w:val="fr-FR"/>
        </w:rPr>
        <w:t xml:space="preserve"> (84)</w:t>
      </w:r>
      <w:r w:rsidRPr="00377A6A">
        <w:rPr>
          <w:rFonts w:cs="Times New Roman"/>
          <w:lang w:val="fr-FR"/>
        </w:rPr>
        <w:t xml:space="preserve"> </w:t>
      </w:r>
      <w:r w:rsidR="00E70E70" w:rsidRPr="00377A6A">
        <w:rPr>
          <w:rFonts w:cs="Times New Roman"/>
          <w:lang w:val="fr-FR"/>
        </w:rPr>
        <w:t>responsables</w:t>
      </w:r>
      <w:r w:rsidRPr="00377A6A">
        <w:rPr>
          <w:rFonts w:cs="Times New Roman"/>
          <w:lang w:val="fr-FR"/>
        </w:rPr>
        <w:t xml:space="preserve"> nationaux du Guatemala, d</w:t>
      </w:r>
      <w:r w:rsidR="00E70E70" w:rsidRPr="00377A6A">
        <w:rPr>
          <w:rFonts w:cs="Times New Roman"/>
          <w:lang w:val="fr-FR"/>
        </w:rPr>
        <w:t>’El</w:t>
      </w:r>
      <w:r w:rsidRPr="00377A6A">
        <w:rPr>
          <w:rFonts w:cs="Times New Roman"/>
          <w:lang w:val="fr-FR"/>
        </w:rPr>
        <w:t xml:space="preserve"> Salvador, du Honduras, </w:t>
      </w:r>
      <w:r w:rsidR="00E70E70" w:rsidRPr="00377A6A">
        <w:rPr>
          <w:rFonts w:cs="Times New Roman"/>
          <w:lang w:val="fr-FR"/>
        </w:rPr>
        <w:t>du</w:t>
      </w:r>
      <w:r w:rsidRPr="00377A6A">
        <w:rPr>
          <w:rFonts w:cs="Times New Roman"/>
          <w:lang w:val="fr-FR"/>
        </w:rPr>
        <w:t xml:space="preserve"> Guyan</w:t>
      </w:r>
      <w:r w:rsidR="00E70E70" w:rsidRPr="00377A6A">
        <w:rPr>
          <w:rFonts w:cs="Times New Roman"/>
          <w:lang w:val="fr-FR"/>
        </w:rPr>
        <w:t>a</w:t>
      </w:r>
      <w:r w:rsidRPr="00377A6A">
        <w:rPr>
          <w:rFonts w:cs="Times New Roman"/>
          <w:lang w:val="fr-FR"/>
        </w:rPr>
        <w:t xml:space="preserve">, de la Bolivie et du Pérou ont été formés </w:t>
      </w:r>
      <w:r w:rsidR="00A51469" w:rsidRPr="00377A6A">
        <w:rPr>
          <w:rFonts w:cs="Times New Roman"/>
          <w:lang w:val="fr-FR"/>
        </w:rPr>
        <w:t>sur la question</w:t>
      </w:r>
      <w:r w:rsidRPr="00377A6A">
        <w:rPr>
          <w:rFonts w:cs="Times New Roman"/>
          <w:lang w:val="fr-FR"/>
        </w:rPr>
        <w:t xml:space="preserve">. </w:t>
      </w:r>
      <w:r w:rsidR="00E70E70" w:rsidRPr="00377A6A">
        <w:rPr>
          <w:rFonts w:cs="Times New Roman"/>
          <w:lang w:val="fr-FR"/>
        </w:rPr>
        <w:t>En outre, d</w:t>
      </w:r>
      <w:r w:rsidRPr="00377A6A">
        <w:rPr>
          <w:rFonts w:cs="Times New Roman"/>
          <w:lang w:val="fr-FR"/>
        </w:rPr>
        <w:t>es machines de marquage ont également été identifiées et obtenues</w:t>
      </w:r>
      <w:r w:rsidR="00E70E70" w:rsidRPr="00377A6A">
        <w:rPr>
          <w:rFonts w:cs="Times New Roman"/>
          <w:lang w:val="fr-FR"/>
        </w:rPr>
        <w:t>,</w:t>
      </w:r>
      <w:r w:rsidRPr="00377A6A">
        <w:rPr>
          <w:rFonts w:cs="Times New Roman"/>
          <w:lang w:val="fr-FR"/>
        </w:rPr>
        <w:t xml:space="preserve"> </w:t>
      </w:r>
      <w:r w:rsidR="00E70E70" w:rsidRPr="00377A6A">
        <w:rPr>
          <w:rFonts w:cs="Times New Roman"/>
          <w:lang w:val="fr-FR"/>
        </w:rPr>
        <w:t>et</w:t>
      </w:r>
      <w:r w:rsidRPr="00377A6A">
        <w:rPr>
          <w:rFonts w:cs="Times New Roman"/>
          <w:lang w:val="fr-FR"/>
        </w:rPr>
        <w:t xml:space="preserve"> seront </w:t>
      </w:r>
      <w:r w:rsidR="00750762" w:rsidRPr="00377A6A">
        <w:rPr>
          <w:rFonts w:cs="Times New Roman"/>
          <w:lang w:val="fr-FR"/>
        </w:rPr>
        <w:t>livrées en temps voulu</w:t>
      </w:r>
      <w:r w:rsidRPr="00377A6A">
        <w:rPr>
          <w:rFonts w:cs="Times New Roman"/>
          <w:lang w:val="fr-FR"/>
        </w:rPr>
        <w:t xml:space="preserve"> aux pays qui en ont besoin en 2021, lorsque les voyages seront rétablis</w:t>
      </w:r>
      <w:r w:rsidR="005D0A34" w:rsidRPr="00377A6A">
        <w:rPr>
          <w:rFonts w:cs="Times New Roman"/>
          <w:lang w:val="fr-FR"/>
        </w:rPr>
        <w:t xml:space="preserve">. </w:t>
      </w:r>
    </w:p>
    <w:p w14:paraId="78EFDED8" w14:textId="69156223" w:rsidR="008E6EC8" w:rsidRPr="00377A6A" w:rsidRDefault="00066B90" w:rsidP="00377A6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120" w:line="360" w:lineRule="auto"/>
        <w:ind w:firstLine="720"/>
        <w:rPr>
          <w:rFonts w:cs="Times New Roman"/>
          <w:i/>
          <w:iCs/>
          <w:lang w:val="fr-FR"/>
        </w:rPr>
      </w:pPr>
      <w:r w:rsidRPr="00377A6A">
        <w:rPr>
          <w:rFonts w:cs="Times New Roman"/>
          <w:i/>
          <w:iCs/>
          <w:lang w:val="fr-FR"/>
        </w:rPr>
        <w:t>Destruction des ALPC et des munitions</w:t>
      </w:r>
      <w:r w:rsidR="008E6EC8" w:rsidRPr="00377A6A">
        <w:rPr>
          <w:rFonts w:cs="Times New Roman"/>
          <w:i/>
          <w:iCs/>
          <w:lang w:val="fr-FR"/>
        </w:rPr>
        <w:t xml:space="preserve"> </w:t>
      </w:r>
    </w:p>
    <w:p w14:paraId="254505F2" w14:textId="66764593" w:rsidR="008E6EC8" w:rsidRPr="00377A6A" w:rsidRDefault="00066B90" w:rsidP="00377A6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line="360" w:lineRule="auto"/>
        <w:ind w:firstLine="720"/>
        <w:rPr>
          <w:rFonts w:cs="Times New Roman"/>
          <w:lang w:val="fr-FR"/>
        </w:rPr>
      </w:pPr>
      <w:r w:rsidRPr="00377A6A">
        <w:rPr>
          <w:rFonts w:cs="Times New Roman"/>
          <w:lang w:val="fr-FR"/>
        </w:rPr>
        <w:t xml:space="preserve">Ce volet, qui vise à renforcer les capacités nationales de destruction des armes légères et de petit calibre saisies, </w:t>
      </w:r>
      <w:r w:rsidR="00E70E70" w:rsidRPr="00377A6A">
        <w:rPr>
          <w:rFonts w:cs="Times New Roman"/>
          <w:lang w:val="fr-FR"/>
        </w:rPr>
        <w:t>dangereuses,</w:t>
      </w:r>
      <w:r w:rsidRPr="00377A6A">
        <w:rPr>
          <w:rFonts w:cs="Times New Roman"/>
          <w:lang w:val="fr-FR"/>
        </w:rPr>
        <w:t xml:space="preserve"> ou excédentaires, a également été particulièrement touché par la pandémie</w:t>
      </w:r>
      <w:r w:rsidR="00E70E70" w:rsidRPr="00377A6A">
        <w:rPr>
          <w:rFonts w:cs="Times New Roman"/>
          <w:lang w:val="fr-FR"/>
        </w:rPr>
        <w:t xml:space="preserve"> de</w:t>
      </w:r>
      <w:r w:rsidRPr="00377A6A">
        <w:rPr>
          <w:rFonts w:cs="Times New Roman"/>
          <w:lang w:val="fr-FR"/>
        </w:rPr>
        <w:t xml:space="preserve"> COVID-19</w:t>
      </w:r>
      <w:r w:rsidR="00C87A0A" w:rsidRPr="00377A6A">
        <w:rPr>
          <w:rFonts w:cs="Times New Roman"/>
          <w:lang w:val="fr-FR"/>
        </w:rPr>
        <w:t xml:space="preserve">. </w:t>
      </w:r>
    </w:p>
    <w:p w14:paraId="6401E9F5" w14:textId="622AAD07" w:rsidR="00C87A0A" w:rsidRPr="00377A6A" w:rsidRDefault="00066B90" w:rsidP="00377A6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line="360" w:lineRule="auto"/>
        <w:ind w:firstLine="720"/>
        <w:rPr>
          <w:rFonts w:cs="Times New Roman"/>
          <w:lang w:val="fr-FR"/>
        </w:rPr>
      </w:pPr>
      <w:r w:rsidRPr="00377A6A">
        <w:rPr>
          <w:rFonts w:cs="Times New Roman"/>
          <w:lang w:val="fr-FR"/>
        </w:rPr>
        <w:t xml:space="preserve">Cependant, </w:t>
      </w:r>
      <w:r w:rsidR="00750762" w:rsidRPr="00377A6A">
        <w:rPr>
          <w:rFonts w:cs="Times New Roman"/>
          <w:lang w:val="fr-FR"/>
        </w:rPr>
        <w:t>depuis</w:t>
      </w:r>
      <w:r w:rsidR="00026811" w:rsidRPr="00377A6A">
        <w:rPr>
          <w:rFonts w:cs="Times New Roman"/>
          <w:lang w:val="fr-FR"/>
        </w:rPr>
        <w:t xml:space="preserve"> le démarrage</w:t>
      </w:r>
      <w:r w:rsidRPr="00377A6A">
        <w:rPr>
          <w:rFonts w:cs="Times New Roman"/>
          <w:lang w:val="fr-FR"/>
        </w:rPr>
        <w:t xml:space="preserve"> du projet, 77 fonctionnaires ont été formés à la destruction d'armes et de munitions au Pérou et au Costa Rica. Ce projet a permis de soutenir la destruction et la certification de 13 363 armes légères et de petit calibre et de 341 186 </w:t>
      </w:r>
      <w:r w:rsidR="00323E83" w:rsidRPr="00377A6A">
        <w:rPr>
          <w:rFonts w:cs="Times New Roman"/>
          <w:lang w:val="fr-FR"/>
        </w:rPr>
        <w:t>éléments</w:t>
      </w:r>
      <w:r w:rsidRPr="00377A6A">
        <w:rPr>
          <w:rFonts w:cs="Times New Roman"/>
          <w:lang w:val="fr-FR"/>
        </w:rPr>
        <w:t xml:space="preserve"> de munitions, conformément aux meilleures pratiques internationales</w:t>
      </w:r>
      <w:r w:rsidR="005D0A34" w:rsidRPr="00377A6A">
        <w:rPr>
          <w:rFonts w:cs="Times New Roman"/>
          <w:lang w:val="fr-FR"/>
        </w:rPr>
        <w:t>.</w:t>
      </w:r>
    </w:p>
    <w:p w14:paraId="38793C10" w14:textId="06C2716E" w:rsidR="005D0A34" w:rsidRPr="00377A6A" w:rsidRDefault="00066B90" w:rsidP="00377A6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line="360" w:lineRule="auto"/>
        <w:ind w:firstLine="720"/>
        <w:rPr>
          <w:rFonts w:cs="Times New Roman"/>
          <w:lang w:val="fr-FR"/>
        </w:rPr>
      </w:pPr>
      <w:r w:rsidRPr="00377A6A">
        <w:rPr>
          <w:rFonts w:cs="Times New Roman"/>
          <w:lang w:val="fr-FR"/>
        </w:rPr>
        <w:t xml:space="preserve">En outre, dans le cadre de l'accord </w:t>
      </w:r>
      <w:r w:rsidR="00654F5A" w:rsidRPr="00377A6A">
        <w:rPr>
          <w:rFonts w:cs="Times New Roman"/>
          <w:lang w:val="fr-FR"/>
        </w:rPr>
        <w:t>conclu</w:t>
      </w:r>
      <w:r w:rsidRPr="00377A6A">
        <w:rPr>
          <w:rFonts w:cs="Times New Roman"/>
          <w:lang w:val="fr-FR"/>
        </w:rPr>
        <w:t xml:space="preserve"> avec le ministère espagnol de la </w:t>
      </w:r>
      <w:r w:rsidR="00EE60F4" w:rsidRPr="00377A6A">
        <w:rPr>
          <w:rFonts w:cs="Times New Roman"/>
          <w:lang w:val="fr-FR"/>
        </w:rPr>
        <w:t>D</w:t>
      </w:r>
      <w:r w:rsidRPr="00377A6A">
        <w:rPr>
          <w:rFonts w:cs="Times New Roman"/>
          <w:lang w:val="fr-FR"/>
        </w:rPr>
        <w:t xml:space="preserve">éfense, 30 participants, dont des militaires, des policiers et des civils de 12 pays d'Amérique latine et des Caraïbes (Brésil, Colombie, </w:t>
      </w:r>
      <w:r w:rsidR="00EE60F4" w:rsidRPr="00377A6A">
        <w:rPr>
          <w:rFonts w:cs="Times New Roman"/>
          <w:lang w:val="fr-FR"/>
        </w:rPr>
        <w:t>Équateur,</w:t>
      </w:r>
      <w:r w:rsidR="00CC7EBE" w:rsidRPr="00377A6A">
        <w:rPr>
          <w:rFonts w:cs="Times New Roman"/>
          <w:lang w:val="fr-FR"/>
        </w:rPr>
        <w:t xml:space="preserve"> El Salvador,</w:t>
      </w:r>
      <w:r w:rsidRPr="00377A6A">
        <w:rPr>
          <w:rFonts w:cs="Times New Roman"/>
          <w:lang w:val="fr-FR"/>
        </w:rPr>
        <w:t xml:space="preserve"> Guatemala, Honduras, Pérou, République dominicaine, </w:t>
      </w:r>
      <w:r w:rsidRPr="00377A6A">
        <w:rPr>
          <w:rFonts w:cs="Times New Roman"/>
          <w:lang w:val="fr-FR"/>
        </w:rPr>
        <w:lastRenderedPageBreak/>
        <w:t xml:space="preserve">Mexique, Costa Rica, Uruguay et Panama) ont </w:t>
      </w:r>
      <w:r w:rsidR="00EE60F4" w:rsidRPr="00377A6A">
        <w:rPr>
          <w:rFonts w:cs="Times New Roman"/>
          <w:lang w:val="fr-FR"/>
        </w:rPr>
        <w:t>reçu un certificat de</w:t>
      </w:r>
      <w:r w:rsidRPr="00377A6A">
        <w:rPr>
          <w:rFonts w:cs="Times New Roman"/>
          <w:lang w:val="fr-FR"/>
        </w:rPr>
        <w:t xml:space="preserve"> niveau EOD 3 au Centre international de déminage humanitaire de Hoyo de Manzanares</w:t>
      </w:r>
      <w:r w:rsidR="00D9759C" w:rsidRPr="00377A6A">
        <w:rPr>
          <w:rFonts w:cs="Times New Roman"/>
          <w:lang w:val="fr-FR"/>
        </w:rPr>
        <w:t>.</w:t>
      </w:r>
    </w:p>
    <w:p w14:paraId="1E020669" w14:textId="3ACFE6F3" w:rsidR="005D0A34" w:rsidRPr="00377A6A" w:rsidRDefault="00066B90" w:rsidP="00377A6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120" w:line="360" w:lineRule="auto"/>
        <w:ind w:firstLine="720"/>
        <w:rPr>
          <w:rFonts w:cs="Times New Roman"/>
          <w:i/>
          <w:iCs/>
          <w:lang w:val="fr-FR"/>
        </w:rPr>
      </w:pPr>
      <w:r w:rsidRPr="00377A6A">
        <w:rPr>
          <w:rFonts w:cs="Times New Roman"/>
          <w:i/>
          <w:iCs/>
          <w:lang w:val="fr-FR"/>
        </w:rPr>
        <w:t>Mécanismes de transfert et de coopération</w:t>
      </w:r>
    </w:p>
    <w:p w14:paraId="4EBCA064" w14:textId="72186004" w:rsidR="00346B19" w:rsidRPr="00377A6A" w:rsidRDefault="00E27C72" w:rsidP="00377A6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line="360" w:lineRule="auto"/>
        <w:ind w:firstLine="720"/>
        <w:rPr>
          <w:rFonts w:cs="Times New Roman"/>
          <w:lang w:val="fr-FR"/>
        </w:rPr>
      </w:pPr>
      <w:r w:rsidRPr="00377A6A">
        <w:rPr>
          <w:rFonts w:cs="Times New Roman"/>
          <w:lang w:val="fr-FR"/>
        </w:rPr>
        <w:t xml:space="preserve">Ce volet vise à promouvoir la coopération régionale et l'échange d'informations </w:t>
      </w:r>
      <w:r w:rsidR="00CC7EBE" w:rsidRPr="00377A6A">
        <w:rPr>
          <w:rFonts w:cs="Times New Roman"/>
          <w:lang w:val="fr-FR"/>
        </w:rPr>
        <w:t xml:space="preserve">par </w:t>
      </w:r>
      <w:r w:rsidRPr="00377A6A">
        <w:rPr>
          <w:rFonts w:cs="Times New Roman"/>
          <w:lang w:val="fr-FR"/>
        </w:rPr>
        <w:t xml:space="preserve">l'amélioration des mécanismes de transfert </w:t>
      </w:r>
      <w:r w:rsidR="00AF54BD" w:rsidRPr="00377A6A">
        <w:rPr>
          <w:rFonts w:cs="Times New Roman"/>
          <w:lang w:val="fr-FR"/>
        </w:rPr>
        <w:t>ainsi que la fourniture</w:t>
      </w:r>
      <w:r w:rsidRPr="00377A6A">
        <w:rPr>
          <w:rFonts w:cs="Times New Roman"/>
          <w:lang w:val="fr-FR"/>
        </w:rPr>
        <w:t xml:space="preserve"> </w:t>
      </w:r>
      <w:r w:rsidR="00AF54BD" w:rsidRPr="00377A6A">
        <w:rPr>
          <w:rFonts w:cs="Times New Roman"/>
          <w:lang w:val="fr-FR"/>
        </w:rPr>
        <w:t xml:space="preserve">d’une </w:t>
      </w:r>
      <w:r w:rsidRPr="00377A6A">
        <w:rPr>
          <w:rFonts w:cs="Times New Roman"/>
          <w:lang w:val="fr-FR"/>
        </w:rPr>
        <w:t xml:space="preserve">assistance législative aux pays </w:t>
      </w:r>
      <w:r w:rsidR="00CC7EBE" w:rsidRPr="00377A6A">
        <w:rPr>
          <w:rFonts w:cs="Times New Roman"/>
          <w:lang w:val="fr-FR"/>
        </w:rPr>
        <w:t xml:space="preserve">pou </w:t>
      </w:r>
      <w:r w:rsidRPr="00377A6A">
        <w:rPr>
          <w:rFonts w:cs="Times New Roman"/>
          <w:lang w:val="fr-FR"/>
        </w:rPr>
        <w:t>harmoniser la lég</w:t>
      </w:r>
      <w:r w:rsidR="00EE60F4" w:rsidRPr="00377A6A">
        <w:rPr>
          <w:rFonts w:cs="Times New Roman"/>
          <w:lang w:val="fr-FR"/>
        </w:rPr>
        <w:t>i</w:t>
      </w:r>
      <w:r w:rsidRPr="00377A6A">
        <w:rPr>
          <w:rFonts w:cs="Times New Roman"/>
          <w:lang w:val="fr-FR"/>
        </w:rPr>
        <w:t>slation nationale avec les normes internationales</w:t>
      </w:r>
      <w:r w:rsidR="00346B19" w:rsidRPr="00377A6A">
        <w:rPr>
          <w:rFonts w:cs="Times New Roman"/>
          <w:lang w:val="fr-FR"/>
        </w:rPr>
        <w:t xml:space="preserve">. </w:t>
      </w:r>
    </w:p>
    <w:p w14:paraId="356209A6" w14:textId="490A621C" w:rsidR="00EF4C0B" w:rsidRPr="00377A6A" w:rsidRDefault="00E27C72" w:rsidP="00377A6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line="360" w:lineRule="auto"/>
        <w:ind w:firstLine="720"/>
        <w:rPr>
          <w:rFonts w:cs="Times New Roman"/>
          <w:lang w:val="fr-FR"/>
        </w:rPr>
      </w:pPr>
      <w:r w:rsidRPr="00377A6A">
        <w:rPr>
          <w:rFonts w:cs="Times New Roman"/>
          <w:lang w:val="fr-FR"/>
        </w:rPr>
        <w:t xml:space="preserve">Afin de fournir un outil de soutien </w:t>
      </w:r>
      <w:r w:rsidR="00EE60F4" w:rsidRPr="00377A6A">
        <w:rPr>
          <w:rFonts w:cs="Times New Roman"/>
          <w:lang w:val="fr-FR"/>
        </w:rPr>
        <w:t>à</w:t>
      </w:r>
      <w:r w:rsidRPr="00377A6A">
        <w:rPr>
          <w:rFonts w:cs="Times New Roman"/>
          <w:lang w:val="fr-FR"/>
        </w:rPr>
        <w:t xml:space="preserve"> l'accès et</w:t>
      </w:r>
      <w:r w:rsidR="00EE60F4" w:rsidRPr="00377A6A">
        <w:rPr>
          <w:rFonts w:cs="Times New Roman"/>
          <w:lang w:val="fr-FR"/>
        </w:rPr>
        <w:t xml:space="preserve"> à</w:t>
      </w:r>
      <w:r w:rsidRPr="00377A6A">
        <w:rPr>
          <w:rFonts w:cs="Times New Roman"/>
          <w:lang w:val="fr-FR"/>
        </w:rPr>
        <w:t xml:space="preserve"> l'échange </w:t>
      </w:r>
      <w:r w:rsidR="002B6E56" w:rsidRPr="00377A6A">
        <w:rPr>
          <w:rFonts w:cs="Times New Roman"/>
          <w:lang w:val="fr-FR"/>
        </w:rPr>
        <w:t>en matière d’</w:t>
      </w:r>
      <w:r w:rsidRPr="00377A6A">
        <w:rPr>
          <w:rFonts w:cs="Times New Roman"/>
          <w:lang w:val="fr-FR"/>
        </w:rPr>
        <w:t xml:space="preserve">information sur diverses questions liées au contrôle des armes et des munitions, </w:t>
      </w:r>
      <w:r w:rsidR="00EE60F4" w:rsidRPr="00377A6A">
        <w:rPr>
          <w:rFonts w:cs="Times New Roman"/>
          <w:lang w:val="fr-FR"/>
        </w:rPr>
        <w:t>une</w:t>
      </w:r>
      <w:r w:rsidRPr="00377A6A">
        <w:rPr>
          <w:rFonts w:cs="Times New Roman"/>
          <w:lang w:val="fr-FR"/>
        </w:rPr>
        <w:t xml:space="preserve"> communauté virtuelle a été </w:t>
      </w:r>
      <w:r w:rsidR="00EB4339" w:rsidRPr="00377A6A">
        <w:rPr>
          <w:rFonts w:cs="Times New Roman"/>
          <w:lang w:val="fr-FR"/>
        </w:rPr>
        <w:t>mise en place</w:t>
      </w:r>
      <w:r w:rsidR="00EE60F4" w:rsidRPr="00377A6A">
        <w:rPr>
          <w:rFonts w:cs="Times New Roman"/>
          <w:lang w:val="fr-FR"/>
        </w:rPr>
        <w:t>, et</w:t>
      </w:r>
      <w:r w:rsidRPr="00377A6A">
        <w:rPr>
          <w:rFonts w:cs="Times New Roman"/>
          <w:lang w:val="fr-FR"/>
        </w:rPr>
        <w:t xml:space="preserve"> 11 pays et 16 points de contact nationaux se sont inscrits</w:t>
      </w:r>
      <w:r w:rsidR="00884A20" w:rsidRPr="00377A6A">
        <w:rPr>
          <w:rFonts w:cs="Times New Roman"/>
          <w:lang w:val="fr-FR"/>
        </w:rPr>
        <w:t>.</w:t>
      </w:r>
    </w:p>
    <w:p w14:paraId="0D18FFAC" w14:textId="7726EF87" w:rsidR="007C36B7" w:rsidRPr="00377A6A" w:rsidRDefault="00EE60F4" w:rsidP="00377A6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line="360" w:lineRule="auto"/>
        <w:ind w:firstLine="720"/>
        <w:rPr>
          <w:rFonts w:cs="Times New Roman"/>
          <w:lang w:val="fr-FR"/>
        </w:rPr>
      </w:pPr>
      <w:r w:rsidRPr="00377A6A">
        <w:rPr>
          <w:rFonts w:cs="Times New Roman"/>
          <w:lang w:val="fr-FR"/>
        </w:rPr>
        <w:t>En outre, d</w:t>
      </w:r>
      <w:r w:rsidR="00B9091C" w:rsidRPr="00377A6A">
        <w:rPr>
          <w:rFonts w:cs="Times New Roman"/>
          <w:lang w:val="fr-FR"/>
        </w:rPr>
        <w:t>es lignes directrices</w:t>
      </w:r>
      <w:r w:rsidR="005C0ABB" w:rsidRPr="00377A6A">
        <w:rPr>
          <w:rFonts w:cs="Times New Roman"/>
          <w:lang w:val="fr-FR"/>
        </w:rPr>
        <w:t xml:space="preserve"> ont été élaborées</w:t>
      </w:r>
      <w:r w:rsidR="00B9091C" w:rsidRPr="00377A6A">
        <w:rPr>
          <w:rFonts w:cs="Times New Roman"/>
          <w:lang w:val="fr-FR"/>
        </w:rPr>
        <w:t xml:space="preserve"> pour un mécanisme de communication transfrontalier et régional </w:t>
      </w:r>
      <w:r w:rsidR="00594739" w:rsidRPr="00377A6A">
        <w:rPr>
          <w:rFonts w:cs="Times New Roman"/>
          <w:lang w:val="fr-FR"/>
        </w:rPr>
        <w:t>visant</w:t>
      </w:r>
      <w:r w:rsidR="00B9091C" w:rsidRPr="00377A6A">
        <w:rPr>
          <w:rFonts w:cs="Times New Roman"/>
          <w:lang w:val="fr-FR"/>
        </w:rPr>
        <w:t xml:space="preserve"> l'échange d'informations sur les transactions licites d'importation et d'exportation d'armes à feu. L'objectif de ce mécanisme est de permettre aux États parties à la CIFTA </w:t>
      </w:r>
      <w:r w:rsidR="007F26FE" w:rsidRPr="00377A6A">
        <w:rPr>
          <w:rFonts w:cs="Times New Roman"/>
          <w:lang w:val="fr-FR"/>
        </w:rPr>
        <w:t>de procéder à des échanges rapides d’</w:t>
      </w:r>
      <w:r w:rsidR="00B9091C" w:rsidRPr="00377A6A">
        <w:rPr>
          <w:rFonts w:cs="Times New Roman"/>
          <w:lang w:val="fr-FR"/>
        </w:rPr>
        <w:t>information sur l'exportation, l'importation et le transit d'armes légères et de petit calibre, de leurs composant</w:t>
      </w:r>
      <w:r w:rsidR="00594739" w:rsidRPr="00377A6A">
        <w:rPr>
          <w:rFonts w:cs="Times New Roman"/>
          <w:lang w:val="fr-FR"/>
        </w:rPr>
        <w:t>e</w:t>
      </w:r>
      <w:r w:rsidR="00B9091C" w:rsidRPr="00377A6A">
        <w:rPr>
          <w:rFonts w:cs="Times New Roman"/>
          <w:lang w:val="fr-FR"/>
        </w:rPr>
        <w:t>s et de leurs munitions, et d'identifier rapidement les vulnérabilités et risques</w:t>
      </w:r>
      <w:r w:rsidR="00594739" w:rsidRPr="00377A6A">
        <w:rPr>
          <w:rFonts w:cs="Times New Roman"/>
          <w:lang w:val="fr-FR"/>
        </w:rPr>
        <w:t xml:space="preserve"> possibles</w:t>
      </w:r>
      <w:r w:rsidR="00B9091C" w:rsidRPr="00377A6A">
        <w:rPr>
          <w:rFonts w:cs="Times New Roman"/>
          <w:lang w:val="fr-FR"/>
        </w:rPr>
        <w:t xml:space="preserve"> de détournement vers le marché illicite dans</w:t>
      </w:r>
      <w:r w:rsidR="00052D92" w:rsidRPr="00377A6A">
        <w:rPr>
          <w:rFonts w:cs="Times New Roman"/>
          <w:lang w:val="fr-FR"/>
        </w:rPr>
        <w:t xml:space="preserve"> le cadre de</w:t>
      </w:r>
      <w:r w:rsidR="00B9091C" w:rsidRPr="00377A6A">
        <w:rPr>
          <w:rFonts w:cs="Times New Roman"/>
          <w:lang w:val="fr-FR"/>
        </w:rPr>
        <w:t xml:space="preserve"> ces processus. Ce mécanisme proposé sera soumis aux États parties à la CIFTA pour examen et validation au cours du premier semestre 2021</w:t>
      </w:r>
      <w:r w:rsidR="00EF4C0B" w:rsidRPr="00377A6A">
        <w:rPr>
          <w:rFonts w:cs="Times New Roman"/>
          <w:lang w:val="fr-FR"/>
        </w:rPr>
        <w:t xml:space="preserve">. </w:t>
      </w:r>
    </w:p>
    <w:p w14:paraId="13151F36" w14:textId="4BA070CB" w:rsidR="00340AEC" w:rsidRPr="00377A6A" w:rsidRDefault="00594739" w:rsidP="00377A6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line="360" w:lineRule="auto"/>
        <w:ind w:firstLine="720"/>
        <w:rPr>
          <w:rFonts w:cs="Times New Roman"/>
          <w:lang w:val="fr-FR"/>
        </w:rPr>
      </w:pPr>
      <w:r w:rsidRPr="00377A6A">
        <w:rPr>
          <w:rFonts w:cs="Times New Roman"/>
          <w:lang w:val="fr-FR"/>
        </w:rPr>
        <w:t>Par ailleurs, d</w:t>
      </w:r>
      <w:r w:rsidR="00B9091C" w:rsidRPr="00377A6A">
        <w:rPr>
          <w:rFonts w:cs="Times New Roman"/>
          <w:lang w:val="fr-FR"/>
        </w:rPr>
        <w:t xml:space="preserve">ans le domaine de l'assistance juridique, nous avons fourni une assistance technique </w:t>
      </w:r>
      <w:r w:rsidRPr="00377A6A">
        <w:rPr>
          <w:rFonts w:cs="Times New Roman"/>
          <w:lang w:val="fr-FR"/>
        </w:rPr>
        <w:t>en matière de renforcement et d’amélioration</w:t>
      </w:r>
      <w:r w:rsidR="00B9091C" w:rsidRPr="00377A6A">
        <w:rPr>
          <w:rFonts w:cs="Times New Roman"/>
          <w:lang w:val="fr-FR"/>
        </w:rPr>
        <w:t xml:space="preserve"> </w:t>
      </w:r>
      <w:r w:rsidR="005B6DBE" w:rsidRPr="00377A6A">
        <w:rPr>
          <w:rFonts w:cs="Times New Roman"/>
          <w:lang w:val="fr-FR"/>
        </w:rPr>
        <w:t>d</w:t>
      </w:r>
      <w:r w:rsidR="00B9091C" w:rsidRPr="00377A6A">
        <w:rPr>
          <w:rFonts w:cs="Times New Roman"/>
          <w:lang w:val="fr-FR"/>
        </w:rPr>
        <w:t xml:space="preserve">es cadres réglementaires relatifs aux armes à feu dans trois pays : le Pérou, l'Équateur et la Jamaïque. </w:t>
      </w:r>
      <w:r w:rsidRPr="00377A6A">
        <w:rPr>
          <w:rFonts w:cs="Times New Roman"/>
          <w:lang w:val="fr-FR"/>
        </w:rPr>
        <w:t>Une aide a été apporté</w:t>
      </w:r>
      <w:r w:rsidR="00434105" w:rsidRPr="00377A6A">
        <w:rPr>
          <w:rFonts w:cs="Times New Roman"/>
          <w:lang w:val="fr-FR"/>
        </w:rPr>
        <w:t>e</w:t>
      </w:r>
      <w:r w:rsidRPr="00377A6A">
        <w:rPr>
          <w:rFonts w:cs="Times New Roman"/>
          <w:lang w:val="fr-FR"/>
        </w:rPr>
        <w:t xml:space="preserve"> au</w:t>
      </w:r>
      <w:r w:rsidR="00B9091C" w:rsidRPr="00377A6A">
        <w:rPr>
          <w:rFonts w:cs="Times New Roman"/>
          <w:lang w:val="fr-FR"/>
        </w:rPr>
        <w:t xml:space="preserve"> Pérou </w:t>
      </w:r>
      <w:r w:rsidRPr="00377A6A">
        <w:rPr>
          <w:rFonts w:cs="Times New Roman"/>
          <w:lang w:val="fr-FR"/>
        </w:rPr>
        <w:t>dans l’élaboration de</w:t>
      </w:r>
      <w:r w:rsidR="00B9091C" w:rsidRPr="00377A6A">
        <w:rPr>
          <w:rFonts w:cs="Times New Roman"/>
          <w:lang w:val="fr-FR"/>
        </w:rPr>
        <w:t xml:space="preserve"> la directive sur la réglementation des conditions et mesures de sécurité pour les installations de stockage d'explosifs et de mat</w:t>
      </w:r>
      <w:r w:rsidR="000574CE" w:rsidRPr="00377A6A">
        <w:rPr>
          <w:rFonts w:cs="Times New Roman"/>
          <w:lang w:val="fr-FR"/>
        </w:rPr>
        <w:t>ériels</w:t>
      </w:r>
      <w:r w:rsidR="00B9091C" w:rsidRPr="00377A6A">
        <w:rPr>
          <w:rFonts w:cs="Times New Roman"/>
          <w:lang w:val="fr-FR"/>
        </w:rPr>
        <w:t xml:space="preserve"> connexes. </w:t>
      </w:r>
      <w:r w:rsidR="009D752F" w:rsidRPr="00377A6A">
        <w:rPr>
          <w:rFonts w:cs="Times New Roman"/>
          <w:lang w:val="fr-FR"/>
        </w:rPr>
        <w:t xml:space="preserve">En </w:t>
      </w:r>
      <w:r w:rsidR="00B9091C" w:rsidRPr="00377A6A">
        <w:rPr>
          <w:rFonts w:cs="Times New Roman"/>
          <w:lang w:val="fr-FR"/>
        </w:rPr>
        <w:t xml:space="preserve">Équateur, nous avons </w:t>
      </w:r>
      <w:r w:rsidR="00114A91" w:rsidRPr="00377A6A">
        <w:rPr>
          <w:rFonts w:cs="Times New Roman"/>
          <w:lang w:val="fr-FR"/>
        </w:rPr>
        <w:t>fourni</w:t>
      </w:r>
      <w:r w:rsidR="00B9091C" w:rsidRPr="00377A6A">
        <w:rPr>
          <w:rFonts w:cs="Times New Roman"/>
          <w:lang w:val="fr-FR"/>
        </w:rPr>
        <w:t xml:space="preserve"> des contributions et des commentaires pour harmoniser </w:t>
      </w:r>
      <w:r w:rsidR="00434105" w:rsidRPr="00377A6A">
        <w:rPr>
          <w:rFonts w:cs="Times New Roman"/>
          <w:lang w:val="fr-FR"/>
        </w:rPr>
        <w:t>l</w:t>
      </w:r>
      <w:r w:rsidR="00B9091C" w:rsidRPr="00377A6A">
        <w:rPr>
          <w:rFonts w:cs="Times New Roman"/>
          <w:lang w:val="fr-FR"/>
        </w:rPr>
        <w:t xml:space="preserve">a </w:t>
      </w:r>
      <w:r w:rsidR="00434105" w:rsidRPr="00377A6A">
        <w:rPr>
          <w:rFonts w:cs="Times New Roman"/>
          <w:lang w:val="fr-FR"/>
        </w:rPr>
        <w:t>législation</w:t>
      </w:r>
      <w:r w:rsidR="00114A91" w:rsidRPr="00377A6A">
        <w:rPr>
          <w:rFonts w:cs="Times New Roman"/>
          <w:lang w:val="fr-FR"/>
        </w:rPr>
        <w:t xml:space="preserve"> </w:t>
      </w:r>
      <w:r w:rsidR="00B9091C" w:rsidRPr="00377A6A">
        <w:rPr>
          <w:rFonts w:cs="Times New Roman"/>
          <w:lang w:val="fr-FR"/>
        </w:rPr>
        <w:t xml:space="preserve">sur les armes avec les mandats </w:t>
      </w:r>
      <w:r w:rsidR="00114A91" w:rsidRPr="00377A6A">
        <w:rPr>
          <w:rFonts w:cs="Times New Roman"/>
          <w:lang w:val="fr-FR"/>
        </w:rPr>
        <w:t>souscrits</w:t>
      </w:r>
      <w:r w:rsidR="00B9091C" w:rsidRPr="00377A6A">
        <w:rPr>
          <w:rFonts w:cs="Times New Roman"/>
          <w:lang w:val="fr-FR"/>
        </w:rPr>
        <w:t xml:space="preserve"> dans le cadre de la CIFTA. Nous avons également examiné le projet de modification de la </w:t>
      </w:r>
      <w:r w:rsidR="00CC130F" w:rsidRPr="00377A6A">
        <w:rPr>
          <w:rFonts w:cs="Times New Roman"/>
          <w:lang w:val="fr-FR"/>
        </w:rPr>
        <w:t>législation</w:t>
      </w:r>
      <w:r w:rsidR="00B9091C" w:rsidRPr="00377A6A">
        <w:rPr>
          <w:rFonts w:cs="Times New Roman"/>
          <w:lang w:val="fr-FR"/>
        </w:rPr>
        <w:t xml:space="preserve"> sur les armes </w:t>
      </w:r>
      <w:r w:rsidR="00CC130F" w:rsidRPr="00377A6A">
        <w:rPr>
          <w:rFonts w:cs="Times New Roman"/>
          <w:lang w:val="fr-FR"/>
        </w:rPr>
        <w:t>en</w:t>
      </w:r>
      <w:r w:rsidR="00B9091C" w:rsidRPr="00377A6A">
        <w:rPr>
          <w:rFonts w:cs="Times New Roman"/>
          <w:lang w:val="fr-FR"/>
        </w:rPr>
        <w:t xml:space="preserve"> Jamaïque, en tenant compte des obligations de la CIFTA</w:t>
      </w:r>
      <w:r w:rsidR="003842A8" w:rsidRPr="00377A6A">
        <w:rPr>
          <w:rFonts w:cs="Times New Roman"/>
          <w:lang w:val="fr-FR"/>
        </w:rPr>
        <w:t>,</w:t>
      </w:r>
      <w:r w:rsidR="00B9091C" w:rsidRPr="00377A6A">
        <w:rPr>
          <w:rFonts w:cs="Times New Roman"/>
          <w:lang w:val="fr-FR"/>
        </w:rPr>
        <w:t xml:space="preserve"> en vue d'une éventuelle ratification de la Convention par ce pays</w:t>
      </w:r>
      <w:r w:rsidR="00340AEC" w:rsidRPr="00377A6A">
        <w:rPr>
          <w:rFonts w:cs="Times New Roman"/>
          <w:lang w:val="fr-FR"/>
        </w:rPr>
        <w:t xml:space="preserve">. </w:t>
      </w:r>
    </w:p>
    <w:p w14:paraId="2C5B1729" w14:textId="6C2D8B84" w:rsidR="00340AEC" w:rsidRPr="00377A6A" w:rsidRDefault="002753D5" w:rsidP="00377A6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120" w:line="360" w:lineRule="auto"/>
        <w:ind w:firstLine="720"/>
        <w:rPr>
          <w:rFonts w:cs="Times New Roman"/>
          <w:i/>
          <w:iCs/>
          <w:lang w:val="fr-FR"/>
        </w:rPr>
      </w:pPr>
      <w:r w:rsidRPr="00377A6A">
        <w:rPr>
          <w:rFonts w:cs="Times New Roman"/>
          <w:i/>
          <w:iCs/>
          <w:lang w:val="fr-FR"/>
        </w:rPr>
        <w:t>Prévention de la violence armée</w:t>
      </w:r>
      <w:r w:rsidR="00340AEC" w:rsidRPr="00377A6A">
        <w:rPr>
          <w:rFonts w:cs="Times New Roman"/>
          <w:i/>
          <w:iCs/>
          <w:lang w:val="fr-FR"/>
        </w:rPr>
        <w:t xml:space="preserve"> </w:t>
      </w:r>
    </w:p>
    <w:p w14:paraId="3D9450BE" w14:textId="052D4AF1" w:rsidR="008E5B12" w:rsidRPr="00377A6A" w:rsidRDefault="003842A8" w:rsidP="00377A6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line="360" w:lineRule="auto"/>
        <w:ind w:firstLine="720"/>
        <w:rPr>
          <w:rFonts w:cs="Times New Roman"/>
          <w:lang w:val="fr-FR"/>
        </w:rPr>
      </w:pPr>
      <w:r w:rsidRPr="00377A6A">
        <w:rPr>
          <w:rFonts w:cs="Times New Roman"/>
          <w:lang w:val="fr-FR"/>
        </w:rPr>
        <w:t>Ce volet</w:t>
      </w:r>
      <w:r w:rsidR="002753D5" w:rsidRPr="00377A6A">
        <w:rPr>
          <w:rFonts w:cs="Times New Roman"/>
          <w:lang w:val="fr-FR"/>
        </w:rPr>
        <w:t xml:space="preserve"> innovant a été incorporé dans le projet en reconnaissa</w:t>
      </w:r>
      <w:r w:rsidR="00CC130F" w:rsidRPr="00377A6A">
        <w:rPr>
          <w:rFonts w:cs="Times New Roman"/>
          <w:lang w:val="fr-FR"/>
        </w:rPr>
        <w:t>nt que</w:t>
      </w:r>
      <w:r w:rsidR="002753D5" w:rsidRPr="00377A6A">
        <w:rPr>
          <w:rFonts w:cs="Times New Roman"/>
          <w:lang w:val="fr-FR"/>
        </w:rPr>
        <w:t xml:space="preserve"> </w:t>
      </w:r>
      <w:r w:rsidR="00CC130F" w:rsidRPr="00377A6A">
        <w:rPr>
          <w:rFonts w:cs="Times New Roman"/>
          <w:lang w:val="fr-FR"/>
        </w:rPr>
        <w:t>l</w:t>
      </w:r>
      <w:r w:rsidR="002753D5" w:rsidRPr="00377A6A">
        <w:rPr>
          <w:rFonts w:cs="Times New Roman"/>
          <w:lang w:val="fr-FR"/>
        </w:rPr>
        <w:t xml:space="preserve">es </w:t>
      </w:r>
      <w:r w:rsidR="006D1D49" w:rsidRPr="00377A6A">
        <w:rPr>
          <w:rFonts w:cs="Times New Roman"/>
          <w:lang w:val="fr-FR"/>
        </w:rPr>
        <w:t>mesures de</w:t>
      </w:r>
      <w:r w:rsidR="002753D5" w:rsidRPr="00377A6A">
        <w:rPr>
          <w:rFonts w:cs="Times New Roman"/>
          <w:lang w:val="fr-FR"/>
        </w:rPr>
        <w:t xml:space="preserve"> répressi</w:t>
      </w:r>
      <w:r w:rsidR="006D1D49" w:rsidRPr="00377A6A">
        <w:rPr>
          <w:rFonts w:cs="Times New Roman"/>
          <w:lang w:val="fr-FR"/>
        </w:rPr>
        <w:t>on</w:t>
      </w:r>
      <w:r w:rsidR="002753D5" w:rsidRPr="00377A6A">
        <w:rPr>
          <w:rFonts w:cs="Times New Roman"/>
          <w:lang w:val="fr-FR"/>
        </w:rPr>
        <w:t xml:space="preserve"> et d</w:t>
      </w:r>
      <w:r w:rsidR="00CC130F" w:rsidRPr="00377A6A">
        <w:rPr>
          <w:rFonts w:cs="Times New Roman"/>
          <w:lang w:val="fr-FR"/>
        </w:rPr>
        <w:t>e</w:t>
      </w:r>
      <w:r w:rsidR="002753D5" w:rsidRPr="00377A6A">
        <w:rPr>
          <w:rFonts w:cs="Times New Roman"/>
          <w:lang w:val="fr-FR"/>
        </w:rPr>
        <w:t xml:space="preserve"> contrôle du cycle des armes à feu</w:t>
      </w:r>
      <w:r w:rsidR="00CC130F" w:rsidRPr="00377A6A">
        <w:rPr>
          <w:rFonts w:cs="Times New Roman"/>
          <w:lang w:val="fr-FR"/>
        </w:rPr>
        <w:t xml:space="preserve"> sont inefficaces</w:t>
      </w:r>
      <w:r w:rsidR="002753D5" w:rsidRPr="00377A6A">
        <w:rPr>
          <w:rFonts w:cs="Times New Roman"/>
          <w:lang w:val="fr-FR"/>
        </w:rPr>
        <w:t xml:space="preserve"> si elles ne sont pas accompagnées d'activités visant à prévenir l'utilisation des armes à feu pour la résolution des conflits et l'implication de </w:t>
      </w:r>
      <w:r w:rsidR="002753D5" w:rsidRPr="00377A6A">
        <w:rPr>
          <w:rFonts w:cs="Times New Roman"/>
          <w:lang w:val="fr-FR"/>
        </w:rPr>
        <w:lastRenderedPageBreak/>
        <w:t>groupes en situation de vulnérabilité dans la violence armée. À cette fin, ce volet pilote vise à renforcer les capacités au niveau communautaire et à promouvoir un comportement socialement responsable</w:t>
      </w:r>
      <w:r w:rsidR="00722292" w:rsidRPr="00377A6A">
        <w:rPr>
          <w:rFonts w:cs="Times New Roman"/>
          <w:lang w:val="fr-FR"/>
        </w:rPr>
        <w:t>,</w:t>
      </w:r>
      <w:r w:rsidR="002753D5" w:rsidRPr="00377A6A">
        <w:rPr>
          <w:rFonts w:cs="Times New Roman"/>
          <w:lang w:val="fr-FR"/>
        </w:rPr>
        <w:t xml:space="preserve"> en formant les acteurs locaux et en développant des compétences </w:t>
      </w:r>
      <w:r w:rsidR="002C24E4" w:rsidRPr="00377A6A">
        <w:rPr>
          <w:rFonts w:cs="Times New Roman"/>
          <w:lang w:val="fr-FR"/>
        </w:rPr>
        <w:t>essentielles à</w:t>
      </w:r>
      <w:r w:rsidR="002753D5" w:rsidRPr="00377A6A">
        <w:rPr>
          <w:rFonts w:cs="Times New Roman"/>
          <w:lang w:val="fr-FR"/>
        </w:rPr>
        <w:t xml:space="preserve"> vie </w:t>
      </w:r>
      <w:r w:rsidR="002A7951" w:rsidRPr="00377A6A">
        <w:rPr>
          <w:rFonts w:cs="Times New Roman"/>
          <w:lang w:val="fr-FR"/>
        </w:rPr>
        <w:t>chez</w:t>
      </w:r>
      <w:r w:rsidR="002753D5" w:rsidRPr="00377A6A">
        <w:rPr>
          <w:rFonts w:cs="Times New Roman"/>
          <w:lang w:val="fr-FR"/>
        </w:rPr>
        <w:t xml:space="preserve"> les enfants en situation de vulnérabilité</w:t>
      </w:r>
      <w:r w:rsidR="002A7951" w:rsidRPr="00377A6A">
        <w:rPr>
          <w:rFonts w:cs="Times New Roman"/>
          <w:lang w:val="fr-FR"/>
        </w:rPr>
        <w:t>, par le biais</w:t>
      </w:r>
      <w:r w:rsidR="002753D5" w:rsidRPr="00377A6A">
        <w:rPr>
          <w:rFonts w:cs="Times New Roman"/>
          <w:lang w:val="fr-FR"/>
        </w:rPr>
        <w:t xml:space="preserve"> </w:t>
      </w:r>
      <w:r w:rsidR="002A7951" w:rsidRPr="00377A6A">
        <w:rPr>
          <w:rFonts w:cs="Times New Roman"/>
          <w:lang w:val="fr-FR"/>
        </w:rPr>
        <w:t>d’</w:t>
      </w:r>
      <w:r w:rsidR="002753D5" w:rsidRPr="00377A6A">
        <w:rPr>
          <w:rFonts w:cs="Times New Roman"/>
          <w:lang w:val="fr-FR"/>
        </w:rPr>
        <w:t>activités extrascolaires quotidiennes d</w:t>
      </w:r>
      <w:r w:rsidR="005E4093" w:rsidRPr="00377A6A">
        <w:rPr>
          <w:rFonts w:cs="Times New Roman"/>
          <w:lang w:val="fr-FR"/>
        </w:rPr>
        <w:t>ans le cadre du</w:t>
      </w:r>
      <w:r w:rsidR="002753D5" w:rsidRPr="00377A6A">
        <w:rPr>
          <w:rFonts w:cs="Times New Roman"/>
          <w:lang w:val="fr-FR"/>
        </w:rPr>
        <w:t xml:space="preserve"> programme OASIS </w:t>
      </w:r>
      <w:r w:rsidR="005E4093" w:rsidRPr="00377A6A">
        <w:rPr>
          <w:rFonts w:cs="Times New Roman"/>
          <w:lang w:val="fr-FR"/>
        </w:rPr>
        <w:t>(m</w:t>
      </w:r>
      <w:r w:rsidR="002753D5" w:rsidRPr="00377A6A">
        <w:rPr>
          <w:rFonts w:cs="Times New Roman"/>
          <w:lang w:val="fr-FR"/>
        </w:rPr>
        <w:t>usique pour la prévention de la violence</w:t>
      </w:r>
      <w:r w:rsidR="005E4093" w:rsidRPr="00377A6A">
        <w:rPr>
          <w:rFonts w:cs="Times New Roman"/>
          <w:lang w:val="fr-FR"/>
        </w:rPr>
        <w:t>)</w:t>
      </w:r>
      <w:r w:rsidR="002753D5" w:rsidRPr="00377A6A">
        <w:rPr>
          <w:rFonts w:cs="Times New Roman"/>
          <w:lang w:val="fr-FR"/>
        </w:rPr>
        <w:t xml:space="preserve">. Ce volet est mis en œuvre dans des communautés de deux pays : le Honduras et </w:t>
      </w:r>
      <w:r w:rsidR="002C24E4" w:rsidRPr="00377A6A">
        <w:rPr>
          <w:rFonts w:cs="Times New Roman"/>
          <w:lang w:val="fr-FR"/>
        </w:rPr>
        <w:t>El</w:t>
      </w:r>
      <w:r w:rsidR="002753D5" w:rsidRPr="00377A6A">
        <w:rPr>
          <w:rFonts w:cs="Times New Roman"/>
          <w:lang w:val="fr-FR"/>
        </w:rPr>
        <w:t xml:space="preserve"> Salvador</w:t>
      </w:r>
      <w:r w:rsidR="008E5B12" w:rsidRPr="00377A6A">
        <w:rPr>
          <w:rFonts w:cs="Times New Roman"/>
          <w:lang w:val="fr-FR"/>
        </w:rPr>
        <w:t xml:space="preserve">. </w:t>
      </w:r>
    </w:p>
    <w:p w14:paraId="7DEA627C" w14:textId="49A66E94" w:rsidR="008E5B12" w:rsidRPr="00377A6A" w:rsidRDefault="00ED4320" w:rsidP="00377A6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line="360" w:lineRule="auto"/>
        <w:ind w:firstLine="720"/>
        <w:rPr>
          <w:rFonts w:cs="Times New Roman"/>
          <w:lang w:val="fr-FR"/>
        </w:rPr>
      </w:pPr>
      <w:r w:rsidRPr="00377A6A">
        <w:rPr>
          <w:rFonts w:cs="Times New Roman"/>
          <w:lang w:val="fr-FR"/>
        </w:rPr>
        <w:t>En 2020, la méthodologie</w:t>
      </w:r>
      <w:r w:rsidR="00F16593" w:rsidRPr="00377A6A">
        <w:rPr>
          <w:rFonts w:cs="Times New Roman"/>
          <w:lang w:val="fr-FR"/>
        </w:rPr>
        <w:t xml:space="preserve"> OASIS</w:t>
      </w:r>
      <w:r w:rsidRPr="00377A6A">
        <w:rPr>
          <w:rFonts w:cs="Times New Roman"/>
          <w:lang w:val="fr-FR"/>
        </w:rPr>
        <w:t xml:space="preserve"> a été développée pour</w:t>
      </w:r>
      <w:r w:rsidR="000E179C" w:rsidRPr="00377A6A">
        <w:rPr>
          <w:rFonts w:cs="Times New Roman"/>
          <w:lang w:val="fr-FR"/>
        </w:rPr>
        <w:t xml:space="preserve"> l'enseignement</w:t>
      </w:r>
      <w:r w:rsidRPr="00377A6A">
        <w:rPr>
          <w:rFonts w:cs="Times New Roman"/>
          <w:lang w:val="fr-FR"/>
        </w:rPr>
        <w:t xml:space="preserve"> </w:t>
      </w:r>
      <w:r w:rsidR="000E179C" w:rsidRPr="00377A6A">
        <w:rPr>
          <w:rFonts w:cs="Times New Roman"/>
          <w:lang w:val="fr-FR"/>
        </w:rPr>
        <w:t>de</w:t>
      </w:r>
      <w:r w:rsidR="00F16593" w:rsidRPr="00377A6A">
        <w:rPr>
          <w:rFonts w:cs="Times New Roman"/>
          <w:lang w:val="fr-FR"/>
        </w:rPr>
        <w:t xml:space="preserve"> cours</w:t>
      </w:r>
      <w:r w:rsidR="000E179C" w:rsidRPr="00377A6A">
        <w:rPr>
          <w:rFonts w:cs="Times New Roman"/>
          <w:lang w:val="fr-FR"/>
        </w:rPr>
        <w:t xml:space="preserve"> virtuels</w:t>
      </w:r>
      <w:r w:rsidRPr="00377A6A">
        <w:rPr>
          <w:rFonts w:cs="Times New Roman"/>
          <w:lang w:val="fr-FR"/>
        </w:rPr>
        <w:t xml:space="preserve"> d'orchestre et de chœu</w:t>
      </w:r>
      <w:r w:rsidR="000E179C" w:rsidRPr="00377A6A">
        <w:rPr>
          <w:rFonts w:cs="Times New Roman"/>
          <w:lang w:val="fr-FR"/>
        </w:rPr>
        <w:t>r</w:t>
      </w:r>
      <w:r w:rsidRPr="00377A6A">
        <w:rPr>
          <w:rFonts w:cs="Times New Roman"/>
          <w:lang w:val="fr-FR"/>
        </w:rPr>
        <w:t xml:space="preserve">, compte tenu de l'impossibilité de </w:t>
      </w:r>
      <w:r w:rsidR="0003652F" w:rsidRPr="00377A6A">
        <w:rPr>
          <w:rFonts w:cs="Times New Roman"/>
          <w:lang w:val="fr-FR"/>
        </w:rPr>
        <w:t>réaliser</w:t>
      </w:r>
      <w:r w:rsidRPr="00377A6A">
        <w:rPr>
          <w:rFonts w:cs="Times New Roman"/>
          <w:lang w:val="fr-FR"/>
        </w:rPr>
        <w:t xml:space="preserve"> des </w:t>
      </w:r>
      <w:r w:rsidR="0003652F" w:rsidRPr="00377A6A">
        <w:rPr>
          <w:rFonts w:cs="Times New Roman"/>
          <w:lang w:val="fr-FR"/>
        </w:rPr>
        <w:t>cours</w:t>
      </w:r>
      <w:r w:rsidRPr="00377A6A">
        <w:rPr>
          <w:rFonts w:cs="Times New Roman"/>
          <w:lang w:val="fr-FR"/>
        </w:rPr>
        <w:t xml:space="preserve"> en face à face. En outre, des modules de formation sont en cours </w:t>
      </w:r>
      <w:r w:rsidR="007A72F5" w:rsidRPr="00377A6A">
        <w:rPr>
          <w:rFonts w:cs="Times New Roman"/>
          <w:lang w:val="fr-FR"/>
        </w:rPr>
        <w:t>d’élaboration</w:t>
      </w:r>
      <w:r w:rsidRPr="00377A6A">
        <w:rPr>
          <w:rFonts w:cs="Times New Roman"/>
          <w:lang w:val="fr-FR"/>
        </w:rPr>
        <w:t xml:space="preserve"> sur </w:t>
      </w:r>
      <w:r w:rsidR="000E179C" w:rsidRPr="00377A6A">
        <w:rPr>
          <w:rFonts w:cs="Times New Roman"/>
          <w:lang w:val="fr-FR"/>
        </w:rPr>
        <w:t>d</w:t>
      </w:r>
      <w:r w:rsidRPr="00377A6A">
        <w:rPr>
          <w:rFonts w:cs="Times New Roman"/>
          <w:lang w:val="fr-FR"/>
        </w:rPr>
        <w:t xml:space="preserve">es questions liées à la prévention de la violence </w:t>
      </w:r>
      <w:r w:rsidR="007A72F5" w:rsidRPr="00377A6A">
        <w:rPr>
          <w:rFonts w:cs="Times New Roman"/>
          <w:lang w:val="fr-FR"/>
        </w:rPr>
        <w:t>juvénile et intrafamiliale</w:t>
      </w:r>
      <w:r w:rsidRPr="00377A6A">
        <w:rPr>
          <w:rFonts w:cs="Times New Roman"/>
          <w:lang w:val="fr-FR"/>
        </w:rPr>
        <w:t xml:space="preserve">, en collaboration avec l'ONG </w:t>
      </w:r>
      <w:r w:rsidR="007A72F5" w:rsidRPr="00377A6A">
        <w:rPr>
          <w:rFonts w:cs="Times New Roman"/>
          <w:lang w:val="fr-FR"/>
        </w:rPr>
        <w:t>Alianza para la Paz</w:t>
      </w:r>
      <w:r w:rsidRPr="00377A6A">
        <w:rPr>
          <w:rFonts w:cs="Times New Roman"/>
          <w:lang w:val="fr-FR"/>
        </w:rPr>
        <w:t xml:space="preserve"> et le </w:t>
      </w:r>
      <w:r w:rsidR="007A72F5" w:rsidRPr="00377A6A">
        <w:rPr>
          <w:rFonts w:cs="Times New Roman"/>
          <w:lang w:val="fr-FR"/>
        </w:rPr>
        <w:t>P</w:t>
      </w:r>
      <w:r w:rsidRPr="00377A6A">
        <w:rPr>
          <w:rFonts w:cs="Times New Roman"/>
          <w:lang w:val="fr-FR"/>
        </w:rPr>
        <w:t xml:space="preserve">ortail éducatif de l'OEA, </w:t>
      </w:r>
      <w:r w:rsidR="007A72F5" w:rsidRPr="00377A6A">
        <w:rPr>
          <w:rFonts w:cs="Times New Roman"/>
          <w:lang w:val="fr-FR"/>
        </w:rPr>
        <w:t>lesquels</w:t>
      </w:r>
      <w:r w:rsidRPr="00377A6A">
        <w:rPr>
          <w:rFonts w:cs="Times New Roman"/>
          <w:lang w:val="fr-FR"/>
        </w:rPr>
        <w:t xml:space="preserve"> seront dispensés virtuellement aux enseignants d'OASIS, aux familles des étudiants, aux </w:t>
      </w:r>
      <w:r w:rsidR="000E179C" w:rsidRPr="00377A6A">
        <w:rPr>
          <w:rFonts w:cs="Times New Roman"/>
          <w:lang w:val="fr-FR"/>
        </w:rPr>
        <w:t>responsables</w:t>
      </w:r>
      <w:r w:rsidRPr="00377A6A">
        <w:rPr>
          <w:rFonts w:cs="Times New Roman"/>
          <w:lang w:val="fr-FR"/>
        </w:rPr>
        <w:t xml:space="preserve"> communautaires </w:t>
      </w:r>
      <w:r w:rsidR="007A72F5" w:rsidRPr="00377A6A">
        <w:rPr>
          <w:rFonts w:cs="Times New Roman"/>
          <w:lang w:val="fr-FR"/>
        </w:rPr>
        <w:t>ainsi qu’</w:t>
      </w:r>
      <w:r w:rsidRPr="00377A6A">
        <w:rPr>
          <w:rFonts w:cs="Times New Roman"/>
          <w:lang w:val="fr-FR"/>
        </w:rPr>
        <w:t>aux représentants du secteur public loca</w:t>
      </w:r>
      <w:r w:rsidR="00F63571" w:rsidRPr="00377A6A">
        <w:rPr>
          <w:rFonts w:cs="Times New Roman"/>
          <w:lang w:val="fr-FR"/>
        </w:rPr>
        <w:t>l</w:t>
      </w:r>
      <w:r w:rsidR="007A72F5" w:rsidRPr="00377A6A">
        <w:rPr>
          <w:rFonts w:cs="Times New Roman"/>
          <w:lang w:val="fr-FR"/>
        </w:rPr>
        <w:t>,</w:t>
      </w:r>
      <w:r w:rsidRPr="00377A6A">
        <w:rPr>
          <w:rFonts w:cs="Times New Roman"/>
          <w:lang w:val="fr-FR"/>
        </w:rPr>
        <w:t xml:space="preserve"> à partir de février 2021</w:t>
      </w:r>
      <w:r w:rsidR="00C16D21" w:rsidRPr="00377A6A">
        <w:rPr>
          <w:rFonts w:cs="Times New Roman"/>
          <w:lang w:val="fr-FR"/>
        </w:rPr>
        <w:t xml:space="preserve">. </w:t>
      </w:r>
    </w:p>
    <w:p w14:paraId="23D12A9B" w14:textId="724D1595" w:rsidR="00C16D21" w:rsidRPr="00377A6A" w:rsidRDefault="00ED4320" w:rsidP="00377A6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line="360" w:lineRule="auto"/>
        <w:ind w:firstLine="720"/>
        <w:rPr>
          <w:rFonts w:cs="Times New Roman"/>
          <w:lang w:val="fr-FR"/>
        </w:rPr>
      </w:pPr>
      <w:r w:rsidRPr="00377A6A">
        <w:rPr>
          <w:rFonts w:cs="Times New Roman"/>
          <w:lang w:val="fr-FR"/>
        </w:rPr>
        <w:t xml:space="preserve">Au Honduras, </w:t>
      </w:r>
      <w:r w:rsidR="00F63571" w:rsidRPr="00377A6A">
        <w:rPr>
          <w:rFonts w:cs="Times New Roman"/>
          <w:lang w:val="fr-FR"/>
        </w:rPr>
        <w:t>une évaluation</w:t>
      </w:r>
      <w:r w:rsidR="007A72F5" w:rsidRPr="00377A6A">
        <w:rPr>
          <w:rFonts w:cs="Times New Roman"/>
          <w:lang w:val="fr-FR"/>
        </w:rPr>
        <w:t xml:space="preserve"> a été réalisé</w:t>
      </w:r>
      <w:r w:rsidR="00F63571" w:rsidRPr="00377A6A">
        <w:rPr>
          <w:rFonts w:cs="Times New Roman"/>
          <w:lang w:val="fr-FR"/>
        </w:rPr>
        <w:t>e</w:t>
      </w:r>
      <w:r w:rsidRPr="00377A6A">
        <w:rPr>
          <w:rFonts w:cs="Times New Roman"/>
          <w:lang w:val="fr-FR"/>
        </w:rPr>
        <w:t xml:space="preserve"> </w:t>
      </w:r>
      <w:r w:rsidR="007A72F5" w:rsidRPr="00377A6A">
        <w:rPr>
          <w:rFonts w:cs="Times New Roman"/>
          <w:lang w:val="fr-FR"/>
        </w:rPr>
        <w:t>sur</w:t>
      </w:r>
      <w:r w:rsidRPr="00377A6A">
        <w:rPr>
          <w:rFonts w:cs="Times New Roman"/>
          <w:lang w:val="fr-FR"/>
        </w:rPr>
        <w:t xml:space="preserve"> la situation des </w:t>
      </w:r>
      <w:r w:rsidR="00F63571" w:rsidRPr="00377A6A">
        <w:rPr>
          <w:rFonts w:cs="Times New Roman"/>
          <w:lang w:val="fr-FR"/>
        </w:rPr>
        <w:t>modes</w:t>
      </w:r>
      <w:r w:rsidRPr="00377A6A">
        <w:rPr>
          <w:rFonts w:cs="Times New Roman"/>
          <w:lang w:val="fr-FR"/>
        </w:rPr>
        <w:t xml:space="preserve"> de </w:t>
      </w:r>
      <w:r w:rsidR="00F63571" w:rsidRPr="00377A6A">
        <w:rPr>
          <w:rFonts w:cs="Times New Roman"/>
          <w:lang w:val="fr-FR"/>
        </w:rPr>
        <w:t>violence juvénile et intrafamiliale et des</w:t>
      </w:r>
      <w:r w:rsidRPr="00377A6A">
        <w:rPr>
          <w:rFonts w:cs="Times New Roman"/>
          <w:lang w:val="fr-FR"/>
        </w:rPr>
        <w:t xml:space="preserve"> services d'assistance existants dans la municipalité de Tela. </w:t>
      </w:r>
      <w:r w:rsidR="00F63571" w:rsidRPr="00377A6A">
        <w:rPr>
          <w:rFonts w:cs="Times New Roman"/>
          <w:lang w:val="fr-FR"/>
        </w:rPr>
        <w:t>Quatre-vingts</w:t>
      </w:r>
      <w:r w:rsidRPr="00377A6A">
        <w:rPr>
          <w:rFonts w:cs="Times New Roman"/>
          <w:lang w:val="fr-FR"/>
        </w:rPr>
        <w:t xml:space="preserve"> jeunes ont été </w:t>
      </w:r>
      <w:r w:rsidR="00F63571" w:rsidRPr="00377A6A">
        <w:rPr>
          <w:rFonts w:cs="Times New Roman"/>
          <w:lang w:val="fr-FR"/>
        </w:rPr>
        <w:t>choisis</w:t>
      </w:r>
      <w:r w:rsidRPr="00377A6A">
        <w:rPr>
          <w:rFonts w:cs="Times New Roman"/>
          <w:lang w:val="fr-FR"/>
        </w:rPr>
        <w:t xml:space="preserve">, 50 instruments de musique ont été récupérés, 80 tablettes ont été distribuées aux familles bénéficiaires et des accords de participation ont été signés avec elles. Les </w:t>
      </w:r>
      <w:r w:rsidR="00BC755F" w:rsidRPr="00377A6A">
        <w:rPr>
          <w:rFonts w:cs="Times New Roman"/>
          <w:lang w:val="fr-FR"/>
        </w:rPr>
        <w:t>cours</w:t>
      </w:r>
      <w:r w:rsidRPr="00377A6A">
        <w:rPr>
          <w:rFonts w:cs="Times New Roman"/>
          <w:lang w:val="fr-FR"/>
        </w:rPr>
        <w:t xml:space="preserve"> virtuels ont débuté en octobre 2020. </w:t>
      </w:r>
      <w:r w:rsidR="00F63571" w:rsidRPr="00377A6A">
        <w:rPr>
          <w:rFonts w:cs="Times New Roman"/>
          <w:lang w:val="fr-FR"/>
        </w:rPr>
        <w:t>À El</w:t>
      </w:r>
      <w:r w:rsidRPr="00377A6A">
        <w:rPr>
          <w:rFonts w:cs="Times New Roman"/>
          <w:lang w:val="fr-FR"/>
        </w:rPr>
        <w:t xml:space="preserve"> Salvador, des partenariats locaux ont été </w:t>
      </w:r>
      <w:r w:rsidR="00F255D4" w:rsidRPr="00377A6A">
        <w:rPr>
          <w:rFonts w:cs="Times New Roman"/>
          <w:lang w:val="fr-FR"/>
        </w:rPr>
        <w:t>noués</w:t>
      </w:r>
      <w:r w:rsidRPr="00377A6A">
        <w:rPr>
          <w:rFonts w:cs="Times New Roman"/>
          <w:lang w:val="fr-FR"/>
        </w:rPr>
        <w:t xml:space="preserve"> pour la mise en œuvre d'OASIS et un accord de coopération a été signé</w:t>
      </w:r>
      <w:r w:rsidR="00EF37A0" w:rsidRPr="00377A6A">
        <w:rPr>
          <w:rFonts w:cs="Times New Roman"/>
          <w:lang w:val="fr-FR"/>
        </w:rPr>
        <w:t xml:space="preserve"> à cette effet </w:t>
      </w:r>
      <w:r w:rsidRPr="00377A6A">
        <w:rPr>
          <w:rFonts w:cs="Times New Roman"/>
          <w:lang w:val="fr-FR"/>
        </w:rPr>
        <w:t xml:space="preserve">avec le ministère de la </w:t>
      </w:r>
      <w:r w:rsidR="00F255D4" w:rsidRPr="00377A6A">
        <w:rPr>
          <w:rFonts w:cs="Times New Roman"/>
          <w:lang w:val="fr-FR"/>
        </w:rPr>
        <w:t>J</w:t>
      </w:r>
      <w:r w:rsidRPr="00377A6A">
        <w:rPr>
          <w:rFonts w:cs="Times New Roman"/>
          <w:lang w:val="fr-FR"/>
        </w:rPr>
        <w:t xml:space="preserve">ustice et de la </w:t>
      </w:r>
      <w:r w:rsidR="00F255D4" w:rsidRPr="00377A6A">
        <w:rPr>
          <w:rFonts w:cs="Times New Roman"/>
          <w:lang w:val="fr-FR"/>
        </w:rPr>
        <w:t>S</w:t>
      </w:r>
      <w:r w:rsidRPr="00377A6A">
        <w:rPr>
          <w:rFonts w:cs="Times New Roman"/>
          <w:lang w:val="fr-FR"/>
        </w:rPr>
        <w:t>écurité publique. Les cours commenceront en 2021</w:t>
      </w:r>
      <w:r w:rsidR="00FB314C" w:rsidRPr="00377A6A">
        <w:rPr>
          <w:rFonts w:cs="Times New Roman"/>
          <w:lang w:val="fr-FR"/>
        </w:rPr>
        <w:t xml:space="preserve">. </w:t>
      </w:r>
    </w:p>
    <w:p w14:paraId="2A5C4404" w14:textId="2DAA4331" w:rsidR="00533614" w:rsidRPr="00377A6A" w:rsidRDefault="001E2DCB" w:rsidP="00377A6A">
      <w:pPr>
        <w:pStyle w:val="ListParagraph"/>
        <w:widowControl/>
        <w:numPr>
          <w:ilvl w:val="0"/>
          <w:numId w:val="4"/>
        </w:numPr>
        <w:tabs>
          <w:tab w:val="clear" w:pos="720"/>
          <w:tab w:val="clear" w:pos="1440"/>
          <w:tab w:val="clear" w:pos="2160"/>
          <w:tab w:val="clear" w:pos="2880"/>
          <w:tab w:val="clear" w:pos="3600"/>
          <w:tab w:val="clear" w:pos="4320"/>
          <w:tab w:val="clear" w:pos="5760"/>
          <w:tab w:val="clear" w:pos="6480"/>
          <w:tab w:val="clear" w:pos="7200"/>
          <w:tab w:val="clear" w:pos="7920"/>
        </w:tabs>
        <w:spacing w:before="240" w:after="120" w:line="360" w:lineRule="auto"/>
        <w:ind w:hanging="720"/>
        <w:rPr>
          <w:rFonts w:cs="Times New Roman"/>
          <w:b/>
          <w:lang w:val="fr-FR"/>
        </w:rPr>
      </w:pPr>
      <w:r w:rsidRPr="00377A6A">
        <w:rPr>
          <w:rFonts w:cs="Times New Roman"/>
          <w:b/>
          <w:lang w:val="fr-FR"/>
        </w:rPr>
        <w:t xml:space="preserve">Plan de </w:t>
      </w:r>
      <w:r w:rsidR="00F255D4" w:rsidRPr="00377A6A">
        <w:rPr>
          <w:rFonts w:cs="Times New Roman"/>
          <w:b/>
          <w:lang w:val="fr-FR"/>
        </w:rPr>
        <w:t>réduction</w:t>
      </w:r>
      <w:r w:rsidRPr="00377A6A">
        <w:rPr>
          <w:rFonts w:cs="Times New Roman"/>
          <w:b/>
          <w:lang w:val="fr-FR"/>
        </w:rPr>
        <w:t xml:space="preserve"> </w:t>
      </w:r>
      <w:r w:rsidR="00F255D4" w:rsidRPr="00377A6A">
        <w:rPr>
          <w:rFonts w:cs="Times New Roman"/>
          <w:b/>
          <w:lang w:val="fr-FR"/>
        </w:rPr>
        <w:t>d</w:t>
      </w:r>
      <w:r w:rsidRPr="00377A6A">
        <w:rPr>
          <w:rFonts w:cs="Times New Roman"/>
          <w:b/>
          <w:lang w:val="fr-FR"/>
        </w:rPr>
        <w:t>es homicide</w:t>
      </w:r>
      <w:r w:rsidR="00533614" w:rsidRPr="00377A6A">
        <w:rPr>
          <w:rFonts w:cs="Times New Roman"/>
          <w:b/>
          <w:lang w:val="fr-FR"/>
        </w:rPr>
        <w:t>s</w:t>
      </w:r>
    </w:p>
    <w:p w14:paraId="0F483107" w14:textId="618A5346" w:rsidR="00096C31" w:rsidRPr="00377A6A" w:rsidRDefault="00096C31" w:rsidP="00377A6A">
      <w:pPr>
        <w:widowControl/>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 w:val="clear" w:pos="2880"/>
          <w:tab w:val="clear" w:pos="3600"/>
          <w:tab w:val="clear" w:pos="4320"/>
          <w:tab w:val="clear" w:pos="5760"/>
          <w:tab w:val="clear" w:pos="6480"/>
          <w:tab w:val="clear" w:pos="7200"/>
          <w:tab w:val="clear" w:pos="7920"/>
        </w:tabs>
        <w:spacing w:before="120" w:line="360" w:lineRule="auto"/>
        <w:ind w:firstLine="709"/>
        <w:rPr>
          <w:rFonts w:cs="Times New Roman"/>
          <w:lang w:val="fr-FR"/>
        </w:rPr>
      </w:pPr>
      <w:r w:rsidRPr="00377A6A">
        <w:rPr>
          <w:rFonts w:cs="Times New Roman"/>
          <w:lang w:val="fr-FR"/>
        </w:rPr>
        <w:t xml:space="preserve">Reconnaissant l'impact de la violence armée </w:t>
      </w:r>
      <w:r w:rsidR="009861CE" w:rsidRPr="00377A6A">
        <w:rPr>
          <w:rFonts w:cs="Times New Roman"/>
          <w:lang w:val="fr-FR"/>
        </w:rPr>
        <w:t>dans</w:t>
      </w:r>
      <w:r w:rsidRPr="00377A6A">
        <w:rPr>
          <w:rFonts w:cs="Times New Roman"/>
          <w:lang w:val="fr-FR"/>
        </w:rPr>
        <w:t xml:space="preserve"> la région, </w:t>
      </w:r>
      <w:r w:rsidR="009861CE" w:rsidRPr="00377A6A">
        <w:rPr>
          <w:rFonts w:cs="Times New Roman"/>
          <w:lang w:val="fr-FR"/>
        </w:rPr>
        <w:t>laquelle est perpétrée principalement</w:t>
      </w:r>
      <w:r w:rsidRPr="00377A6A">
        <w:rPr>
          <w:rFonts w:cs="Times New Roman"/>
          <w:lang w:val="fr-FR"/>
        </w:rPr>
        <w:t xml:space="preserve">, comme nous le savons, </w:t>
      </w:r>
      <w:r w:rsidR="009861CE" w:rsidRPr="00377A6A">
        <w:rPr>
          <w:rFonts w:cs="Times New Roman"/>
          <w:lang w:val="fr-FR"/>
        </w:rPr>
        <w:t xml:space="preserve">en recourant aux </w:t>
      </w:r>
      <w:r w:rsidRPr="00377A6A">
        <w:rPr>
          <w:rFonts w:cs="Times New Roman"/>
          <w:lang w:val="fr-FR"/>
        </w:rPr>
        <w:t xml:space="preserve">armes à feu, le premier </w:t>
      </w:r>
      <w:r w:rsidR="009861CE" w:rsidRPr="00377A6A">
        <w:rPr>
          <w:rFonts w:eastAsia="MS Mincho" w:cs="Times New Roman"/>
          <w:lang w:val="fr-FR"/>
        </w:rPr>
        <w:t>Plan d’action continental appelé à orienter l’élaboration des politiques publiques de prévention et de réduction des homicides intentionnels</w:t>
      </w:r>
      <w:r w:rsidRPr="00377A6A">
        <w:rPr>
          <w:rFonts w:cs="Times New Roman"/>
          <w:lang w:val="fr-FR"/>
        </w:rPr>
        <w:t xml:space="preserve"> dans les Amériques a été élaboré et </w:t>
      </w:r>
      <w:r w:rsidR="0052542E" w:rsidRPr="00377A6A">
        <w:rPr>
          <w:rFonts w:cs="Times New Roman"/>
          <w:lang w:val="fr-FR"/>
        </w:rPr>
        <w:t>adopté</w:t>
      </w:r>
      <w:r w:rsidRPr="00377A6A">
        <w:rPr>
          <w:rFonts w:cs="Times New Roman"/>
          <w:lang w:val="fr-FR"/>
        </w:rPr>
        <w:t xml:space="preserve"> par l'Assemblée générale en 2019. </w:t>
      </w:r>
    </w:p>
    <w:p w14:paraId="30AA20C6" w14:textId="5B2130B3" w:rsidR="00D21D8E" w:rsidRPr="00377A6A" w:rsidRDefault="00096C31" w:rsidP="00377A6A">
      <w:pPr>
        <w:widowControl/>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 w:val="clear" w:pos="2880"/>
          <w:tab w:val="clear" w:pos="3600"/>
          <w:tab w:val="clear" w:pos="4320"/>
          <w:tab w:val="clear" w:pos="5760"/>
          <w:tab w:val="clear" w:pos="6480"/>
          <w:tab w:val="clear" w:pos="7200"/>
          <w:tab w:val="clear" w:pos="7920"/>
        </w:tabs>
        <w:spacing w:before="120" w:line="360" w:lineRule="auto"/>
        <w:ind w:firstLine="709"/>
        <w:rPr>
          <w:rFonts w:cs="Times New Roman"/>
          <w:lang w:val="fr-FR"/>
        </w:rPr>
      </w:pPr>
      <w:r w:rsidRPr="00377A6A">
        <w:rPr>
          <w:rFonts w:cs="Times New Roman"/>
          <w:lang w:val="fr-FR"/>
        </w:rPr>
        <w:t>Bien entendu, le plan comprend</w:t>
      </w:r>
      <w:r w:rsidR="00094858" w:rsidRPr="00377A6A">
        <w:rPr>
          <w:rFonts w:cs="Times New Roman"/>
          <w:lang w:val="fr-FR"/>
        </w:rPr>
        <w:t>,</w:t>
      </w:r>
      <w:r w:rsidRPr="00377A6A">
        <w:rPr>
          <w:rFonts w:cs="Times New Roman"/>
          <w:lang w:val="fr-FR"/>
        </w:rPr>
        <w:t xml:space="preserve"> </w:t>
      </w:r>
      <w:r w:rsidR="00094858" w:rsidRPr="00377A6A">
        <w:rPr>
          <w:rFonts w:cs="Times New Roman"/>
          <w:lang w:val="fr-FR"/>
        </w:rPr>
        <w:t xml:space="preserve">au nombre </w:t>
      </w:r>
      <w:r w:rsidRPr="00377A6A">
        <w:rPr>
          <w:rFonts w:cs="Times New Roman"/>
          <w:lang w:val="fr-FR"/>
        </w:rPr>
        <w:t xml:space="preserve">de ses axes centraux, la prévention et la lutte contre le trafic d'armes, et contient 28 recommandations </w:t>
      </w:r>
      <w:r w:rsidR="00094858" w:rsidRPr="00377A6A">
        <w:rPr>
          <w:rFonts w:cs="Times New Roman"/>
          <w:lang w:val="fr-FR"/>
        </w:rPr>
        <w:t>organisées selon</w:t>
      </w:r>
      <w:r w:rsidRPr="00377A6A">
        <w:rPr>
          <w:rFonts w:cs="Times New Roman"/>
          <w:lang w:val="fr-FR"/>
        </w:rPr>
        <w:t xml:space="preserve"> trois axes:</w:t>
      </w:r>
      <w:r w:rsidR="00D21D8E" w:rsidRPr="00377A6A">
        <w:rPr>
          <w:rFonts w:cs="Times New Roman"/>
          <w:lang w:val="fr-FR"/>
        </w:rPr>
        <w:t xml:space="preserve"> </w:t>
      </w:r>
    </w:p>
    <w:p w14:paraId="7876C945" w14:textId="0A21BE39" w:rsidR="00D21D8E" w:rsidRPr="00377A6A" w:rsidRDefault="00096C31" w:rsidP="00377A6A">
      <w:pPr>
        <w:widowControl/>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 w:val="clear" w:pos="2880"/>
          <w:tab w:val="clear" w:pos="3600"/>
          <w:tab w:val="clear" w:pos="4320"/>
          <w:tab w:val="clear" w:pos="5760"/>
          <w:tab w:val="clear" w:pos="6480"/>
          <w:tab w:val="clear" w:pos="7200"/>
          <w:tab w:val="clear" w:pos="7920"/>
        </w:tabs>
        <w:autoSpaceDN w:val="0"/>
        <w:spacing w:before="120" w:after="200" w:line="360" w:lineRule="auto"/>
        <w:ind w:left="1440" w:hanging="720"/>
        <w:contextualSpacing/>
        <w:rPr>
          <w:rFonts w:cs="Times New Roman"/>
          <w:lang w:val="fr-FR"/>
        </w:rPr>
      </w:pPr>
      <w:r w:rsidRPr="00377A6A">
        <w:rPr>
          <w:rFonts w:cs="Times New Roman"/>
          <w:lang w:val="fr-FR"/>
        </w:rPr>
        <w:t>Axe 1 : Production, diffusion et utilisation d'informations et de preuves scientifiques (8 recommandations</w:t>
      </w:r>
      <w:r w:rsidR="00D21D8E" w:rsidRPr="00377A6A">
        <w:rPr>
          <w:rFonts w:cs="Times New Roman"/>
          <w:lang w:val="fr-FR"/>
        </w:rPr>
        <w:t>)</w:t>
      </w:r>
    </w:p>
    <w:p w14:paraId="0014566E" w14:textId="7860E43F" w:rsidR="00D21D8E" w:rsidRPr="00377A6A" w:rsidRDefault="00096C31" w:rsidP="00377A6A">
      <w:pPr>
        <w:widowControl/>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 w:val="clear" w:pos="2880"/>
          <w:tab w:val="clear" w:pos="3600"/>
          <w:tab w:val="clear" w:pos="4320"/>
          <w:tab w:val="clear" w:pos="5760"/>
          <w:tab w:val="clear" w:pos="6480"/>
          <w:tab w:val="clear" w:pos="7200"/>
          <w:tab w:val="clear" w:pos="7920"/>
        </w:tabs>
        <w:autoSpaceDN w:val="0"/>
        <w:spacing w:before="120" w:after="200" w:line="360" w:lineRule="auto"/>
        <w:ind w:left="1440" w:hanging="720"/>
        <w:contextualSpacing/>
        <w:rPr>
          <w:rFonts w:cs="Times New Roman"/>
          <w:lang w:val="fr-FR"/>
        </w:rPr>
      </w:pPr>
      <w:r w:rsidRPr="00377A6A">
        <w:rPr>
          <w:rFonts w:cs="Times New Roman"/>
          <w:lang w:val="fr-FR"/>
        </w:rPr>
        <w:lastRenderedPageBreak/>
        <w:t xml:space="preserve">Axe 2 : Recommandations pour </w:t>
      </w:r>
      <w:r w:rsidR="00C22000" w:rsidRPr="00377A6A">
        <w:rPr>
          <w:rFonts w:cs="Times New Roman"/>
          <w:lang w:val="fr-FR"/>
        </w:rPr>
        <w:t>l’élaboration</w:t>
      </w:r>
      <w:r w:rsidRPr="00377A6A">
        <w:rPr>
          <w:rFonts w:cs="Times New Roman"/>
          <w:lang w:val="fr-FR"/>
        </w:rPr>
        <w:t xml:space="preserve"> et la mise en œuvre de politiques et </w:t>
      </w:r>
      <w:r w:rsidR="00EF37A0" w:rsidRPr="00377A6A">
        <w:rPr>
          <w:rFonts w:cs="Times New Roman"/>
          <w:lang w:val="fr-FR"/>
        </w:rPr>
        <w:t>de mesures</w:t>
      </w:r>
      <w:r w:rsidRPr="00377A6A">
        <w:rPr>
          <w:rFonts w:cs="Times New Roman"/>
          <w:lang w:val="fr-FR"/>
        </w:rPr>
        <w:t xml:space="preserve"> de prévention (13 recommandations</w:t>
      </w:r>
      <w:r w:rsidR="00D21D8E" w:rsidRPr="00377A6A">
        <w:rPr>
          <w:rFonts w:cs="Times New Roman"/>
          <w:lang w:val="fr-FR"/>
        </w:rPr>
        <w:t>)</w:t>
      </w:r>
    </w:p>
    <w:p w14:paraId="27445EE7" w14:textId="6EE2B8A4" w:rsidR="00D21D8E" w:rsidRPr="00377A6A" w:rsidRDefault="00BD339E" w:rsidP="00377A6A">
      <w:pPr>
        <w:widowControl/>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 w:val="clear" w:pos="2880"/>
          <w:tab w:val="clear" w:pos="3600"/>
          <w:tab w:val="clear" w:pos="4320"/>
          <w:tab w:val="clear" w:pos="5760"/>
          <w:tab w:val="clear" w:pos="6480"/>
          <w:tab w:val="clear" w:pos="7200"/>
          <w:tab w:val="clear" w:pos="7920"/>
        </w:tabs>
        <w:autoSpaceDN w:val="0"/>
        <w:spacing w:before="120" w:after="200" w:line="360" w:lineRule="auto"/>
        <w:ind w:left="1440" w:hanging="720"/>
        <w:contextualSpacing/>
        <w:rPr>
          <w:rFonts w:cs="Times New Roman"/>
          <w:lang w:val="fr-FR"/>
        </w:rPr>
      </w:pPr>
      <w:r w:rsidRPr="00377A6A">
        <w:rPr>
          <w:rFonts w:cs="Times New Roman"/>
          <w:lang w:val="fr-FR"/>
        </w:rPr>
        <w:t>Axe 3 : Recommandations pour la mise en œuvre ou le fonctionnement de la justice pénale (7 recommandations</w:t>
      </w:r>
      <w:r w:rsidR="00D21D8E" w:rsidRPr="00377A6A">
        <w:rPr>
          <w:rFonts w:cs="Times New Roman"/>
          <w:lang w:val="fr-FR"/>
        </w:rPr>
        <w:t>)</w:t>
      </w:r>
    </w:p>
    <w:p w14:paraId="04F98C74" w14:textId="2DBFA32D" w:rsidR="00D21D8E" w:rsidRPr="00377A6A" w:rsidRDefault="00BD339E" w:rsidP="00377A6A">
      <w:pPr>
        <w:widowControl/>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 w:val="clear" w:pos="2880"/>
          <w:tab w:val="clear" w:pos="3600"/>
          <w:tab w:val="clear" w:pos="4320"/>
          <w:tab w:val="clear" w:pos="5760"/>
          <w:tab w:val="clear" w:pos="6480"/>
          <w:tab w:val="clear" w:pos="7200"/>
          <w:tab w:val="clear" w:pos="7920"/>
        </w:tabs>
        <w:spacing w:before="120" w:after="200" w:line="360" w:lineRule="auto"/>
        <w:ind w:firstLine="709"/>
        <w:contextualSpacing/>
        <w:jc w:val="left"/>
        <w:rPr>
          <w:rFonts w:cs="Times New Roman"/>
          <w:lang w:val="fr-FR"/>
        </w:rPr>
      </w:pPr>
      <w:r w:rsidRPr="00377A6A">
        <w:rPr>
          <w:rFonts w:cs="Times New Roman"/>
          <w:lang w:val="fr-FR"/>
        </w:rPr>
        <w:t xml:space="preserve">Trois projets ont été </w:t>
      </w:r>
      <w:r w:rsidR="00311224" w:rsidRPr="00377A6A">
        <w:rPr>
          <w:rFonts w:cs="Times New Roman"/>
          <w:lang w:val="fr-FR"/>
        </w:rPr>
        <w:t>réalisés</w:t>
      </w:r>
      <w:r w:rsidRPr="00377A6A">
        <w:rPr>
          <w:rFonts w:cs="Times New Roman"/>
          <w:lang w:val="fr-FR"/>
        </w:rPr>
        <w:t xml:space="preserve"> dans le cadre de ce plan. En outre, une plateforme de </w:t>
      </w:r>
      <w:r w:rsidR="005B16C7" w:rsidRPr="00377A6A">
        <w:rPr>
          <w:rFonts w:cs="Times New Roman"/>
          <w:lang w:val="fr-FR"/>
        </w:rPr>
        <w:t>connaissances sur les</w:t>
      </w:r>
      <w:r w:rsidRPr="00377A6A">
        <w:rPr>
          <w:rFonts w:cs="Times New Roman"/>
          <w:lang w:val="fr-FR"/>
        </w:rPr>
        <w:t xml:space="preserve"> homicides a été </w:t>
      </w:r>
      <w:r w:rsidR="00004E40" w:rsidRPr="00377A6A">
        <w:rPr>
          <w:rFonts w:cs="Times New Roman"/>
          <w:lang w:val="fr-FR"/>
        </w:rPr>
        <w:t>mise en place</w:t>
      </w:r>
      <w:r w:rsidRPr="00377A6A">
        <w:rPr>
          <w:rFonts w:cs="Times New Roman"/>
          <w:lang w:val="fr-FR"/>
        </w:rPr>
        <w:t xml:space="preserve"> sur le site </w:t>
      </w:r>
      <w:r w:rsidR="005B16C7" w:rsidRPr="00377A6A">
        <w:rPr>
          <w:rFonts w:cs="Times New Roman"/>
          <w:lang w:val="fr-FR"/>
        </w:rPr>
        <w:t>Internet</w:t>
      </w:r>
      <w:r w:rsidRPr="00377A6A">
        <w:rPr>
          <w:rFonts w:cs="Times New Roman"/>
          <w:lang w:val="fr-FR"/>
        </w:rPr>
        <w:t xml:space="preserve"> du </w:t>
      </w:r>
      <w:r w:rsidR="00B403FA" w:rsidRPr="00377A6A">
        <w:rPr>
          <w:rFonts w:cs="Times New Roman"/>
          <w:lang w:val="fr-FR"/>
        </w:rPr>
        <w:t>R</w:t>
      </w:r>
      <w:r w:rsidRPr="00377A6A">
        <w:rPr>
          <w:rFonts w:cs="Times New Roman"/>
          <w:lang w:val="fr-FR"/>
        </w:rPr>
        <w:t>éseau interaméricain de prévention de la violence</w:t>
      </w:r>
      <w:r w:rsidR="00B403FA" w:rsidRPr="00377A6A">
        <w:rPr>
          <w:rFonts w:cs="Times New Roman"/>
          <w:lang w:val="fr-FR"/>
        </w:rPr>
        <w:t xml:space="preserve"> et de la criminalité et</w:t>
      </w:r>
      <w:r w:rsidRPr="00377A6A">
        <w:rPr>
          <w:rFonts w:cs="Times New Roman"/>
          <w:lang w:val="fr-FR"/>
        </w:rPr>
        <w:t xml:space="preserve"> est accessible au public</w:t>
      </w:r>
      <w:r w:rsidR="00D21D8E" w:rsidRPr="00377A6A">
        <w:rPr>
          <w:rFonts w:cs="Times New Roman"/>
          <w:lang w:val="fr-FR"/>
        </w:rPr>
        <w:t xml:space="preserve">. </w:t>
      </w:r>
    </w:p>
    <w:p w14:paraId="748DF8A8" w14:textId="4F1BA4D2" w:rsidR="00533614" w:rsidRPr="00377A6A" w:rsidRDefault="009A47FE" w:rsidP="00377A6A">
      <w:pPr>
        <w:pStyle w:val="ListParagraph"/>
        <w:widowControl/>
        <w:numPr>
          <w:ilvl w:val="0"/>
          <w:numId w:val="4"/>
        </w:numPr>
        <w:tabs>
          <w:tab w:val="clear" w:pos="720"/>
          <w:tab w:val="clear" w:pos="1440"/>
          <w:tab w:val="clear" w:pos="2160"/>
          <w:tab w:val="clear" w:pos="2880"/>
          <w:tab w:val="clear" w:pos="3600"/>
          <w:tab w:val="clear" w:pos="4320"/>
          <w:tab w:val="clear" w:pos="5760"/>
          <w:tab w:val="clear" w:pos="6480"/>
          <w:tab w:val="clear" w:pos="7200"/>
          <w:tab w:val="clear" w:pos="7920"/>
        </w:tabs>
        <w:spacing w:before="240" w:after="120" w:line="360" w:lineRule="auto"/>
        <w:ind w:hanging="720"/>
        <w:rPr>
          <w:rFonts w:cs="Times New Roman"/>
          <w:b/>
          <w:bCs/>
          <w:lang w:val="fr-FR"/>
        </w:rPr>
      </w:pPr>
      <w:r w:rsidRPr="00377A6A">
        <w:rPr>
          <w:rFonts w:eastAsia="MS Mincho" w:cs="Times New Roman"/>
          <w:b/>
          <w:bCs/>
          <w:lang w:val="fr-FR"/>
        </w:rPr>
        <w:t>Étude de portée continentale relative à la question du commerce illicite d'armes légères et de petit calibre ainsi que de munitions</w:t>
      </w:r>
    </w:p>
    <w:p w14:paraId="05893FEB" w14:textId="288D4108" w:rsidR="00AE0D37" w:rsidRPr="00377A6A" w:rsidRDefault="004A1F2A" w:rsidP="00377A6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line="360" w:lineRule="auto"/>
        <w:ind w:firstLine="709"/>
        <w:rPr>
          <w:rFonts w:cs="Times New Roman"/>
          <w:lang w:val="fr-FR"/>
        </w:rPr>
      </w:pPr>
      <w:r w:rsidRPr="00377A6A">
        <w:rPr>
          <w:rFonts w:cs="Times New Roman"/>
          <w:lang w:val="fr-FR"/>
        </w:rPr>
        <w:t xml:space="preserve">Conformément au mandat établi par la résolution AG/RES. 2945 (XLIX-O/19), qui prévoit </w:t>
      </w:r>
      <w:r w:rsidR="00004E40" w:rsidRPr="00377A6A">
        <w:rPr>
          <w:rFonts w:eastAsia="MS Mincho" w:cs="Times New Roman"/>
          <w:lang w:val="fr-FR"/>
        </w:rPr>
        <w:t>la réalisation</w:t>
      </w:r>
      <w:r w:rsidR="00E9590C" w:rsidRPr="00377A6A">
        <w:rPr>
          <w:rFonts w:eastAsia="MS Mincho" w:cs="Times New Roman"/>
          <w:lang w:val="fr-FR"/>
        </w:rPr>
        <w:t xml:space="preserve"> </w:t>
      </w:r>
      <w:r w:rsidR="00004E40" w:rsidRPr="00377A6A">
        <w:rPr>
          <w:rFonts w:eastAsia="MS Mincho" w:cs="Times New Roman"/>
          <w:lang w:val="fr-FR"/>
        </w:rPr>
        <w:t>d’</w:t>
      </w:r>
      <w:r w:rsidR="00E9590C" w:rsidRPr="00377A6A">
        <w:rPr>
          <w:rFonts w:eastAsia="MS Mincho" w:cs="Times New Roman"/>
          <w:lang w:val="fr-FR"/>
        </w:rPr>
        <w:t>une étude de portée continentale relative à la question du commerce illicite d'armes légères et de petit calibre ainsi que de munitions dans le continent afin d’identifier les menaces et les défis en la matière</w:t>
      </w:r>
      <w:r w:rsidRPr="00377A6A">
        <w:rPr>
          <w:rFonts w:cs="Times New Roman"/>
          <w:lang w:val="fr-FR"/>
        </w:rPr>
        <w:t>,</w:t>
      </w:r>
      <w:r w:rsidR="00E9590C" w:rsidRPr="00377A6A">
        <w:rPr>
          <w:rFonts w:cs="Times New Roman"/>
          <w:lang w:val="fr-FR"/>
        </w:rPr>
        <w:t xml:space="preserve"> en 2020,</w:t>
      </w:r>
      <w:r w:rsidRPr="00377A6A">
        <w:rPr>
          <w:rFonts w:cs="Times New Roman"/>
          <w:lang w:val="fr-FR"/>
        </w:rPr>
        <w:t xml:space="preserve"> le Secrétariat technique a conçu une proposition pour l'élaboration d'une méthodologie </w:t>
      </w:r>
      <w:r w:rsidR="00E9590C" w:rsidRPr="00377A6A">
        <w:rPr>
          <w:rFonts w:cs="Times New Roman"/>
          <w:lang w:val="fr-FR"/>
        </w:rPr>
        <w:t xml:space="preserve">en vue de </w:t>
      </w:r>
      <w:r w:rsidRPr="00377A6A">
        <w:rPr>
          <w:rFonts w:cs="Times New Roman"/>
          <w:lang w:val="fr-FR"/>
        </w:rPr>
        <w:t xml:space="preserve">la réalisation de l'étude, </w:t>
      </w:r>
      <w:r w:rsidR="00E9590C" w:rsidRPr="00377A6A">
        <w:rPr>
          <w:rFonts w:cs="Times New Roman"/>
          <w:lang w:val="fr-FR"/>
        </w:rPr>
        <w:t>laquelle</w:t>
      </w:r>
      <w:r w:rsidRPr="00377A6A">
        <w:rPr>
          <w:rFonts w:cs="Times New Roman"/>
          <w:lang w:val="fr-FR"/>
        </w:rPr>
        <w:t xml:space="preserve"> permettra</w:t>
      </w:r>
      <w:r w:rsidR="005571DE" w:rsidRPr="00377A6A">
        <w:rPr>
          <w:rFonts w:cs="Times New Roman"/>
          <w:lang w:val="fr-FR"/>
        </w:rPr>
        <w:t xml:space="preserve"> de</w:t>
      </w:r>
      <w:r w:rsidRPr="00377A6A">
        <w:rPr>
          <w:rFonts w:cs="Times New Roman"/>
          <w:lang w:val="fr-FR"/>
        </w:rPr>
        <w:t xml:space="preserve"> </w:t>
      </w:r>
      <w:r w:rsidR="00C5331B" w:rsidRPr="00377A6A">
        <w:rPr>
          <w:rFonts w:cs="Times New Roman"/>
          <w:lang w:val="fr-FR"/>
        </w:rPr>
        <w:t>la répéter</w:t>
      </w:r>
      <w:r w:rsidRPr="00377A6A">
        <w:rPr>
          <w:rFonts w:cs="Times New Roman"/>
          <w:lang w:val="fr-FR"/>
        </w:rPr>
        <w:t xml:space="preserve"> périodiquement pour suivre les tendances dans le </w:t>
      </w:r>
      <w:r w:rsidR="00E9590C" w:rsidRPr="00377A6A">
        <w:rPr>
          <w:rFonts w:cs="Times New Roman"/>
          <w:lang w:val="fr-FR"/>
        </w:rPr>
        <w:t>c</w:t>
      </w:r>
      <w:r w:rsidRPr="00377A6A">
        <w:rPr>
          <w:rFonts w:cs="Times New Roman"/>
          <w:lang w:val="fr-FR"/>
        </w:rPr>
        <w:t xml:space="preserve">ontinent américain. Cette proposition est en cours de validation avec le Mexique, en sa qualité de Secrétariat </w:t>
      </w:r>
      <w:r w:rsidR="00E94B1D" w:rsidRPr="00377A6A">
        <w:rPr>
          <w:rFonts w:cs="Times New Roman"/>
          <w:i/>
          <w:iCs/>
          <w:lang w:val="fr-FR"/>
        </w:rPr>
        <w:t>p</w:t>
      </w:r>
      <w:r w:rsidRPr="00377A6A">
        <w:rPr>
          <w:rFonts w:cs="Times New Roman"/>
          <w:i/>
          <w:iCs/>
          <w:lang w:val="fr-FR"/>
        </w:rPr>
        <w:t>ro</w:t>
      </w:r>
      <w:r w:rsidR="00E94B1D" w:rsidRPr="00377A6A">
        <w:rPr>
          <w:rFonts w:cs="Times New Roman"/>
          <w:i/>
          <w:iCs/>
          <w:lang w:val="fr-FR"/>
        </w:rPr>
        <w:t xml:space="preserve"> t</w:t>
      </w:r>
      <w:r w:rsidRPr="00377A6A">
        <w:rPr>
          <w:rFonts w:cs="Times New Roman"/>
          <w:i/>
          <w:iCs/>
          <w:lang w:val="fr-FR"/>
        </w:rPr>
        <w:t>empore</w:t>
      </w:r>
      <w:r w:rsidRPr="00377A6A">
        <w:rPr>
          <w:rFonts w:cs="Times New Roman"/>
          <w:lang w:val="fr-FR"/>
        </w:rPr>
        <w:t xml:space="preserve"> de la CIFTA, et l'on espère pouvoir identifier les ressources financières nécessaires en 2021 pour réaliser l'étude</w:t>
      </w:r>
      <w:r w:rsidR="00AE0D37" w:rsidRPr="00377A6A">
        <w:rPr>
          <w:rFonts w:cs="Times New Roman"/>
          <w:lang w:val="fr-FR"/>
        </w:rPr>
        <w:t xml:space="preserve">. </w:t>
      </w:r>
    </w:p>
    <w:p w14:paraId="7D65C9A6" w14:textId="2F88C714" w:rsidR="00BE4A43" w:rsidRPr="00377A6A" w:rsidRDefault="0013147E" w:rsidP="00377A6A">
      <w:pPr>
        <w:pStyle w:val="ListParagraph"/>
        <w:widowControl/>
        <w:numPr>
          <w:ilvl w:val="0"/>
          <w:numId w:val="4"/>
        </w:numPr>
        <w:tabs>
          <w:tab w:val="clear" w:pos="720"/>
          <w:tab w:val="clear" w:pos="1440"/>
          <w:tab w:val="clear" w:pos="2160"/>
          <w:tab w:val="clear" w:pos="2880"/>
          <w:tab w:val="clear" w:pos="3600"/>
          <w:tab w:val="clear" w:pos="4320"/>
          <w:tab w:val="clear" w:pos="5760"/>
          <w:tab w:val="clear" w:pos="6480"/>
          <w:tab w:val="clear" w:pos="7200"/>
          <w:tab w:val="clear" w:pos="7920"/>
        </w:tabs>
        <w:spacing w:before="240" w:after="120" w:line="360" w:lineRule="auto"/>
        <w:ind w:hanging="720"/>
        <w:rPr>
          <w:rFonts w:cs="Times New Roman"/>
          <w:b/>
          <w:lang w:val="fr-FR"/>
        </w:rPr>
      </w:pPr>
      <w:r w:rsidRPr="00377A6A">
        <w:rPr>
          <w:rFonts w:cs="Times New Roman"/>
          <w:b/>
          <w:lang w:val="fr-FR"/>
        </w:rPr>
        <w:t>Coopération avec d’autres organisation</w:t>
      </w:r>
      <w:r w:rsidR="00533614" w:rsidRPr="00377A6A">
        <w:rPr>
          <w:rFonts w:cs="Times New Roman"/>
          <w:b/>
          <w:lang w:val="fr-FR"/>
        </w:rPr>
        <w:t>s</w:t>
      </w:r>
    </w:p>
    <w:p w14:paraId="44F5D6BF" w14:textId="76CA08AF" w:rsidR="00D21D8E" w:rsidRPr="00377A6A" w:rsidRDefault="004A1F2A" w:rsidP="00377A6A">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after="120" w:line="360" w:lineRule="auto"/>
        <w:ind w:firstLine="720"/>
        <w:rPr>
          <w:rFonts w:eastAsia="Times New Roman" w:cs="Times New Roman"/>
          <w:color w:val="auto"/>
          <w:bdr w:val="none" w:sz="0" w:space="0" w:color="auto"/>
          <w:lang w:val="fr-FR" w:eastAsia="en-US"/>
        </w:rPr>
      </w:pPr>
      <w:r w:rsidRPr="00377A6A">
        <w:rPr>
          <w:rFonts w:cs="Times New Roman"/>
          <w:lang w:val="fr-FR"/>
        </w:rPr>
        <w:t xml:space="preserve">Le Secrétariat technique de la CIFTA </w:t>
      </w:r>
      <w:r w:rsidR="005571DE" w:rsidRPr="00377A6A">
        <w:rPr>
          <w:rFonts w:cs="Times New Roman"/>
          <w:lang w:val="fr-FR"/>
        </w:rPr>
        <w:t>cherche</w:t>
      </w:r>
      <w:r w:rsidRPr="00377A6A">
        <w:rPr>
          <w:rFonts w:cs="Times New Roman"/>
          <w:lang w:val="fr-FR"/>
        </w:rPr>
        <w:t xml:space="preserve"> activement</w:t>
      </w:r>
      <w:r w:rsidR="005571DE" w:rsidRPr="00377A6A">
        <w:rPr>
          <w:rFonts w:cs="Times New Roman"/>
          <w:lang w:val="fr-FR"/>
        </w:rPr>
        <w:t xml:space="preserve"> à identifier</w:t>
      </w:r>
      <w:r w:rsidRPr="00377A6A">
        <w:rPr>
          <w:rFonts w:cs="Times New Roman"/>
          <w:lang w:val="fr-FR"/>
        </w:rPr>
        <w:t xml:space="preserve"> des synergies avec d'autres organisations </w:t>
      </w:r>
      <w:r w:rsidR="00252600" w:rsidRPr="00377A6A">
        <w:rPr>
          <w:rFonts w:cs="Times New Roman"/>
          <w:lang w:val="fr-FR"/>
        </w:rPr>
        <w:t>dans le but de</w:t>
      </w:r>
      <w:r w:rsidRPr="00377A6A">
        <w:rPr>
          <w:rFonts w:cs="Times New Roman"/>
          <w:lang w:val="fr-FR"/>
        </w:rPr>
        <w:t xml:space="preserve"> renforcer la coopération et améliorer les </w:t>
      </w:r>
      <w:r w:rsidR="00252600" w:rsidRPr="00377A6A">
        <w:rPr>
          <w:rFonts w:cs="Times New Roman"/>
          <w:lang w:val="fr-FR"/>
        </w:rPr>
        <w:t>activités</w:t>
      </w:r>
      <w:r w:rsidRPr="00377A6A">
        <w:rPr>
          <w:rFonts w:cs="Times New Roman"/>
          <w:lang w:val="fr-FR"/>
        </w:rPr>
        <w:t xml:space="preserve"> consacrées à la prévention du trafic d'armes. Dans ce sens, il convient de </w:t>
      </w:r>
      <w:r w:rsidR="00252600" w:rsidRPr="00377A6A">
        <w:rPr>
          <w:rFonts w:cs="Times New Roman"/>
          <w:lang w:val="fr-FR"/>
        </w:rPr>
        <w:t>souligner</w:t>
      </w:r>
      <w:r w:rsidRPr="00377A6A">
        <w:rPr>
          <w:rFonts w:cs="Times New Roman"/>
          <w:lang w:val="fr-FR"/>
        </w:rPr>
        <w:t xml:space="preserve"> qu'en 2020, le Secrétariat technique de la CIFTA a coopéré et participé</w:t>
      </w:r>
      <w:r w:rsidR="00C5331B" w:rsidRPr="00377A6A">
        <w:rPr>
          <w:rFonts w:cs="Times New Roman"/>
          <w:lang w:val="fr-FR"/>
        </w:rPr>
        <w:t>, par le biais d’exposés effectués par nos spécialistes,</w:t>
      </w:r>
      <w:r w:rsidRPr="00377A6A">
        <w:rPr>
          <w:rFonts w:cs="Times New Roman"/>
          <w:lang w:val="fr-FR"/>
        </w:rPr>
        <w:t xml:space="preserve"> à une série d'événements et de réunions </w:t>
      </w:r>
      <w:r w:rsidR="00E005D6" w:rsidRPr="00377A6A">
        <w:rPr>
          <w:rFonts w:cs="Times New Roman"/>
          <w:lang w:val="fr-FR"/>
        </w:rPr>
        <w:t>afin d’</w:t>
      </w:r>
      <w:r w:rsidRPr="00377A6A">
        <w:rPr>
          <w:rFonts w:cs="Times New Roman"/>
          <w:lang w:val="fr-FR"/>
        </w:rPr>
        <w:t xml:space="preserve">examiner les progrès réalisés sur la question et </w:t>
      </w:r>
      <w:r w:rsidR="00F07FEA" w:rsidRPr="00377A6A">
        <w:rPr>
          <w:rFonts w:cs="Times New Roman"/>
          <w:lang w:val="fr-FR"/>
        </w:rPr>
        <w:t>d’</w:t>
      </w:r>
      <w:r w:rsidRPr="00377A6A">
        <w:rPr>
          <w:rFonts w:cs="Times New Roman"/>
          <w:lang w:val="fr-FR"/>
        </w:rPr>
        <w:t xml:space="preserve">identifier </w:t>
      </w:r>
      <w:r w:rsidR="00252600" w:rsidRPr="00377A6A">
        <w:rPr>
          <w:rFonts w:cs="Times New Roman"/>
          <w:lang w:val="fr-FR"/>
        </w:rPr>
        <w:t>d</w:t>
      </w:r>
      <w:r w:rsidRPr="00377A6A">
        <w:rPr>
          <w:rFonts w:cs="Times New Roman"/>
          <w:lang w:val="fr-FR"/>
        </w:rPr>
        <w:t xml:space="preserve">es domaines de coopération possibles. Je voudrais souligner notre collaboration </w:t>
      </w:r>
      <w:r w:rsidR="00E005D6" w:rsidRPr="00377A6A">
        <w:rPr>
          <w:rFonts w:cs="Times New Roman"/>
          <w:lang w:val="fr-FR"/>
        </w:rPr>
        <w:t xml:space="preserve">par </w:t>
      </w:r>
      <w:r w:rsidR="00F07FEA" w:rsidRPr="00377A6A">
        <w:rPr>
          <w:rFonts w:cs="Times New Roman"/>
          <w:lang w:val="fr-FR"/>
        </w:rPr>
        <w:t xml:space="preserve"> le biais </w:t>
      </w:r>
      <w:r w:rsidR="00E005D6" w:rsidRPr="00377A6A">
        <w:rPr>
          <w:rFonts w:cs="Times New Roman"/>
          <w:lang w:val="fr-FR"/>
        </w:rPr>
        <w:t>de</w:t>
      </w:r>
      <w:r w:rsidRPr="00377A6A">
        <w:rPr>
          <w:rFonts w:cs="Times New Roman"/>
          <w:lang w:val="fr-FR"/>
        </w:rPr>
        <w:t xml:space="preserve"> contributions à la </w:t>
      </w:r>
      <w:r w:rsidR="0035720F" w:rsidRPr="00377A6A">
        <w:rPr>
          <w:rFonts w:cs="Times New Roman"/>
          <w:lang w:val="fr-FR"/>
        </w:rPr>
        <w:t>feuille de route</w:t>
      </w:r>
      <w:r w:rsidRPr="00377A6A">
        <w:rPr>
          <w:rFonts w:cs="Times New Roman"/>
          <w:lang w:val="fr-FR"/>
        </w:rPr>
        <w:t xml:space="preserve"> pour les Caraïbes </w:t>
      </w:r>
      <w:r w:rsidR="00034F21" w:rsidRPr="00377A6A">
        <w:rPr>
          <w:rFonts w:cs="Times New Roman"/>
          <w:lang w:val="fr-FR"/>
        </w:rPr>
        <w:t>dans le domaine</w:t>
      </w:r>
      <w:r w:rsidRPr="00377A6A">
        <w:rPr>
          <w:rFonts w:cs="Times New Roman"/>
          <w:lang w:val="fr-FR"/>
        </w:rPr>
        <w:t xml:space="preserve"> des armes à feu, </w:t>
      </w:r>
      <w:r w:rsidR="00034F21" w:rsidRPr="00377A6A">
        <w:rPr>
          <w:rFonts w:cs="Times New Roman"/>
          <w:lang w:val="fr-FR"/>
        </w:rPr>
        <w:t xml:space="preserve">laquelle a été </w:t>
      </w:r>
      <w:r w:rsidRPr="00377A6A">
        <w:rPr>
          <w:rFonts w:cs="Times New Roman"/>
          <w:lang w:val="fr-FR"/>
        </w:rPr>
        <w:t xml:space="preserve">développée par </w:t>
      </w:r>
      <w:r w:rsidR="00E005D6" w:rsidRPr="00377A6A">
        <w:rPr>
          <w:rFonts w:cs="Times New Roman"/>
          <w:lang w:val="fr-FR"/>
        </w:rPr>
        <w:t xml:space="preserve">le </w:t>
      </w:r>
      <w:r w:rsidR="00E005D6" w:rsidRPr="00377A6A">
        <w:rPr>
          <w:rFonts w:eastAsia="Times New Roman" w:cs="Times New Roman"/>
          <w:lang w:val="fr-FR"/>
        </w:rPr>
        <w:t>Centre régional des Nations Unies pour la paix, le désarmement et le développement en Amérique latine et</w:t>
      </w:r>
      <w:r w:rsidR="00E005D6" w:rsidRPr="00377A6A">
        <w:rPr>
          <w:rFonts w:cs="Times New Roman"/>
          <w:lang w:val="fr-FR"/>
        </w:rPr>
        <w:t xml:space="preserve"> </w:t>
      </w:r>
      <w:r w:rsidR="00E005D6" w:rsidRPr="00377A6A">
        <w:rPr>
          <w:rFonts w:eastAsia="Times New Roman" w:cs="Times New Roman"/>
          <w:lang w:val="fr-FR"/>
        </w:rPr>
        <w:t>dans les Caraïbes (UNLIREC)</w:t>
      </w:r>
      <w:r w:rsidRPr="00377A6A">
        <w:rPr>
          <w:rFonts w:cs="Times New Roman"/>
          <w:lang w:val="fr-FR"/>
        </w:rPr>
        <w:t xml:space="preserve"> ; notre intervention sur le rôle des </w:t>
      </w:r>
      <w:r w:rsidR="0035720F" w:rsidRPr="00377A6A">
        <w:rPr>
          <w:rFonts w:cs="Times New Roman"/>
          <w:lang w:val="fr-FR"/>
        </w:rPr>
        <w:t>organismes</w:t>
      </w:r>
      <w:r w:rsidRPr="00377A6A">
        <w:rPr>
          <w:rFonts w:cs="Times New Roman"/>
          <w:lang w:val="fr-FR"/>
        </w:rPr>
        <w:t xml:space="preserve"> régiona</w:t>
      </w:r>
      <w:r w:rsidR="0035720F" w:rsidRPr="00377A6A">
        <w:rPr>
          <w:rFonts w:cs="Times New Roman"/>
          <w:lang w:val="fr-FR"/>
        </w:rPr>
        <w:t>ux</w:t>
      </w:r>
      <w:r w:rsidRPr="00377A6A">
        <w:rPr>
          <w:rFonts w:cs="Times New Roman"/>
          <w:lang w:val="fr-FR"/>
        </w:rPr>
        <w:t xml:space="preserve"> dans la lutte contre le </w:t>
      </w:r>
      <w:r w:rsidR="001505A8" w:rsidRPr="00377A6A">
        <w:rPr>
          <w:rFonts w:cs="Times New Roman"/>
          <w:lang w:val="fr-FR"/>
        </w:rPr>
        <w:t>commerce</w:t>
      </w:r>
      <w:r w:rsidRPr="00377A6A">
        <w:rPr>
          <w:rFonts w:cs="Times New Roman"/>
          <w:lang w:val="fr-FR"/>
        </w:rPr>
        <w:t xml:space="preserve"> illicite des armes légères dans le</w:t>
      </w:r>
      <w:r w:rsidR="001505A8" w:rsidRPr="00377A6A">
        <w:rPr>
          <w:rFonts w:cs="Times New Roman"/>
          <w:lang w:val="fr-FR"/>
        </w:rPr>
        <w:t xml:space="preserve"> cadre du</w:t>
      </w:r>
      <w:r w:rsidRPr="00377A6A">
        <w:rPr>
          <w:rFonts w:cs="Times New Roman"/>
          <w:lang w:val="fr-FR"/>
        </w:rPr>
        <w:t xml:space="preserve"> forum virtuel </w:t>
      </w:r>
      <w:r w:rsidR="007E1B15" w:rsidRPr="00377A6A">
        <w:rPr>
          <w:rFonts w:cs="Times New Roman"/>
          <w:lang w:val="fr-FR"/>
        </w:rPr>
        <w:t>réalisé</w:t>
      </w:r>
      <w:r w:rsidRPr="00377A6A">
        <w:rPr>
          <w:rFonts w:cs="Times New Roman"/>
          <w:lang w:val="fr-FR"/>
        </w:rPr>
        <w:t xml:space="preserve"> par Small Arms Survey ; notre participation à la septième réunion du </w:t>
      </w:r>
      <w:r w:rsidR="007E1B15" w:rsidRPr="00377A6A">
        <w:rPr>
          <w:rFonts w:cs="Times New Roman"/>
          <w:lang w:val="fr-FR"/>
        </w:rPr>
        <w:t>G</w:t>
      </w:r>
      <w:r w:rsidRPr="00377A6A">
        <w:rPr>
          <w:rFonts w:cs="Times New Roman"/>
          <w:lang w:val="fr-FR"/>
        </w:rPr>
        <w:t>roupe de travail sur les armes à feu de la Convention des Nations unies contre la criminalité</w:t>
      </w:r>
      <w:r w:rsidR="007E1B15" w:rsidRPr="00377A6A">
        <w:rPr>
          <w:rFonts w:cs="Times New Roman"/>
          <w:lang w:val="fr-FR"/>
        </w:rPr>
        <w:t xml:space="preserve"> transnationale</w:t>
      </w:r>
      <w:r w:rsidRPr="00377A6A">
        <w:rPr>
          <w:rFonts w:cs="Times New Roman"/>
          <w:lang w:val="fr-FR"/>
        </w:rPr>
        <w:t xml:space="preserve"> </w:t>
      </w:r>
      <w:r w:rsidRPr="00377A6A">
        <w:rPr>
          <w:rFonts w:cs="Times New Roman"/>
          <w:lang w:val="fr-FR"/>
        </w:rPr>
        <w:lastRenderedPageBreak/>
        <w:t xml:space="preserve">organisée ; et notre </w:t>
      </w:r>
      <w:r w:rsidR="00560924" w:rsidRPr="00377A6A">
        <w:rPr>
          <w:rFonts w:cs="Times New Roman"/>
          <w:lang w:val="fr-FR"/>
        </w:rPr>
        <w:t>exposé</w:t>
      </w:r>
      <w:r w:rsidRPr="00377A6A">
        <w:rPr>
          <w:rFonts w:cs="Times New Roman"/>
          <w:lang w:val="fr-FR"/>
        </w:rPr>
        <w:t xml:space="preserve"> sur les processus de destruction</w:t>
      </w:r>
      <w:r w:rsidR="00560924" w:rsidRPr="00377A6A">
        <w:rPr>
          <w:rFonts w:cs="Times New Roman"/>
          <w:lang w:val="fr-FR"/>
        </w:rPr>
        <w:t xml:space="preserve"> d’armes</w:t>
      </w:r>
      <w:r w:rsidRPr="00377A6A">
        <w:rPr>
          <w:rFonts w:cs="Times New Roman"/>
          <w:lang w:val="fr-FR"/>
        </w:rPr>
        <w:t xml:space="preserve"> dans la région lors de la </w:t>
      </w:r>
      <w:r w:rsidR="007E1B15" w:rsidRPr="00377A6A">
        <w:rPr>
          <w:rFonts w:cs="Times New Roman"/>
          <w:lang w:val="fr-FR"/>
        </w:rPr>
        <w:t>C</w:t>
      </w:r>
      <w:r w:rsidRPr="00377A6A">
        <w:rPr>
          <w:rFonts w:cs="Times New Roman"/>
          <w:lang w:val="fr-FR"/>
        </w:rPr>
        <w:t>onférence sur les processus de gestion et de destruction des armes, munitions et explosifs</w:t>
      </w:r>
      <w:r w:rsidR="000D5C20" w:rsidRPr="00377A6A">
        <w:rPr>
          <w:rFonts w:cs="Times New Roman"/>
          <w:lang w:val="fr-FR"/>
        </w:rPr>
        <w:t>, réalisée</w:t>
      </w:r>
      <w:r w:rsidRPr="00377A6A">
        <w:rPr>
          <w:rFonts w:cs="Times New Roman"/>
          <w:lang w:val="fr-FR"/>
        </w:rPr>
        <w:t xml:space="preserve"> </w:t>
      </w:r>
      <w:r w:rsidR="000D5C20" w:rsidRPr="00377A6A">
        <w:rPr>
          <w:rFonts w:cs="Times New Roman"/>
          <w:lang w:val="fr-FR"/>
        </w:rPr>
        <w:t>par</w:t>
      </w:r>
      <w:r w:rsidRPr="00377A6A">
        <w:rPr>
          <w:rFonts w:cs="Times New Roman"/>
          <w:lang w:val="fr-FR"/>
        </w:rPr>
        <w:t xml:space="preserve"> l'Organisation interaméricaine de défense</w:t>
      </w:r>
      <w:r w:rsidR="00D21D8E" w:rsidRPr="00377A6A">
        <w:rPr>
          <w:rFonts w:cs="Times New Roman"/>
          <w:lang w:val="fr-FR"/>
        </w:rPr>
        <w:t xml:space="preserve">. </w:t>
      </w:r>
    </w:p>
    <w:p w14:paraId="263C3787" w14:textId="205F7281" w:rsidR="00052DE1" w:rsidRPr="00377A6A" w:rsidRDefault="004A1F2A" w:rsidP="00377A6A">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after="120" w:line="360" w:lineRule="auto"/>
        <w:ind w:firstLine="720"/>
        <w:rPr>
          <w:rFonts w:cs="Times New Roman"/>
          <w:lang w:val="fr-FR"/>
        </w:rPr>
      </w:pPr>
      <w:r w:rsidRPr="00377A6A">
        <w:rPr>
          <w:rFonts w:cs="Times New Roman"/>
          <w:lang w:val="fr-FR"/>
        </w:rPr>
        <w:t xml:space="preserve">En outre, nous avons intégré dans nos activités les organisations qui travaillent sur la question des armes à feu, en cherchant à </w:t>
      </w:r>
      <w:r w:rsidR="00560924" w:rsidRPr="00377A6A">
        <w:rPr>
          <w:rFonts w:cs="Times New Roman"/>
          <w:lang w:val="fr-FR"/>
        </w:rPr>
        <w:t>tirer parti d</w:t>
      </w:r>
      <w:r w:rsidRPr="00377A6A">
        <w:rPr>
          <w:rFonts w:cs="Times New Roman"/>
          <w:lang w:val="fr-FR"/>
        </w:rPr>
        <w:t>es capacités et</w:t>
      </w:r>
      <w:r w:rsidR="004455A1" w:rsidRPr="00377A6A">
        <w:rPr>
          <w:rFonts w:cs="Times New Roman"/>
          <w:lang w:val="fr-FR"/>
        </w:rPr>
        <w:t xml:space="preserve"> de</w:t>
      </w:r>
      <w:r w:rsidRPr="00377A6A">
        <w:rPr>
          <w:rFonts w:cs="Times New Roman"/>
          <w:lang w:val="fr-FR"/>
        </w:rPr>
        <w:t xml:space="preserve"> l'expérience que </w:t>
      </w:r>
      <w:r w:rsidR="00DC7EFA" w:rsidRPr="00377A6A">
        <w:rPr>
          <w:rFonts w:cs="Times New Roman"/>
          <w:lang w:val="fr-FR"/>
        </w:rPr>
        <w:t xml:space="preserve">possède </w:t>
      </w:r>
      <w:r w:rsidRPr="00377A6A">
        <w:rPr>
          <w:rFonts w:cs="Times New Roman"/>
          <w:lang w:val="fr-FR"/>
        </w:rPr>
        <w:t>chacune d'entre elles. Comme</w:t>
      </w:r>
      <w:r w:rsidR="00DC7EFA" w:rsidRPr="00377A6A">
        <w:rPr>
          <w:rFonts w:cs="Times New Roman"/>
          <w:lang w:val="fr-FR"/>
        </w:rPr>
        <w:t xml:space="preserve"> cela a été</w:t>
      </w:r>
      <w:r w:rsidRPr="00377A6A">
        <w:rPr>
          <w:rFonts w:cs="Times New Roman"/>
          <w:lang w:val="fr-FR"/>
        </w:rPr>
        <w:t xml:space="preserve"> mentionné </w:t>
      </w:r>
      <w:r w:rsidR="004455A1" w:rsidRPr="00377A6A">
        <w:rPr>
          <w:rFonts w:cs="Times New Roman"/>
          <w:lang w:val="fr-FR"/>
        </w:rPr>
        <w:t>antérieurement</w:t>
      </w:r>
      <w:r w:rsidRPr="00377A6A">
        <w:rPr>
          <w:rFonts w:cs="Times New Roman"/>
          <w:lang w:val="fr-FR"/>
        </w:rPr>
        <w:t xml:space="preserve">, lors des séminaires régionaux sur la sécurité physique et la gestion des stocks, nous avons </w:t>
      </w:r>
      <w:r w:rsidR="00DC7EFA" w:rsidRPr="00377A6A">
        <w:rPr>
          <w:rFonts w:cs="Times New Roman"/>
          <w:lang w:val="fr-FR"/>
        </w:rPr>
        <w:t>reçu l’appui de</w:t>
      </w:r>
      <w:r w:rsidRPr="00377A6A">
        <w:rPr>
          <w:rFonts w:cs="Times New Roman"/>
          <w:lang w:val="fr-FR"/>
        </w:rPr>
        <w:t xml:space="preserve"> CARICOM IMPACS,</w:t>
      </w:r>
      <w:r w:rsidR="00DC7EFA" w:rsidRPr="00377A6A">
        <w:rPr>
          <w:rFonts w:cs="Times New Roman"/>
          <w:lang w:val="fr-FR"/>
        </w:rPr>
        <w:t xml:space="preserve"> de</w:t>
      </w:r>
      <w:r w:rsidRPr="00377A6A">
        <w:rPr>
          <w:rFonts w:cs="Times New Roman"/>
          <w:lang w:val="fr-FR"/>
        </w:rPr>
        <w:t xml:space="preserve"> l'équipe consultative </w:t>
      </w:r>
      <w:r w:rsidR="007716D7" w:rsidRPr="00377A6A">
        <w:rPr>
          <w:rFonts w:cs="Times New Roman"/>
          <w:lang w:val="fr-FR"/>
        </w:rPr>
        <w:t>pour</w:t>
      </w:r>
      <w:r w:rsidRPr="00377A6A">
        <w:rPr>
          <w:rFonts w:cs="Times New Roman"/>
          <w:lang w:val="fr-FR"/>
        </w:rPr>
        <w:t xml:space="preserve"> gestion des munitions</w:t>
      </w:r>
      <w:r w:rsidR="007716D7" w:rsidRPr="00377A6A">
        <w:rPr>
          <w:rFonts w:cs="Times New Roman"/>
          <w:lang w:val="fr-FR"/>
        </w:rPr>
        <w:t xml:space="preserve"> (AMAT)</w:t>
      </w:r>
      <w:r w:rsidRPr="00377A6A">
        <w:rPr>
          <w:rFonts w:cs="Times New Roman"/>
          <w:lang w:val="fr-FR"/>
        </w:rPr>
        <w:t xml:space="preserve"> du Centre international de déminage humanitaire de Genève (CIDHG), </w:t>
      </w:r>
      <w:r w:rsidR="00DC7EFA" w:rsidRPr="00377A6A">
        <w:rPr>
          <w:rFonts w:cs="Times New Roman"/>
          <w:lang w:val="fr-FR"/>
        </w:rPr>
        <w:t xml:space="preserve">de </w:t>
      </w:r>
      <w:r w:rsidRPr="00377A6A">
        <w:rPr>
          <w:rFonts w:cs="Times New Roman"/>
          <w:lang w:val="fr-FR"/>
        </w:rPr>
        <w:t xml:space="preserve">la Golden West Foundation, </w:t>
      </w:r>
      <w:r w:rsidR="00DC7EFA" w:rsidRPr="00377A6A">
        <w:rPr>
          <w:rFonts w:cs="Times New Roman"/>
          <w:lang w:val="fr-FR"/>
        </w:rPr>
        <w:t>du</w:t>
      </w:r>
      <w:r w:rsidRPr="00377A6A">
        <w:rPr>
          <w:rFonts w:cs="Times New Roman"/>
          <w:lang w:val="fr-FR"/>
        </w:rPr>
        <w:t xml:space="preserve"> Centre de formation au déminage humanitaire et </w:t>
      </w:r>
      <w:r w:rsidR="00DC7EFA" w:rsidRPr="00377A6A">
        <w:rPr>
          <w:rFonts w:cs="Times New Roman"/>
          <w:lang w:val="fr-FR"/>
        </w:rPr>
        <w:t>du</w:t>
      </w:r>
      <w:r w:rsidRPr="00377A6A">
        <w:rPr>
          <w:rFonts w:cs="Times New Roman"/>
          <w:lang w:val="fr-FR"/>
        </w:rPr>
        <w:t xml:space="preserve"> Commandement Sud des États-Unis</w:t>
      </w:r>
      <w:r w:rsidR="00690C67" w:rsidRPr="00377A6A">
        <w:rPr>
          <w:rFonts w:cs="Times New Roman"/>
          <w:lang w:val="fr-FR"/>
        </w:rPr>
        <w:t>.</w:t>
      </w:r>
    </w:p>
    <w:p w14:paraId="6F2AFD39" w14:textId="54AC18D3" w:rsidR="00052DE1" w:rsidRPr="00377A6A" w:rsidRDefault="00947121" w:rsidP="00377A6A">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after="120" w:line="360" w:lineRule="auto"/>
        <w:ind w:firstLine="720"/>
        <w:rPr>
          <w:rFonts w:cs="Times New Roman"/>
          <w:lang w:val="fr-FR"/>
        </w:rPr>
      </w:pPr>
      <w:r w:rsidRPr="00377A6A">
        <w:rPr>
          <w:rFonts w:cs="Times New Roman"/>
          <w:lang w:val="fr-FR"/>
        </w:rPr>
        <w:t xml:space="preserve">Nous concluons ainsi le rapport du Secrétariat technique sur les progrès réalisés pour </w:t>
      </w:r>
      <w:r w:rsidR="00DC7EFA" w:rsidRPr="00377A6A">
        <w:rPr>
          <w:rFonts w:cs="Times New Roman"/>
          <w:lang w:val="fr-FR"/>
        </w:rPr>
        <w:t>donner suite</w:t>
      </w:r>
      <w:r w:rsidRPr="00377A6A">
        <w:rPr>
          <w:rFonts w:cs="Times New Roman"/>
          <w:lang w:val="fr-FR"/>
        </w:rPr>
        <w:t xml:space="preserve"> au plan d'action 2018-2022 de la CIFTA. Merci beaucoup</w:t>
      </w:r>
      <w:r w:rsidR="00052DE1" w:rsidRPr="00377A6A">
        <w:rPr>
          <w:rFonts w:cs="Times New Roman"/>
          <w:lang w:val="fr-FR"/>
        </w:rPr>
        <w:t xml:space="preserve">. </w:t>
      </w:r>
    </w:p>
    <w:p w14:paraId="5F4162F9" w14:textId="6AF7E3E0" w:rsidR="00BE4A43" w:rsidRPr="00377A6A" w:rsidRDefault="00A1601E" w:rsidP="00377A6A">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after="120" w:line="360" w:lineRule="auto"/>
        <w:ind w:firstLine="720"/>
        <w:rPr>
          <w:rFonts w:cs="Times New Roman"/>
        </w:rPr>
      </w:pPr>
      <w:r w:rsidRPr="00377A6A">
        <w:rPr>
          <w:rFonts w:cs="Times New Roman"/>
          <w:noProof/>
          <w:lang w:val="en-US" w:eastAsia="en-US"/>
        </w:rPr>
        <mc:AlternateContent>
          <mc:Choice Requires="wps">
            <w:drawing>
              <wp:anchor distT="0" distB="0" distL="114300" distR="114300" simplePos="0" relativeHeight="251659264" behindDoc="0" locked="1" layoutInCell="1" allowOverlap="1" wp14:anchorId="42EDFD43" wp14:editId="4AB969C0">
                <wp:simplePos x="0" y="0"/>
                <wp:positionH relativeFrom="column">
                  <wp:posOffset>-91440</wp:posOffset>
                </wp:positionH>
                <wp:positionV relativeFrom="page">
                  <wp:posOffset>9144000</wp:posOffset>
                </wp:positionV>
                <wp:extent cx="3383280" cy="22860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hemeClr val="bg1"/>
                        </a:solidFill>
                        <a:ln w="9525" cap="flat" cmpd="sng" algn="ctr">
                          <a:noFill/>
                          <a:prstDash val="solid"/>
                          <a:round/>
                          <a:headEnd type="none" w="med" len="med"/>
                          <a:tailEnd type="none" w="med" len="med"/>
                        </a:ln>
                        <a:effectLst/>
                        <a:sp3d/>
                      </wps:spPr>
                      <wps:style>
                        <a:lnRef idx="0">
                          <a:scrgbClr r="0" g="0" b="0"/>
                        </a:lnRef>
                        <a:fillRef idx="0">
                          <a:scrgbClr r="0" g="0" b="0"/>
                        </a:fillRef>
                        <a:effectRef idx="0">
                          <a:scrgbClr r="0" g="0" b="0"/>
                        </a:effectRef>
                        <a:fontRef idx="none"/>
                      </wps:style>
                      <wps:txbx>
                        <w:txbxContent>
                          <w:p w14:paraId="5DBDD2CE" w14:textId="2373EEE9" w:rsidR="00A1601E" w:rsidRPr="00A1601E" w:rsidRDefault="00A1601E">
                            <w:pPr>
                              <w:rPr>
                                <w:rFonts w:cs="Times New Roman"/>
                                <w:sz w:val="18"/>
                              </w:rPr>
                            </w:pPr>
                            <w:r>
                              <w:rPr>
                                <w:rFonts w:cs="Times New Roman"/>
                                <w:sz w:val="18"/>
                              </w:rPr>
                              <w:fldChar w:fldCharType="begin"/>
                            </w:r>
                            <w:r>
                              <w:rPr>
                                <w:rFonts w:cs="Times New Roman"/>
                                <w:sz w:val="18"/>
                              </w:rPr>
                              <w:instrText xml:space="preserve"> FILENAME  \* MERGEFORMAT </w:instrText>
                            </w:r>
                            <w:r>
                              <w:rPr>
                                <w:rFonts w:cs="Times New Roman"/>
                                <w:sz w:val="18"/>
                              </w:rPr>
                              <w:fldChar w:fldCharType="separate"/>
                            </w:r>
                            <w:r>
                              <w:rPr>
                                <w:rFonts w:cs="Times New Roman"/>
                                <w:noProof/>
                                <w:sz w:val="18"/>
                              </w:rPr>
                              <w:t>CIFTA00877</w:t>
                            </w:r>
                            <w:r w:rsidR="00947121">
                              <w:rPr>
                                <w:rFonts w:cs="Times New Roman"/>
                                <w:noProof/>
                                <w:sz w:val="18"/>
                              </w:rPr>
                              <w:t>F0</w:t>
                            </w:r>
                            <w:r w:rsidR="00377A6A">
                              <w:rPr>
                                <w:rFonts w:cs="Times New Roman"/>
                                <w:noProof/>
                                <w:sz w:val="18"/>
                              </w:rPr>
                              <w:t>4</w:t>
                            </w:r>
                            <w:r>
                              <w:rPr>
                                <w:rFonts w:cs="Times New Roman"/>
                                <w:sz w:val="18"/>
                              </w:rPr>
                              <w:fldChar w:fldCharType="end"/>
                            </w:r>
                          </w:p>
                        </w:txbxContent>
                      </wps:txbx>
                      <wps:bodyPr rot="0" spcFirstLastPara="1" vertOverflow="overflow" horzOverflow="overflow" vert="horz" wrap="square" lIns="91440" tIns="45720" rIns="91440" bIns="45720"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EDFD43"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" fillcolor="white [3212]" stroked="f">
                <v:stroke joinstyle="round"/>
                <v:path arrowok="t"/>
                <v:textbox>
                  <w:txbxContent>
                    <w:p w14:paraId="5DBDD2CE" w14:textId="2373EEE9" w:rsidR="00A1601E" w:rsidRPr="00A1601E" w:rsidRDefault="00A1601E">
                      <w:pPr>
                        <w:rPr>
                          <w:rFonts w:cs="Times New Roman"/>
                          <w:sz w:val="18"/>
                        </w:rPr>
                      </w:pPr>
                      <w:r>
                        <w:rPr>
                          <w:rFonts w:cs="Times New Roman"/>
                          <w:sz w:val="18"/>
                        </w:rPr>
                        <w:fldChar w:fldCharType="begin"/>
                      </w:r>
                      <w:r>
                        <w:rPr>
                          <w:rFonts w:cs="Times New Roman"/>
                          <w:sz w:val="18"/>
                        </w:rPr>
                        <w:instrText xml:space="preserve"> FILENAME  \* MERGEFORMAT </w:instrText>
                      </w:r>
                      <w:r>
                        <w:rPr>
                          <w:rFonts w:cs="Times New Roman"/>
                          <w:sz w:val="18"/>
                        </w:rPr>
                        <w:fldChar w:fldCharType="separate"/>
                      </w:r>
                      <w:r>
                        <w:rPr>
                          <w:rFonts w:cs="Times New Roman"/>
                          <w:noProof/>
                          <w:sz w:val="18"/>
                        </w:rPr>
                        <w:t>CIFTA00877</w:t>
                      </w:r>
                      <w:r w:rsidR="00947121">
                        <w:rPr>
                          <w:rFonts w:cs="Times New Roman"/>
                          <w:noProof/>
                          <w:sz w:val="18"/>
                        </w:rPr>
                        <w:t>F0</w:t>
                      </w:r>
                      <w:r w:rsidR="00377A6A">
                        <w:rPr>
                          <w:rFonts w:cs="Times New Roman"/>
                          <w:noProof/>
                          <w:sz w:val="18"/>
                        </w:rPr>
                        <w:t>4</w:t>
                      </w:r>
                      <w:r>
                        <w:rPr>
                          <w:rFonts w:cs="Times New Roman"/>
                          <w:sz w:val="18"/>
                        </w:rPr>
                        <w:fldChar w:fldCharType="end"/>
                      </w:r>
                    </w:p>
                  </w:txbxContent>
                </v:textbox>
                <w10:wrap anchory="page"/>
                <w10:anchorlock/>
              </v:shape>
            </w:pict>
          </mc:Fallback>
        </mc:AlternateContent>
      </w:r>
    </w:p>
    <w:sectPr w:rsidR="00BE4A43" w:rsidRPr="00377A6A" w:rsidSect="00377A6A">
      <w:headerReference w:type="default" r:id="rId11"/>
      <w:headerReference w:type="first" r:id="rId12"/>
      <w:type w:val="oddPage"/>
      <w:pgSz w:w="12240" w:h="15840" w:code="1"/>
      <w:pgMar w:top="2160" w:right="1570" w:bottom="1296" w:left="1699" w:header="1296" w:footer="1296" w:gutter="0"/>
      <w:pgNumType w:fmt="numberInDash"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4AF11" w14:textId="77777777" w:rsidR="0018317C" w:rsidRDefault="0018317C">
      <w:r>
        <w:separator/>
      </w:r>
    </w:p>
  </w:endnote>
  <w:endnote w:type="continuationSeparator" w:id="0">
    <w:p w14:paraId="5743A854" w14:textId="77777777" w:rsidR="0018317C" w:rsidRDefault="00183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F21E0" w14:textId="77777777" w:rsidR="0018317C" w:rsidRDefault="0018317C">
      <w:r>
        <w:separator/>
      </w:r>
    </w:p>
  </w:footnote>
  <w:footnote w:type="continuationSeparator" w:id="0">
    <w:p w14:paraId="1044B346" w14:textId="77777777" w:rsidR="0018317C" w:rsidRDefault="00183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5631406"/>
      <w:docPartObj>
        <w:docPartGallery w:val="Page Numbers (Top of Page)"/>
        <w:docPartUnique/>
      </w:docPartObj>
    </w:sdtPr>
    <w:sdtEndPr>
      <w:rPr>
        <w:noProof/>
      </w:rPr>
    </w:sdtEndPr>
    <w:sdtContent>
      <w:p w14:paraId="734EE54E" w14:textId="3EF48BA0" w:rsidR="00377A6A" w:rsidRDefault="00377A6A">
        <w:pPr>
          <w:pStyle w:val="Header"/>
          <w:jc w:val="center"/>
        </w:pPr>
        <w:r>
          <w:fldChar w:fldCharType="begin"/>
        </w:r>
        <w:r>
          <w:instrText xml:space="preserve"> PAGE   \* MERGEFORMAT </w:instrText>
        </w:r>
        <w:r>
          <w:fldChar w:fldCharType="separate"/>
        </w:r>
        <w:r>
          <w:rPr>
            <w:noProof/>
          </w:rPr>
          <w:t>- 2 -</w:t>
        </w:r>
        <w:r>
          <w:rPr>
            <w:noProof/>
          </w:rPr>
          <w:fldChar w:fldCharType="end"/>
        </w:r>
      </w:p>
    </w:sdtContent>
  </w:sdt>
  <w:p w14:paraId="7961397D" w14:textId="77777777" w:rsidR="00533614" w:rsidRDefault="0053361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4400802"/>
      <w:docPartObj>
        <w:docPartGallery w:val="Page Numbers (Top of Page)"/>
        <w:docPartUnique/>
      </w:docPartObj>
    </w:sdtPr>
    <w:sdtEndPr>
      <w:rPr>
        <w:noProof/>
      </w:rPr>
    </w:sdtEndPr>
    <w:sdtContent>
      <w:p w14:paraId="10A33CAA" w14:textId="7A3A0DB7" w:rsidR="00377A6A" w:rsidRDefault="00377A6A">
        <w:pPr>
          <w:pStyle w:val="Header"/>
          <w:jc w:val="center"/>
        </w:pPr>
        <w:r>
          <w:fldChar w:fldCharType="begin"/>
        </w:r>
        <w:r>
          <w:instrText xml:space="preserve"> PAGE   \* MERGEFORMAT </w:instrText>
        </w:r>
        <w:r>
          <w:fldChar w:fldCharType="separate"/>
        </w:r>
        <w:r w:rsidR="007D35EC">
          <w:rPr>
            <w:noProof/>
          </w:rPr>
          <w:t>- 7 -</w:t>
        </w:r>
        <w:r>
          <w:rPr>
            <w:noProof/>
          </w:rPr>
          <w:fldChar w:fldCharType="end"/>
        </w:r>
      </w:p>
    </w:sdtContent>
  </w:sdt>
  <w:p w14:paraId="615AF436" w14:textId="77777777" w:rsidR="00377A6A" w:rsidRDefault="00377A6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0350D" w14:textId="16AD1D05" w:rsidR="00377A6A" w:rsidRDefault="00377A6A">
    <w:pPr>
      <w:pStyle w:val="Header"/>
      <w:jc w:val="center"/>
    </w:pPr>
  </w:p>
  <w:p w14:paraId="26FBC6AC" w14:textId="77777777" w:rsidR="00377A6A" w:rsidRDefault="00377A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A147C"/>
    <w:multiLevelType w:val="hybridMultilevel"/>
    <w:tmpl w:val="05A01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F09454E"/>
    <w:multiLevelType w:val="hybridMultilevel"/>
    <w:tmpl w:val="C5B2B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EF4903"/>
    <w:multiLevelType w:val="hybridMultilevel"/>
    <w:tmpl w:val="948C6B8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369E1450"/>
    <w:multiLevelType w:val="hybridMultilevel"/>
    <w:tmpl w:val="F3C0A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51172C8"/>
    <w:multiLevelType w:val="hybridMultilevel"/>
    <w:tmpl w:val="1F00AA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90539E0"/>
    <w:multiLevelType w:val="hybridMultilevel"/>
    <w:tmpl w:val="7BC47D5E"/>
    <w:lvl w:ilvl="0" w:tplc="7B6C828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6AC72061"/>
    <w:multiLevelType w:val="hybridMultilevel"/>
    <w:tmpl w:val="C3B0C28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791A3295"/>
    <w:multiLevelType w:val="hybridMultilevel"/>
    <w:tmpl w:val="52342D58"/>
    <w:lvl w:ilvl="0" w:tplc="D1BEFCFE">
      <w:start w:val="1"/>
      <w:numFmt w:val="bullet"/>
      <w:lvlText w:val="–"/>
      <w:lvlJc w:val="left"/>
      <w:pPr>
        <w:tabs>
          <w:tab w:val="num" w:pos="720"/>
        </w:tabs>
        <w:ind w:left="720" w:hanging="360"/>
      </w:pPr>
      <w:rPr>
        <w:rFonts w:ascii="Arial" w:hAnsi="Arial" w:hint="default"/>
      </w:rPr>
    </w:lvl>
    <w:lvl w:ilvl="1" w:tplc="234EC7BA">
      <w:start w:val="1"/>
      <w:numFmt w:val="bullet"/>
      <w:lvlText w:val="–"/>
      <w:lvlJc w:val="left"/>
      <w:pPr>
        <w:tabs>
          <w:tab w:val="num" w:pos="1440"/>
        </w:tabs>
        <w:ind w:left="1440" w:hanging="360"/>
      </w:pPr>
      <w:rPr>
        <w:rFonts w:ascii="Arial" w:hAnsi="Arial" w:hint="default"/>
      </w:rPr>
    </w:lvl>
    <w:lvl w:ilvl="2" w:tplc="D998252C" w:tentative="1">
      <w:start w:val="1"/>
      <w:numFmt w:val="bullet"/>
      <w:lvlText w:val="–"/>
      <w:lvlJc w:val="left"/>
      <w:pPr>
        <w:tabs>
          <w:tab w:val="num" w:pos="2160"/>
        </w:tabs>
        <w:ind w:left="2160" w:hanging="360"/>
      </w:pPr>
      <w:rPr>
        <w:rFonts w:ascii="Arial" w:hAnsi="Arial" w:hint="default"/>
      </w:rPr>
    </w:lvl>
    <w:lvl w:ilvl="3" w:tplc="5F325A96" w:tentative="1">
      <w:start w:val="1"/>
      <w:numFmt w:val="bullet"/>
      <w:lvlText w:val="–"/>
      <w:lvlJc w:val="left"/>
      <w:pPr>
        <w:tabs>
          <w:tab w:val="num" w:pos="2880"/>
        </w:tabs>
        <w:ind w:left="2880" w:hanging="360"/>
      </w:pPr>
      <w:rPr>
        <w:rFonts w:ascii="Arial" w:hAnsi="Arial" w:hint="default"/>
      </w:rPr>
    </w:lvl>
    <w:lvl w:ilvl="4" w:tplc="C0C26064" w:tentative="1">
      <w:start w:val="1"/>
      <w:numFmt w:val="bullet"/>
      <w:lvlText w:val="–"/>
      <w:lvlJc w:val="left"/>
      <w:pPr>
        <w:tabs>
          <w:tab w:val="num" w:pos="3600"/>
        </w:tabs>
        <w:ind w:left="3600" w:hanging="360"/>
      </w:pPr>
      <w:rPr>
        <w:rFonts w:ascii="Arial" w:hAnsi="Arial" w:hint="default"/>
      </w:rPr>
    </w:lvl>
    <w:lvl w:ilvl="5" w:tplc="6FB4CB8A" w:tentative="1">
      <w:start w:val="1"/>
      <w:numFmt w:val="bullet"/>
      <w:lvlText w:val="–"/>
      <w:lvlJc w:val="left"/>
      <w:pPr>
        <w:tabs>
          <w:tab w:val="num" w:pos="4320"/>
        </w:tabs>
        <w:ind w:left="4320" w:hanging="360"/>
      </w:pPr>
      <w:rPr>
        <w:rFonts w:ascii="Arial" w:hAnsi="Arial" w:hint="default"/>
      </w:rPr>
    </w:lvl>
    <w:lvl w:ilvl="6" w:tplc="F4AAA83A" w:tentative="1">
      <w:start w:val="1"/>
      <w:numFmt w:val="bullet"/>
      <w:lvlText w:val="–"/>
      <w:lvlJc w:val="left"/>
      <w:pPr>
        <w:tabs>
          <w:tab w:val="num" w:pos="5040"/>
        </w:tabs>
        <w:ind w:left="5040" w:hanging="360"/>
      </w:pPr>
      <w:rPr>
        <w:rFonts w:ascii="Arial" w:hAnsi="Arial" w:hint="default"/>
      </w:rPr>
    </w:lvl>
    <w:lvl w:ilvl="7" w:tplc="489AA7F2" w:tentative="1">
      <w:start w:val="1"/>
      <w:numFmt w:val="bullet"/>
      <w:lvlText w:val="–"/>
      <w:lvlJc w:val="left"/>
      <w:pPr>
        <w:tabs>
          <w:tab w:val="num" w:pos="5760"/>
        </w:tabs>
        <w:ind w:left="5760" w:hanging="360"/>
      </w:pPr>
      <w:rPr>
        <w:rFonts w:ascii="Arial" w:hAnsi="Arial" w:hint="default"/>
      </w:rPr>
    </w:lvl>
    <w:lvl w:ilvl="8" w:tplc="7FB0F6E6"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0"/>
  </w:num>
  <w:num w:numId="3">
    <w:abstractNumId w:val="1"/>
  </w:num>
  <w:num w:numId="4">
    <w:abstractNumId w:val="4"/>
  </w:num>
  <w:num w:numId="5">
    <w:abstractNumId w:val="6"/>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autoHyphenation/>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I0NDA1Mzc1Njc1MDBS0lEKTi0uzszPAykwrAUA3dsERywAAAA="/>
  </w:docVars>
  <w:rsids>
    <w:rsidRoot w:val="00BE4A43"/>
    <w:rsid w:val="00003DA4"/>
    <w:rsid w:val="00004E40"/>
    <w:rsid w:val="00012236"/>
    <w:rsid w:val="00026811"/>
    <w:rsid w:val="00027982"/>
    <w:rsid w:val="00034F21"/>
    <w:rsid w:val="0003652F"/>
    <w:rsid w:val="00041559"/>
    <w:rsid w:val="00052D92"/>
    <w:rsid w:val="00052DE1"/>
    <w:rsid w:val="000574CE"/>
    <w:rsid w:val="00066B90"/>
    <w:rsid w:val="000816DF"/>
    <w:rsid w:val="0008221E"/>
    <w:rsid w:val="00094858"/>
    <w:rsid w:val="00096C31"/>
    <w:rsid w:val="000B5E0D"/>
    <w:rsid w:val="000D24B2"/>
    <w:rsid w:val="000D5C20"/>
    <w:rsid w:val="000D70F3"/>
    <w:rsid w:val="000E179C"/>
    <w:rsid w:val="00114A91"/>
    <w:rsid w:val="0013147E"/>
    <w:rsid w:val="00132741"/>
    <w:rsid w:val="001505A8"/>
    <w:rsid w:val="001603FD"/>
    <w:rsid w:val="00161087"/>
    <w:rsid w:val="0018317C"/>
    <w:rsid w:val="001A342B"/>
    <w:rsid w:val="001C714F"/>
    <w:rsid w:val="001E2125"/>
    <w:rsid w:val="001E2DCB"/>
    <w:rsid w:val="001F11CD"/>
    <w:rsid w:val="00204B31"/>
    <w:rsid w:val="002353EA"/>
    <w:rsid w:val="00252600"/>
    <w:rsid w:val="002753D5"/>
    <w:rsid w:val="002A7951"/>
    <w:rsid w:val="002B6E56"/>
    <w:rsid w:val="002C24E4"/>
    <w:rsid w:val="00302CAB"/>
    <w:rsid w:val="00311224"/>
    <w:rsid w:val="00323E83"/>
    <w:rsid w:val="00340AEC"/>
    <w:rsid w:val="00346B19"/>
    <w:rsid w:val="00347EAE"/>
    <w:rsid w:val="003506F5"/>
    <w:rsid w:val="0035720F"/>
    <w:rsid w:val="0036160F"/>
    <w:rsid w:val="003719C3"/>
    <w:rsid w:val="00377A6A"/>
    <w:rsid w:val="003842A8"/>
    <w:rsid w:val="003A619B"/>
    <w:rsid w:val="003D1002"/>
    <w:rsid w:val="00434105"/>
    <w:rsid w:val="004450C4"/>
    <w:rsid w:val="004455A1"/>
    <w:rsid w:val="00446D4F"/>
    <w:rsid w:val="004A1F2A"/>
    <w:rsid w:val="0052542E"/>
    <w:rsid w:val="00533614"/>
    <w:rsid w:val="005571DE"/>
    <w:rsid w:val="00560924"/>
    <w:rsid w:val="005623F3"/>
    <w:rsid w:val="00577433"/>
    <w:rsid w:val="00594739"/>
    <w:rsid w:val="005B16C7"/>
    <w:rsid w:val="005B6DBE"/>
    <w:rsid w:val="005C0ABB"/>
    <w:rsid w:val="005D0A34"/>
    <w:rsid w:val="005E4093"/>
    <w:rsid w:val="005F48A2"/>
    <w:rsid w:val="00654F5A"/>
    <w:rsid w:val="00690C67"/>
    <w:rsid w:val="006A4CA8"/>
    <w:rsid w:val="006B543D"/>
    <w:rsid w:val="006C7FD2"/>
    <w:rsid w:val="006D1D49"/>
    <w:rsid w:val="006E0413"/>
    <w:rsid w:val="00721265"/>
    <w:rsid w:val="00722292"/>
    <w:rsid w:val="00741E39"/>
    <w:rsid w:val="0074547A"/>
    <w:rsid w:val="00750762"/>
    <w:rsid w:val="0077163E"/>
    <w:rsid w:val="007716D7"/>
    <w:rsid w:val="007A72F5"/>
    <w:rsid w:val="007C36B7"/>
    <w:rsid w:val="007D35EC"/>
    <w:rsid w:val="007E1B15"/>
    <w:rsid w:val="007F26FE"/>
    <w:rsid w:val="00812BDA"/>
    <w:rsid w:val="00835297"/>
    <w:rsid w:val="008629D7"/>
    <w:rsid w:val="00883C8E"/>
    <w:rsid w:val="00884A20"/>
    <w:rsid w:val="00895DDB"/>
    <w:rsid w:val="008B396A"/>
    <w:rsid w:val="008C0373"/>
    <w:rsid w:val="008E3CD4"/>
    <w:rsid w:val="008E5B12"/>
    <w:rsid w:val="008E6EC8"/>
    <w:rsid w:val="00947121"/>
    <w:rsid w:val="009608EE"/>
    <w:rsid w:val="009861CE"/>
    <w:rsid w:val="00997593"/>
    <w:rsid w:val="009A47FE"/>
    <w:rsid w:val="009C6E6F"/>
    <w:rsid w:val="009D752F"/>
    <w:rsid w:val="009E3B2F"/>
    <w:rsid w:val="00A073FB"/>
    <w:rsid w:val="00A1601E"/>
    <w:rsid w:val="00A226FD"/>
    <w:rsid w:val="00A25B97"/>
    <w:rsid w:val="00A51469"/>
    <w:rsid w:val="00A619BC"/>
    <w:rsid w:val="00A65C32"/>
    <w:rsid w:val="00AA7619"/>
    <w:rsid w:val="00AD7130"/>
    <w:rsid w:val="00AE0D37"/>
    <w:rsid w:val="00AE4E14"/>
    <w:rsid w:val="00AF54BD"/>
    <w:rsid w:val="00B03F90"/>
    <w:rsid w:val="00B403FA"/>
    <w:rsid w:val="00B66B8D"/>
    <w:rsid w:val="00B8061B"/>
    <w:rsid w:val="00B9091C"/>
    <w:rsid w:val="00B97671"/>
    <w:rsid w:val="00BC755F"/>
    <w:rsid w:val="00BD339E"/>
    <w:rsid w:val="00BE4A43"/>
    <w:rsid w:val="00C07BF2"/>
    <w:rsid w:val="00C16D21"/>
    <w:rsid w:val="00C22000"/>
    <w:rsid w:val="00C32A33"/>
    <w:rsid w:val="00C5331B"/>
    <w:rsid w:val="00C608AD"/>
    <w:rsid w:val="00C6236D"/>
    <w:rsid w:val="00C84E65"/>
    <w:rsid w:val="00C87A0A"/>
    <w:rsid w:val="00CC130F"/>
    <w:rsid w:val="00CC7EBE"/>
    <w:rsid w:val="00CE1C63"/>
    <w:rsid w:val="00CE3347"/>
    <w:rsid w:val="00D13F45"/>
    <w:rsid w:val="00D15FE8"/>
    <w:rsid w:val="00D21D8E"/>
    <w:rsid w:val="00D4750C"/>
    <w:rsid w:val="00D65838"/>
    <w:rsid w:val="00D74A1B"/>
    <w:rsid w:val="00D81CFB"/>
    <w:rsid w:val="00D9759C"/>
    <w:rsid w:val="00DB75F5"/>
    <w:rsid w:val="00DC7EFA"/>
    <w:rsid w:val="00DE11EA"/>
    <w:rsid w:val="00E005D6"/>
    <w:rsid w:val="00E27C72"/>
    <w:rsid w:val="00E70E70"/>
    <w:rsid w:val="00E94B1D"/>
    <w:rsid w:val="00E94DEA"/>
    <w:rsid w:val="00E9590C"/>
    <w:rsid w:val="00EB4199"/>
    <w:rsid w:val="00EB4339"/>
    <w:rsid w:val="00EC3FAD"/>
    <w:rsid w:val="00ED4320"/>
    <w:rsid w:val="00ED5024"/>
    <w:rsid w:val="00EE60F4"/>
    <w:rsid w:val="00EF37A0"/>
    <w:rsid w:val="00EF4C0B"/>
    <w:rsid w:val="00F07FEA"/>
    <w:rsid w:val="00F11E01"/>
    <w:rsid w:val="00F16593"/>
    <w:rsid w:val="00F255D4"/>
    <w:rsid w:val="00F63571"/>
    <w:rsid w:val="00FB314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9E0F15"/>
  <w15:docId w15:val="{3197F48B-CF76-4159-A34F-4BD782537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ES_tradnl"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cs="Arial Unicode MS"/>
      <w:color w:val="000000"/>
      <w:sz w:val="22"/>
      <w:szCs w:val="22"/>
      <w:u w:color="000000"/>
    </w:rPr>
  </w:style>
  <w:style w:type="paragraph" w:styleId="Heading3">
    <w:name w:val="heading 3"/>
    <w:next w:val="Normal"/>
    <w:pPr>
      <w:keepNext/>
      <w:spacing w:before="240" w:after="60"/>
      <w:outlineLvl w:val="2"/>
    </w:pPr>
    <w:rPr>
      <w:rFonts w:ascii="Arial" w:hAnsi="Arial" w:cs="Arial Unicode MS"/>
      <w:b/>
      <w:bCs/>
      <w:color w:val="000000"/>
      <w:sz w:val="26"/>
      <w:szCs w:val="26"/>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widowControl w:val="0"/>
      <w:tabs>
        <w:tab w:val="center" w:pos="4320"/>
        <w:tab w:val="right" w:pos="8640"/>
      </w:tabs>
      <w:jc w:val="both"/>
    </w:pPr>
    <w:rPr>
      <w:rFonts w:cs="Arial Unicode MS"/>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BodyText">
    <w:name w:val="Body Text"/>
    <w:pPr>
      <w:jc w:val="center"/>
    </w:pPr>
    <w:rPr>
      <w:rFonts w:eastAsia="Times New Roman"/>
      <w:b/>
      <w:bCs/>
      <w:color w:val="000000"/>
      <w:sz w:val="24"/>
      <w:szCs w:val="24"/>
      <w:u w:color="000000"/>
      <w:lang w:val="en-US"/>
    </w:rPr>
  </w:style>
  <w:style w:type="paragraph" w:styleId="ListParagraph">
    <w:name w:val="List Paragraph"/>
    <w:basedOn w:val="Normal"/>
    <w:uiPriority w:val="34"/>
    <w:qFormat/>
    <w:rsid w:val="009608EE"/>
    <w:pPr>
      <w:ind w:left="720"/>
      <w:contextualSpacing/>
    </w:pPr>
  </w:style>
  <w:style w:type="paragraph" w:styleId="FootnoteText">
    <w:name w:val="footnote text"/>
    <w:basedOn w:val="Normal"/>
    <w:link w:val="FootnoteTextChar"/>
    <w:uiPriority w:val="99"/>
    <w:semiHidden/>
    <w:unhideWhenUsed/>
    <w:rsid w:val="005D0A34"/>
    <w:pPr>
      <w:widowControl/>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eastAsiaTheme="minorHAnsi" w:cs="Times New Roman"/>
      <w:color w:val="auto"/>
      <w:sz w:val="20"/>
      <w:szCs w:val="20"/>
      <w:bdr w:val="none" w:sz="0" w:space="0" w:color="auto"/>
      <w:lang w:val="en-US" w:eastAsia="en-US"/>
    </w:rPr>
  </w:style>
  <w:style w:type="character" w:customStyle="1" w:styleId="FootnoteTextChar">
    <w:name w:val="Footnote Text Char"/>
    <w:basedOn w:val="DefaultParagraphFont"/>
    <w:link w:val="FootnoteText"/>
    <w:uiPriority w:val="99"/>
    <w:semiHidden/>
    <w:rsid w:val="005D0A34"/>
    <w:rPr>
      <w:rFonts w:eastAsiaTheme="minorHAnsi"/>
      <w:bdr w:val="none" w:sz="0" w:space="0" w:color="auto"/>
      <w:lang w:val="en-US" w:eastAsia="en-US"/>
    </w:rPr>
  </w:style>
  <w:style w:type="character" w:styleId="FootnoteReference">
    <w:name w:val="footnote reference"/>
    <w:basedOn w:val="DefaultParagraphFont"/>
    <w:uiPriority w:val="99"/>
    <w:semiHidden/>
    <w:unhideWhenUsed/>
    <w:rsid w:val="005D0A34"/>
    <w:rPr>
      <w:vertAlign w:val="superscript"/>
    </w:rPr>
  </w:style>
  <w:style w:type="paragraph" w:styleId="NoSpacing">
    <w:name w:val="No Spacing"/>
    <w:uiPriority w:val="99"/>
    <w:qFormat/>
    <w:rsid w:val="00D21D8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SimSun" w:hAnsi="Calibri"/>
      <w:sz w:val="22"/>
      <w:szCs w:val="22"/>
      <w:bdr w:val="none" w:sz="0" w:space="0" w:color="auto"/>
      <w:lang w:val="en-US" w:eastAsia="zh-CN"/>
    </w:rPr>
  </w:style>
  <w:style w:type="paragraph" w:styleId="Footer">
    <w:name w:val="footer"/>
    <w:basedOn w:val="Normal"/>
    <w:link w:val="FooterChar"/>
    <w:uiPriority w:val="99"/>
    <w:unhideWhenUsed/>
    <w:rsid w:val="00377A6A"/>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basedOn w:val="DefaultParagraphFont"/>
    <w:link w:val="Footer"/>
    <w:uiPriority w:val="99"/>
    <w:rsid w:val="00377A6A"/>
    <w:rPr>
      <w:rFonts w:cs="Arial Unicode MS"/>
      <w:color w:val="000000"/>
      <w:sz w:val="22"/>
      <w:szCs w:val="22"/>
      <w:u w:color="000000"/>
    </w:rPr>
  </w:style>
  <w:style w:type="character" w:customStyle="1" w:styleId="HeaderChar">
    <w:name w:val="Header Char"/>
    <w:basedOn w:val="DefaultParagraphFont"/>
    <w:link w:val="Header"/>
    <w:uiPriority w:val="99"/>
    <w:rsid w:val="00377A6A"/>
    <w:rPr>
      <w:rFonts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79469">
      <w:bodyDiv w:val="1"/>
      <w:marLeft w:val="0"/>
      <w:marRight w:val="0"/>
      <w:marTop w:val="0"/>
      <w:marBottom w:val="0"/>
      <w:divBdr>
        <w:top w:val="none" w:sz="0" w:space="0" w:color="auto"/>
        <w:left w:val="none" w:sz="0" w:space="0" w:color="auto"/>
        <w:bottom w:val="none" w:sz="0" w:space="0" w:color="auto"/>
        <w:right w:val="none" w:sz="0" w:space="0" w:color="auto"/>
      </w:divBdr>
      <w:divsChild>
        <w:div w:id="1320890428">
          <w:marLeft w:val="1166"/>
          <w:marRight w:val="0"/>
          <w:marTop w:val="134"/>
          <w:marBottom w:val="0"/>
          <w:divBdr>
            <w:top w:val="none" w:sz="0" w:space="0" w:color="auto"/>
            <w:left w:val="none" w:sz="0" w:space="0" w:color="auto"/>
            <w:bottom w:val="none" w:sz="0" w:space="0" w:color="auto"/>
            <w:right w:val="none" w:sz="0" w:space="0" w:color="auto"/>
          </w:divBdr>
        </w:div>
      </w:divsChild>
    </w:div>
    <w:div w:id="1203054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37991D-750B-4F61-AF3F-FFA1A2DA001A}">
  <ds:schemaRefs>
    <ds:schemaRef ds:uri="89f4cd83-a2d3-4405-9b45-6aff5241ff8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6ED083D-DFEA-4705-B2A6-891B477F0B30}">
  <ds:schemaRefs>
    <ds:schemaRef ds:uri="http://schemas.microsoft.com/sharepoint/v3/contenttype/forms"/>
  </ds:schemaRefs>
</ds:datastoreItem>
</file>

<file path=customXml/itemProps3.xml><?xml version="1.0" encoding="utf-8"?>
<ds:datastoreItem xmlns:ds="http://schemas.openxmlformats.org/officeDocument/2006/customXml" ds:itemID="{7E6EBD9E-BBB1-4637-B568-046AF144D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8</Pages>
  <Words>2448</Words>
  <Characters>13957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CCase</dc:creator>
  <cp:lastModifiedBy>Azoulay, Mauricio</cp:lastModifiedBy>
  <cp:revision>94</cp:revision>
  <dcterms:created xsi:type="dcterms:W3CDTF">2020-12-16T18:04:00Z</dcterms:created>
  <dcterms:modified xsi:type="dcterms:W3CDTF">2021-01-25T14:13:00Z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0x01010076D035A163BC0046A41C2EBE1E58AFFF</vt:lpwstr>
  </property>
</Properties>
</file>