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A77" w:rsidRPr="0037070B" w:rsidRDefault="0091020E" w:rsidP="00CE2AC2">
      <w:pPr>
        <w:pStyle w:val="CPClassification"/>
        <w:ind w:left="2160" w:firstLine="5040"/>
        <w:contextualSpacing/>
        <w:rPr>
          <w:szCs w:val="22"/>
          <w:lang w:val="es-US"/>
        </w:rPr>
      </w:pPr>
      <w:r>
        <w:rPr>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4.25pt;margin-top:-39.75pt;width:320.1pt;height:28.1pt;z-index:-251658240;mso-wrap-edited:f" wrapcoords="3572 1580 2041 2634 170 7376 170 11590 2381 19493 5272 20020 11055 20020 17008 20020 21260 12117 21600 4215 18709 2107 9524 1580 3572 1580" o:allowincell="f" fillcolor="window">
            <v:imagedata r:id="rId8" o:title=""/>
            <w10:wrap type="topAndBottom"/>
          </v:shape>
          <o:OLEObject Type="Embed" ProgID="Word.Picture.8" ShapeID="_x0000_s1026" DrawAspect="Content" ObjectID="_1654694036" r:id="rId9"/>
        </w:object>
      </w:r>
    </w:p>
    <w:p w:rsidR="00CE2AC2" w:rsidRPr="00EF4DB8" w:rsidRDefault="00256B86" w:rsidP="00CE2AC2">
      <w:pPr>
        <w:pStyle w:val="CPClassification"/>
        <w:ind w:left="2160" w:firstLine="5040"/>
        <w:contextualSpacing/>
        <w:rPr>
          <w:rFonts w:eastAsia="Batang"/>
          <w:szCs w:val="22"/>
        </w:rPr>
      </w:pPr>
      <w:bookmarkStart w:id="0" w:name="tittle"/>
      <w:r w:rsidRPr="00EF4DB8">
        <w:rPr>
          <w:szCs w:val="22"/>
        </w:rPr>
        <w:t>OEA/</w:t>
      </w:r>
      <w:proofErr w:type="spellStart"/>
      <w:r w:rsidRPr="00EF4DB8">
        <w:rPr>
          <w:szCs w:val="22"/>
        </w:rPr>
        <w:t>Ser.G</w:t>
      </w:r>
      <w:proofErr w:type="spellEnd"/>
    </w:p>
    <w:p w:rsidR="00CE2AC2" w:rsidRPr="00EF4DB8" w:rsidRDefault="00CE2AC2" w:rsidP="00CE2AC2">
      <w:pPr>
        <w:ind w:left="7200" w:right="-1289"/>
        <w:contextualSpacing/>
        <w:rPr>
          <w:rFonts w:ascii="Times New Roman" w:eastAsia="Calibri" w:hAnsi="Times New Roman"/>
          <w:noProof/>
          <w:szCs w:val="22"/>
        </w:rPr>
      </w:pPr>
      <w:r w:rsidRPr="00EF4DB8">
        <w:rPr>
          <w:rFonts w:ascii="Times New Roman" w:hAnsi="Times New Roman"/>
          <w:szCs w:val="22"/>
        </w:rPr>
        <w:t>CP/</w:t>
      </w:r>
      <w:r w:rsidR="00EF4DB8">
        <w:rPr>
          <w:rFonts w:ascii="Times New Roman" w:hAnsi="Times New Roman"/>
          <w:szCs w:val="22"/>
        </w:rPr>
        <w:t>RES</w:t>
      </w:r>
      <w:r w:rsidRPr="00EF4DB8">
        <w:rPr>
          <w:rFonts w:ascii="Times New Roman" w:hAnsi="Times New Roman"/>
          <w:szCs w:val="22"/>
        </w:rPr>
        <w:t>.</w:t>
      </w:r>
      <w:r w:rsidR="00EF4DB8">
        <w:rPr>
          <w:rFonts w:ascii="Times New Roman" w:hAnsi="Times New Roman"/>
          <w:szCs w:val="22"/>
        </w:rPr>
        <w:t>11</w:t>
      </w:r>
      <w:r w:rsidRPr="00EF4DB8">
        <w:rPr>
          <w:rFonts w:ascii="Times New Roman" w:hAnsi="Times New Roman"/>
          <w:szCs w:val="22"/>
        </w:rPr>
        <w:t>56</w:t>
      </w:r>
      <w:r w:rsidR="00EF4DB8">
        <w:rPr>
          <w:rFonts w:ascii="Times New Roman" w:hAnsi="Times New Roman"/>
          <w:szCs w:val="22"/>
        </w:rPr>
        <w:t xml:space="preserve"> (2291</w:t>
      </w:r>
      <w:r w:rsidRPr="00EF4DB8">
        <w:rPr>
          <w:rFonts w:ascii="Times New Roman" w:hAnsi="Times New Roman"/>
          <w:szCs w:val="22"/>
        </w:rPr>
        <w:t>/20</w:t>
      </w:r>
      <w:r w:rsidR="00EF4DB8">
        <w:rPr>
          <w:rFonts w:ascii="Times New Roman" w:hAnsi="Times New Roman"/>
          <w:szCs w:val="22"/>
        </w:rPr>
        <w:t>)</w:t>
      </w:r>
    </w:p>
    <w:p w:rsidR="00CE2AC2" w:rsidRDefault="00856E87" w:rsidP="00CE2AC2">
      <w:pPr>
        <w:ind w:left="7200"/>
        <w:contextualSpacing/>
        <w:rPr>
          <w:rFonts w:ascii="Times New Roman" w:hAnsi="Times New Roman"/>
          <w:szCs w:val="22"/>
        </w:rPr>
      </w:pPr>
      <w:r w:rsidRPr="0037070B">
        <w:rPr>
          <w:rFonts w:ascii="Times New Roman" w:hAnsi="Times New Roman"/>
          <w:szCs w:val="22"/>
        </w:rPr>
        <w:t>2</w:t>
      </w:r>
      <w:r w:rsidR="003150CC">
        <w:rPr>
          <w:rFonts w:ascii="Times New Roman" w:hAnsi="Times New Roman"/>
          <w:szCs w:val="22"/>
        </w:rPr>
        <w:t>6</w:t>
      </w:r>
      <w:r w:rsidRPr="0037070B">
        <w:rPr>
          <w:rFonts w:ascii="Times New Roman" w:hAnsi="Times New Roman"/>
          <w:szCs w:val="22"/>
        </w:rPr>
        <w:t xml:space="preserve"> juin 2020</w:t>
      </w:r>
    </w:p>
    <w:p w:rsidR="003150CC" w:rsidRDefault="003150CC" w:rsidP="00CE2AC2">
      <w:pPr>
        <w:ind w:left="7200"/>
        <w:contextualSpacing/>
        <w:rPr>
          <w:rFonts w:ascii="Times New Roman" w:hAnsi="Times New Roman"/>
          <w:szCs w:val="22"/>
        </w:rPr>
      </w:pPr>
      <w:r>
        <w:rPr>
          <w:rFonts w:ascii="Times New Roman" w:hAnsi="Times New Roman"/>
          <w:szCs w:val="22"/>
        </w:rPr>
        <w:t>Original: espagnol</w:t>
      </w:r>
    </w:p>
    <w:p w:rsidR="003150CC" w:rsidRDefault="003150CC" w:rsidP="007C4113">
      <w:pPr>
        <w:contextualSpacing/>
        <w:rPr>
          <w:rFonts w:ascii="Times New Roman" w:hAnsi="Times New Roman"/>
          <w:szCs w:val="22"/>
        </w:rPr>
      </w:pPr>
    </w:p>
    <w:p w:rsidR="00E43EA4" w:rsidRPr="0037070B" w:rsidRDefault="00E43EA4" w:rsidP="007C4113">
      <w:pPr>
        <w:contextualSpacing/>
        <w:rPr>
          <w:rFonts w:ascii="Times New Roman" w:hAnsi="Times New Roman"/>
          <w:noProof/>
          <w:szCs w:val="22"/>
        </w:rPr>
      </w:pPr>
    </w:p>
    <w:bookmarkEnd w:id="0"/>
    <w:p w:rsidR="00611E2D" w:rsidRDefault="00611E2D" w:rsidP="00E61975">
      <w:pPr>
        <w:pStyle w:val="BodyText"/>
        <w:rPr>
          <w:sz w:val="22"/>
          <w:szCs w:val="22"/>
        </w:rPr>
      </w:pPr>
    </w:p>
    <w:p w:rsidR="00E43EA4" w:rsidRDefault="00E43EA4" w:rsidP="00E43EA4">
      <w:pPr>
        <w:pStyle w:val="BodyText"/>
        <w:jc w:val="center"/>
        <w:rPr>
          <w:sz w:val="22"/>
          <w:szCs w:val="22"/>
        </w:rPr>
      </w:pPr>
      <w:r>
        <w:rPr>
          <w:sz w:val="22"/>
          <w:szCs w:val="22"/>
        </w:rPr>
        <w:t>CP/RES. 1156 (2291/20)</w:t>
      </w:r>
    </w:p>
    <w:p w:rsidR="00E43EA4" w:rsidRPr="0037070B" w:rsidRDefault="00E43EA4" w:rsidP="00E43EA4">
      <w:pPr>
        <w:pStyle w:val="BodyText"/>
        <w:jc w:val="center"/>
        <w:rPr>
          <w:sz w:val="22"/>
          <w:szCs w:val="22"/>
        </w:rPr>
      </w:pPr>
    </w:p>
    <w:p w:rsidR="00611E2D" w:rsidRPr="0037070B" w:rsidRDefault="00611E2D" w:rsidP="00E43EA4">
      <w:pPr>
        <w:pStyle w:val="BodyText"/>
        <w:jc w:val="center"/>
        <w:rPr>
          <w:sz w:val="22"/>
          <w:szCs w:val="22"/>
        </w:rPr>
      </w:pPr>
      <w:r w:rsidRPr="0037070B">
        <w:rPr>
          <w:sz w:val="22"/>
          <w:szCs w:val="22"/>
        </w:rPr>
        <w:t xml:space="preserve">LES </w:t>
      </w:r>
      <w:r w:rsidR="0029035F" w:rsidRPr="0037070B">
        <w:rPr>
          <w:sz w:val="22"/>
          <w:szCs w:val="22"/>
          <w:lang w:val="fr-FR"/>
        </w:rPr>
        <w:t xml:space="preserve">RÉCENTS ARRÊTS </w:t>
      </w:r>
      <w:r w:rsidR="002011E9" w:rsidRPr="0037070B">
        <w:rPr>
          <w:sz w:val="22"/>
          <w:szCs w:val="22"/>
          <w:lang w:val="fr-FR"/>
        </w:rPr>
        <w:t xml:space="preserve">ILLÉGITIMES </w:t>
      </w:r>
      <w:r w:rsidR="0029035F" w:rsidRPr="0037070B">
        <w:rPr>
          <w:sz w:val="22"/>
          <w:szCs w:val="22"/>
          <w:lang w:val="fr-FR"/>
        </w:rPr>
        <w:t>DE LA COUR SUPRÊME DE JUSTICE DE LA RÉPUBLIQUE BOLIVARIENNE DU VENEZUELA</w:t>
      </w:r>
      <w:r w:rsidR="0001315F" w:rsidRPr="0001315F">
        <w:rPr>
          <w:rStyle w:val="FootnoteReference"/>
          <w:sz w:val="20"/>
          <w:szCs w:val="20"/>
          <w:u w:val="single"/>
          <w:vertAlign w:val="superscript"/>
          <w:lang w:val="fr-FR"/>
        </w:rPr>
        <w:footnoteReference w:id="1"/>
      </w:r>
      <w:r w:rsidR="0001315F" w:rsidRPr="0001315F">
        <w:rPr>
          <w:sz w:val="20"/>
          <w:szCs w:val="20"/>
          <w:vertAlign w:val="superscript"/>
          <w:lang w:val="fr-FR"/>
        </w:rPr>
        <w:t>/</w:t>
      </w:r>
    </w:p>
    <w:p w:rsidR="00611E2D" w:rsidRPr="0037070B" w:rsidRDefault="00611E2D" w:rsidP="00E61975">
      <w:pPr>
        <w:pStyle w:val="BodyText"/>
        <w:rPr>
          <w:sz w:val="22"/>
          <w:szCs w:val="22"/>
        </w:rPr>
      </w:pPr>
    </w:p>
    <w:p w:rsidR="002011E9" w:rsidRPr="00C5623D" w:rsidRDefault="002011E9" w:rsidP="002011E9">
      <w:pPr>
        <w:pStyle w:val="BodyText"/>
        <w:jc w:val="center"/>
        <w:rPr>
          <w:sz w:val="22"/>
          <w:szCs w:val="22"/>
        </w:rPr>
      </w:pPr>
      <w:r w:rsidRPr="00C5623D">
        <w:rPr>
          <w:sz w:val="22"/>
          <w:szCs w:val="22"/>
        </w:rPr>
        <w:t>(</w:t>
      </w:r>
      <w:r w:rsidR="00C5623D" w:rsidRPr="00C5623D">
        <w:rPr>
          <w:rStyle w:val="normaltextrun"/>
          <w:sz w:val="22"/>
          <w:szCs w:val="22"/>
        </w:rPr>
        <w:t xml:space="preserve">Adoptée par le Conseil permanent à sa séance </w:t>
      </w:r>
      <w:r w:rsidR="00C5623D">
        <w:rPr>
          <w:rStyle w:val="normaltextrun"/>
          <w:sz w:val="22"/>
          <w:szCs w:val="22"/>
        </w:rPr>
        <w:t>extra</w:t>
      </w:r>
      <w:r w:rsidR="00C5623D" w:rsidRPr="00C5623D">
        <w:rPr>
          <w:rStyle w:val="normaltextrun"/>
          <w:sz w:val="22"/>
          <w:szCs w:val="22"/>
        </w:rPr>
        <w:t>ordinaire virtuelle tenue le 2</w:t>
      </w:r>
      <w:r w:rsidR="00C5623D">
        <w:rPr>
          <w:rStyle w:val="normaltextrun"/>
          <w:sz w:val="22"/>
          <w:szCs w:val="22"/>
        </w:rPr>
        <w:t>6</w:t>
      </w:r>
      <w:r w:rsidR="00C5623D" w:rsidRPr="00C5623D">
        <w:rPr>
          <w:rStyle w:val="normaltextrun"/>
          <w:sz w:val="22"/>
          <w:szCs w:val="22"/>
        </w:rPr>
        <w:t xml:space="preserve"> juin 2020</w:t>
      </w:r>
      <w:r w:rsidRPr="00C5623D">
        <w:rPr>
          <w:sz w:val="22"/>
          <w:szCs w:val="22"/>
        </w:rPr>
        <w:t>)</w:t>
      </w:r>
    </w:p>
    <w:p w:rsidR="002011E9" w:rsidRPr="0037070B" w:rsidRDefault="002011E9" w:rsidP="00E61975">
      <w:pPr>
        <w:pStyle w:val="BodyText"/>
        <w:rPr>
          <w:sz w:val="22"/>
          <w:szCs w:val="22"/>
        </w:rPr>
      </w:pPr>
    </w:p>
    <w:p w:rsidR="00E61975" w:rsidRPr="0037070B" w:rsidRDefault="00E61975" w:rsidP="00E61975">
      <w:pPr>
        <w:pStyle w:val="BodyText"/>
        <w:rPr>
          <w:sz w:val="22"/>
          <w:szCs w:val="22"/>
        </w:rPr>
      </w:pPr>
    </w:p>
    <w:p w:rsidR="00611E2D" w:rsidRPr="0037070B" w:rsidRDefault="00611E2D" w:rsidP="00E61975">
      <w:pPr>
        <w:pStyle w:val="BodyText"/>
        <w:ind w:firstLine="720"/>
        <w:jc w:val="both"/>
        <w:rPr>
          <w:sz w:val="22"/>
          <w:szCs w:val="22"/>
        </w:rPr>
      </w:pPr>
      <w:r w:rsidRPr="0037070B">
        <w:rPr>
          <w:color w:val="171717"/>
          <w:sz w:val="22"/>
          <w:szCs w:val="22"/>
        </w:rPr>
        <w:t>LE CONSEIL PERMANENT DE L’ORGANISATION DES ÉTATS AMÉRICAINS,</w:t>
      </w:r>
    </w:p>
    <w:p w:rsidR="00611E2D" w:rsidRPr="0037070B" w:rsidRDefault="00611E2D" w:rsidP="00E61975">
      <w:pPr>
        <w:pStyle w:val="BodyText"/>
        <w:rPr>
          <w:sz w:val="22"/>
          <w:szCs w:val="22"/>
        </w:rPr>
      </w:pPr>
    </w:p>
    <w:p w:rsidR="00611E2D" w:rsidRPr="0037070B" w:rsidRDefault="00611E2D" w:rsidP="00E61975">
      <w:pPr>
        <w:pStyle w:val="BodyText"/>
        <w:ind w:firstLine="720"/>
        <w:jc w:val="both"/>
        <w:rPr>
          <w:color w:val="171717"/>
          <w:sz w:val="22"/>
          <w:szCs w:val="22"/>
        </w:rPr>
      </w:pPr>
      <w:r w:rsidRPr="0037070B">
        <w:rPr>
          <w:color w:val="171717"/>
          <w:sz w:val="22"/>
          <w:szCs w:val="22"/>
        </w:rPr>
        <w:t>CONSIDÉRANT que la Charte de l’Organisation des États Américains affirme que la démocratie représentative est indispensable pour perpétuer la stabilité, la paix et le développement de la région,</w:t>
      </w:r>
    </w:p>
    <w:p w:rsidR="00611E2D" w:rsidRPr="0037070B" w:rsidRDefault="00611E2D" w:rsidP="00E61975">
      <w:pPr>
        <w:pStyle w:val="BodyText"/>
        <w:jc w:val="both"/>
        <w:rPr>
          <w:sz w:val="22"/>
          <w:szCs w:val="22"/>
        </w:rPr>
      </w:pPr>
    </w:p>
    <w:p w:rsidR="00611E2D" w:rsidRPr="0037070B" w:rsidRDefault="00611E2D" w:rsidP="00E61975">
      <w:pPr>
        <w:pStyle w:val="BodyText"/>
        <w:ind w:firstLine="720"/>
        <w:jc w:val="both"/>
        <w:rPr>
          <w:color w:val="171717"/>
          <w:sz w:val="22"/>
          <w:szCs w:val="22"/>
        </w:rPr>
      </w:pPr>
      <w:r w:rsidRPr="0037070B">
        <w:rPr>
          <w:color w:val="171717"/>
          <w:sz w:val="22"/>
          <w:szCs w:val="22"/>
        </w:rPr>
        <w:t>RÉAFFIRMANT que, comme énoncé dans l’article premier de la Charte démocratique interaméricaine, les peuples des Amériques ont droit à la démocratie et que leurs gouvernements ont pour obligation de la promouvoir et de la défendre,</w:t>
      </w:r>
    </w:p>
    <w:p w:rsidR="00611E2D" w:rsidRPr="0037070B" w:rsidRDefault="00611E2D" w:rsidP="00E61975">
      <w:pPr>
        <w:pStyle w:val="BodyText"/>
        <w:jc w:val="both"/>
        <w:rPr>
          <w:color w:val="171717"/>
          <w:sz w:val="22"/>
          <w:szCs w:val="22"/>
        </w:rPr>
      </w:pPr>
    </w:p>
    <w:p w:rsidR="00611E2D" w:rsidRPr="0037070B" w:rsidRDefault="00611E2D" w:rsidP="00E61975">
      <w:pPr>
        <w:pStyle w:val="BodyText"/>
        <w:ind w:firstLine="720"/>
        <w:jc w:val="both"/>
        <w:rPr>
          <w:color w:val="171717"/>
          <w:sz w:val="22"/>
          <w:szCs w:val="22"/>
        </w:rPr>
      </w:pPr>
      <w:r w:rsidRPr="0037070B">
        <w:rPr>
          <w:color w:val="171717"/>
          <w:sz w:val="22"/>
          <w:szCs w:val="22"/>
        </w:rPr>
        <w:t>CONSIDÉRANT que la Charte démocratique interaméricaine établit que, au nombre des composantes essentielles de la démocratie représentative figurent, entre autres, le respect des droits de l’homme et des libertés fondamentales, l’accès au pouvoir et son exercice assujetti à l’État de droit, la tenue d’élections périodiques, libres, justes et basées sur le suffrage universel et secret, à titre d'expression de la souveraineté populaire, le régime plural de partis et d’organisations politiques, ainsi que la séparation et l’indépendance des pouvoirs publics,</w:t>
      </w:r>
    </w:p>
    <w:p w:rsidR="00611E2D" w:rsidRPr="0037070B" w:rsidRDefault="00611E2D" w:rsidP="00E61975">
      <w:pPr>
        <w:pStyle w:val="BodyText"/>
        <w:jc w:val="both"/>
        <w:rPr>
          <w:color w:val="171717"/>
          <w:sz w:val="22"/>
          <w:szCs w:val="22"/>
        </w:rPr>
      </w:pPr>
    </w:p>
    <w:p w:rsidR="00611E2D" w:rsidRPr="0037070B" w:rsidRDefault="00611E2D" w:rsidP="00E61975">
      <w:pPr>
        <w:pStyle w:val="BodyText"/>
        <w:ind w:firstLine="720"/>
        <w:jc w:val="both"/>
        <w:rPr>
          <w:color w:val="171717"/>
          <w:sz w:val="22"/>
          <w:szCs w:val="22"/>
        </w:rPr>
      </w:pPr>
      <w:r w:rsidRPr="0037070B">
        <w:rPr>
          <w:color w:val="171717"/>
          <w:sz w:val="22"/>
          <w:szCs w:val="22"/>
        </w:rPr>
        <w:t xml:space="preserve">SOULIGNANT que, par la résolution CP/RES. 1117 (2200/19), adoptée le 10 janvier 2019, le Conseil permanent a décidé « [d]e ne pas reconnaître la légitimité d’un nouveau mandat de </w:t>
      </w:r>
      <w:proofErr w:type="spellStart"/>
      <w:r w:rsidRPr="0037070B">
        <w:rPr>
          <w:color w:val="171717"/>
          <w:sz w:val="22"/>
          <w:szCs w:val="22"/>
        </w:rPr>
        <w:t>Nicolás</w:t>
      </w:r>
      <w:proofErr w:type="spellEnd"/>
      <w:r w:rsidRPr="0037070B">
        <w:rPr>
          <w:color w:val="171717"/>
          <w:sz w:val="22"/>
          <w:szCs w:val="22"/>
        </w:rPr>
        <w:t xml:space="preserve"> </w:t>
      </w:r>
      <w:proofErr w:type="spellStart"/>
      <w:r w:rsidRPr="0037070B">
        <w:rPr>
          <w:color w:val="171717"/>
          <w:sz w:val="22"/>
          <w:szCs w:val="22"/>
        </w:rPr>
        <w:t>Maduro</w:t>
      </w:r>
      <w:proofErr w:type="spellEnd"/>
      <w:r w:rsidRPr="0037070B">
        <w:rPr>
          <w:color w:val="171717"/>
          <w:sz w:val="22"/>
          <w:szCs w:val="22"/>
        </w:rPr>
        <w:t xml:space="preserve"> à partir du 10 janvier 2019 », et a appelé à « la tenue prochaine de nouvelles élections présidentielles assorties de toutes les garanties nécessaires à un processus libre, juste, transparent et légitime en présence d’observateurs internationaux », </w:t>
      </w:r>
    </w:p>
    <w:p w:rsidR="00611E2D" w:rsidRPr="0037070B" w:rsidRDefault="00611E2D" w:rsidP="00E61975">
      <w:pPr>
        <w:pStyle w:val="BodyText"/>
        <w:jc w:val="both"/>
        <w:rPr>
          <w:color w:val="171717"/>
          <w:sz w:val="22"/>
          <w:szCs w:val="22"/>
        </w:rPr>
      </w:pPr>
    </w:p>
    <w:p w:rsidR="00611E2D" w:rsidRPr="0037070B" w:rsidRDefault="00611E2D" w:rsidP="00E61975">
      <w:pPr>
        <w:pStyle w:val="BodyText"/>
        <w:ind w:firstLine="720"/>
        <w:jc w:val="both"/>
        <w:rPr>
          <w:color w:val="171717"/>
          <w:sz w:val="22"/>
          <w:szCs w:val="22"/>
        </w:rPr>
      </w:pPr>
      <w:r w:rsidRPr="0037070B">
        <w:rPr>
          <w:color w:val="171717"/>
          <w:sz w:val="22"/>
          <w:szCs w:val="22"/>
        </w:rPr>
        <w:t xml:space="preserve">RAPPELANT que, par la résolution CP/RES. 1143 (2269/20), </w:t>
      </w:r>
      <w:r w:rsidR="002011E9" w:rsidRPr="0037070B">
        <w:rPr>
          <w:color w:val="171717"/>
          <w:sz w:val="22"/>
          <w:szCs w:val="22"/>
        </w:rPr>
        <w:t xml:space="preserve">adoptée le 10 janvier 2020, </w:t>
      </w:r>
      <w:r w:rsidRPr="0037070B">
        <w:rPr>
          <w:color w:val="171717"/>
          <w:sz w:val="22"/>
          <w:szCs w:val="22"/>
        </w:rPr>
        <w:t>il a décidé de renouveler l’appel à un retour sans retard de la démocratie au Venezuela et, en ce sens, a réaffirmé la nécessité de tenir des élections présidentielles inclusives, libres, justes et transparentes, avec un Conseil national électoral et un</w:t>
      </w:r>
      <w:r w:rsidR="0029035F" w:rsidRPr="0037070B">
        <w:rPr>
          <w:color w:val="171717"/>
          <w:sz w:val="22"/>
          <w:szCs w:val="22"/>
        </w:rPr>
        <w:t xml:space="preserve">e Cour </w:t>
      </w:r>
      <w:r w:rsidRPr="0037070B">
        <w:rPr>
          <w:color w:val="171717"/>
          <w:sz w:val="22"/>
          <w:szCs w:val="22"/>
        </w:rPr>
        <w:t>suprême de justice renouvelés et indépendants, en présence d’observateurs internationaux indépendants,</w:t>
      </w:r>
    </w:p>
    <w:p w:rsidR="0091020E" w:rsidRDefault="0091020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171717"/>
          <w:szCs w:val="22"/>
        </w:rPr>
      </w:pPr>
      <w:r>
        <w:rPr>
          <w:color w:val="171717"/>
          <w:szCs w:val="22"/>
        </w:rPr>
        <w:br w:type="page"/>
      </w:r>
    </w:p>
    <w:p w:rsidR="00611E2D" w:rsidRPr="0037070B" w:rsidRDefault="00611E2D" w:rsidP="00E61975">
      <w:pPr>
        <w:pStyle w:val="BodyText"/>
        <w:ind w:firstLine="720"/>
        <w:jc w:val="both"/>
        <w:rPr>
          <w:color w:val="171717"/>
          <w:sz w:val="22"/>
          <w:szCs w:val="22"/>
        </w:rPr>
      </w:pPr>
      <w:bookmarkStart w:id="1" w:name="_GoBack"/>
      <w:bookmarkEnd w:id="1"/>
      <w:r w:rsidRPr="0037070B">
        <w:rPr>
          <w:color w:val="171717"/>
          <w:sz w:val="22"/>
          <w:szCs w:val="22"/>
        </w:rPr>
        <w:lastRenderedPageBreak/>
        <w:t>CONSIDÉRANT que l’Assemblée nationale de la République bolivarienne du Venezuela est la seule institution démocratiquement élue au Venezuela,</w:t>
      </w:r>
    </w:p>
    <w:p w:rsidR="00611E2D" w:rsidRPr="0037070B" w:rsidRDefault="00611E2D" w:rsidP="00E61975">
      <w:pPr>
        <w:pStyle w:val="BodyText"/>
        <w:jc w:val="both"/>
        <w:rPr>
          <w:color w:val="171717"/>
          <w:sz w:val="22"/>
          <w:szCs w:val="22"/>
        </w:rPr>
      </w:pPr>
    </w:p>
    <w:p w:rsidR="00611E2D" w:rsidRPr="0037070B" w:rsidRDefault="00611E2D" w:rsidP="00E61975">
      <w:pPr>
        <w:pStyle w:val="BodyText"/>
        <w:ind w:firstLine="720"/>
        <w:jc w:val="both"/>
        <w:rPr>
          <w:color w:val="171717"/>
          <w:sz w:val="22"/>
          <w:szCs w:val="22"/>
        </w:rPr>
      </w:pPr>
      <w:r w:rsidRPr="0037070B">
        <w:rPr>
          <w:color w:val="171717"/>
          <w:sz w:val="22"/>
          <w:szCs w:val="22"/>
        </w:rPr>
        <w:t>RAPPELANT que tant la Commission interaméricaine des droits de l’homme que la Haut-Commissaire des Nations Unies aux droits de l'homme ont dénoncé, à plusieurs reprises, la violation continue des droits politiques consacrés dans la Constitution du Venezuela et dans les conventions internationales qui les garantissent,</w:t>
      </w:r>
    </w:p>
    <w:p w:rsidR="002011E9" w:rsidRPr="0037070B" w:rsidRDefault="002011E9" w:rsidP="00CF6CEB">
      <w:pPr>
        <w:pStyle w:val="BodyText"/>
        <w:jc w:val="both"/>
        <w:rPr>
          <w:color w:val="171717"/>
          <w:sz w:val="22"/>
          <w:szCs w:val="22"/>
        </w:rPr>
      </w:pPr>
    </w:p>
    <w:p w:rsidR="00611E2D" w:rsidRPr="0037070B" w:rsidRDefault="00611E2D" w:rsidP="00E61975">
      <w:pPr>
        <w:pStyle w:val="BodyText"/>
        <w:ind w:firstLine="720"/>
        <w:jc w:val="both"/>
        <w:rPr>
          <w:color w:val="171717"/>
          <w:sz w:val="22"/>
          <w:szCs w:val="22"/>
        </w:rPr>
      </w:pPr>
      <w:r w:rsidRPr="0037070B">
        <w:rPr>
          <w:color w:val="171717"/>
          <w:sz w:val="22"/>
          <w:szCs w:val="22"/>
        </w:rPr>
        <w:t>PRENANT NOTE que l</w:t>
      </w:r>
      <w:r w:rsidR="0029035F" w:rsidRPr="0037070B">
        <w:rPr>
          <w:color w:val="171717"/>
          <w:sz w:val="22"/>
          <w:szCs w:val="22"/>
        </w:rPr>
        <w:t xml:space="preserve">a Cour </w:t>
      </w:r>
      <w:r w:rsidRPr="0037070B">
        <w:rPr>
          <w:color w:val="171717"/>
          <w:sz w:val="22"/>
          <w:szCs w:val="22"/>
        </w:rPr>
        <w:t xml:space="preserve">suprême de justice a pris une position biaisée, en alléguant une prétendue « omission législative » eu égard à la désignation des </w:t>
      </w:r>
      <w:r w:rsidR="002011E9" w:rsidRPr="0037070B">
        <w:rPr>
          <w:color w:val="171717"/>
          <w:sz w:val="22"/>
          <w:szCs w:val="22"/>
        </w:rPr>
        <w:t>membres</w:t>
      </w:r>
      <w:r w:rsidRPr="0037070B">
        <w:rPr>
          <w:color w:val="171717"/>
          <w:sz w:val="22"/>
          <w:szCs w:val="22"/>
        </w:rPr>
        <w:t xml:space="preserve"> du Conseil national électoral, en usurpant les attributions revenant à l’Assemblée nationale en vertu de la Constitution de la République bolivarienne du Venezuela, et en contrevenant de même au principe de l’autonomie, de l’équilibre et de la séparation des pouvoirs publics,</w:t>
      </w:r>
    </w:p>
    <w:p w:rsidR="00611E2D" w:rsidRPr="0037070B" w:rsidRDefault="00611E2D" w:rsidP="00E61975">
      <w:pPr>
        <w:pStyle w:val="BodyText"/>
        <w:jc w:val="both"/>
        <w:rPr>
          <w:color w:val="171717"/>
          <w:sz w:val="22"/>
          <w:szCs w:val="22"/>
        </w:rPr>
      </w:pPr>
    </w:p>
    <w:p w:rsidR="00611E2D" w:rsidRPr="0037070B" w:rsidRDefault="00611E2D" w:rsidP="00E61975">
      <w:pPr>
        <w:pStyle w:val="BodyText"/>
        <w:ind w:firstLine="720"/>
        <w:jc w:val="both"/>
        <w:rPr>
          <w:color w:val="171717"/>
          <w:sz w:val="22"/>
          <w:szCs w:val="22"/>
        </w:rPr>
      </w:pPr>
      <w:r w:rsidRPr="0037070B">
        <w:rPr>
          <w:color w:val="171717"/>
          <w:sz w:val="22"/>
          <w:szCs w:val="22"/>
        </w:rPr>
        <w:t>EXPRIMANT sa préoccupation quant aux récentes décisions d</w:t>
      </w:r>
      <w:r w:rsidR="0029035F" w:rsidRPr="0037070B">
        <w:rPr>
          <w:color w:val="171717"/>
          <w:sz w:val="22"/>
          <w:szCs w:val="22"/>
        </w:rPr>
        <w:t xml:space="preserve">e la Cour </w:t>
      </w:r>
      <w:r w:rsidRPr="0037070B">
        <w:rPr>
          <w:color w:val="171717"/>
          <w:sz w:val="22"/>
          <w:szCs w:val="22"/>
        </w:rPr>
        <w:t xml:space="preserve">suprême de justice d'intervenir dans les partis politiques d'opposition, en suspendant les directives de deux des principaux partis d'opposition, </w:t>
      </w:r>
      <w:proofErr w:type="spellStart"/>
      <w:r w:rsidRPr="0037070B">
        <w:rPr>
          <w:color w:val="171717"/>
          <w:sz w:val="22"/>
          <w:szCs w:val="22"/>
        </w:rPr>
        <w:t>Acción</w:t>
      </w:r>
      <w:proofErr w:type="spellEnd"/>
      <w:r w:rsidRPr="0037070B">
        <w:rPr>
          <w:color w:val="171717"/>
          <w:sz w:val="22"/>
          <w:szCs w:val="22"/>
        </w:rPr>
        <w:t xml:space="preserve"> </w:t>
      </w:r>
      <w:proofErr w:type="spellStart"/>
      <w:r w:rsidRPr="0037070B">
        <w:rPr>
          <w:color w:val="171717"/>
          <w:sz w:val="22"/>
          <w:szCs w:val="22"/>
        </w:rPr>
        <w:t>Democrática</w:t>
      </w:r>
      <w:proofErr w:type="spellEnd"/>
      <w:r w:rsidRPr="0037070B">
        <w:rPr>
          <w:color w:val="171717"/>
          <w:sz w:val="22"/>
          <w:szCs w:val="22"/>
        </w:rPr>
        <w:t xml:space="preserve"> et </w:t>
      </w:r>
      <w:proofErr w:type="spellStart"/>
      <w:r w:rsidRPr="0037070B">
        <w:rPr>
          <w:color w:val="171717"/>
          <w:sz w:val="22"/>
          <w:szCs w:val="22"/>
        </w:rPr>
        <w:t>Primero</w:t>
      </w:r>
      <w:proofErr w:type="spellEnd"/>
      <w:r w:rsidRPr="0037070B">
        <w:rPr>
          <w:color w:val="171717"/>
          <w:sz w:val="22"/>
          <w:szCs w:val="22"/>
        </w:rPr>
        <w:t xml:space="preserve"> </w:t>
      </w:r>
      <w:proofErr w:type="spellStart"/>
      <w:r w:rsidRPr="0037070B">
        <w:rPr>
          <w:color w:val="171717"/>
          <w:sz w:val="22"/>
          <w:szCs w:val="22"/>
        </w:rPr>
        <w:t>Justicia</w:t>
      </w:r>
      <w:proofErr w:type="spellEnd"/>
      <w:r w:rsidRPr="0037070B">
        <w:rPr>
          <w:color w:val="171717"/>
          <w:sz w:val="22"/>
          <w:szCs w:val="22"/>
        </w:rPr>
        <w:t xml:space="preserve">, et en désignant une directive </w:t>
      </w:r>
      <w:r w:rsidRPr="0037070B">
        <w:rPr>
          <w:i/>
          <w:color w:val="171717"/>
          <w:sz w:val="22"/>
          <w:szCs w:val="22"/>
        </w:rPr>
        <w:t>ad hoc</w:t>
      </w:r>
      <w:r w:rsidRPr="0037070B">
        <w:rPr>
          <w:color w:val="171717"/>
          <w:sz w:val="22"/>
          <w:szCs w:val="22"/>
        </w:rPr>
        <w:t xml:space="preserve"> habilitée à utiliser les symboles de chacun de ces partis,</w:t>
      </w:r>
    </w:p>
    <w:p w:rsidR="00611E2D" w:rsidRPr="0037070B" w:rsidRDefault="00611E2D" w:rsidP="00E61975">
      <w:pPr>
        <w:pStyle w:val="BodyText"/>
        <w:rPr>
          <w:sz w:val="22"/>
          <w:szCs w:val="22"/>
        </w:rPr>
      </w:pPr>
    </w:p>
    <w:p w:rsidR="00611E2D" w:rsidRPr="0037070B" w:rsidRDefault="00611E2D" w:rsidP="00E61975">
      <w:pPr>
        <w:rPr>
          <w:rFonts w:ascii="Times New Roman" w:hAnsi="Times New Roman"/>
          <w:szCs w:val="22"/>
        </w:rPr>
      </w:pPr>
      <w:r w:rsidRPr="0037070B">
        <w:rPr>
          <w:rFonts w:ascii="Times New Roman" w:hAnsi="Times New Roman"/>
          <w:color w:val="171717"/>
          <w:szCs w:val="22"/>
        </w:rPr>
        <w:t>DÉCIDE :</w:t>
      </w:r>
    </w:p>
    <w:p w:rsidR="00611E2D" w:rsidRPr="0037070B" w:rsidRDefault="00611E2D" w:rsidP="00E61975">
      <w:pPr>
        <w:pStyle w:val="BodyText"/>
        <w:rPr>
          <w:b/>
          <w:sz w:val="22"/>
          <w:szCs w:val="22"/>
        </w:rPr>
      </w:pPr>
    </w:p>
    <w:p w:rsidR="00611E2D" w:rsidRPr="0037070B" w:rsidRDefault="00611E2D" w:rsidP="00E61975">
      <w:pPr>
        <w:pStyle w:val="ListParagraph"/>
        <w:ind w:left="0" w:right="0" w:firstLine="720"/>
      </w:pPr>
      <w:r w:rsidRPr="0037070B">
        <w:rPr>
          <w:color w:val="171717"/>
        </w:rPr>
        <w:t>1.</w:t>
      </w:r>
      <w:r w:rsidRPr="0037070B">
        <w:rPr>
          <w:color w:val="171717"/>
        </w:rPr>
        <w:tab/>
        <w:t xml:space="preserve">De condamner le harcèlement </w:t>
      </w:r>
      <w:r w:rsidR="004A434A">
        <w:rPr>
          <w:color w:val="171717"/>
        </w:rPr>
        <w:t xml:space="preserve">continu exercé </w:t>
      </w:r>
      <w:r w:rsidRPr="0037070B">
        <w:rPr>
          <w:color w:val="171717"/>
        </w:rPr>
        <w:t xml:space="preserve">par le régime illégitime de </w:t>
      </w:r>
      <w:proofErr w:type="spellStart"/>
      <w:r w:rsidRPr="0037070B">
        <w:rPr>
          <w:color w:val="171717"/>
        </w:rPr>
        <w:t>Nicolás</w:t>
      </w:r>
      <w:proofErr w:type="spellEnd"/>
      <w:r w:rsidRPr="0037070B">
        <w:rPr>
          <w:color w:val="171717"/>
        </w:rPr>
        <w:t xml:space="preserve"> </w:t>
      </w:r>
      <w:proofErr w:type="spellStart"/>
      <w:r w:rsidRPr="0037070B">
        <w:rPr>
          <w:color w:val="171717"/>
        </w:rPr>
        <w:t>Maduro</w:t>
      </w:r>
      <w:proofErr w:type="spellEnd"/>
      <w:r w:rsidRPr="0037070B">
        <w:rPr>
          <w:color w:val="171717"/>
        </w:rPr>
        <w:t xml:space="preserve"> contre les </w:t>
      </w:r>
      <w:r w:rsidR="0029035F" w:rsidRPr="0037070B">
        <w:rPr>
          <w:color w:val="171717"/>
        </w:rPr>
        <w:t>attributions</w:t>
      </w:r>
      <w:r w:rsidRPr="0037070B">
        <w:rPr>
          <w:color w:val="171717"/>
        </w:rPr>
        <w:t xml:space="preserve"> </w:t>
      </w:r>
      <w:r w:rsidR="004A434A">
        <w:rPr>
          <w:color w:val="171717"/>
        </w:rPr>
        <w:t>que le droit vénézuélien accorde à l’</w:t>
      </w:r>
      <w:r w:rsidRPr="0037070B">
        <w:rPr>
          <w:color w:val="171717"/>
        </w:rPr>
        <w:t>Assemblée nationale et contre le fonctionnement des partis politiques et des institutions démocratiques au Venezuela, en violation des dispositions de la Charte interaméricaine.</w:t>
      </w:r>
    </w:p>
    <w:p w:rsidR="00611E2D" w:rsidRPr="0037070B" w:rsidRDefault="00611E2D" w:rsidP="00E61975">
      <w:pPr>
        <w:pStyle w:val="ListParagraph"/>
        <w:ind w:left="0" w:right="0" w:firstLine="0"/>
        <w:rPr>
          <w:color w:val="171717"/>
        </w:rPr>
      </w:pPr>
    </w:p>
    <w:p w:rsidR="00611E2D" w:rsidRPr="0037070B" w:rsidRDefault="00611E2D" w:rsidP="00E61975">
      <w:pPr>
        <w:pStyle w:val="ListParagraph"/>
        <w:ind w:left="0" w:right="0" w:firstLine="720"/>
        <w:rPr>
          <w:color w:val="171717"/>
        </w:rPr>
      </w:pPr>
      <w:r w:rsidRPr="0037070B">
        <w:rPr>
          <w:color w:val="171717"/>
        </w:rPr>
        <w:t>2.</w:t>
      </w:r>
      <w:r w:rsidRPr="0037070B">
        <w:rPr>
          <w:color w:val="171717"/>
        </w:rPr>
        <w:tab/>
        <w:t xml:space="preserve">De rejeter de même, dans les termes les plus forts, ainsi que ne pas tenir compte de la désignation illégale des </w:t>
      </w:r>
      <w:r w:rsidR="0037070B" w:rsidRPr="0037070B">
        <w:rPr>
          <w:color w:val="171717"/>
        </w:rPr>
        <w:t>membres</w:t>
      </w:r>
      <w:r w:rsidRPr="0037070B">
        <w:rPr>
          <w:color w:val="171717"/>
        </w:rPr>
        <w:t xml:space="preserve"> du C</w:t>
      </w:r>
      <w:r w:rsidR="0029035F" w:rsidRPr="0037070B">
        <w:rPr>
          <w:color w:val="171717"/>
        </w:rPr>
        <w:t xml:space="preserve">onseil national électoral par la Cour </w:t>
      </w:r>
      <w:r w:rsidRPr="0037070B">
        <w:rPr>
          <w:color w:val="171717"/>
        </w:rPr>
        <w:t xml:space="preserve">suprême de justice, ainsi que de la désignation illégale des directives des partis politiques </w:t>
      </w:r>
      <w:proofErr w:type="spellStart"/>
      <w:r w:rsidRPr="0037070B">
        <w:rPr>
          <w:color w:val="171717"/>
        </w:rPr>
        <w:t>Primero</w:t>
      </w:r>
      <w:proofErr w:type="spellEnd"/>
      <w:r w:rsidRPr="0037070B">
        <w:rPr>
          <w:color w:val="171717"/>
        </w:rPr>
        <w:t xml:space="preserve"> </w:t>
      </w:r>
      <w:proofErr w:type="spellStart"/>
      <w:r w:rsidRPr="0037070B">
        <w:rPr>
          <w:color w:val="171717"/>
        </w:rPr>
        <w:t>Justicia</w:t>
      </w:r>
      <w:proofErr w:type="spellEnd"/>
      <w:r w:rsidRPr="0037070B">
        <w:rPr>
          <w:color w:val="171717"/>
        </w:rPr>
        <w:t xml:space="preserve"> et </w:t>
      </w:r>
      <w:proofErr w:type="spellStart"/>
      <w:r w:rsidRPr="0037070B">
        <w:rPr>
          <w:color w:val="171717"/>
        </w:rPr>
        <w:t>Acción</w:t>
      </w:r>
      <w:proofErr w:type="spellEnd"/>
      <w:r w:rsidRPr="0037070B">
        <w:rPr>
          <w:color w:val="171717"/>
        </w:rPr>
        <w:t xml:space="preserve"> </w:t>
      </w:r>
      <w:proofErr w:type="spellStart"/>
      <w:r w:rsidRPr="0037070B">
        <w:rPr>
          <w:color w:val="171717"/>
        </w:rPr>
        <w:t>Democrática</w:t>
      </w:r>
      <w:proofErr w:type="spellEnd"/>
      <w:r w:rsidRPr="0037070B">
        <w:rPr>
          <w:color w:val="171717"/>
        </w:rPr>
        <w:t>.</w:t>
      </w:r>
    </w:p>
    <w:p w:rsidR="00611E2D" w:rsidRPr="0037070B" w:rsidRDefault="00611E2D" w:rsidP="00E61975">
      <w:pPr>
        <w:pStyle w:val="ListParagraph"/>
        <w:ind w:left="0" w:right="0" w:firstLine="0"/>
        <w:rPr>
          <w:color w:val="171717"/>
        </w:rPr>
      </w:pPr>
    </w:p>
    <w:p w:rsidR="00611E2D" w:rsidRPr="0037070B" w:rsidRDefault="00611E2D" w:rsidP="00E61975">
      <w:pPr>
        <w:pStyle w:val="ListParagraph"/>
        <w:ind w:left="0" w:right="0" w:firstLine="720"/>
        <w:rPr>
          <w:color w:val="171717"/>
        </w:rPr>
      </w:pPr>
      <w:r w:rsidRPr="0037070B">
        <w:rPr>
          <w:color w:val="171717"/>
        </w:rPr>
        <w:t>3.</w:t>
      </w:r>
      <w:r w:rsidRPr="0037070B">
        <w:rPr>
          <w:color w:val="171717"/>
        </w:rPr>
        <w:tab/>
        <w:t xml:space="preserve">D’exiger que le régime </w:t>
      </w:r>
      <w:r w:rsidR="0037070B" w:rsidRPr="0037070B">
        <w:rPr>
          <w:color w:val="171717"/>
        </w:rPr>
        <w:t xml:space="preserve">illégitime de </w:t>
      </w:r>
      <w:proofErr w:type="spellStart"/>
      <w:r w:rsidR="0037070B" w:rsidRPr="0037070B">
        <w:rPr>
          <w:color w:val="171717"/>
        </w:rPr>
        <w:t>Nicolás</w:t>
      </w:r>
      <w:proofErr w:type="spellEnd"/>
      <w:r w:rsidR="0037070B" w:rsidRPr="0037070B">
        <w:rPr>
          <w:color w:val="171717"/>
        </w:rPr>
        <w:t xml:space="preserve"> </w:t>
      </w:r>
      <w:proofErr w:type="spellStart"/>
      <w:r w:rsidR="0037070B" w:rsidRPr="0037070B">
        <w:rPr>
          <w:color w:val="171717"/>
        </w:rPr>
        <w:t>Maduro</w:t>
      </w:r>
      <w:proofErr w:type="spellEnd"/>
      <w:r w:rsidR="0037070B" w:rsidRPr="0037070B">
        <w:rPr>
          <w:color w:val="171717"/>
        </w:rPr>
        <w:t xml:space="preserve"> </w:t>
      </w:r>
      <w:r w:rsidRPr="0037070B">
        <w:rPr>
          <w:color w:val="171717"/>
        </w:rPr>
        <w:t>respecte les prérogatives de l'Assemblée nationale</w:t>
      </w:r>
      <w:r w:rsidR="0037070B" w:rsidRPr="0037070B">
        <w:rPr>
          <w:color w:val="171717"/>
        </w:rPr>
        <w:t>,</w:t>
      </w:r>
      <w:r w:rsidRPr="0037070B">
        <w:rPr>
          <w:color w:val="171717"/>
        </w:rPr>
        <w:t xml:space="preserve"> cesse </w:t>
      </w:r>
      <w:r w:rsidR="0037070B" w:rsidRPr="0037070B">
        <w:rPr>
          <w:color w:val="171717"/>
        </w:rPr>
        <w:t>d’usurper</w:t>
      </w:r>
      <w:r w:rsidRPr="0037070B">
        <w:rPr>
          <w:color w:val="171717"/>
        </w:rPr>
        <w:t xml:space="preserve"> ses </w:t>
      </w:r>
      <w:r w:rsidR="00A237D8" w:rsidRPr="0037070B">
        <w:rPr>
          <w:color w:val="171717"/>
        </w:rPr>
        <w:t>attributions</w:t>
      </w:r>
      <w:r w:rsidRPr="0037070B">
        <w:rPr>
          <w:color w:val="171717"/>
        </w:rPr>
        <w:t xml:space="preserve"> </w:t>
      </w:r>
      <w:r w:rsidR="0037070B" w:rsidRPr="0037070B">
        <w:rPr>
          <w:color w:val="171717"/>
        </w:rPr>
        <w:t xml:space="preserve">et s’abstienne </w:t>
      </w:r>
      <w:r w:rsidRPr="0037070B">
        <w:rPr>
          <w:color w:val="171717"/>
        </w:rPr>
        <w:t>d'interférer dans le fonctionnement des partis politiques indépendants</w:t>
      </w:r>
      <w:r w:rsidR="0037070B" w:rsidRPr="0037070B">
        <w:rPr>
          <w:color w:val="171717"/>
        </w:rPr>
        <w:t xml:space="preserve">. Ce genre </w:t>
      </w:r>
      <w:r w:rsidRPr="0037070B">
        <w:rPr>
          <w:color w:val="171717"/>
        </w:rPr>
        <w:t xml:space="preserve">d'action </w:t>
      </w:r>
      <w:r w:rsidR="0037070B" w:rsidRPr="0037070B">
        <w:rPr>
          <w:color w:val="171717"/>
        </w:rPr>
        <w:t xml:space="preserve">constitue un obstacle au </w:t>
      </w:r>
      <w:r w:rsidRPr="0037070B">
        <w:rPr>
          <w:color w:val="171717"/>
        </w:rPr>
        <w:t>rétablissement de la démocratie au Venezuela et de l'État de droit, qui ne peut être obtenu que par la tenue d'élections justes, libres</w:t>
      </w:r>
      <w:r w:rsidR="0037070B" w:rsidRPr="0037070B">
        <w:rPr>
          <w:color w:val="171717"/>
        </w:rPr>
        <w:t xml:space="preserve"> </w:t>
      </w:r>
      <w:r w:rsidRPr="0037070B">
        <w:rPr>
          <w:color w:val="171717"/>
        </w:rPr>
        <w:t>et transparentes</w:t>
      </w:r>
      <w:r w:rsidR="0037070B" w:rsidRPr="0037070B">
        <w:rPr>
          <w:color w:val="171717"/>
        </w:rPr>
        <w:t>, avec un Conseil national électoral indépendant, une Cour suprême de justice impartiale et une observation internationale indépendante.</w:t>
      </w:r>
    </w:p>
    <w:p w:rsidR="00611E2D" w:rsidRPr="0037070B" w:rsidRDefault="00611E2D" w:rsidP="00E61975">
      <w:pPr>
        <w:pStyle w:val="ListParagraph"/>
        <w:ind w:left="0" w:right="0" w:firstLine="0"/>
        <w:rPr>
          <w:color w:val="171717"/>
        </w:rPr>
      </w:pPr>
    </w:p>
    <w:p w:rsidR="00611E2D" w:rsidRPr="0037070B" w:rsidRDefault="00581E53" w:rsidP="00E61975">
      <w:pPr>
        <w:pStyle w:val="ListParagraph"/>
        <w:ind w:left="0" w:right="0" w:firstLine="720"/>
        <w:rPr>
          <w:color w:val="171717"/>
        </w:rPr>
      </w:pPr>
      <w:r>
        <w:rPr>
          <w:color w:val="171717"/>
        </w:rPr>
        <w:t>4</w:t>
      </w:r>
      <w:r w:rsidR="00611E2D" w:rsidRPr="0037070B">
        <w:rPr>
          <w:color w:val="171717"/>
        </w:rPr>
        <w:t>.</w:t>
      </w:r>
      <w:r w:rsidR="00611E2D" w:rsidRPr="0037070B">
        <w:rPr>
          <w:color w:val="171717"/>
        </w:rPr>
        <w:tab/>
      </w:r>
      <w:r w:rsidR="0037070B" w:rsidRPr="0037070B">
        <w:rPr>
          <w:color w:val="171717"/>
        </w:rPr>
        <w:t xml:space="preserve">D’exhorter </w:t>
      </w:r>
      <w:r w:rsidR="00611E2D" w:rsidRPr="0037070B">
        <w:rPr>
          <w:color w:val="171717"/>
        </w:rPr>
        <w:t xml:space="preserve">le régime illégitime de </w:t>
      </w:r>
      <w:proofErr w:type="spellStart"/>
      <w:r w:rsidR="00611E2D" w:rsidRPr="0037070B">
        <w:rPr>
          <w:color w:val="171717"/>
        </w:rPr>
        <w:t>Nicolás</w:t>
      </w:r>
      <w:proofErr w:type="spellEnd"/>
      <w:r w:rsidR="00611E2D" w:rsidRPr="0037070B">
        <w:rPr>
          <w:color w:val="171717"/>
        </w:rPr>
        <w:t xml:space="preserve"> </w:t>
      </w:r>
      <w:proofErr w:type="spellStart"/>
      <w:r w:rsidR="00611E2D" w:rsidRPr="0037070B">
        <w:rPr>
          <w:color w:val="171717"/>
        </w:rPr>
        <w:t>Maduro</w:t>
      </w:r>
      <w:proofErr w:type="spellEnd"/>
      <w:r w:rsidR="00611E2D" w:rsidRPr="0037070B">
        <w:rPr>
          <w:color w:val="171717"/>
        </w:rPr>
        <w:t xml:space="preserve"> à libérer </w:t>
      </w:r>
      <w:r w:rsidR="0037070B" w:rsidRPr="0037070B">
        <w:rPr>
          <w:color w:val="171717"/>
        </w:rPr>
        <w:t xml:space="preserve">immédiatement tous </w:t>
      </w:r>
      <w:r w:rsidR="00611E2D" w:rsidRPr="0037070B">
        <w:rPr>
          <w:color w:val="171717"/>
        </w:rPr>
        <w:t>les prisonniers politiques, y compris les membres de l'Assemblée nationale, et à cesser immédiatement toute détention</w:t>
      </w:r>
      <w:r w:rsidR="004A434A">
        <w:rPr>
          <w:color w:val="171717"/>
        </w:rPr>
        <w:t>, poursuite et emprisonnement</w:t>
      </w:r>
      <w:r w:rsidR="00611E2D" w:rsidRPr="0037070B">
        <w:rPr>
          <w:color w:val="171717"/>
        </w:rPr>
        <w:t xml:space="preserve"> arbitraire.</w:t>
      </w:r>
    </w:p>
    <w:p w:rsidR="00611E2D" w:rsidRPr="0037070B" w:rsidRDefault="00611E2D" w:rsidP="00E61975">
      <w:pPr>
        <w:pStyle w:val="ListParagraph"/>
        <w:ind w:left="0" w:right="0" w:firstLine="0"/>
        <w:rPr>
          <w:color w:val="171717"/>
        </w:rPr>
      </w:pPr>
    </w:p>
    <w:p w:rsidR="00611E2D" w:rsidRPr="0037070B" w:rsidRDefault="00581E53" w:rsidP="00E61975">
      <w:pPr>
        <w:pStyle w:val="ListParagraph"/>
        <w:ind w:left="0" w:right="0" w:firstLine="720"/>
      </w:pPr>
      <w:r>
        <w:rPr>
          <w:color w:val="171717"/>
        </w:rPr>
        <w:t>5</w:t>
      </w:r>
      <w:r w:rsidR="00611E2D" w:rsidRPr="0037070B">
        <w:rPr>
          <w:color w:val="171717"/>
        </w:rPr>
        <w:t>.</w:t>
      </w:r>
      <w:r w:rsidR="00611E2D" w:rsidRPr="0037070B">
        <w:rPr>
          <w:color w:val="171717"/>
        </w:rPr>
        <w:tab/>
        <w:t xml:space="preserve">D’appeler tous les acteurs politiques du Venezuela à engager et à mener à bien un processus déterminé de transition </w:t>
      </w:r>
      <w:r w:rsidR="004A434A">
        <w:rPr>
          <w:color w:val="171717"/>
        </w:rPr>
        <w:t xml:space="preserve">pacifique et </w:t>
      </w:r>
      <w:r w:rsidR="00611E2D" w:rsidRPr="0037070B">
        <w:rPr>
          <w:color w:val="171717"/>
        </w:rPr>
        <w:t>démocratique en République bolivarienne du Venezuela, conformément aux lois nationales et à sa Constitution, ainsi qu'aux dispositions de la Charte démocratique interaméricaine et de la Charte de l'OEA.</w:t>
      </w:r>
    </w:p>
    <w:p w:rsidR="00611E2D" w:rsidRPr="0037070B" w:rsidRDefault="00611E2D" w:rsidP="00E61975">
      <w:pPr>
        <w:pStyle w:val="BodyText"/>
        <w:rPr>
          <w:sz w:val="22"/>
          <w:szCs w:val="22"/>
        </w:rPr>
      </w:pPr>
    </w:p>
    <w:p w:rsidR="009950E8" w:rsidRPr="0037070B" w:rsidRDefault="00283AD1" w:rsidP="00E61975">
      <w:pPr>
        <w:jc w:val="left"/>
        <w:rPr>
          <w:rStyle w:val="FootnoteReference"/>
          <w:rFonts w:ascii="Times New Roman" w:hAnsi="Times New Roman"/>
          <w:szCs w:val="22"/>
        </w:rPr>
      </w:pPr>
      <w:r>
        <w:rPr>
          <w:rFonts w:ascii="Times New Roman" w:hAnsi="Times New Roman"/>
          <w:noProof/>
          <w:szCs w:val="22"/>
          <w:lang w:val="en-US"/>
        </w:rPr>
        <mc:AlternateContent>
          <mc:Choice Requires="wps">
            <w:drawing>
              <wp:anchor distT="0" distB="0" distL="114300" distR="114300" simplePos="0" relativeHeight="251657216"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283AD1" w:rsidRPr="00283AD1" w:rsidRDefault="00283AD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CP42611F01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pt;margin-top:10in;width:266.4pt;height:18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" filled="f" stroked="f">
                <v:stroke joinstyle="round"/>
                <v:path arrowok="t"/>
                <v:textbox>
                  <w:txbxContent>
                    <w:p w:rsidR="00283AD1" w:rsidRPr="00283AD1" w:rsidRDefault="00283AD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CP42611F01</w:t>
                      </w:r>
                      <w:r>
                        <w:rPr>
                          <w:rFonts w:ascii="Times New Roman" w:hAnsi="Times New Roman"/>
                          <w:sz w:val="18"/>
                        </w:rPr>
                        <w:fldChar w:fldCharType="end"/>
                      </w:r>
                    </w:p>
                  </w:txbxContent>
                </v:textbox>
                <w10:wrap anchory="page"/>
                <w10:anchorlock/>
              </v:shape>
            </w:pict>
          </mc:Fallback>
        </mc:AlternateContent>
      </w:r>
    </w:p>
    <w:sectPr w:rsidR="009950E8" w:rsidRPr="0037070B" w:rsidSect="00E61975">
      <w:headerReference w:type="default" r:id="rId10"/>
      <w:headerReference w:type="first" r:id="rId11"/>
      <w:endnotePr>
        <w:numFmt w:val="decimal"/>
      </w:endnotePr>
      <w:type w:val="oddPage"/>
      <w:pgSz w:w="12240" w:h="15840"/>
      <w:pgMar w:top="1296" w:right="1570" w:bottom="1296" w:left="1699" w:header="1296" w:footer="1296" w:gutter="0"/>
      <w:pgNumType w:fmt="numberInDash"/>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7E6" w:rsidRDefault="001E37E6">
      <w:pPr>
        <w:spacing w:line="20" w:lineRule="exact"/>
      </w:pPr>
    </w:p>
  </w:endnote>
  <w:endnote w:type="continuationSeparator" w:id="0">
    <w:p w:rsidR="001E37E6" w:rsidRDefault="001E37E6">
      <w:r>
        <w:t xml:space="preserve"> </w:t>
      </w:r>
    </w:p>
  </w:endnote>
  <w:endnote w:type="continuationNotice" w:id="1">
    <w:p w:rsidR="001E37E6" w:rsidRDefault="001E37E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7E6" w:rsidRDefault="001E37E6">
      <w:r>
        <w:separator/>
      </w:r>
    </w:p>
  </w:footnote>
  <w:footnote w:type="continuationSeparator" w:id="0">
    <w:p w:rsidR="001E37E6" w:rsidRDefault="001E37E6">
      <w:r>
        <w:continuationSeparator/>
      </w:r>
    </w:p>
  </w:footnote>
  <w:footnote w:id="1">
    <w:p w:rsidR="0001315F" w:rsidRPr="0091020E" w:rsidRDefault="0001315F" w:rsidP="0001315F">
      <w:pPr>
        <w:pStyle w:val="FootnoteText"/>
        <w:ind w:firstLine="0"/>
        <w:rPr>
          <w:rFonts w:ascii="Times New Roman" w:hAnsi="Times New Roman"/>
          <w:sz w:val="20"/>
        </w:rPr>
      </w:pPr>
      <w:r w:rsidRPr="0091020E">
        <w:rPr>
          <w:rStyle w:val="FootnoteReference"/>
          <w:rFonts w:ascii="Times New Roman" w:hAnsi="Times New Roman"/>
          <w:sz w:val="20"/>
        </w:rPr>
        <w:footnoteRef/>
      </w:r>
      <w:r w:rsidRPr="0091020E">
        <w:rPr>
          <w:rFonts w:ascii="Times New Roman" w:hAnsi="Times New Roman"/>
          <w:sz w:val="20"/>
        </w:rPr>
        <w:t>.</w:t>
      </w:r>
      <w:r w:rsidR="0091020E" w:rsidRPr="0091020E">
        <w:rPr>
          <w:rFonts w:ascii="Times New Roman" w:hAnsi="Times New Roman"/>
          <w:sz w:val="20"/>
        </w:rPr>
        <w:tab/>
      </w:r>
      <w:r w:rsidR="0091020E" w:rsidRPr="0091020E">
        <w:rPr>
          <w:rFonts w:ascii="Times New Roman" w:hAnsi="Times New Roman"/>
          <w:sz w:val="20"/>
        </w:rPr>
        <w:t>La délégation de Trinité-et-Tobago a annoncé une note de bas de page</w:t>
      </w:r>
      <w:r w:rsidR="0091020E">
        <w:rPr>
          <w:rFonts w:ascii="Times New Roman" w:hAnsi="Times New Roman"/>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64381"/>
      <w:docPartObj>
        <w:docPartGallery w:val="Page Numbers (Top of Page)"/>
        <w:docPartUnique/>
      </w:docPartObj>
    </w:sdtPr>
    <w:sdtEndPr>
      <w:rPr>
        <w:noProof/>
      </w:rPr>
    </w:sdtEndPr>
    <w:sdtContent>
      <w:p w:rsidR="00E61975" w:rsidRDefault="00E61975">
        <w:pPr>
          <w:pStyle w:val="Header"/>
          <w:jc w:val="center"/>
        </w:pPr>
        <w:r>
          <w:fldChar w:fldCharType="begin"/>
        </w:r>
        <w:r>
          <w:instrText xml:space="preserve"> PAGE   \* MERGEFORMAT </w:instrText>
        </w:r>
        <w:r>
          <w:fldChar w:fldCharType="separate"/>
        </w:r>
        <w:r w:rsidR="0091020E">
          <w:rPr>
            <w:noProof/>
          </w:rPr>
          <w:t>- 2 -</w:t>
        </w:r>
        <w:r>
          <w:rPr>
            <w:noProof/>
          </w:rPr>
          <w:fldChar w:fldCharType="end"/>
        </w:r>
      </w:p>
    </w:sdtContent>
  </w:sdt>
  <w:p w:rsidR="00E61975" w:rsidRDefault="00E61975">
    <w:pPr>
      <w:pStyle w:val="Header"/>
    </w:pPr>
  </w:p>
  <w:p w:rsidR="00E61975" w:rsidRDefault="00E619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863137"/>
      <w:docPartObj>
        <w:docPartGallery w:val="Page Numbers (Top of Page)"/>
        <w:docPartUnique/>
      </w:docPartObj>
    </w:sdtPr>
    <w:sdtEndPr>
      <w:rPr>
        <w:noProof/>
      </w:rPr>
    </w:sdtEndPr>
    <w:sdtContent>
      <w:p w:rsidR="00E61975" w:rsidRDefault="0091020E">
        <w:pPr>
          <w:pStyle w:val="Header"/>
          <w:jc w:val="center"/>
        </w:pPr>
      </w:p>
    </w:sdtContent>
  </w:sdt>
  <w:p w:rsidR="00E61975" w:rsidRDefault="00E61975">
    <w:pPr>
      <w:pStyle w:val="Header"/>
      <w:jc w:val="center"/>
    </w:pPr>
  </w:p>
  <w:p w:rsidR="00E61975" w:rsidRDefault="00E6197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2535AA"/>
    <w:multiLevelType w:val="hybridMultilevel"/>
    <w:tmpl w:val="170460D8"/>
    <w:lvl w:ilvl="0" w:tplc="A53427E0">
      <w:start w:val="1"/>
      <w:numFmt w:val="decimal"/>
      <w:lvlText w:val="%1."/>
      <w:lvlJc w:val="left"/>
      <w:pPr>
        <w:ind w:left="336" w:hanging="235"/>
      </w:pPr>
      <w:rPr>
        <w:spacing w:val="-18"/>
        <w:lang w:val="es-ES" w:eastAsia="en-US" w:bidi="ar-SA"/>
      </w:rPr>
    </w:lvl>
    <w:lvl w:ilvl="1" w:tplc="0BC865AC">
      <w:start w:val="1"/>
      <w:numFmt w:val="decimal"/>
      <w:lvlText w:val="%2."/>
      <w:lvlJc w:val="left"/>
      <w:pPr>
        <w:ind w:left="1057" w:hanging="360"/>
      </w:pPr>
      <w:rPr>
        <w:spacing w:val="-75"/>
        <w:lang w:val="es-ES" w:eastAsia="en-US" w:bidi="ar-SA"/>
      </w:rPr>
    </w:lvl>
    <w:lvl w:ilvl="2" w:tplc="EF427816">
      <w:numFmt w:val="bullet"/>
      <w:lvlText w:val="•"/>
      <w:lvlJc w:val="left"/>
      <w:pPr>
        <w:ind w:left="2029" w:hanging="360"/>
      </w:pPr>
      <w:rPr>
        <w:lang w:val="es-ES" w:eastAsia="en-US" w:bidi="ar-SA"/>
      </w:rPr>
    </w:lvl>
    <w:lvl w:ilvl="3" w:tplc="41EC53E8">
      <w:numFmt w:val="bullet"/>
      <w:lvlText w:val="•"/>
      <w:lvlJc w:val="left"/>
      <w:pPr>
        <w:ind w:left="3002" w:hanging="360"/>
      </w:pPr>
      <w:rPr>
        <w:lang w:val="es-ES" w:eastAsia="en-US" w:bidi="ar-SA"/>
      </w:rPr>
    </w:lvl>
    <w:lvl w:ilvl="4" w:tplc="7D6C0212">
      <w:numFmt w:val="bullet"/>
      <w:lvlText w:val="•"/>
      <w:lvlJc w:val="left"/>
      <w:pPr>
        <w:ind w:left="3976" w:hanging="360"/>
      </w:pPr>
      <w:rPr>
        <w:lang w:val="es-ES" w:eastAsia="en-US" w:bidi="ar-SA"/>
      </w:rPr>
    </w:lvl>
    <w:lvl w:ilvl="5" w:tplc="DC08D406">
      <w:numFmt w:val="bullet"/>
      <w:lvlText w:val="•"/>
      <w:lvlJc w:val="left"/>
      <w:pPr>
        <w:ind w:left="4949" w:hanging="360"/>
      </w:pPr>
      <w:rPr>
        <w:lang w:val="es-ES" w:eastAsia="en-US" w:bidi="ar-SA"/>
      </w:rPr>
    </w:lvl>
    <w:lvl w:ilvl="6" w:tplc="9A8ED372">
      <w:numFmt w:val="bullet"/>
      <w:lvlText w:val="•"/>
      <w:lvlJc w:val="left"/>
      <w:pPr>
        <w:ind w:left="5922" w:hanging="360"/>
      </w:pPr>
      <w:rPr>
        <w:lang w:val="es-ES" w:eastAsia="en-US" w:bidi="ar-SA"/>
      </w:rPr>
    </w:lvl>
    <w:lvl w:ilvl="7" w:tplc="57782B42">
      <w:numFmt w:val="bullet"/>
      <w:lvlText w:val="•"/>
      <w:lvlJc w:val="left"/>
      <w:pPr>
        <w:ind w:left="6896" w:hanging="360"/>
      </w:pPr>
      <w:rPr>
        <w:lang w:val="es-ES" w:eastAsia="en-US" w:bidi="ar-SA"/>
      </w:rPr>
    </w:lvl>
    <w:lvl w:ilvl="8" w:tplc="D99CD02A">
      <w:numFmt w:val="bullet"/>
      <w:lvlText w:val="•"/>
      <w:lvlJc w:val="left"/>
      <w:pPr>
        <w:ind w:left="7869" w:hanging="360"/>
      </w:pPr>
      <w:rPr>
        <w:lang w:val="es-ES" w:eastAsia="en-US" w:bidi="ar-SA"/>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A8E"/>
    <w:rsid w:val="0001315F"/>
    <w:rsid w:val="001774AF"/>
    <w:rsid w:val="001E37E6"/>
    <w:rsid w:val="001F3A77"/>
    <w:rsid w:val="002011E9"/>
    <w:rsid w:val="00256B86"/>
    <w:rsid w:val="00283AD1"/>
    <w:rsid w:val="0029035F"/>
    <w:rsid w:val="003150CC"/>
    <w:rsid w:val="0037070B"/>
    <w:rsid w:val="004A434A"/>
    <w:rsid w:val="004B560C"/>
    <w:rsid w:val="004E41B7"/>
    <w:rsid w:val="005665F2"/>
    <w:rsid w:val="00581E53"/>
    <w:rsid w:val="0059746B"/>
    <w:rsid w:val="00611E2D"/>
    <w:rsid w:val="007255F0"/>
    <w:rsid w:val="00725CE4"/>
    <w:rsid w:val="007C4113"/>
    <w:rsid w:val="00856E87"/>
    <w:rsid w:val="008E2FE0"/>
    <w:rsid w:val="0091020E"/>
    <w:rsid w:val="009950E8"/>
    <w:rsid w:val="00A237D8"/>
    <w:rsid w:val="00B3594E"/>
    <w:rsid w:val="00C5623D"/>
    <w:rsid w:val="00CE2AC2"/>
    <w:rsid w:val="00CF6CEB"/>
    <w:rsid w:val="00D56FCE"/>
    <w:rsid w:val="00DA1A8E"/>
    <w:rsid w:val="00DF009E"/>
    <w:rsid w:val="00E43EA4"/>
    <w:rsid w:val="00E61975"/>
    <w:rsid w:val="00E804EB"/>
    <w:rsid w:val="00EF4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607C600D-A906-46EC-AEF0-53A3AB14F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basedOn w:val="DefaultParagraphFont"/>
    <w:semiHidden/>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rPr>
  </w:style>
  <w:style w:type="paragraph" w:styleId="BodyText">
    <w:name w:val="Body Text"/>
    <w:basedOn w:val="Normal"/>
    <w:link w:val="BodyTextChar"/>
    <w:uiPriority w:val="1"/>
    <w:unhideWhenUsed/>
    <w:qFormat/>
    <w:rsid w:val="00611E2D"/>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jc w:val="left"/>
    </w:pPr>
    <w:rPr>
      <w:rFonts w:ascii="Times New Roman" w:hAnsi="Times New Roman"/>
      <w:sz w:val="24"/>
      <w:szCs w:val="24"/>
    </w:rPr>
  </w:style>
  <w:style w:type="character" w:customStyle="1" w:styleId="BodyTextChar">
    <w:name w:val="Body Text Char"/>
    <w:basedOn w:val="DefaultParagraphFont"/>
    <w:link w:val="BodyText"/>
    <w:uiPriority w:val="1"/>
    <w:rsid w:val="00611E2D"/>
    <w:rPr>
      <w:sz w:val="24"/>
      <w:szCs w:val="24"/>
    </w:rPr>
  </w:style>
  <w:style w:type="paragraph" w:styleId="ListParagraph">
    <w:name w:val="List Paragraph"/>
    <w:basedOn w:val="Normal"/>
    <w:uiPriority w:val="1"/>
    <w:qFormat/>
    <w:rsid w:val="00611E2D"/>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100" w:right="115" w:hanging="360"/>
    </w:pPr>
    <w:rPr>
      <w:rFonts w:ascii="Times New Roman" w:hAnsi="Times New Roman"/>
      <w:szCs w:val="22"/>
    </w:rPr>
  </w:style>
  <w:style w:type="paragraph" w:styleId="BalloonText">
    <w:name w:val="Balloon Text"/>
    <w:basedOn w:val="Normal"/>
    <w:link w:val="BalloonTextChar"/>
    <w:uiPriority w:val="99"/>
    <w:semiHidden/>
    <w:unhideWhenUsed/>
    <w:rsid w:val="00E61975"/>
    <w:rPr>
      <w:rFonts w:ascii="Tahoma" w:hAnsi="Tahoma" w:cs="Tahoma"/>
      <w:sz w:val="16"/>
      <w:szCs w:val="16"/>
    </w:rPr>
  </w:style>
  <w:style w:type="character" w:customStyle="1" w:styleId="BalloonTextChar">
    <w:name w:val="Balloon Text Char"/>
    <w:basedOn w:val="DefaultParagraphFont"/>
    <w:link w:val="BalloonText"/>
    <w:uiPriority w:val="99"/>
    <w:semiHidden/>
    <w:rsid w:val="00E61975"/>
    <w:rPr>
      <w:rFonts w:ascii="Tahoma" w:hAnsi="Tahoma" w:cs="Tahoma"/>
      <w:sz w:val="16"/>
      <w:szCs w:val="16"/>
    </w:rPr>
  </w:style>
  <w:style w:type="character" w:customStyle="1" w:styleId="HeaderChar">
    <w:name w:val="Header Char"/>
    <w:basedOn w:val="DefaultParagraphFont"/>
    <w:link w:val="Header"/>
    <w:uiPriority w:val="99"/>
    <w:rsid w:val="00E61975"/>
    <w:rPr>
      <w:rFonts w:ascii="CG Times" w:hAnsi="CG Times"/>
      <w:sz w:val="22"/>
    </w:rPr>
  </w:style>
  <w:style w:type="character" w:customStyle="1" w:styleId="normaltextrun">
    <w:name w:val="normaltextrun"/>
    <w:basedOn w:val="DefaultParagraphFont"/>
    <w:rsid w:val="00C56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352343">
      <w:bodyDiv w:val="1"/>
      <w:marLeft w:val="0"/>
      <w:marRight w:val="0"/>
      <w:marTop w:val="0"/>
      <w:marBottom w:val="0"/>
      <w:divBdr>
        <w:top w:val="none" w:sz="0" w:space="0" w:color="auto"/>
        <w:left w:val="none" w:sz="0" w:space="0" w:color="auto"/>
        <w:bottom w:val="none" w:sz="0" w:space="0" w:color="auto"/>
        <w:right w:val="none" w:sz="0" w:space="0" w:color="auto"/>
      </w:divBdr>
    </w:div>
    <w:div w:id="183221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AF3E4-7DCB-45C5-8C93-3B490C4A9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768</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victor</dc:creator>
  <cp:lastModifiedBy>Salas, Soledad</cp:lastModifiedBy>
  <cp:revision>9</cp:revision>
  <cp:lastPrinted>1998-03-30T14:02:00Z</cp:lastPrinted>
  <dcterms:created xsi:type="dcterms:W3CDTF">2020-06-26T19:29:00Z</dcterms:created>
  <dcterms:modified xsi:type="dcterms:W3CDTF">2020-06-26T20:27:00Z</dcterms:modified>
</cp:coreProperties>
</file>