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3509" w14:textId="231B8F39" w:rsidR="0080331A" w:rsidRDefault="0080331A" w:rsidP="0080331A">
      <w:pPr>
        <w:tabs>
          <w:tab w:val="left" w:pos="7200"/>
        </w:tabs>
        <w:suppressAutoHyphens/>
        <w:ind w:right="-209"/>
        <w:jc w:val="both"/>
        <w:rPr>
          <w:sz w:val="22"/>
          <w:szCs w:val="22"/>
          <w:lang w:val="fr-CA"/>
        </w:rPr>
      </w:pPr>
      <w:r>
        <w:rPr>
          <w:caps/>
          <w:sz w:val="22"/>
          <w:szCs w:val="22"/>
          <w:lang w:val="fr-CA"/>
        </w:rPr>
        <w:t>ConvenTION</w:t>
      </w:r>
      <w:r>
        <w:rPr>
          <w:caps/>
          <w:sz w:val="22"/>
          <w:szCs w:val="22"/>
          <w:lang w:val="fr-CA"/>
        </w:rPr>
        <w:t xml:space="preserve"> </w:t>
      </w:r>
      <w:r>
        <w:rPr>
          <w:caps/>
          <w:sz w:val="22"/>
          <w:szCs w:val="22"/>
          <w:lang w:val="fr-CA"/>
        </w:rPr>
        <w:t xml:space="preserve">INTERAMÉRICAINE contrE </w:t>
      </w:r>
      <w:r>
        <w:rPr>
          <w:sz w:val="22"/>
          <w:szCs w:val="22"/>
          <w:lang w:val="fr-CA"/>
        </w:rPr>
        <w:tab/>
        <w:t>OEA/</w:t>
      </w:r>
      <w:proofErr w:type="spellStart"/>
      <w:r>
        <w:rPr>
          <w:sz w:val="22"/>
          <w:szCs w:val="22"/>
          <w:lang w:val="fr-CA"/>
        </w:rPr>
        <w:t>Ser.L</w:t>
      </w:r>
      <w:proofErr w:type="spellEnd"/>
      <w:r>
        <w:rPr>
          <w:sz w:val="22"/>
          <w:szCs w:val="22"/>
          <w:lang w:val="fr-CA"/>
        </w:rPr>
        <w:t>/XXII.2.20</w:t>
      </w:r>
    </w:p>
    <w:p w14:paraId="00D76367" w14:textId="6ED4BF97" w:rsidR="0080331A" w:rsidRDefault="0080331A" w:rsidP="0080331A">
      <w:pPr>
        <w:tabs>
          <w:tab w:val="left" w:pos="7200"/>
        </w:tabs>
        <w:suppressAutoHyphens/>
        <w:ind w:right="-1170"/>
        <w:jc w:val="both"/>
        <w:rPr>
          <w:sz w:val="22"/>
          <w:szCs w:val="22"/>
          <w:lang w:val="fr-CA"/>
        </w:rPr>
      </w:pPr>
      <w:r>
        <w:rPr>
          <w:caps/>
          <w:sz w:val="22"/>
          <w:szCs w:val="22"/>
          <w:lang w:val="fr-CA"/>
        </w:rPr>
        <w:t xml:space="preserve">la FabricaTION ET LE TRAFIC ILLICITES </w:t>
      </w:r>
      <w:r>
        <w:rPr>
          <w:caps/>
          <w:sz w:val="22"/>
          <w:szCs w:val="22"/>
          <w:lang w:val="fr-CA"/>
        </w:rPr>
        <w:tab/>
      </w:r>
      <w:r>
        <w:rPr>
          <w:sz w:val="22"/>
          <w:szCs w:val="22"/>
          <w:lang w:val="fr-CA"/>
        </w:rPr>
        <w:t>CIFTA/CC-XX/</w:t>
      </w:r>
      <w:r>
        <w:rPr>
          <w:sz w:val="22"/>
          <w:szCs w:val="22"/>
          <w:lang w:val="fr-CA"/>
        </w:rPr>
        <w:t>doc</w:t>
      </w:r>
      <w:r>
        <w:rPr>
          <w:sz w:val="22"/>
          <w:szCs w:val="22"/>
          <w:lang w:val="fr-CA"/>
        </w:rPr>
        <w:t>.</w:t>
      </w:r>
      <w:r>
        <w:rPr>
          <w:sz w:val="22"/>
          <w:szCs w:val="22"/>
          <w:lang w:val="fr-CA"/>
        </w:rPr>
        <w:t>11</w:t>
      </w:r>
      <w:r>
        <w:rPr>
          <w:sz w:val="22"/>
          <w:szCs w:val="22"/>
          <w:lang w:val="fr-CA"/>
        </w:rPr>
        <w:t>/2</w:t>
      </w:r>
      <w:r>
        <w:rPr>
          <w:sz w:val="22"/>
          <w:szCs w:val="22"/>
          <w:lang w:val="fr-CA"/>
        </w:rPr>
        <w:t>1</w:t>
      </w:r>
    </w:p>
    <w:p w14:paraId="620D24AE" w14:textId="77777777" w:rsidR="0080331A" w:rsidRDefault="0080331A" w:rsidP="0080331A">
      <w:pPr>
        <w:tabs>
          <w:tab w:val="left" w:pos="7200"/>
        </w:tabs>
        <w:suppressAutoHyphens/>
        <w:ind w:right="-705"/>
        <w:jc w:val="both"/>
        <w:rPr>
          <w:sz w:val="22"/>
          <w:szCs w:val="22"/>
          <w:lang w:val="fr-CA"/>
        </w:rPr>
      </w:pPr>
      <w:r>
        <w:rPr>
          <w:caps/>
          <w:sz w:val="22"/>
          <w:szCs w:val="22"/>
          <w:lang w:val="fr-CA"/>
        </w:rPr>
        <w:t>d’ArmEs À FEU, DE MUNITIONS, D’EXPLOSIFS</w:t>
      </w:r>
      <w:r>
        <w:rPr>
          <w:sz w:val="22"/>
          <w:szCs w:val="22"/>
          <w:lang w:val="fr-CA"/>
        </w:rPr>
        <w:tab/>
        <w:t xml:space="preserve">13 janvier 2021 </w:t>
      </w:r>
    </w:p>
    <w:p w14:paraId="2D45253E" w14:textId="77777777" w:rsidR="0080331A" w:rsidRDefault="0080331A" w:rsidP="0080331A">
      <w:pPr>
        <w:tabs>
          <w:tab w:val="left" w:pos="7200"/>
        </w:tabs>
        <w:ind w:right="-389"/>
        <w:jc w:val="both"/>
        <w:rPr>
          <w:sz w:val="22"/>
          <w:szCs w:val="22"/>
          <w:lang w:val="fr-CA"/>
        </w:rPr>
      </w:pPr>
      <w:r>
        <w:rPr>
          <w:sz w:val="22"/>
          <w:szCs w:val="22"/>
          <w:lang w:val="fr-CA"/>
        </w:rPr>
        <w:t>ET D’AUTRES MATÉRIELS CONNEXES (CIFTA)</w:t>
      </w:r>
      <w:r>
        <w:rPr>
          <w:caps/>
          <w:sz w:val="22"/>
          <w:szCs w:val="22"/>
          <w:lang w:val="fr-CA"/>
        </w:rPr>
        <w:tab/>
      </w:r>
      <w:r>
        <w:rPr>
          <w:sz w:val="22"/>
          <w:szCs w:val="22"/>
          <w:lang w:val="fr-CA"/>
        </w:rPr>
        <w:t>Original: espagnol</w:t>
      </w:r>
    </w:p>
    <w:p w14:paraId="50B28E65" w14:textId="77777777" w:rsidR="0080331A" w:rsidRDefault="0080331A" w:rsidP="0080331A">
      <w:pPr>
        <w:pStyle w:val="Heading3"/>
        <w:keepNext w:val="0"/>
        <w:suppressAutoHyphens/>
        <w:spacing w:before="0" w:after="0"/>
        <w:rPr>
          <w:rFonts w:ascii="Times New Roman" w:hAnsi="Times New Roman" w:cs="Times New Roman"/>
          <w:b w:val="0"/>
          <w:sz w:val="22"/>
          <w:szCs w:val="22"/>
          <w:u w:val="single"/>
          <w:lang w:val="fr-CA"/>
        </w:rPr>
      </w:pPr>
      <w:r>
        <w:rPr>
          <w:rFonts w:ascii="Times New Roman" w:hAnsi="Times New Roman" w:cs="Times New Roman"/>
          <w:b w:val="0"/>
          <w:sz w:val="22"/>
          <w:szCs w:val="22"/>
          <w:u w:val="single"/>
          <w:lang w:val="fr-CA"/>
        </w:rPr>
        <w:t>Comité consultatif</w:t>
      </w:r>
    </w:p>
    <w:p w14:paraId="6D0D8E7B" w14:textId="77777777" w:rsidR="0080331A" w:rsidRDefault="0080331A" w:rsidP="0080331A">
      <w:pPr>
        <w:suppressAutoHyphens/>
        <w:jc w:val="both"/>
        <w:rPr>
          <w:sz w:val="22"/>
          <w:szCs w:val="22"/>
          <w:lang w:val="fr-CA"/>
        </w:rPr>
      </w:pPr>
      <w:r>
        <w:rPr>
          <w:sz w:val="22"/>
          <w:szCs w:val="22"/>
          <w:u w:val="single"/>
          <w:lang w:val="fr-CA"/>
        </w:rPr>
        <w:t>Vingtième Réunion ordinaire</w:t>
      </w:r>
    </w:p>
    <w:p w14:paraId="3C200410" w14:textId="77777777" w:rsidR="0080331A" w:rsidRDefault="0080331A" w:rsidP="0080331A">
      <w:pPr>
        <w:suppressAutoHyphens/>
        <w:jc w:val="both"/>
        <w:rPr>
          <w:sz w:val="22"/>
          <w:szCs w:val="22"/>
          <w:lang w:val="fr-CA"/>
        </w:rPr>
      </w:pPr>
      <w:r>
        <w:rPr>
          <w:sz w:val="22"/>
          <w:szCs w:val="22"/>
          <w:lang w:val="fr-CA"/>
        </w:rPr>
        <w:t>17 décembre 2020</w:t>
      </w:r>
    </w:p>
    <w:p w14:paraId="3348AB8F" w14:textId="77777777" w:rsidR="0080331A" w:rsidRDefault="0080331A" w:rsidP="0080331A">
      <w:pPr>
        <w:suppressAutoHyphens/>
        <w:jc w:val="both"/>
        <w:rPr>
          <w:sz w:val="22"/>
          <w:szCs w:val="22"/>
          <w:lang w:val="fr-CA"/>
        </w:rPr>
      </w:pPr>
      <w:r>
        <w:rPr>
          <w:sz w:val="22"/>
          <w:szCs w:val="22"/>
          <w:lang w:val="fr-CA"/>
        </w:rPr>
        <w:t>Washington, D.C.</w:t>
      </w:r>
    </w:p>
    <w:p w14:paraId="05EA6D50" w14:textId="77777777" w:rsidR="0080331A" w:rsidRDefault="0080331A" w:rsidP="0080331A">
      <w:pPr>
        <w:pStyle w:val="BodyText"/>
        <w:suppressAutoHyphens/>
        <w:jc w:val="left"/>
        <w:rPr>
          <w:b w:val="0"/>
          <w:sz w:val="22"/>
          <w:szCs w:val="22"/>
          <w:lang w:val="fr-CA"/>
        </w:rPr>
      </w:pPr>
    </w:p>
    <w:p w14:paraId="0D7039CF" w14:textId="77777777" w:rsidR="0080331A" w:rsidRDefault="0080331A" w:rsidP="0080331A">
      <w:pPr>
        <w:suppressAutoHyphens/>
        <w:rPr>
          <w:sz w:val="22"/>
          <w:szCs w:val="22"/>
          <w:lang w:val="fr-CA"/>
        </w:rPr>
      </w:pPr>
    </w:p>
    <w:p w14:paraId="25665FF7" w14:textId="77777777" w:rsidR="0080331A" w:rsidRDefault="0080331A" w:rsidP="0080331A">
      <w:pPr>
        <w:suppressAutoHyphens/>
        <w:rPr>
          <w:sz w:val="22"/>
          <w:szCs w:val="22"/>
          <w:lang w:val="fr-CA"/>
        </w:rPr>
      </w:pPr>
    </w:p>
    <w:p w14:paraId="637C4F2F" w14:textId="77777777" w:rsidR="0080331A" w:rsidRDefault="0080331A" w:rsidP="0080331A">
      <w:pPr>
        <w:suppressAutoHyphens/>
        <w:rPr>
          <w:sz w:val="22"/>
          <w:szCs w:val="22"/>
          <w:lang w:val="fr-CA"/>
        </w:rPr>
      </w:pPr>
    </w:p>
    <w:p w14:paraId="32F6B0B7" w14:textId="77777777" w:rsidR="0080331A" w:rsidRDefault="0080331A" w:rsidP="0080331A">
      <w:pPr>
        <w:suppressAutoHyphens/>
        <w:jc w:val="center"/>
        <w:rPr>
          <w:sz w:val="22"/>
          <w:szCs w:val="22"/>
          <w:lang w:val="fr-CA"/>
        </w:rPr>
      </w:pPr>
      <w:r>
        <w:rPr>
          <w:sz w:val="22"/>
          <w:szCs w:val="22"/>
          <w:lang w:val="fr-CA"/>
        </w:rPr>
        <w:t>RAPPORT DU SECRÉTARIAT PRO TEMPORE DU COMITÉ CONSULTATIF DE LA CIFTA SUR LES ACTIVITÉS RÉALISÉES PENDANT LA PÉRIODE 2019-2020</w:t>
      </w:r>
    </w:p>
    <w:p w14:paraId="3CE632E0" w14:textId="77777777" w:rsidR="0080331A" w:rsidRDefault="0080331A" w:rsidP="0080331A">
      <w:pPr>
        <w:suppressAutoHyphens/>
        <w:rPr>
          <w:sz w:val="22"/>
          <w:szCs w:val="22"/>
          <w:lang w:val="fr-CA"/>
        </w:rPr>
      </w:pPr>
    </w:p>
    <w:p w14:paraId="663A7F68" w14:textId="77777777" w:rsidR="0080331A" w:rsidRDefault="0080331A" w:rsidP="0080331A">
      <w:pPr>
        <w:pStyle w:val="BodyText"/>
        <w:suppressAutoHyphens/>
        <w:jc w:val="both"/>
        <w:rPr>
          <w:sz w:val="22"/>
          <w:szCs w:val="22"/>
          <w:lang w:val="fr-CA"/>
        </w:rPr>
      </w:pPr>
    </w:p>
    <w:p w14:paraId="6D36B649" w14:textId="77777777" w:rsidR="0080331A" w:rsidRDefault="0080331A" w:rsidP="0080331A">
      <w:pPr>
        <w:pStyle w:val="Heading1"/>
        <w:keepNext w:val="0"/>
        <w:suppressAutoHyphens/>
        <w:jc w:val="both"/>
        <w:rPr>
          <w:sz w:val="22"/>
          <w:szCs w:val="22"/>
          <w:u w:val="none"/>
          <w:lang w:val="fr-CA"/>
        </w:rPr>
      </w:pPr>
      <w:r>
        <w:rPr>
          <w:sz w:val="22"/>
          <w:szCs w:val="22"/>
          <w:u w:val="none"/>
          <w:lang w:val="fr-CA"/>
        </w:rPr>
        <w:tab/>
        <w:t xml:space="preserve">Le Secrétariat </w:t>
      </w:r>
      <w:r>
        <w:rPr>
          <w:i/>
          <w:sz w:val="22"/>
          <w:szCs w:val="22"/>
          <w:u w:val="none"/>
          <w:lang w:val="fr-CA"/>
        </w:rPr>
        <w:t xml:space="preserve">pro </w:t>
      </w:r>
      <w:proofErr w:type="spellStart"/>
      <w:r>
        <w:rPr>
          <w:i/>
          <w:sz w:val="22"/>
          <w:szCs w:val="22"/>
          <w:u w:val="none"/>
          <w:lang w:val="fr-CA"/>
        </w:rPr>
        <w:t>tempore</w:t>
      </w:r>
      <w:proofErr w:type="spellEnd"/>
      <w:r>
        <w:rPr>
          <w:sz w:val="22"/>
          <w:szCs w:val="22"/>
          <w:u w:val="none"/>
          <w:lang w:val="fr-CA"/>
        </w:rPr>
        <w:t xml:space="preserve"> du Comité consultatif de la Convention interaméricaine contre la fabrication et le trafic illicites d’armes à feu, de munitions, d’explosifs et d’autres matériels connexes (CIFTA) a l’honneur de présenter le rapport sur les activités réalisées à partir de son élection, le 5 avril 2019, durant la Dix-neuvième Réunion ordinaire du Comité consultatif </w:t>
      </w:r>
      <w:r>
        <w:rPr>
          <w:rStyle w:val="PageNumber1"/>
          <w:sz w:val="22"/>
          <w:szCs w:val="22"/>
          <w:u w:val="none"/>
          <w:lang w:val="fr-CA"/>
        </w:rPr>
        <w:t>de la CIFTA</w:t>
      </w:r>
      <w:r>
        <w:rPr>
          <w:sz w:val="22"/>
          <w:szCs w:val="22"/>
          <w:u w:val="none"/>
          <w:lang w:val="fr-CA"/>
        </w:rPr>
        <w:t xml:space="preserve">, conformément à l’article 5 du Règlement interne du Comité consultatif, en prenant comme cadre de référence le “Plan d’action 2018-2022 pour le fonctionnement et l’application de la CIFTA”, de même que les décisions prises par les ministres des relations extérieures du Continent et les mandats qu’ils lui ont confié, contenus dans la résolution </w:t>
      </w:r>
      <w:bookmarkStart w:id="0" w:name="_Toc398801941"/>
      <w:bookmarkStart w:id="1" w:name="_Toc366684259"/>
      <w:r>
        <w:rPr>
          <w:sz w:val="22"/>
          <w:szCs w:val="22"/>
          <w:u w:val="none"/>
          <w:lang w:val="fr-CA"/>
        </w:rPr>
        <w:t>AG/RES. 2950 (L-O/20)</w:t>
      </w:r>
      <w:bookmarkEnd w:id="0"/>
      <w:r>
        <w:rPr>
          <w:sz w:val="22"/>
          <w:szCs w:val="22"/>
          <w:u w:val="none"/>
          <w:lang w:val="fr-CA"/>
        </w:rPr>
        <w:t>, intitulée “Promotion de la sécurité continentale : Une approche multidimensionnelle</w:t>
      </w:r>
      <w:bookmarkEnd w:id="1"/>
      <w:r>
        <w:rPr>
          <w:sz w:val="22"/>
          <w:szCs w:val="22"/>
          <w:u w:val="none"/>
          <w:lang w:val="fr-CA"/>
        </w:rPr>
        <w:t>”.</w:t>
      </w:r>
    </w:p>
    <w:p w14:paraId="66FBF1DF" w14:textId="77777777" w:rsidR="0080331A" w:rsidRDefault="0080331A" w:rsidP="0080331A">
      <w:pPr>
        <w:suppressAutoHyphens/>
        <w:jc w:val="both"/>
        <w:rPr>
          <w:sz w:val="22"/>
          <w:szCs w:val="22"/>
          <w:lang w:val="fr-CA"/>
        </w:rPr>
      </w:pPr>
    </w:p>
    <w:p w14:paraId="6A7AF2D1" w14:textId="77777777" w:rsidR="0080331A" w:rsidRDefault="0080331A" w:rsidP="0080331A">
      <w:pPr>
        <w:suppressAutoHyphens/>
        <w:jc w:val="both"/>
        <w:rPr>
          <w:b/>
          <w:bCs/>
          <w:sz w:val="22"/>
          <w:szCs w:val="22"/>
          <w:lang w:val="fr-CA"/>
        </w:rPr>
      </w:pPr>
      <w:r>
        <w:rPr>
          <w:b/>
          <w:bCs/>
          <w:sz w:val="22"/>
          <w:szCs w:val="22"/>
          <w:lang w:val="fr-CA"/>
        </w:rPr>
        <w:t>État des signatures et ratifications de la Convention CIFTA</w:t>
      </w:r>
    </w:p>
    <w:p w14:paraId="09C230F8" w14:textId="77777777" w:rsidR="0080331A" w:rsidRDefault="0080331A" w:rsidP="0080331A">
      <w:pPr>
        <w:suppressAutoHyphens/>
        <w:jc w:val="both"/>
        <w:rPr>
          <w:sz w:val="22"/>
          <w:szCs w:val="22"/>
          <w:u w:val="single"/>
          <w:lang w:val="fr-CA"/>
        </w:rPr>
      </w:pPr>
    </w:p>
    <w:p w14:paraId="79DD42ED" w14:textId="77777777" w:rsidR="0080331A" w:rsidRPr="0080331A" w:rsidRDefault="0080331A" w:rsidP="0080331A">
      <w:pPr>
        <w:suppressAutoHyphens/>
        <w:ind w:firstLine="720"/>
        <w:jc w:val="both"/>
        <w:rPr>
          <w:rStyle w:val="PageNumber1"/>
          <w:lang w:val="fr-CA"/>
        </w:rPr>
      </w:pPr>
      <w:r>
        <w:rPr>
          <w:rStyle w:val="PageNumber1"/>
          <w:sz w:val="22"/>
          <w:szCs w:val="22"/>
          <w:lang w:val="fr-CA"/>
        </w:rPr>
        <w:t xml:space="preserve">À cette date, 31 États ont ratifié la Convention interaméricaine contre la fabrication et le trafic illicites d’armes à feu, de munitions, d’explosifs et autres matériels connexes ou qui y ont adhéré. </w:t>
      </w:r>
    </w:p>
    <w:p w14:paraId="385D7E13" w14:textId="77777777" w:rsidR="0080331A" w:rsidRPr="0080331A" w:rsidRDefault="0080331A" w:rsidP="0080331A">
      <w:pPr>
        <w:suppressAutoHyphens/>
        <w:jc w:val="both"/>
        <w:rPr>
          <w:lang w:val="fr-CA"/>
        </w:rPr>
      </w:pPr>
    </w:p>
    <w:p w14:paraId="75BA8208" w14:textId="77777777" w:rsidR="0080331A" w:rsidRPr="0080331A" w:rsidRDefault="0080331A" w:rsidP="0080331A">
      <w:pPr>
        <w:suppressAutoHyphens/>
        <w:ind w:firstLine="720"/>
        <w:jc w:val="both"/>
        <w:rPr>
          <w:rStyle w:val="PageNumber1"/>
          <w:lang w:val="fr-CA"/>
        </w:rPr>
      </w:pPr>
      <w:r>
        <w:rPr>
          <w:rStyle w:val="PageNumber1"/>
          <w:sz w:val="22"/>
          <w:szCs w:val="22"/>
          <w:lang w:val="fr-CA"/>
        </w:rPr>
        <w:t xml:space="preserve">Au moyen de lettres adressées aux représentants permanents près l’OEA, le 3 décembre 2020, le Secrétariat </w:t>
      </w:r>
      <w:r>
        <w:rPr>
          <w:rStyle w:val="PageNumber1"/>
          <w:i/>
          <w:sz w:val="22"/>
          <w:szCs w:val="22"/>
          <w:lang w:val="fr-CA"/>
        </w:rPr>
        <w:t xml:space="preserve">pro </w:t>
      </w:r>
      <w:proofErr w:type="spellStart"/>
      <w:r>
        <w:rPr>
          <w:rStyle w:val="PageNumber1"/>
          <w:i/>
          <w:sz w:val="22"/>
          <w:szCs w:val="22"/>
          <w:lang w:val="fr-CA"/>
        </w:rPr>
        <w:t>tempore</w:t>
      </w:r>
      <w:proofErr w:type="spellEnd"/>
      <w:r>
        <w:rPr>
          <w:rStyle w:val="PageNumber1"/>
          <w:sz w:val="22"/>
          <w:szCs w:val="22"/>
          <w:lang w:val="fr-CA"/>
        </w:rPr>
        <w:t xml:space="preserve"> a fait les démarches nécessaires pour demander instamment aux États signataires qui n’ont pas encore ratifié la Convention –Canada, États-Unis et Jamaïque– d’envisager de la ratifier dès que possible. Il leur a également été demandé de faire rapport sur les mesures prises par leurs gouvernements à cet égard.</w:t>
      </w:r>
    </w:p>
    <w:p w14:paraId="0F1B52AA" w14:textId="77777777" w:rsidR="0080331A" w:rsidRPr="0080331A" w:rsidRDefault="0080331A" w:rsidP="0080331A">
      <w:pPr>
        <w:suppressAutoHyphens/>
        <w:jc w:val="both"/>
        <w:rPr>
          <w:bCs/>
          <w:lang w:val="fr-CA"/>
        </w:rPr>
      </w:pPr>
    </w:p>
    <w:p w14:paraId="263EEAA6" w14:textId="77777777" w:rsidR="0080331A" w:rsidRPr="0080331A" w:rsidRDefault="0080331A" w:rsidP="0080331A">
      <w:pPr>
        <w:suppressAutoHyphens/>
        <w:jc w:val="both"/>
        <w:rPr>
          <w:rStyle w:val="PageNumber1"/>
          <w:b/>
          <w:lang w:val="fr-CA"/>
        </w:rPr>
      </w:pPr>
      <w:r>
        <w:rPr>
          <w:rStyle w:val="PageNumber1"/>
          <w:b/>
          <w:bCs/>
          <w:sz w:val="22"/>
          <w:szCs w:val="22"/>
          <w:lang w:val="fr-CA"/>
        </w:rPr>
        <w:t>Questionnaire sur le degré de mise en œuvre et d’effectivité de la CIFTA</w:t>
      </w:r>
    </w:p>
    <w:p w14:paraId="56BCA032" w14:textId="77777777" w:rsidR="0080331A" w:rsidRPr="0080331A" w:rsidRDefault="0080331A" w:rsidP="0080331A">
      <w:pPr>
        <w:suppressAutoHyphens/>
        <w:jc w:val="both"/>
        <w:rPr>
          <w:lang w:val="fr-CA"/>
        </w:rPr>
      </w:pPr>
    </w:p>
    <w:p w14:paraId="1D5A795B" w14:textId="77777777" w:rsidR="0080331A" w:rsidRPr="0080331A" w:rsidRDefault="0080331A" w:rsidP="0080331A">
      <w:pPr>
        <w:suppressAutoHyphens/>
        <w:jc w:val="both"/>
        <w:rPr>
          <w:rStyle w:val="PageNumber1"/>
          <w:lang w:val="fr-CA"/>
        </w:rPr>
      </w:pPr>
      <w:r>
        <w:rPr>
          <w:rStyle w:val="PageNumber1"/>
          <w:sz w:val="22"/>
          <w:szCs w:val="22"/>
          <w:lang w:val="fr-CA"/>
        </w:rPr>
        <w:tab/>
        <w:t xml:space="preserve">Comme contexte, il faut rappeler que dans le but de connaitre la situation actuelle des États partie et non partie à la Convention, en ce qui concerne l’application de celle-ci, les États se sont vu transmettre, depuis 2011, le “Questionnaire sur la mise en œuvre et l’effectivité de la CIFTA”. Cette demande d’information a été réitérée tous les ans à tous les États membres de l’Organisation des États Américains. </w:t>
      </w:r>
    </w:p>
    <w:p w14:paraId="32EE4DB5" w14:textId="77777777" w:rsidR="0080331A" w:rsidRPr="0080331A" w:rsidRDefault="0080331A" w:rsidP="0080331A">
      <w:pPr>
        <w:suppressAutoHyphens/>
        <w:jc w:val="both"/>
        <w:rPr>
          <w:lang w:val="fr-CA"/>
        </w:rPr>
      </w:pPr>
    </w:p>
    <w:p w14:paraId="7B27F4B0" w14:textId="77777777" w:rsidR="0080331A" w:rsidRPr="0080331A" w:rsidRDefault="0080331A" w:rsidP="0080331A">
      <w:pPr>
        <w:suppressAutoHyphens/>
        <w:jc w:val="both"/>
        <w:rPr>
          <w:rStyle w:val="PageNumber1"/>
          <w:lang w:val="fr-CA"/>
        </w:rPr>
      </w:pPr>
      <w:r>
        <w:rPr>
          <w:rStyle w:val="PageNumber1"/>
          <w:sz w:val="22"/>
          <w:szCs w:val="22"/>
          <w:lang w:val="fr-CA"/>
        </w:rPr>
        <w:tab/>
        <w:t xml:space="preserve">Pendant la période 2019-2020, cinq questionnaires actualisés ont été reçus, du Chili, du Costa Rica, du Mexique, du Panama et du Pérou. Le Secrétariat technique a demandé instamment aux États membres qui ne l’auraient pas encore fait de remettre leur questionnaire dûment actualisé. </w:t>
      </w:r>
    </w:p>
    <w:p w14:paraId="46E2FF45" w14:textId="77777777" w:rsidR="0080331A" w:rsidRDefault="0080331A" w:rsidP="0080331A">
      <w:pPr>
        <w:suppressAutoHyphens/>
        <w:jc w:val="both"/>
        <w:rPr>
          <w:rStyle w:val="PageNumber1"/>
          <w:bCs/>
          <w:sz w:val="22"/>
          <w:szCs w:val="22"/>
          <w:lang w:val="fr-CA"/>
        </w:rPr>
      </w:pPr>
    </w:p>
    <w:p w14:paraId="0D67D34F" w14:textId="77777777" w:rsidR="0080331A" w:rsidRDefault="0080331A" w:rsidP="0080331A">
      <w:pPr>
        <w:suppressAutoHyphens/>
        <w:jc w:val="both"/>
        <w:rPr>
          <w:rStyle w:val="PageNumber1"/>
          <w:b/>
          <w:bCs/>
          <w:sz w:val="22"/>
          <w:szCs w:val="22"/>
          <w:lang w:val="fr-CA"/>
        </w:rPr>
      </w:pPr>
      <w:r>
        <w:rPr>
          <w:rStyle w:val="PageNumber1"/>
          <w:b/>
          <w:bCs/>
          <w:sz w:val="22"/>
          <w:szCs w:val="22"/>
          <w:lang w:val="fr-CA"/>
        </w:rPr>
        <w:t>Coopération et coordination régionales et internationales</w:t>
      </w:r>
    </w:p>
    <w:p w14:paraId="63223DFC" w14:textId="77777777" w:rsidR="0080331A" w:rsidRDefault="0080331A" w:rsidP="0080331A">
      <w:pPr>
        <w:suppressAutoHyphens/>
        <w:jc w:val="both"/>
        <w:rPr>
          <w:rStyle w:val="PageNumber1"/>
          <w:sz w:val="22"/>
          <w:szCs w:val="22"/>
          <w:lang w:val="fr-CA"/>
        </w:rPr>
      </w:pPr>
    </w:p>
    <w:p w14:paraId="33B0E6E8" w14:textId="77777777" w:rsidR="0080331A" w:rsidRDefault="0080331A" w:rsidP="0080331A">
      <w:pPr>
        <w:suppressAutoHyphens/>
        <w:jc w:val="both"/>
        <w:rPr>
          <w:rStyle w:val="PageNumber1"/>
          <w:sz w:val="22"/>
          <w:szCs w:val="22"/>
          <w:lang w:val="fr-CA"/>
        </w:rPr>
      </w:pPr>
      <w:r>
        <w:rPr>
          <w:rStyle w:val="PageNumber1"/>
          <w:sz w:val="22"/>
          <w:szCs w:val="22"/>
          <w:lang w:val="fr-CA"/>
        </w:rPr>
        <w:tab/>
        <w:t xml:space="preserve">Guidé par le mandat contenu au paragraphe 92 de la résolution AG/RES. 2907 de 2017 de promouvoir et de renforcer les synergies entre les États membres de l’OEA et d’autres organismes et </w:t>
      </w:r>
      <w:r>
        <w:rPr>
          <w:rStyle w:val="PageNumber1"/>
          <w:sz w:val="22"/>
          <w:szCs w:val="22"/>
          <w:lang w:val="fr-CA"/>
        </w:rPr>
        <w:lastRenderedPageBreak/>
        <w:t xml:space="preserve">mécanismes internationaux et régionaux qui abordent la question du trafic illicite d’armes à feu. En sa qualité de Secrétariat </w:t>
      </w:r>
      <w:r>
        <w:rPr>
          <w:rStyle w:val="PageNumber1"/>
          <w:i/>
          <w:sz w:val="22"/>
          <w:szCs w:val="22"/>
          <w:lang w:val="fr-CA"/>
        </w:rPr>
        <w:t xml:space="preserve">pro </w:t>
      </w:r>
      <w:proofErr w:type="spellStart"/>
      <w:r>
        <w:rPr>
          <w:rStyle w:val="PageNumber1"/>
          <w:i/>
          <w:sz w:val="22"/>
          <w:szCs w:val="22"/>
          <w:lang w:val="fr-CA"/>
        </w:rPr>
        <w:t>tempore</w:t>
      </w:r>
      <w:proofErr w:type="spellEnd"/>
      <w:r>
        <w:rPr>
          <w:rStyle w:val="PageNumber1"/>
          <w:sz w:val="22"/>
          <w:szCs w:val="22"/>
          <w:lang w:val="fr-CA"/>
        </w:rPr>
        <w:t>, le Mexique a été le siège de deux éditions successives</w:t>
      </w:r>
      <w:r>
        <w:rPr>
          <w:rStyle w:val="PageNumber1"/>
          <w:sz w:val="22"/>
          <w:szCs w:val="22"/>
          <w:u w:val="single"/>
          <w:vertAlign w:val="superscript"/>
          <w:lang w:val="fr-CA"/>
        </w:rPr>
        <w:footnoteReference w:id="1"/>
      </w:r>
      <w:r>
        <w:rPr>
          <w:rStyle w:val="PageNumber1"/>
          <w:sz w:val="22"/>
          <w:szCs w:val="22"/>
          <w:vertAlign w:val="superscript"/>
          <w:lang w:val="fr-CA"/>
        </w:rPr>
        <w:t>/</w:t>
      </w:r>
      <w:r>
        <w:rPr>
          <w:rStyle w:val="PageNumber1"/>
          <w:sz w:val="22"/>
          <w:szCs w:val="22"/>
          <w:lang w:val="fr-CA"/>
        </w:rPr>
        <w:t xml:space="preserve"> de la réunion “Renforcement de la coopération régionale en Amérique afin de lutter et de combattre le trafic illicite d’armes à feu et les délits connexes”, organisée conjointement par le Programme mondial d’armes à feu de l’Office des Nations Unies contre la drogue et le crime. </w:t>
      </w:r>
    </w:p>
    <w:p w14:paraId="24971D83" w14:textId="77777777" w:rsidR="0080331A" w:rsidRDefault="0080331A" w:rsidP="0080331A">
      <w:pPr>
        <w:suppressAutoHyphens/>
        <w:jc w:val="both"/>
        <w:rPr>
          <w:rStyle w:val="PageNumber1"/>
          <w:sz w:val="22"/>
          <w:szCs w:val="22"/>
          <w:lang w:val="fr-CA"/>
        </w:rPr>
      </w:pPr>
    </w:p>
    <w:p w14:paraId="5453EC27" w14:textId="77777777" w:rsidR="0080331A" w:rsidRDefault="0080331A" w:rsidP="0080331A">
      <w:pPr>
        <w:suppressAutoHyphens/>
        <w:ind w:firstLine="720"/>
        <w:jc w:val="both"/>
        <w:rPr>
          <w:rStyle w:val="PageNumber1"/>
          <w:sz w:val="22"/>
          <w:szCs w:val="22"/>
          <w:lang w:val="fr-CA"/>
        </w:rPr>
      </w:pPr>
      <w:r>
        <w:rPr>
          <w:rStyle w:val="PageNumber1"/>
          <w:sz w:val="22"/>
          <w:szCs w:val="22"/>
          <w:lang w:val="fr-CA"/>
        </w:rPr>
        <w:t xml:space="preserve">Au nombre des conclusions émanées des deux éditions de cette réunion, soulignons les suivantes : </w:t>
      </w:r>
    </w:p>
    <w:p w14:paraId="32976B89" w14:textId="77777777" w:rsidR="0080331A" w:rsidRDefault="0080331A" w:rsidP="0080331A">
      <w:pPr>
        <w:suppressAutoHyphens/>
        <w:jc w:val="both"/>
        <w:rPr>
          <w:rStyle w:val="PageNumber1"/>
          <w:sz w:val="22"/>
          <w:szCs w:val="22"/>
          <w:lang w:val="fr-CA"/>
        </w:rPr>
      </w:pPr>
    </w:p>
    <w:p w14:paraId="760538AA" w14:textId="77777777" w:rsidR="0080331A" w:rsidRDefault="0080331A" w:rsidP="0080331A">
      <w:pPr>
        <w:pStyle w:val="ListParagraph"/>
        <w:numPr>
          <w:ilvl w:val="0"/>
          <w:numId w:val="31"/>
        </w:numPr>
        <w:suppressAutoHyphens/>
        <w:ind w:left="1440"/>
        <w:jc w:val="both"/>
        <w:rPr>
          <w:rStyle w:val="PageNumber1"/>
          <w:sz w:val="22"/>
          <w:szCs w:val="22"/>
          <w:lang w:val="fr-CA"/>
        </w:rPr>
      </w:pPr>
      <w:r>
        <w:rPr>
          <w:rStyle w:val="PageNumber1"/>
          <w:sz w:val="22"/>
          <w:szCs w:val="22"/>
          <w:lang w:val="fr-CA"/>
        </w:rPr>
        <w:t>La majorité des pays des Amériques sont membres de la Convention de Palerme, du Protocole contre la fabrication et le trafic illicites d’armes à feu, de leurs pièces, éléments et munitions, ainsi que de la CIFTA. Par conséquent, ils n’ont pas besoin d’un accord supplémentaire pour coopérer, mais simplement d’établir des mécanismes qui fonctionnent en matière de lutte contre le trafic d’armes.</w:t>
      </w:r>
    </w:p>
    <w:p w14:paraId="415BC00D" w14:textId="77777777" w:rsidR="0080331A" w:rsidRDefault="0080331A" w:rsidP="0080331A">
      <w:pPr>
        <w:pStyle w:val="ListParagraph"/>
        <w:numPr>
          <w:ilvl w:val="0"/>
          <w:numId w:val="31"/>
        </w:numPr>
        <w:suppressAutoHyphens/>
        <w:ind w:left="1440"/>
        <w:jc w:val="both"/>
        <w:rPr>
          <w:rStyle w:val="PageNumber1"/>
          <w:sz w:val="22"/>
          <w:szCs w:val="22"/>
          <w:lang w:val="fr-CA"/>
        </w:rPr>
      </w:pPr>
      <w:r>
        <w:rPr>
          <w:rStyle w:val="PageNumber1"/>
          <w:sz w:val="22"/>
          <w:szCs w:val="22"/>
          <w:lang w:val="fr-CA"/>
        </w:rPr>
        <w:t>Normaliser sur le plan international les systèmes d’empreinte balistique en vue du partage d’information, cherchant des solutions de rechange plus économiques que celles qui sont en place actuellement.</w:t>
      </w:r>
    </w:p>
    <w:p w14:paraId="77E39AF2" w14:textId="77777777" w:rsidR="0080331A" w:rsidRDefault="0080331A" w:rsidP="0080331A">
      <w:pPr>
        <w:pStyle w:val="ListParagraph"/>
        <w:numPr>
          <w:ilvl w:val="0"/>
          <w:numId w:val="31"/>
        </w:numPr>
        <w:suppressAutoHyphens/>
        <w:ind w:left="1440"/>
        <w:jc w:val="both"/>
        <w:rPr>
          <w:rStyle w:val="PageNumber1"/>
          <w:sz w:val="22"/>
          <w:szCs w:val="22"/>
          <w:lang w:val="fr-CA"/>
        </w:rPr>
      </w:pPr>
      <w:r>
        <w:rPr>
          <w:rStyle w:val="PageNumber1"/>
          <w:sz w:val="22"/>
          <w:szCs w:val="22"/>
          <w:lang w:val="fr-CA"/>
        </w:rPr>
        <w:t>Modifier les lois nationales sur les armes à feu, leurs éléments et munitions, étant donné qu’elles ne sont pas à jour et qu’elles empêchent d’affronter le délit du trafic illicite d’armes.</w:t>
      </w:r>
    </w:p>
    <w:p w14:paraId="71BC2927" w14:textId="77777777" w:rsidR="0080331A" w:rsidRDefault="0080331A" w:rsidP="0080331A">
      <w:pPr>
        <w:suppressAutoHyphens/>
        <w:jc w:val="both"/>
        <w:rPr>
          <w:rStyle w:val="PageNumber1"/>
          <w:sz w:val="22"/>
          <w:szCs w:val="22"/>
          <w:lang w:val="fr-CA"/>
        </w:rPr>
      </w:pPr>
    </w:p>
    <w:p w14:paraId="5A83A518" w14:textId="77777777" w:rsidR="0080331A" w:rsidRDefault="0080331A" w:rsidP="0080331A">
      <w:pPr>
        <w:suppressAutoHyphens/>
        <w:jc w:val="both"/>
        <w:rPr>
          <w:rStyle w:val="PageNumber1"/>
          <w:sz w:val="22"/>
          <w:szCs w:val="22"/>
          <w:lang w:val="fr-CA"/>
        </w:rPr>
      </w:pPr>
      <w:r>
        <w:rPr>
          <w:rStyle w:val="PageNumber1"/>
          <w:sz w:val="22"/>
          <w:szCs w:val="22"/>
          <w:lang w:val="fr-CA"/>
        </w:rPr>
        <w:tab/>
        <w:t xml:space="preserve">Les 16 et 17 juillet 2020, le Mexique a présidé le Groupe de travail sur les armes à feu de la Convention de Palerme. Pendant sa présidence, le Mexique a encouragé le partage d’information dans le but de connaitre les tendances actuelles en matière de trafic illicite d’armes à feu. Il a également mentionné l’importance de renforcer les capacités des unités spécialisées aux niveaux national, régional et international afin qu’elles contribuent à la résolution des affaires, de même qu’à la collecte de données à ce sujet. Enfin, il a renforcé la coopération multilatérale afin d’atteindre le but 16.4 des Objectifs de développement durable, qui demande la réduction des flux de financement et d’armes illicites. </w:t>
      </w:r>
    </w:p>
    <w:p w14:paraId="0761612A" w14:textId="77777777" w:rsidR="0080331A" w:rsidRDefault="0080331A" w:rsidP="0080331A">
      <w:pPr>
        <w:suppressAutoHyphens/>
        <w:jc w:val="both"/>
        <w:rPr>
          <w:rStyle w:val="PageNumber1"/>
          <w:sz w:val="22"/>
          <w:szCs w:val="22"/>
          <w:lang w:val="fr-CA"/>
        </w:rPr>
      </w:pPr>
    </w:p>
    <w:p w14:paraId="3DD93AC3" w14:textId="77777777" w:rsidR="0080331A" w:rsidRDefault="0080331A" w:rsidP="0080331A">
      <w:pPr>
        <w:suppressAutoHyphens/>
        <w:jc w:val="both"/>
        <w:rPr>
          <w:rStyle w:val="PageNumber1"/>
          <w:sz w:val="22"/>
          <w:szCs w:val="22"/>
          <w:lang w:val="fr-CA"/>
        </w:rPr>
      </w:pPr>
      <w:r>
        <w:rPr>
          <w:rStyle w:val="PageNumber1"/>
          <w:sz w:val="22"/>
          <w:szCs w:val="22"/>
          <w:lang w:val="fr-CA"/>
        </w:rPr>
        <w:tab/>
        <w:t>Le Secrétariat technique de la CIFTA est intervenu pendant la réunion pour souligner l’aspect pionnier et l’importance de la Convention, soulignant les progrès réalisés, comme la loi-type et les plans d’action approuvés, et le soutien apporté par les départements contre la criminalité transnationale organisée et de sécurité publique pour aider les États membres à respecter les obligations découlant de la Convention.</w:t>
      </w:r>
    </w:p>
    <w:p w14:paraId="51B00EA6" w14:textId="77777777" w:rsidR="0080331A" w:rsidRDefault="0080331A" w:rsidP="0080331A">
      <w:pPr>
        <w:suppressAutoHyphens/>
        <w:jc w:val="both"/>
        <w:rPr>
          <w:rStyle w:val="PageNumber1"/>
          <w:sz w:val="22"/>
          <w:szCs w:val="22"/>
          <w:lang w:val="fr-CA"/>
        </w:rPr>
      </w:pPr>
    </w:p>
    <w:p w14:paraId="6A2EDEE7" w14:textId="77777777" w:rsidR="0080331A" w:rsidRDefault="0080331A" w:rsidP="0080331A">
      <w:pPr>
        <w:suppressAutoHyphens/>
        <w:jc w:val="both"/>
        <w:rPr>
          <w:rStyle w:val="PageNumber1"/>
          <w:sz w:val="22"/>
          <w:szCs w:val="22"/>
          <w:lang w:val="fr-CA"/>
        </w:rPr>
      </w:pPr>
      <w:r>
        <w:rPr>
          <w:rStyle w:val="PageNumber1"/>
          <w:sz w:val="22"/>
          <w:szCs w:val="22"/>
          <w:lang w:val="fr-CA"/>
        </w:rPr>
        <w:tab/>
        <w:t xml:space="preserve">Il est important de mentionner que dans le cadre du processus de préparation de la prochaine Conférence des États parties au Traité sur le commerce des armes (TCA), le Mexique fournit, conjointement avec la Belgique, le Groupe de travail sur la transparence et la présentation de rapports. </w:t>
      </w:r>
    </w:p>
    <w:p w14:paraId="232A33A3" w14:textId="77777777" w:rsidR="0080331A" w:rsidRDefault="0080331A" w:rsidP="0080331A">
      <w:pPr>
        <w:suppressAutoHyphens/>
        <w:jc w:val="both"/>
        <w:rPr>
          <w:rStyle w:val="PageNumber1"/>
          <w:sz w:val="22"/>
          <w:szCs w:val="22"/>
          <w:lang w:val="fr-CA"/>
        </w:rPr>
      </w:pPr>
    </w:p>
    <w:p w14:paraId="250BC763" w14:textId="77777777" w:rsidR="0080331A" w:rsidRDefault="0080331A" w:rsidP="0080331A">
      <w:pPr>
        <w:suppressAutoHyphens/>
        <w:jc w:val="both"/>
        <w:rPr>
          <w:rStyle w:val="PageNumber1"/>
          <w:sz w:val="22"/>
          <w:szCs w:val="22"/>
          <w:lang w:val="fr-CA"/>
        </w:rPr>
      </w:pPr>
      <w:r>
        <w:rPr>
          <w:rStyle w:val="PageNumber1"/>
          <w:sz w:val="22"/>
          <w:szCs w:val="22"/>
          <w:lang w:val="fr-CA"/>
        </w:rPr>
        <w:tab/>
        <w:t>De même, et en ligne avec le mandat contenu au paragraphe 109 de la résolution AG/RES. 2950 de 2020 d’inviter les États membres à collaborer à l’exécution de l’étude continentale sur le trafic illicite d’armes petites, d’armes légères et de munitions dans le Continent américain, le Mexique a entrepris, conjointement avec le Département contre la criminalité transnationale organisée et celui de la sécurité publique, une analyse visant à tracer les grandes lignes d’une feuille de route pour le commencement de la préparation de l’étude et à explorer des sources de financement. Cette analyse est en cours.</w:t>
      </w:r>
    </w:p>
    <w:p w14:paraId="4FECEC44" w14:textId="77777777" w:rsidR="0080331A" w:rsidRDefault="0080331A" w:rsidP="0080331A">
      <w:pPr>
        <w:suppressAutoHyphens/>
        <w:jc w:val="both"/>
        <w:rPr>
          <w:rStyle w:val="PageNumber1"/>
          <w:sz w:val="22"/>
          <w:szCs w:val="22"/>
          <w:lang w:val="fr-CA"/>
        </w:rPr>
      </w:pPr>
    </w:p>
    <w:p w14:paraId="4F30DB99" w14:textId="77777777" w:rsidR="0080331A" w:rsidRDefault="0080331A" w:rsidP="0080331A">
      <w:pPr>
        <w:suppressAutoHyphens/>
        <w:jc w:val="both"/>
        <w:rPr>
          <w:rStyle w:val="PageNumber1"/>
          <w:sz w:val="22"/>
          <w:szCs w:val="22"/>
          <w:lang w:val="fr-CA"/>
        </w:rPr>
      </w:pPr>
      <w:r>
        <w:rPr>
          <w:rStyle w:val="PageNumber1"/>
          <w:sz w:val="22"/>
          <w:szCs w:val="22"/>
          <w:lang w:val="fr-CA"/>
        </w:rPr>
        <w:tab/>
        <w:t xml:space="preserve">Enfin, le Secrétariat </w:t>
      </w:r>
      <w:r>
        <w:rPr>
          <w:rStyle w:val="PageNumber1"/>
          <w:i/>
          <w:sz w:val="22"/>
          <w:szCs w:val="22"/>
          <w:lang w:val="fr-CA"/>
        </w:rPr>
        <w:t xml:space="preserve">pro </w:t>
      </w:r>
      <w:proofErr w:type="spellStart"/>
      <w:r>
        <w:rPr>
          <w:rStyle w:val="PageNumber1"/>
          <w:i/>
          <w:sz w:val="22"/>
          <w:szCs w:val="22"/>
          <w:lang w:val="fr-CA"/>
        </w:rPr>
        <w:t>tempore</w:t>
      </w:r>
      <w:proofErr w:type="spellEnd"/>
      <w:r>
        <w:rPr>
          <w:rStyle w:val="PageNumber1"/>
          <w:sz w:val="22"/>
          <w:szCs w:val="22"/>
          <w:lang w:val="fr-CA"/>
        </w:rPr>
        <w:t xml:space="preserve"> aimerait se référer au paragraphe 18 de la Déclaration à l’occasion du vingtième anniversaire de la CIFTA, “Coopération à l’échelle continentale pour prévenir, combattre et éliminer la fabrication et le trafic illicites d’armes à feu, de munitions, d’explosifs et autres matériels connexes”, pour exhorter les États, les organisations internationales et autres alliés à bien vouloir contribuer financièrement au Fonds en fiducie établi dans le but d’améliorer les opérations et les fonctions de la CIFTA.</w:t>
      </w:r>
    </w:p>
    <w:p w14:paraId="20654FD4" w14:textId="77777777" w:rsidR="0080331A" w:rsidRDefault="0080331A" w:rsidP="0080331A">
      <w:pPr>
        <w:suppressAutoHyphens/>
        <w:jc w:val="both"/>
        <w:rPr>
          <w:rStyle w:val="PageNumber1"/>
          <w:sz w:val="22"/>
          <w:szCs w:val="22"/>
          <w:lang w:val="fr-CA"/>
        </w:rPr>
      </w:pPr>
    </w:p>
    <w:p w14:paraId="69B44A49" w14:textId="77777777" w:rsidR="0080331A" w:rsidRDefault="0080331A" w:rsidP="0080331A">
      <w:pPr>
        <w:pStyle w:val="Heading31"/>
        <w:keepNext w:val="0"/>
        <w:suppressAutoHyphens/>
        <w:spacing w:before="0" w:after="0"/>
        <w:rPr>
          <w:rStyle w:val="PageNumber1"/>
          <w:rFonts w:ascii="Times New Roman" w:hAnsi="Times New Roman" w:cs="Times New Roman"/>
          <w:sz w:val="22"/>
          <w:szCs w:val="22"/>
          <w:lang w:val="fr-CA"/>
        </w:rPr>
      </w:pPr>
      <w:r>
        <w:rPr>
          <w:rStyle w:val="PageNumber1"/>
          <w:rFonts w:ascii="Times New Roman" w:hAnsi="Times New Roman" w:cs="Times New Roman"/>
          <w:sz w:val="22"/>
          <w:szCs w:val="22"/>
          <w:lang w:val="fr-CA"/>
        </w:rPr>
        <w:t xml:space="preserve">Préparatifs de la Vingtième Réunion ordinaire du Comité consultatif </w:t>
      </w:r>
    </w:p>
    <w:p w14:paraId="4492BD4B" w14:textId="77777777" w:rsidR="0080331A" w:rsidRDefault="0080331A" w:rsidP="0080331A">
      <w:pPr>
        <w:pStyle w:val="NormalWeb"/>
        <w:shd w:val="clear" w:color="auto" w:fill="FFFFFF"/>
        <w:suppressAutoHyphens/>
        <w:spacing w:before="0" w:beforeAutospacing="0" w:after="0" w:afterAutospacing="0"/>
        <w:ind w:right="75"/>
        <w:jc w:val="both"/>
        <w:rPr>
          <w:rStyle w:val="PageNumber1"/>
          <w:rFonts w:ascii="Times New Roman" w:hAnsi="Times New Roman"/>
          <w:sz w:val="22"/>
          <w:szCs w:val="22"/>
          <w:lang w:val="fr-CA"/>
        </w:rPr>
      </w:pPr>
    </w:p>
    <w:p w14:paraId="4C74B9DE" w14:textId="77777777" w:rsidR="0080331A" w:rsidRDefault="0080331A" w:rsidP="0080331A">
      <w:pPr>
        <w:pStyle w:val="NormalWeb"/>
        <w:shd w:val="clear" w:color="auto" w:fill="FFFFFF"/>
        <w:suppressAutoHyphens/>
        <w:spacing w:before="0" w:beforeAutospacing="0" w:after="0" w:afterAutospacing="0"/>
        <w:ind w:right="75" w:firstLine="720"/>
        <w:jc w:val="both"/>
        <w:rPr>
          <w:rStyle w:val="PageNumber1"/>
          <w:rFonts w:ascii="Times New Roman" w:hAnsi="Times New Roman"/>
          <w:sz w:val="22"/>
          <w:szCs w:val="22"/>
          <w:lang w:val="fr-CA"/>
        </w:rPr>
      </w:pPr>
      <w:r>
        <w:rPr>
          <w:rStyle w:val="PageNumber1"/>
          <w:rFonts w:ascii="Times New Roman" w:hAnsi="Times New Roman"/>
          <w:sz w:val="22"/>
          <w:szCs w:val="22"/>
          <w:lang w:val="fr-CA"/>
        </w:rPr>
        <w:t xml:space="preserve">Bien que c’était l’intention du Secrétariat </w:t>
      </w:r>
      <w:r>
        <w:rPr>
          <w:rStyle w:val="PageNumber1"/>
          <w:rFonts w:ascii="Times New Roman" w:hAnsi="Times New Roman"/>
          <w:i/>
          <w:sz w:val="22"/>
          <w:szCs w:val="22"/>
          <w:lang w:val="fr-CA"/>
        </w:rPr>
        <w:t xml:space="preserve">pro </w:t>
      </w:r>
      <w:proofErr w:type="spellStart"/>
      <w:r>
        <w:rPr>
          <w:rStyle w:val="PageNumber1"/>
          <w:rFonts w:ascii="Times New Roman" w:hAnsi="Times New Roman"/>
          <w:i/>
          <w:sz w:val="22"/>
          <w:szCs w:val="22"/>
          <w:lang w:val="fr-CA"/>
        </w:rPr>
        <w:t>tempore</w:t>
      </w:r>
      <w:proofErr w:type="spellEnd"/>
      <w:r>
        <w:rPr>
          <w:rStyle w:val="PageNumber1"/>
          <w:rFonts w:ascii="Times New Roman" w:hAnsi="Times New Roman"/>
          <w:sz w:val="22"/>
          <w:szCs w:val="22"/>
          <w:lang w:val="fr-CA"/>
        </w:rPr>
        <w:t xml:space="preserve"> de tenir la Vingtième Réunion ordinaire du Comité consultatif le 5 avril ou aux environs de cette date pour observer la Journée interaméricaine pour contrecarrer le trafic illicite d’armes à feu, à cause des contre-mesures en vigueur à cause de la COVID-19 en ce moment, le Secrétariat </w:t>
      </w:r>
      <w:r>
        <w:rPr>
          <w:rStyle w:val="PageNumber1"/>
          <w:rFonts w:ascii="Times New Roman" w:hAnsi="Times New Roman"/>
          <w:i/>
          <w:sz w:val="22"/>
          <w:szCs w:val="22"/>
          <w:lang w:val="fr-CA"/>
        </w:rPr>
        <w:t xml:space="preserve">pro </w:t>
      </w:r>
      <w:proofErr w:type="spellStart"/>
      <w:r>
        <w:rPr>
          <w:rStyle w:val="PageNumber1"/>
          <w:rFonts w:ascii="Times New Roman" w:hAnsi="Times New Roman"/>
          <w:i/>
          <w:sz w:val="22"/>
          <w:szCs w:val="22"/>
          <w:lang w:val="fr-CA"/>
        </w:rPr>
        <w:t>tempore</w:t>
      </w:r>
      <w:proofErr w:type="spellEnd"/>
      <w:r>
        <w:rPr>
          <w:rStyle w:val="PageNumber1"/>
          <w:rFonts w:ascii="Times New Roman" w:hAnsi="Times New Roman"/>
          <w:sz w:val="22"/>
          <w:szCs w:val="22"/>
          <w:lang w:val="fr-CA"/>
        </w:rPr>
        <w:t xml:space="preserve"> a demandé au Conseil permanent de l’Organisation de remettre cette réunion à plus tard. Cette demande a reçu une réponse positive par l’adoption de la résolution CP/RES. 1152 (2282/20).</w:t>
      </w:r>
    </w:p>
    <w:p w14:paraId="350B4866" w14:textId="77777777" w:rsidR="0080331A" w:rsidRDefault="0080331A" w:rsidP="0080331A">
      <w:pPr>
        <w:pStyle w:val="NormalWeb"/>
        <w:shd w:val="clear" w:color="auto" w:fill="FFFFFF"/>
        <w:suppressAutoHyphens/>
        <w:spacing w:before="0" w:beforeAutospacing="0" w:after="0" w:afterAutospacing="0"/>
        <w:ind w:right="75"/>
        <w:jc w:val="both"/>
        <w:rPr>
          <w:rStyle w:val="PageNumber1"/>
          <w:rFonts w:ascii="Times New Roman" w:hAnsi="Times New Roman"/>
          <w:sz w:val="22"/>
          <w:szCs w:val="22"/>
          <w:lang w:val="fr-CA"/>
        </w:rPr>
      </w:pPr>
    </w:p>
    <w:p w14:paraId="0CE5473A" w14:textId="77777777" w:rsidR="0080331A" w:rsidRDefault="0080331A" w:rsidP="0080331A">
      <w:pPr>
        <w:pStyle w:val="NormalWeb"/>
        <w:shd w:val="clear" w:color="auto" w:fill="FFFFFF"/>
        <w:suppressAutoHyphens/>
        <w:spacing w:before="0" w:beforeAutospacing="0" w:after="0" w:afterAutospacing="0"/>
        <w:ind w:right="75" w:firstLine="720"/>
        <w:jc w:val="both"/>
        <w:rPr>
          <w:rStyle w:val="PageNumber1"/>
          <w:rFonts w:ascii="Times New Roman" w:hAnsi="Times New Roman"/>
          <w:sz w:val="22"/>
          <w:szCs w:val="22"/>
          <w:lang w:val="fr-CA"/>
        </w:rPr>
      </w:pPr>
      <w:r>
        <w:rPr>
          <w:rStyle w:val="PageNumber1"/>
          <w:rFonts w:ascii="Times New Roman" w:hAnsi="Times New Roman"/>
          <w:sz w:val="22"/>
          <w:szCs w:val="22"/>
          <w:lang w:val="fr-CA"/>
        </w:rPr>
        <w:t xml:space="preserve">Quelques mois plus tard, une fois les protocoles pertinents établis, et à titre de suivi des décisions prises dans la résolution AG/RES. 2950 (L-O/20) de 2020, le Secrétariat </w:t>
      </w:r>
      <w:r>
        <w:rPr>
          <w:rStyle w:val="PageNumber1"/>
          <w:rFonts w:ascii="Times New Roman" w:hAnsi="Times New Roman"/>
          <w:i/>
          <w:sz w:val="22"/>
          <w:szCs w:val="22"/>
          <w:lang w:val="fr-CA"/>
        </w:rPr>
        <w:t xml:space="preserve">pro </w:t>
      </w:r>
      <w:proofErr w:type="spellStart"/>
      <w:r>
        <w:rPr>
          <w:rStyle w:val="PageNumber1"/>
          <w:rFonts w:ascii="Times New Roman" w:hAnsi="Times New Roman"/>
          <w:i/>
          <w:sz w:val="22"/>
          <w:szCs w:val="22"/>
          <w:lang w:val="fr-CA"/>
        </w:rPr>
        <w:t>tempore</w:t>
      </w:r>
      <w:proofErr w:type="spellEnd"/>
      <w:r>
        <w:rPr>
          <w:rStyle w:val="PageNumber1"/>
          <w:rFonts w:ascii="Times New Roman" w:hAnsi="Times New Roman"/>
          <w:sz w:val="22"/>
          <w:szCs w:val="22"/>
          <w:lang w:val="fr-CA"/>
        </w:rPr>
        <w:t xml:space="preserve"> a demandé de nouveau au Conseil permanent d’approuver une résolution établissant le lieu et la date de cette réunion ordinaire. Il a été accédé à cette demande par la résolution CP/RES. 1162 du 18 novembre 2020, qui fixait au 17 décembre 2020 la date de la Vingtième Réunion ordinaire du Comité consultatif de la CIFTA, laquelle aura lieu selon le mode virtuel depuis le siège de l’OEA.</w:t>
      </w:r>
    </w:p>
    <w:p w14:paraId="52EA2B33" w14:textId="77777777" w:rsidR="0080331A" w:rsidRDefault="0080331A" w:rsidP="0080331A">
      <w:pPr>
        <w:pStyle w:val="NormalWeb"/>
        <w:shd w:val="clear" w:color="auto" w:fill="FFFFFF"/>
        <w:suppressAutoHyphens/>
        <w:spacing w:before="0" w:beforeAutospacing="0" w:after="0" w:afterAutospacing="0"/>
        <w:ind w:right="75"/>
        <w:jc w:val="both"/>
        <w:rPr>
          <w:rStyle w:val="PageNumber1"/>
          <w:rFonts w:ascii="Times New Roman" w:hAnsi="Times New Roman"/>
          <w:sz w:val="22"/>
          <w:szCs w:val="22"/>
          <w:lang w:val="fr-CA"/>
        </w:rPr>
      </w:pPr>
    </w:p>
    <w:p w14:paraId="7C882707" w14:textId="77777777" w:rsidR="0080331A" w:rsidRDefault="0080331A" w:rsidP="0080331A">
      <w:pPr>
        <w:pStyle w:val="NormalWeb"/>
        <w:shd w:val="clear" w:color="auto" w:fill="FFFFFF"/>
        <w:suppressAutoHyphens/>
        <w:spacing w:before="0" w:beforeAutospacing="0" w:after="0" w:afterAutospacing="0"/>
        <w:ind w:right="75" w:firstLine="720"/>
        <w:jc w:val="both"/>
        <w:rPr>
          <w:rStyle w:val="PageNumber1"/>
          <w:rFonts w:ascii="Times New Roman" w:hAnsi="Times New Roman"/>
          <w:sz w:val="22"/>
          <w:szCs w:val="22"/>
          <w:lang w:val="fr-CA"/>
        </w:rPr>
      </w:pPr>
      <w:r>
        <w:rPr>
          <w:rStyle w:val="PageNumber1"/>
          <w:rFonts w:ascii="Times New Roman" w:hAnsi="Times New Roman"/>
          <w:sz w:val="22"/>
          <w:szCs w:val="22"/>
          <w:lang w:val="fr-CA"/>
        </w:rPr>
        <w:t xml:space="preserve">Conformément aux dispositions de l’alinéa 6 de l’article XXI de la Convention, le Secrétariat </w:t>
      </w:r>
      <w:r>
        <w:rPr>
          <w:rStyle w:val="PageNumber1"/>
          <w:rFonts w:ascii="Times New Roman" w:hAnsi="Times New Roman"/>
          <w:i/>
          <w:sz w:val="22"/>
          <w:szCs w:val="22"/>
          <w:lang w:val="fr-CA"/>
        </w:rPr>
        <w:t xml:space="preserve">pro </w:t>
      </w:r>
      <w:proofErr w:type="spellStart"/>
      <w:r>
        <w:rPr>
          <w:rStyle w:val="PageNumber1"/>
          <w:rFonts w:ascii="Times New Roman" w:hAnsi="Times New Roman"/>
          <w:i/>
          <w:sz w:val="22"/>
          <w:szCs w:val="22"/>
          <w:lang w:val="fr-CA"/>
        </w:rPr>
        <w:t>tempore</w:t>
      </w:r>
      <w:proofErr w:type="spellEnd"/>
      <w:r>
        <w:rPr>
          <w:rStyle w:val="PageNumber1"/>
          <w:rFonts w:ascii="Times New Roman" w:hAnsi="Times New Roman"/>
          <w:sz w:val="22"/>
          <w:szCs w:val="22"/>
          <w:lang w:val="fr-CA"/>
        </w:rPr>
        <w:t xml:space="preserve"> a convoqué la XX</w:t>
      </w:r>
      <w:r>
        <w:rPr>
          <w:rStyle w:val="PageNumber1"/>
          <w:rFonts w:ascii="Times New Roman" w:hAnsi="Times New Roman"/>
          <w:sz w:val="22"/>
          <w:szCs w:val="22"/>
          <w:vertAlign w:val="superscript"/>
          <w:lang w:val="fr-CA"/>
        </w:rPr>
        <w:t>e</w:t>
      </w:r>
      <w:r>
        <w:rPr>
          <w:rStyle w:val="PageNumber1"/>
          <w:rFonts w:ascii="Times New Roman" w:hAnsi="Times New Roman"/>
          <w:sz w:val="22"/>
          <w:szCs w:val="22"/>
          <w:lang w:val="fr-CA"/>
        </w:rPr>
        <w:t xml:space="preserve"> Réunion ordinaire du Comité consultatif, par le biais du document portant la cote CIFTA/CC-XX/doc.1/20, procédant à l’élaboration des projets d’ordre du jour, de calendrier et de la liste des invités; ces documents ont été diffusés et présentés aux États membres de l’Organisation pour examen par un procédé virtuel, adopté vu les mesures de prévention prises en réponse à la pandémie de COVID-19.</w:t>
      </w:r>
    </w:p>
    <w:p w14:paraId="0E4E4024" w14:textId="77777777" w:rsidR="0080331A" w:rsidRDefault="0080331A" w:rsidP="0080331A">
      <w:pPr>
        <w:pStyle w:val="NormalWeb"/>
        <w:suppressAutoHyphens/>
        <w:spacing w:before="0" w:beforeAutospacing="0" w:after="0" w:afterAutospacing="0"/>
        <w:jc w:val="both"/>
        <w:rPr>
          <w:rStyle w:val="PageNumber1"/>
          <w:rFonts w:ascii="Times New Roman" w:hAnsi="Times New Roman"/>
          <w:sz w:val="22"/>
          <w:szCs w:val="22"/>
          <w:lang w:val="fr-CA"/>
        </w:rPr>
      </w:pPr>
    </w:p>
    <w:p w14:paraId="6AFF5DA6" w14:textId="77777777" w:rsidR="0080331A" w:rsidRPr="0080331A" w:rsidRDefault="0080331A" w:rsidP="0080331A">
      <w:pPr>
        <w:suppressAutoHyphens/>
        <w:jc w:val="both"/>
        <w:rPr>
          <w:lang w:val="fr-CA"/>
        </w:rPr>
      </w:pPr>
    </w:p>
    <w:p w14:paraId="61B88876" w14:textId="77777777" w:rsidR="0080331A" w:rsidRDefault="0080331A" w:rsidP="0080331A">
      <w:pPr>
        <w:suppressAutoHyphens/>
        <w:jc w:val="both"/>
        <w:rPr>
          <w:sz w:val="22"/>
          <w:szCs w:val="22"/>
          <w:lang w:val="fr-CA"/>
        </w:rPr>
      </w:pPr>
    </w:p>
    <w:p w14:paraId="7F580B14" w14:textId="77777777" w:rsidR="0080331A" w:rsidRPr="0080331A" w:rsidRDefault="0080331A" w:rsidP="0080331A">
      <w:pPr>
        <w:suppressAutoHyphens/>
        <w:jc w:val="center"/>
        <w:rPr>
          <w:rStyle w:val="PageNumber1"/>
          <w:lang w:val="fr-CA"/>
        </w:rPr>
      </w:pPr>
      <w:r>
        <w:rPr>
          <w:rStyle w:val="PageNumber1"/>
          <w:sz w:val="22"/>
          <w:szCs w:val="22"/>
          <w:lang w:val="fr-CA"/>
        </w:rPr>
        <w:t xml:space="preserve">Luz Elena </w:t>
      </w:r>
      <w:proofErr w:type="spellStart"/>
      <w:r>
        <w:rPr>
          <w:rStyle w:val="PageNumber1"/>
          <w:sz w:val="22"/>
          <w:szCs w:val="22"/>
          <w:lang w:val="fr-CA"/>
        </w:rPr>
        <w:t>Baños</w:t>
      </w:r>
      <w:proofErr w:type="spellEnd"/>
      <w:r>
        <w:rPr>
          <w:rStyle w:val="PageNumber1"/>
          <w:sz w:val="22"/>
          <w:szCs w:val="22"/>
          <w:lang w:val="fr-CA"/>
        </w:rPr>
        <w:t xml:space="preserve"> Rivas</w:t>
      </w:r>
    </w:p>
    <w:p w14:paraId="6FADF3E7" w14:textId="77777777" w:rsidR="0080331A" w:rsidRDefault="0080331A" w:rsidP="0080331A">
      <w:pPr>
        <w:suppressAutoHyphens/>
        <w:jc w:val="center"/>
        <w:rPr>
          <w:rStyle w:val="PageNumber1"/>
          <w:sz w:val="22"/>
          <w:szCs w:val="22"/>
          <w:lang w:val="fr-CA"/>
        </w:rPr>
      </w:pPr>
      <w:r>
        <w:rPr>
          <w:rStyle w:val="PageNumber1"/>
          <w:sz w:val="22"/>
          <w:szCs w:val="22"/>
          <w:lang w:val="fr-CA"/>
        </w:rPr>
        <w:t>Ambassadrice et Représentante permanente du Mexique près l’OEA</w:t>
      </w:r>
    </w:p>
    <w:p w14:paraId="7F72C5A6" w14:textId="1997C1E2" w:rsidR="0080331A" w:rsidRPr="0080331A" w:rsidRDefault="0080331A" w:rsidP="0080331A">
      <w:pPr>
        <w:tabs>
          <w:tab w:val="left" w:pos="720"/>
          <w:tab w:val="center" w:pos="5760"/>
          <w:tab w:val="left" w:pos="6840"/>
        </w:tabs>
        <w:jc w:val="center"/>
        <w:rPr>
          <w:lang w:val="fr-CA"/>
        </w:rPr>
      </w:pPr>
      <w:r>
        <w:rPr>
          <w:noProof/>
        </w:rPr>
        <mc:AlternateContent>
          <mc:Choice Requires="wps">
            <w:drawing>
              <wp:anchor distT="0" distB="0" distL="114300" distR="114300" simplePos="0" relativeHeight="251659264" behindDoc="0" locked="1" layoutInCell="1" allowOverlap="1" wp14:anchorId="2C58B3F9" wp14:editId="057CA377">
                <wp:simplePos x="0" y="0"/>
                <wp:positionH relativeFrom="column">
                  <wp:posOffset>-83820</wp:posOffset>
                </wp:positionH>
                <wp:positionV relativeFrom="page">
                  <wp:posOffset>9056370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1FD266E" w14:textId="183FD104" w:rsidR="0080331A" w:rsidRDefault="0080331A" w:rsidP="0080331A">
                            <w:pPr>
                              <w:rPr>
                                <w:sz w:val="18"/>
                              </w:rPr>
                            </w:pPr>
                            <w:r>
                              <w:rPr>
                                <w:sz w:val="18"/>
                              </w:rPr>
                              <w:fldChar w:fldCharType="begin"/>
                            </w:r>
                            <w:r>
                              <w:rPr>
                                <w:sz w:val="18"/>
                              </w:rPr>
                              <w:instrText xml:space="preserve"> FILENAME  \* MERGEFORMAT </w:instrText>
                            </w:r>
                            <w:r>
                              <w:rPr>
                                <w:sz w:val="18"/>
                              </w:rPr>
                              <w:fldChar w:fldCharType="separate"/>
                            </w:r>
                            <w:r>
                              <w:rPr>
                                <w:noProof/>
                                <w:sz w:val="18"/>
                              </w:rPr>
                              <w:t>CIFTA00885F01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58B3F9" id="_x0000_t202" coordsize="21600,21600" o:spt="202" path="m,l,21600r21600,l21600,xe">
                <v:stroke joinstyle="miter"/>
                <v:path gradientshapeok="t" o:connecttype="rect"/>
              </v:shapetype>
              <v:shape id="Text Box 2" o:spid="_x0000_s1026" type="#_x0000_t202" style="position:absolute;left:0;text-align:left;margin-left:-6.6pt;margin-top:713.1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" filled="f" stroked="f">
                <v:stroke joinstyle="round"/>
                <v:path arrowok="t"/>
                <v:textbox>
                  <w:txbxContent>
                    <w:p w14:paraId="61FD266E" w14:textId="183FD104" w:rsidR="0080331A" w:rsidRDefault="0080331A" w:rsidP="0080331A">
                      <w:pPr>
                        <w:rPr>
                          <w:sz w:val="18"/>
                        </w:rPr>
                      </w:pPr>
                      <w:r>
                        <w:rPr>
                          <w:sz w:val="18"/>
                        </w:rPr>
                        <w:fldChar w:fldCharType="begin"/>
                      </w:r>
                      <w:r>
                        <w:rPr>
                          <w:sz w:val="18"/>
                        </w:rPr>
                        <w:instrText xml:space="preserve"> FILENAME  \* MERGEFORMAT </w:instrText>
                      </w:r>
                      <w:r>
                        <w:rPr>
                          <w:sz w:val="18"/>
                        </w:rPr>
                        <w:fldChar w:fldCharType="separate"/>
                      </w:r>
                      <w:r>
                        <w:rPr>
                          <w:noProof/>
                          <w:sz w:val="18"/>
                        </w:rPr>
                        <w:t>CIFTA00885F01</w:t>
                      </w:r>
                      <w:r>
                        <w:rPr>
                          <w:sz w:val="18"/>
                        </w:rPr>
                        <w:fldChar w:fldCharType="end"/>
                      </w:r>
                    </w:p>
                  </w:txbxContent>
                </v:textbox>
                <w10:wrap anchory="page"/>
                <w10:anchorlock/>
              </v:shape>
            </w:pict>
          </mc:Fallback>
        </mc:AlternateContent>
      </w:r>
      <w:r>
        <w:rPr>
          <w:rStyle w:val="PageNumber1"/>
          <w:sz w:val="22"/>
          <w:szCs w:val="22"/>
          <w:lang w:val="fr-CA"/>
        </w:rPr>
        <w:t xml:space="preserve">Secrétariat </w:t>
      </w:r>
      <w:r>
        <w:rPr>
          <w:rStyle w:val="PageNumber1"/>
          <w:i/>
          <w:sz w:val="22"/>
          <w:szCs w:val="22"/>
          <w:lang w:val="fr-CA"/>
        </w:rPr>
        <w:t xml:space="preserve">pro </w:t>
      </w:r>
      <w:proofErr w:type="spellStart"/>
      <w:r>
        <w:rPr>
          <w:rStyle w:val="PageNumber1"/>
          <w:i/>
          <w:sz w:val="22"/>
          <w:szCs w:val="22"/>
          <w:lang w:val="fr-CA"/>
        </w:rPr>
        <w:t>tempore</w:t>
      </w:r>
      <w:proofErr w:type="spellEnd"/>
      <w:r>
        <w:rPr>
          <w:rStyle w:val="PageNumber1"/>
          <w:sz w:val="22"/>
          <w:szCs w:val="22"/>
          <w:lang w:val="fr-CA"/>
        </w:rPr>
        <w:t xml:space="preserve"> du Comité consultatif de la CIFTA</w:t>
      </w:r>
    </w:p>
    <w:p w14:paraId="0B6544A9" w14:textId="50D23C1B" w:rsidR="00430525" w:rsidRPr="0080331A" w:rsidRDefault="00430525" w:rsidP="0080331A">
      <w:pPr>
        <w:rPr>
          <w:lang w:val="fr-CA"/>
        </w:rPr>
      </w:pPr>
      <w:bookmarkStart w:id="2" w:name="_GoBack"/>
      <w:bookmarkEnd w:id="2"/>
    </w:p>
    <w:sectPr w:rsidR="00430525" w:rsidRPr="0080331A" w:rsidSect="0080331A">
      <w:headerReference w:type="even" r:id="rId10"/>
      <w:headerReference w:type="default" r:id="rId11"/>
      <w:footerReference w:type="even" r:id="rId12"/>
      <w:footerReference w:type="default" r:id="rId13"/>
      <w:pgSz w:w="12240" w:h="15840"/>
      <w:pgMar w:top="1440" w:right="126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E2B1" w14:textId="77777777" w:rsidR="00103B12" w:rsidRDefault="00103B12">
      <w:r>
        <w:separator/>
      </w:r>
    </w:p>
  </w:endnote>
  <w:endnote w:type="continuationSeparator" w:id="0">
    <w:p w14:paraId="21292754" w14:textId="77777777" w:rsidR="00103B12" w:rsidRDefault="0010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398F" w14:textId="77777777"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EE64F" w14:textId="77777777" w:rsidR="00743927" w:rsidRDefault="00743927" w:rsidP="00774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126D" w14:textId="687C6B77"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31A">
      <w:rPr>
        <w:rStyle w:val="PageNumber"/>
        <w:noProof/>
      </w:rPr>
      <w:t>3</w:t>
    </w:r>
    <w:r>
      <w:rPr>
        <w:rStyle w:val="PageNumber"/>
      </w:rPr>
      <w:fldChar w:fldCharType="end"/>
    </w:r>
  </w:p>
  <w:p w14:paraId="1C6BBE76" w14:textId="77777777" w:rsidR="00743927" w:rsidRDefault="00743927" w:rsidP="007742FC">
    <w:pPr>
      <w:pStyle w:val="Footer"/>
      <w:framePr w:wrap="around" w:vAnchor="text" w:hAnchor="margin" w:xAlign="center" w:y="1"/>
      <w:ind w:right="360"/>
      <w:rPr>
        <w:rStyle w:val="PageNumber"/>
      </w:rPr>
    </w:pPr>
  </w:p>
  <w:p w14:paraId="6C7666B1" w14:textId="77777777" w:rsidR="00743927" w:rsidRDefault="0074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F6B2" w14:textId="77777777" w:rsidR="00103B12" w:rsidRDefault="00103B12">
      <w:r>
        <w:separator/>
      </w:r>
    </w:p>
  </w:footnote>
  <w:footnote w:type="continuationSeparator" w:id="0">
    <w:p w14:paraId="1F56F675" w14:textId="77777777" w:rsidR="00103B12" w:rsidRDefault="00103B12">
      <w:r>
        <w:continuationSeparator/>
      </w:r>
    </w:p>
  </w:footnote>
  <w:footnote w:id="1">
    <w:p w14:paraId="71155E53" w14:textId="77777777" w:rsidR="0080331A" w:rsidRDefault="0080331A" w:rsidP="0080331A">
      <w:pPr>
        <w:pStyle w:val="FootnoteText"/>
        <w:ind w:left="720" w:hanging="360"/>
        <w:jc w:val="both"/>
        <w:rPr>
          <w:lang w:val="fr-CA"/>
        </w:rPr>
      </w:pPr>
      <w:r>
        <w:rPr>
          <w:rStyle w:val="FootnoteReference"/>
          <w:lang w:val="fr-CA"/>
        </w:rPr>
        <w:footnoteRef/>
      </w:r>
      <w:r>
        <w:rPr>
          <w:lang w:val="fr-CA"/>
        </w:rPr>
        <w:t>.</w:t>
      </w:r>
      <w:r>
        <w:rPr>
          <w:lang w:val="fr-CA"/>
        </w:rPr>
        <w:tab/>
        <w:t>La première édition a eu lieu du 5 au 7 novembre 2019 au Secrétariat aux relations extérieures. Des représentants du Belize, du Costa Rica, de Cuba, d’El Salvador, des États-Unis, du Guatemala, du Honduras, du Mexique, du Nicaragua, du Panama et de la République dominicaine y ont participé. Par la suite, la deuxième édition a eu lieu du 13 au 15 novembre de l’année en cours à l’hôtel Fiesta Americana. Des représentants de l’Argentine, du Brésil, du Chili, de la Colombie, de l’Équateur, du Guyana, du Mexique, du Pérou, du Paraguay, de l’Uruguay et du Venezuela y ont participé.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1233" w14:textId="77777777" w:rsidR="00743927" w:rsidRPr="005079FE" w:rsidRDefault="00743927" w:rsidP="003652E9">
    <w:pPr>
      <w:pStyle w:val="Header"/>
      <w:framePr w:wrap="around" w:vAnchor="text" w:hAnchor="margin" w:xAlign="center" w:y="1"/>
      <w:rPr>
        <w:rStyle w:val="PageNumber"/>
        <w:sz w:val="22"/>
        <w:szCs w:val="22"/>
      </w:rPr>
    </w:pPr>
    <w:r w:rsidRPr="005079FE">
      <w:rPr>
        <w:rStyle w:val="PageNumber"/>
        <w:sz w:val="22"/>
        <w:szCs w:val="22"/>
      </w:rPr>
      <w:fldChar w:fldCharType="begin"/>
    </w:r>
    <w:r w:rsidRPr="005079FE">
      <w:rPr>
        <w:rStyle w:val="PageNumber"/>
        <w:sz w:val="22"/>
        <w:szCs w:val="22"/>
      </w:rPr>
      <w:instrText xml:space="preserve">PAGE  </w:instrText>
    </w:r>
    <w:r w:rsidRPr="005079FE">
      <w:rPr>
        <w:rStyle w:val="PageNumber"/>
        <w:sz w:val="22"/>
        <w:szCs w:val="22"/>
      </w:rPr>
      <w:fldChar w:fldCharType="separate"/>
    </w:r>
    <w:r>
      <w:rPr>
        <w:rStyle w:val="PageNumber"/>
        <w:noProof/>
        <w:sz w:val="22"/>
        <w:szCs w:val="22"/>
      </w:rPr>
      <w:t>- 4 -</w:t>
    </w:r>
    <w:r w:rsidRPr="005079FE">
      <w:rPr>
        <w:rStyle w:val="PageNumber"/>
        <w:sz w:val="22"/>
        <w:szCs w:val="22"/>
      </w:rPr>
      <w:fldChar w:fldCharType="end"/>
    </w:r>
  </w:p>
  <w:p w14:paraId="77B00777" w14:textId="77777777" w:rsidR="00743927" w:rsidRDefault="00743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8E24" w14:textId="77777777" w:rsidR="00743927" w:rsidRPr="0094193A" w:rsidRDefault="00743927" w:rsidP="003652E9">
    <w:pPr>
      <w:pStyle w:val="Header"/>
      <w:framePr w:wrap="around" w:vAnchor="text" w:hAnchor="margin" w:xAlign="center" w:y="1"/>
      <w:rPr>
        <w:rStyle w:val="PageNumber"/>
        <w:sz w:val="22"/>
        <w:szCs w:val="22"/>
      </w:rPr>
    </w:pPr>
  </w:p>
  <w:p w14:paraId="5912D2BE" w14:textId="77777777" w:rsidR="00743927" w:rsidRDefault="00743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26A"/>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DA528A"/>
    <w:multiLevelType w:val="multilevel"/>
    <w:tmpl w:val="12C22026"/>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rPr>
        <w:b/>
        <w:color w:val="000080"/>
      </w:r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low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C8D"/>
    <w:multiLevelType w:val="hybridMultilevel"/>
    <w:tmpl w:val="1496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138E1"/>
    <w:multiLevelType w:val="hybridMultilevel"/>
    <w:tmpl w:val="5A3AD338"/>
    <w:lvl w:ilvl="0" w:tplc="A8DECE2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24E82"/>
    <w:multiLevelType w:val="hybridMultilevel"/>
    <w:tmpl w:val="0E66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CA4371"/>
    <w:multiLevelType w:val="hybridMultilevel"/>
    <w:tmpl w:val="19CAAE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32B472D2"/>
    <w:multiLevelType w:val="hybridMultilevel"/>
    <w:tmpl w:val="79A2B52E"/>
    <w:lvl w:ilvl="0" w:tplc="4AB6B35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4252BFA"/>
    <w:multiLevelType w:val="hybridMultilevel"/>
    <w:tmpl w:val="76AE70D8"/>
    <w:lvl w:ilvl="0" w:tplc="705CE442">
      <w:start w:val="2"/>
      <w:numFmt w:val="lowerLetter"/>
      <w:lvlText w:val="%1.)"/>
      <w:lvlJc w:val="left"/>
      <w:pPr>
        <w:tabs>
          <w:tab w:val="num" w:pos="720"/>
        </w:tabs>
        <w:ind w:left="720" w:hanging="360"/>
      </w:pPr>
      <w:rPr>
        <w:rFonts w:hint="default"/>
      </w:rPr>
    </w:lvl>
    <w:lvl w:ilvl="1" w:tplc="89E0F1F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35C283C">
      <w:start w:val="2"/>
      <w:numFmt w:val="lowerLetter"/>
      <w:lvlText w:val="%4."/>
      <w:lvlJc w:val="left"/>
      <w:pPr>
        <w:tabs>
          <w:tab w:val="num" w:pos="3420"/>
        </w:tabs>
        <w:ind w:left="34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C622A8"/>
    <w:multiLevelType w:val="hybridMultilevel"/>
    <w:tmpl w:val="8B7814BE"/>
    <w:lvl w:ilvl="0" w:tplc="290E5512">
      <w:start w:val="1"/>
      <w:numFmt w:val="bullet"/>
      <w:lvlText w:val="•"/>
      <w:lvlJc w:val="left"/>
      <w:pPr>
        <w:tabs>
          <w:tab w:val="num" w:pos="720"/>
        </w:tabs>
        <w:ind w:left="720" w:hanging="360"/>
      </w:pPr>
      <w:rPr>
        <w:rFonts w:ascii="Arial" w:hAnsi="Arial" w:hint="default"/>
      </w:rPr>
    </w:lvl>
    <w:lvl w:ilvl="1" w:tplc="F5EE69E6" w:tentative="1">
      <w:start w:val="1"/>
      <w:numFmt w:val="bullet"/>
      <w:lvlText w:val="•"/>
      <w:lvlJc w:val="left"/>
      <w:pPr>
        <w:tabs>
          <w:tab w:val="num" w:pos="1440"/>
        </w:tabs>
        <w:ind w:left="1440" w:hanging="360"/>
      </w:pPr>
      <w:rPr>
        <w:rFonts w:ascii="Arial" w:hAnsi="Arial" w:hint="default"/>
      </w:rPr>
    </w:lvl>
    <w:lvl w:ilvl="2" w:tplc="160C1D78" w:tentative="1">
      <w:start w:val="1"/>
      <w:numFmt w:val="bullet"/>
      <w:lvlText w:val="•"/>
      <w:lvlJc w:val="left"/>
      <w:pPr>
        <w:tabs>
          <w:tab w:val="num" w:pos="2160"/>
        </w:tabs>
        <w:ind w:left="2160" w:hanging="360"/>
      </w:pPr>
      <w:rPr>
        <w:rFonts w:ascii="Arial" w:hAnsi="Arial" w:hint="default"/>
      </w:rPr>
    </w:lvl>
    <w:lvl w:ilvl="3" w:tplc="094E4634" w:tentative="1">
      <w:start w:val="1"/>
      <w:numFmt w:val="bullet"/>
      <w:lvlText w:val="•"/>
      <w:lvlJc w:val="left"/>
      <w:pPr>
        <w:tabs>
          <w:tab w:val="num" w:pos="2880"/>
        </w:tabs>
        <w:ind w:left="2880" w:hanging="360"/>
      </w:pPr>
      <w:rPr>
        <w:rFonts w:ascii="Arial" w:hAnsi="Arial" w:hint="default"/>
      </w:rPr>
    </w:lvl>
    <w:lvl w:ilvl="4" w:tplc="85B01E12" w:tentative="1">
      <w:start w:val="1"/>
      <w:numFmt w:val="bullet"/>
      <w:lvlText w:val="•"/>
      <w:lvlJc w:val="left"/>
      <w:pPr>
        <w:tabs>
          <w:tab w:val="num" w:pos="3600"/>
        </w:tabs>
        <w:ind w:left="3600" w:hanging="360"/>
      </w:pPr>
      <w:rPr>
        <w:rFonts w:ascii="Arial" w:hAnsi="Arial" w:hint="default"/>
      </w:rPr>
    </w:lvl>
    <w:lvl w:ilvl="5" w:tplc="EA22D380" w:tentative="1">
      <w:start w:val="1"/>
      <w:numFmt w:val="bullet"/>
      <w:lvlText w:val="•"/>
      <w:lvlJc w:val="left"/>
      <w:pPr>
        <w:tabs>
          <w:tab w:val="num" w:pos="4320"/>
        </w:tabs>
        <w:ind w:left="4320" w:hanging="360"/>
      </w:pPr>
      <w:rPr>
        <w:rFonts w:ascii="Arial" w:hAnsi="Arial" w:hint="default"/>
      </w:rPr>
    </w:lvl>
    <w:lvl w:ilvl="6" w:tplc="89342B04" w:tentative="1">
      <w:start w:val="1"/>
      <w:numFmt w:val="bullet"/>
      <w:lvlText w:val="•"/>
      <w:lvlJc w:val="left"/>
      <w:pPr>
        <w:tabs>
          <w:tab w:val="num" w:pos="5040"/>
        </w:tabs>
        <w:ind w:left="5040" w:hanging="360"/>
      </w:pPr>
      <w:rPr>
        <w:rFonts w:ascii="Arial" w:hAnsi="Arial" w:hint="default"/>
      </w:rPr>
    </w:lvl>
    <w:lvl w:ilvl="7" w:tplc="BC4E8A26" w:tentative="1">
      <w:start w:val="1"/>
      <w:numFmt w:val="bullet"/>
      <w:lvlText w:val="•"/>
      <w:lvlJc w:val="left"/>
      <w:pPr>
        <w:tabs>
          <w:tab w:val="num" w:pos="5760"/>
        </w:tabs>
        <w:ind w:left="5760" w:hanging="360"/>
      </w:pPr>
      <w:rPr>
        <w:rFonts w:ascii="Arial" w:hAnsi="Arial" w:hint="default"/>
      </w:rPr>
    </w:lvl>
    <w:lvl w:ilvl="8" w:tplc="4614C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E0651"/>
    <w:multiLevelType w:val="hybridMultilevel"/>
    <w:tmpl w:val="755CBD00"/>
    <w:lvl w:ilvl="0" w:tplc="1922A5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8B64A7"/>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8425C"/>
    <w:multiLevelType w:val="hybridMultilevel"/>
    <w:tmpl w:val="DC648C2A"/>
    <w:lvl w:ilvl="0" w:tplc="4CDAA3F8">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4CDAA3F8">
      <w:start w:val="1"/>
      <w:numFmt w:val="bullet"/>
      <w:lvlText w:val=""/>
      <w:lvlJc w:val="left"/>
      <w:pPr>
        <w:tabs>
          <w:tab w:val="num" w:pos="6480"/>
        </w:tabs>
        <w:ind w:left="6480" w:hanging="360"/>
      </w:pPr>
      <w:rPr>
        <w:rFonts w:ascii="Symbol" w:hAnsi="Symbol"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4FF64BE1"/>
    <w:multiLevelType w:val="hybridMultilevel"/>
    <w:tmpl w:val="6B1233F4"/>
    <w:lvl w:ilvl="0" w:tplc="27F085FA">
      <w:numFmt w:val="bullet"/>
      <w:lvlText w:val=""/>
      <w:lvlJc w:val="left"/>
      <w:pPr>
        <w:ind w:left="1080" w:hanging="72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B268BD"/>
    <w:multiLevelType w:val="hybridMultilevel"/>
    <w:tmpl w:val="B1524184"/>
    <w:styleLink w:val="ImportedStyle2"/>
    <w:lvl w:ilvl="0" w:tplc="AEF0A6FC">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22AB56">
      <w:start w:val="1"/>
      <w:numFmt w:val="bullet"/>
      <w:lvlText w:val="o"/>
      <w:lvlJc w:val="left"/>
      <w:pPr>
        <w:tabs>
          <w:tab w:val="left" w:pos="720"/>
        </w:tabs>
        <w:ind w:left="14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4E8BFE6">
      <w:start w:val="1"/>
      <w:numFmt w:val="bullet"/>
      <w:lvlText w:val="▪"/>
      <w:lvlJc w:val="left"/>
      <w:pPr>
        <w:tabs>
          <w:tab w:val="left" w:pos="720"/>
        </w:tabs>
        <w:ind w:left="21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8DC5FE6">
      <w:start w:val="1"/>
      <w:numFmt w:val="bullet"/>
      <w:lvlText w:val="•"/>
      <w:lvlJc w:val="left"/>
      <w:pPr>
        <w:tabs>
          <w:tab w:val="left" w:pos="720"/>
        </w:tabs>
        <w:ind w:left="28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68EDDF4">
      <w:start w:val="1"/>
      <w:numFmt w:val="bullet"/>
      <w:lvlText w:val="o"/>
      <w:lvlJc w:val="left"/>
      <w:pPr>
        <w:tabs>
          <w:tab w:val="left" w:pos="720"/>
        </w:tabs>
        <w:ind w:left="36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5C8C244">
      <w:start w:val="1"/>
      <w:numFmt w:val="bullet"/>
      <w:lvlText w:val="▪"/>
      <w:lvlJc w:val="left"/>
      <w:pPr>
        <w:tabs>
          <w:tab w:val="left" w:pos="720"/>
        </w:tabs>
        <w:ind w:left="43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4D29938">
      <w:start w:val="1"/>
      <w:numFmt w:val="bullet"/>
      <w:lvlText w:val="•"/>
      <w:lvlJc w:val="left"/>
      <w:pPr>
        <w:tabs>
          <w:tab w:val="left" w:pos="720"/>
        </w:tabs>
        <w:ind w:left="50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74CAEB2">
      <w:start w:val="1"/>
      <w:numFmt w:val="bullet"/>
      <w:lvlText w:val="o"/>
      <w:lvlJc w:val="left"/>
      <w:pPr>
        <w:tabs>
          <w:tab w:val="left" w:pos="720"/>
        </w:tabs>
        <w:ind w:left="57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AB409EE">
      <w:start w:val="1"/>
      <w:numFmt w:val="bullet"/>
      <w:lvlText w:val="▪"/>
      <w:lvlJc w:val="left"/>
      <w:pPr>
        <w:tabs>
          <w:tab w:val="left" w:pos="720"/>
        </w:tabs>
        <w:ind w:left="64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2F7AF4"/>
    <w:multiLevelType w:val="hybridMultilevel"/>
    <w:tmpl w:val="E3CA5098"/>
    <w:lvl w:ilvl="0" w:tplc="E1C4DD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4F02E6"/>
    <w:multiLevelType w:val="hybridMultilevel"/>
    <w:tmpl w:val="3004725C"/>
    <w:lvl w:ilvl="0" w:tplc="F71A6D2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0C53C0C"/>
    <w:multiLevelType w:val="hybridMultilevel"/>
    <w:tmpl w:val="B1524184"/>
    <w:numStyleLink w:val="ImportedStyle2"/>
  </w:abstractNum>
  <w:abstractNum w:abstractNumId="23" w15:restartNumberingAfterBreak="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872859"/>
    <w:multiLevelType w:val="hybridMultilevel"/>
    <w:tmpl w:val="991C581E"/>
    <w:lvl w:ilvl="0" w:tplc="7F204FF2">
      <w:start w:val="1"/>
      <w:numFmt w:val="decimal"/>
      <w:lvlText w:val="%1."/>
      <w:lvlJc w:val="left"/>
      <w:pPr>
        <w:tabs>
          <w:tab w:val="num" w:pos="720"/>
        </w:tabs>
        <w:ind w:left="720" w:hanging="360"/>
      </w:pPr>
      <w:rPr>
        <w:lang w:val="es-AR"/>
      </w:rPr>
    </w:lvl>
    <w:lvl w:ilvl="1" w:tplc="C9D8F6CE">
      <w:start w:val="1"/>
      <w:numFmt w:val="lowerLetter"/>
      <w:lvlText w:val="%2)"/>
      <w:lvlJc w:val="left"/>
      <w:pPr>
        <w:tabs>
          <w:tab w:val="num" w:pos="1440"/>
        </w:tabs>
        <w:ind w:left="1440" w:hanging="360"/>
      </w:pPr>
      <w:rPr>
        <w:b/>
        <w:color w:val="000000"/>
      </w:r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1800"/>
        </w:tabs>
        <w:ind w:left="1800" w:hanging="360"/>
      </w:pPr>
      <w:rPr>
        <w:lang w:val="es-AR"/>
      </w:rPr>
    </w:lvl>
    <w:lvl w:ilvl="5" w:tplc="0409001B">
      <w:start w:val="1"/>
      <w:numFmt w:val="lowerRoman"/>
      <w:lvlText w:val="%6."/>
      <w:lvlJc w:val="right"/>
      <w:pPr>
        <w:tabs>
          <w:tab w:val="num" w:pos="4320"/>
        </w:tabs>
        <w:ind w:left="4320" w:hanging="180"/>
      </w:pPr>
    </w:lvl>
    <w:lvl w:ilvl="6" w:tplc="262E303E">
      <w:start w:val="1"/>
      <w:numFmt w:val="low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7054CFA"/>
    <w:multiLevelType w:val="hybridMultilevel"/>
    <w:tmpl w:val="4D90065A"/>
    <w:lvl w:ilvl="0" w:tplc="8B1661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2F7191"/>
    <w:multiLevelType w:val="hybridMultilevel"/>
    <w:tmpl w:val="2DDEEBF0"/>
    <w:lvl w:ilvl="0" w:tplc="E41C8F2E">
      <w:start w:val="21"/>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9"/>
  </w:num>
  <w:num w:numId="3">
    <w:abstractNumId w:val="28"/>
  </w:num>
  <w:num w:numId="4">
    <w:abstractNumId w:val="25"/>
  </w:num>
  <w:num w:numId="5">
    <w:abstractNumId w:val="14"/>
  </w:num>
  <w:num w:numId="6">
    <w:abstractNumId w:val="24"/>
  </w:num>
  <w:num w:numId="7">
    <w:abstractNumId w:val="20"/>
  </w:num>
  <w:num w:numId="8">
    <w:abstractNumId w:val="2"/>
  </w:num>
  <w:num w:numId="9">
    <w:abstractNumId w:val="23"/>
  </w:num>
  <w:num w:numId="10">
    <w:abstractNumId w:val="12"/>
  </w:num>
  <w:num w:numId="11">
    <w:abstractNumId w:val="0"/>
  </w:num>
  <w:num w:numId="1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6"/>
  </w:num>
  <w:num w:numId="16">
    <w:abstractNumId w:val="15"/>
  </w:num>
  <w:num w:numId="17">
    <w:abstractNumId w:val="8"/>
  </w:num>
  <w:num w:numId="18">
    <w:abstractNumId w:val="7"/>
  </w:num>
  <w:num w:numId="19">
    <w:abstractNumId w:val="26"/>
  </w:num>
  <w:num w:numId="20">
    <w:abstractNumId w:val="1"/>
  </w:num>
  <w:num w:numId="21">
    <w:abstractNumId w:val="18"/>
  </w:num>
  <w:num w:numId="22">
    <w:abstractNumId w:val="11"/>
  </w:num>
  <w:num w:numId="23">
    <w:abstractNumId w:val="9"/>
  </w:num>
  <w:num w:numId="24">
    <w:abstractNumId w:val="27"/>
  </w:num>
  <w:num w:numId="25">
    <w:abstractNumId w:val="3"/>
  </w:num>
  <w:num w:numId="26">
    <w:abstractNumId w:val="4"/>
  </w:num>
  <w:num w:numId="27">
    <w:abstractNumId w:val="17"/>
  </w:num>
  <w:num w:numId="28">
    <w:abstractNumId w:val="22"/>
  </w:num>
  <w:num w:numId="29">
    <w:abstractNumId w:val="5"/>
  </w:num>
  <w:num w:numId="30">
    <w:abstractNumId w:val="16"/>
  </w:num>
  <w:num w:numId="3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06"/>
    <w:rsid w:val="00021985"/>
    <w:rsid w:val="0004548E"/>
    <w:rsid w:val="0006778D"/>
    <w:rsid w:val="00074CBB"/>
    <w:rsid w:val="00087E44"/>
    <w:rsid w:val="000975A2"/>
    <w:rsid w:val="000A1274"/>
    <w:rsid w:val="000A2095"/>
    <w:rsid w:val="000A5B49"/>
    <w:rsid w:val="000B357D"/>
    <w:rsid w:val="000D1B4D"/>
    <w:rsid w:val="000D263C"/>
    <w:rsid w:val="000D2643"/>
    <w:rsid w:val="000D3F08"/>
    <w:rsid w:val="000F0C87"/>
    <w:rsid w:val="000F797A"/>
    <w:rsid w:val="00102AC2"/>
    <w:rsid w:val="00103B12"/>
    <w:rsid w:val="00147000"/>
    <w:rsid w:val="0018748E"/>
    <w:rsid w:val="0019104A"/>
    <w:rsid w:val="001B0551"/>
    <w:rsid w:val="001B74D7"/>
    <w:rsid w:val="001D1222"/>
    <w:rsid w:val="001D2D91"/>
    <w:rsid w:val="001D467F"/>
    <w:rsid w:val="001F7975"/>
    <w:rsid w:val="00204277"/>
    <w:rsid w:val="00207709"/>
    <w:rsid w:val="00232256"/>
    <w:rsid w:val="00234770"/>
    <w:rsid w:val="00280F06"/>
    <w:rsid w:val="002819B4"/>
    <w:rsid w:val="002B0450"/>
    <w:rsid w:val="002B614C"/>
    <w:rsid w:val="002C1519"/>
    <w:rsid w:val="002C5C19"/>
    <w:rsid w:val="002C6E73"/>
    <w:rsid w:val="002F18DF"/>
    <w:rsid w:val="002F2EDB"/>
    <w:rsid w:val="00313B46"/>
    <w:rsid w:val="0031650C"/>
    <w:rsid w:val="003178AA"/>
    <w:rsid w:val="003238D2"/>
    <w:rsid w:val="003251EC"/>
    <w:rsid w:val="00327A93"/>
    <w:rsid w:val="00331570"/>
    <w:rsid w:val="00331844"/>
    <w:rsid w:val="003334F8"/>
    <w:rsid w:val="003342AC"/>
    <w:rsid w:val="00346F5C"/>
    <w:rsid w:val="00351912"/>
    <w:rsid w:val="00352D93"/>
    <w:rsid w:val="0035383F"/>
    <w:rsid w:val="00354D20"/>
    <w:rsid w:val="0035780A"/>
    <w:rsid w:val="003601F3"/>
    <w:rsid w:val="0036042E"/>
    <w:rsid w:val="003652E9"/>
    <w:rsid w:val="00365545"/>
    <w:rsid w:val="003667B4"/>
    <w:rsid w:val="003827F8"/>
    <w:rsid w:val="00383AD7"/>
    <w:rsid w:val="00391A8F"/>
    <w:rsid w:val="00394BA4"/>
    <w:rsid w:val="003A6F03"/>
    <w:rsid w:val="003B0684"/>
    <w:rsid w:val="003B72DD"/>
    <w:rsid w:val="003D2CDD"/>
    <w:rsid w:val="003D3F36"/>
    <w:rsid w:val="003D5812"/>
    <w:rsid w:val="003E0421"/>
    <w:rsid w:val="003E21FF"/>
    <w:rsid w:val="003E5BFB"/>
    <w:rsid w:val="003E6E67"/>
    <w:rsid w:val="0041133A"/>
    <w:rsid w:val="00411C77"/>
    <w:rsid w:val="00417320"/>
    <w:rsid w:val="00430525"/>
    <w:rsid w:val="00430B70"/>
    <w:rsid w:val="004472EF"/>
    <w:rsid w:val="004504CF"/>
    <w:rsid w:val="00460B5A"/>
    <w:rsid w:val="00464A88"/>
    <w:rsid w:val="0048561F"/>
    <w:rsid w:val="00485629"/>
    <w:rsid w:val="00496450"/>
    <w:rsid w:val="004A149B"/>
    <w:rsid w:val="004C071E"/>
    <w:rsid w:val="004C16D1"/>
    <w:rsid w:val="004D3DC2"/>
    <w:rsid w:val="004F01F7"/>
    <w:rsid w:val="004F0855"/>
    <w:rsid w:val="00500C26"/>
    <w:rsid w:val="00536EE3"/>
    <w:rsid w:val="00545ABF"/>
    <w:rsid w:val="0057084D"/>
    <w:rsid w:val="00571ECC"/>
    <w:rsid w:val="00574C4A"/>
    <w:rsid w:val="00580E86"/>
    <w:rsid w:val="00584E96"/>
    <w:rsid w:val="00592A49"/>
    <w:rsid w:val="00592FEC"/>
    <w:rsid w:val="005938B5"/>
    <w:rsid w:val="005C0CC7"/>
    <w:rsid w:val="00623FB2"/>
    <w:rsid w:val="00624704"/>
    <w:rsid w:val="00626804"/>
    <w:rsid w:val="00656C4C"/>
    <w:rsid w:val="00692DE7"/>
    <w:rsid w:val="006A65A2"/>
    <w:rsid w:val="006B2BCA"/>
    <w:rsid w:val="007011DD"/>
    <w:rsid w:val="00702106"/>
    <w:rsid w:val="00710E7D"/>
    <w:rsid w:val="00722DB6"/>
    <w:rsid w:val="00727508"/>
    <w:rsid w:val="00743927"/>
    <w:rsid w:val="007634E5"/>
    <w:rsid w:val="007742FC"/>
    <w:rsid w:val="007757EF"/>
    <w:rsid w:val="0078715A"/>
    <w:rsid w:val="007A3DB3"/>
    <w:rsid w:val="007A59E9"/>
    <w:rsid w:val="007B0F96"/>
    <w:rsid w:val="007C42DA"/>
    <w:rsid w:val="007E02CE"/>
    <w:rsid w:val="007F0775"/>
    <w:rsid w:val="007F1EFF"/>
    <w:rsid w:val="008000F7"/>
    <w:rsid w:val="00800C2E"/>
    <w:rsid w:val="0080331A"/>
    <w:rsid w:val="0080620E"/>
    <w:rsid w:val="0081323F"/>
    <w:rsid w:val="0083032D"/>
    <w:rsid w:val="0083051F"/>
    <w:rsid w:val="0084221F"/>
    <w:rsid w:val="00847546"/>
    <w:rsid w:val="0086674D"/>
    <w:rsid w:val="00875371"/>
    <w:rsid w:val="0087762A"/>
    <w:rsid w:val="008D1406"/>
    <w:rsid w:val="008D5935"/>
    <w:rsid w:val="008D6FCA"/>
    <w:rsid w:val="008F0D9F"/>
    <w:rsid w:val="00900297"/>
    <w:rsid w:val="009143CA"/>
    <w:rsid w:val="00922C91"/>
    <w:rsid w:val="009547F1"/>
    <w:rsid w:val="00961F83"/>
    <w:rsid w:val="00985345"/>
    <w:rsid w:val="00990A33"/>
    <w:rsid w:val="009938ED"/>
    <w:rsid w:val="00995CB7"/>
    <w:rsid w:val="009A4040"/>
    <w:rsid w:val="009B3764"/>
    <w:rsid w:val="009C289A"/>
    <w:rsid w:val="009F455B"/>
    <w:rsid w:val="00A02D2B"/>
    <w:rsid w:val="00A02DD0"/>
    <w:rsid w:val="00A1462C"/>
    <w:rsid w:val="00A16468"/>
    <w:rsid w:val="00A24D5B"/>
    <w:rsid w:val="00A4118A"/>
    <w:rsid w:val="00A41698"/>
    <w:rsid w:val="00A4417C"/>
    <w:rsid w:val="00A81571"/>
    <w:rsid w:val="00A82BBC"/>
    <w:rsid w:val="00A872D0"/>
    <w:rsid w:val="00A87EDD"/>
    <w:rsid w:val="00AA3E78"/>
    <w:rsid w:val="00AD02D9"/>
    <w:rsid w:val="00AD29BA"/>
    <w:rsid w:val="00B10299"/>
    <w:rsid w:val="00B332CD"/>
    <w:rsid w:val="00B33734"/>
    <w:rsid w:val="00B53A5C"/>
    <w:rsid w:val="00B60981"/>
    <w:rsid w:val="00B66AE1"/>
    <w:rsid w:val="00B6701E"/>
    <w:rsid w:val="00B674AB"/>
    <w:rsid w:val="00B84E8F"/>
    <w:rsid w:val="00B85B24"/>
    <w:rsid w:val="00B933B2"/>
    <w:rsid w:val="00BC1211"/>
    <w:rsid w:val="00BE234D"/>
    <w:rsid w:val="00BE7DB2"/>
    <w:rsid w:val="00C019E9"/>
    <w:rsid w:val="00C101D3"/>
    <w:rsid w:val="00C5067C"/>
    <w:rsid w:val="00C50FF6"/>
    <w:rsid w:val="00C73153"/>
    <w:rsid w:val="00C926D1"/>
    <w:rsid w:val="00CA6902"/>
    <w:rsid w:val="00CB3504"/>
    <w:rsid w:val="00CB6214"/>
    <w:rsid w:val="00CC6E49"/>
    <w:rsid w:val="00CE271D"/>
    <w:rsid w:val="00D01A92"/>
    <w:rsid w:val="00D06542"/>
    <w:rsid w:val="00D20712"/>
    <w:rsid w:val="00D57059"/>
    <w:rsid w:val="00D57E94"/>
    <w:rsid w:val="00D670F9"/>
    <w:rsid w:val="00D7557E"/>
    <w:rsid w:val="00D82B07"/>
    <w:rsid w:val="00DA2603"/>
    <w:rsid w:val="00DB7D33"/>
    <w:rsid w:val="00DC7D8C"/>
    <w:rsid w:val="00DD087B"/>
    <w:rsid w:val="00DE7ABF"/>
    <w:rsid w:val="00DF4098"/>
    <w:rsid w:val="00E04ACD"/>
    <w:rsid w:val="00E0532A"/>
    <w:rsid w:val="00E05AE7"/>
    <w:rsid w:val="00E2436F"/>
    <w:rsid w:val="00E512DF"/>
    <w:rsid w:val="00E801BF"/>
    <w:rsid w:val="00E910B3"/>
    <w:rsid w:val="00E91D83"/>
    <w:rsid w:val="00E9653B"/>
    <w:rsid w:val="00EA50B1"/>
    <w:rsid w:val="00EA786D"/>
    <w:rsid w:val="00EB2A2C"/>
    <w:rsid w:val="00EC35DD"/>
    <w:rsid w:val="00F072DF"/>
    <w:rsid w:val="00F1256B"/>
    <w:rsid w:val="00F22AEC"/>
    <w:rsid w:val="00F26772"/>
    <w:rsid w:val="00F52FF3"/>
    <w:rsid w:val="00F86451"/>
    <w:rsid w:val="00FA28E8"/>
    <w:rsid w:val="00FA3E90"/>
    <w:rsid w:val="00FC193C"/>
    <w:rsid w:val="00FC1CEC"/>
    <w:rsid w:val="00FE4573"/>
    <w:rsid w:val="00FF1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340C7D"/>
  <w15:chartTrackingRefBased/>
  <w15:docId w15:val="{4EBAEBE4-2D51-4E3C-A88F-932CC37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06"/>
    <w:rPr>
      <w:lang w:val="en-US" w:eastAsia="en-US"/>
    </w:rPr>
  </w:style>
  <w:style w:type="paragraph" w:styleId="Heading1">
    <w:name w:val="heading 1"/>
    <w:basedOn w:val="Normal"/>
    <w:next w:val="Normal"/>
    <w:link w:val="Heading1Char"/>
    <w:qFormat/>
    <w:rsid w:val="00280F06"/>
    <w:pPr>
      <w:keepNext/>
      <w:outlineLvl w:val="0"/>
    </w:pPr>
    <w:rPr>
      <w:sz w:val="24"/>
      <w:u w:val="single"/>
    </w:rPr>
  </w:style>
  <w:style w:type="paragraph" w:styleId="Heading2">
    <w:name w:val="heading 2"/>
    <w:basedOn w:val="Normal"/>
    <w:next w:val="Normal"/>
    <w:qFormat/>
    <w:rsid w:val="00280F06"/>
    <w:pPr>
      <w:keepNext/>
      <w:outlineLvl w:val="1"/>
    </w:pPr>
    <w:rPr>
      <w:b/>
      <w:sz w:val="24"/>
      <w:u w:val="single"/>
    </w:rPr>
  </w:style>
  <w:style w:type="paragraph" w:styleId="Heading3">
    <w:name w:val="heading 3"/>
    <w:basedOn w:val="Normal"/>
    <w:next w:val="Normal"/>
    <w:link w:val="Heading3Char"/>
    <w:qFormat/>
    <w:rsid w:val="00280F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F06"/>
    <w:pPr>
      <w:jc w:val="center"/>
    </w:pPr>
    <w:rPr>
      <w:sz w:val="24"/>
    </w:rPr>
  </w:style>
  <w:style w:type="paragraph" w:styleId="BodyText">
    <w:name w:val="Body Text"/>
    <w:basedOn w:val="Normal"/>
    <w:link w:val="BodyTextChar"/>
    <w:uiPriority w:val="99"/>
    <w:rsid w:val="00280F06"/>
    <w:pPr>
      <w:jc w:val="center"/>
    </w:pPr>
    <w:rPr>
      <w:b/>
      <w:sz w:val="24"/>
    </w:rPr>
  </w:style>
  <w:style w:type="character" w:styleId="Hyperlink">
    <w:name w:val="Hyperlink"/>
    <w:rsid w:val="00280F06"/>
    <w:rPr>
      <w:color w:val="0000FF"/>
      <w:u w:val="single"/>
    </w:rPr>
  </w:style>
  <w:style w:type="paragraph" w:styleId="FootnoteText">
    <w:name w:val="footnote text"/>
    <w:basedOn w:val="Normal"/>
    <w:link w:val="FootnoteTextChar"/>
    <w:uiPriority w:val="99"/>
    <w:semiHidden/>
    <w:rsid w:val="00280F06"/>
  </w:style>
  <w:style w:type="paragraph" w:styleId="Footer">
    <w:name w:val="footer"/>
    <w:basedOn w:val="Normal"/>
    <w:rsid w:val="00280F06"/>
    <w:pPr>
      <w:tabs>
        <w:tab w:val="center" w:pos="4320"/>
        <w:tab w:val="right" w:pos="8640"/>
      </w:tabs>
    </w:pPr>
  </w:style>
  <w:style w:type="character" w:styleId="PageNumber">
    <w:name w:val="page number"/>
    <w:basedOn w:val="DefaultParagraphFont"/>
    <w:rsid w:val="00280F06"/>
  </w:style>
  <w:style w:type="paragraph" w:styleId="Header">
    <w:name w:val="header"/>
    <w:basedOn w:val="Normal"/>
    <w:rsid w:val="00280F06"/>
    <w:pPr>
      <w:tabs>
        <w:tab w:val="center" w:pos="4320"/>
        <w:tab w:val="right" w:pos="8640"/>
      </w:tabs>
    </w:pPr>
  </w:style>
  <w:style w:type="paragraph" w:styleId="BodyTextIndent">
    <w:name w:val="Body Text Indent"/>
    <w:basedOn w:val="Normal"/>
    <w:rsid w:val="00280F06"/>
    <w:pPr>
      <w:spacing w:after="120"/>
      <w:ind w:left="360"/>
    </w:pPr>
  </w:style>
  <w:style w:type="paragraph" w:customStyle="1" w:styleId="CharCharCarCharCharChar">
    <w:name w:val="Char Char Car Char Char Char"/>
    <w:basedOn w:val="Normal"/>
    <w:next w:val="Normal"/>
    <w:rsid w:val="00280F06"/>
    <w:pPr>
      <w:spacing w:after="160" w:line="240" w:lineRule="exact"/>
    </w:pPr>
    <w:rPr>
      <w:rFonts w:ascii="Tahoma" w:hAnsi="Tahoma"/>
      <w:sz w:val="24"/>
    </w:rPr>
  </w:style>
  <w:style w:type="paragraph" w:customStyle="1" w:styleId="CharCharCar">
    <w:name w:val="Char Char Car"/>
    <w:basedOn w:val="Normal"/>
    <w:next w:val="Normal"/>
    <w:rsid w:val="00280F06"/>
    <w:pPr>
      <w:spacing w:after="160" w:line="240" w:lineRule="exact"/>
    </w:pPr>
    <w:rPr>
      <w:rFonts w:ascii="Tahoma" w:hAnsi="Tahoma"/>
      <w:sz w:val="24"/>
    </w:rPr>
  </w:style>
  <w:style w:type="character" w:styleId="CommentReference">
    <w:name w:val="annotation reference"/>
    <w:rsid w:val="00280F06"/>
    <w:rPr>
      <w:sz w:val="16"/>
      <w:szCs w:val="16"/>
    </w:rPr>
  </w:style>
  <w:style w:type="paragraph" w:styleId="CommentText">
    <w:name w:val="annotation text"/>
    <w:basedOn w:val="Normal"/>
    <w:link w:val="CommentTextChar"/>
    <w:rsid w:val="00280F06"/>
  </w:style>
  <w:style w:type="character" w:customStyle="1" w:styleId="CommentTextChar">
    <w:name w:val="Comment Text Char"/>
    <w:link w:val="CommentText"/>
    <w:rsid w:val="00280F06"/>
    <w:rPr>
      <w:lang w:val="en-US" w:eastAsia="en-US" w:bidi="ar-SA"/>
    </w:rPr>
  </w:style>
  <w:style w:type="paragraph" w:styleId="CommentSubject">
    <w:name w:val="annotation subject"/>
    <w:basedOn w:val="CommentText"/>
    <w:next w:val="CommentText"/>
    <w:link w:val="CommentSubjectChar"/>
    <w:rsid w:val="00280F06"/>
    <w:rPr>
      <w:b/>
      <w:bCs/>
    </w:rPr>
  </w:style>
  <w:style w:type="character" w:customStyle="1" w:styleId="CommentSubjectChar">
    <w:name w:val="Comment Subject Char"/>
    <w:link w:val="CommentSubject"/>
    <w:rsid w:val="00280F06"/>
    <w:rPr>
      <w:b/>
      <w:bCs/>
      <w:lang w:val="en-US" w:eastAsia="en-US" w:bidi="ar-SA"/>
    </w:rPr>
  </w:style>
  <w:style w:type="paragraph" w:styleId="ListParagraph">
    <w:name w:val="List Paragraph"/>
    <w:basedOn w:val="Normal"/>
    <w:uiPriority w:val="99"/>
    <w:qFormat/>
    <w:rsid w:val="00280F06"/>
    <w:pPr>
      <w:ind w:left="720"/>
    </w:pPr>
  </w:style>
  <w:style w:type="paragraph" w:styleId="NormalWeb">
    <w:name w:val="Normal (Web)"/>
    <w:basedOn w:val="Normal"/>
    <w:uiPriority w:val="99"/>
    <w:unhideWhenUsed/>
    <w:rsid w:val="00280F06"/>
    <w:pPr>
      <w:spacing w:before="100" w:beforeAutospacing="1" w:after="100" w:afterAutospacing="1"/>
    </w:pPr>
    <w:rPr>
      <w:rFonts w:ascii="Times" w:hAnsi="Times"/>
    </w:rPr>
  </w:style>
  <w:style w:type="character" w:styleId="FollowedHyperlink">
    <w:name w:val="FollowedHyperlink"/>
    <w:rsid w:val="00280F06"/>
    <w:rPr>
      <w:color w:val="800080"/>
      <w:u w:val="single"/>
    </w:rPr>
  </w:style>
  <w:style w:type="character" w:customStyle="1" w:styleId="contenido1">
    <w:name w:val="contenido1"/>
    <w:rsid w:val="00990A33"/>
    <w:rPr>
      <w:rFonts w:ascii="Verdana" w:hAnsi="Verdana" w:hint="default"/>
      <w:color w:val="333333"/>
      <w:sz w:val="17"/>
      <w:szCs w:val="17"/>
    </w:rPr>
  </w:style>
  <w:style w:type="character" w:customStyle="1" w:styleId="Heading3Char">
    <w:name w:val="Heading 3 Char"/>
    <w:link w:val="Heading3"/>
    <w:semiHidden/>
    <w:locked/>
    <w:rsid w:val="0041133A"/>
    <w:rPr>
      <w:rFonts w:ascii="Arial" w:hAnsi="Arial" w:cs="Arial"/>
      <w:b/>
      <w:bCs/>
      <w:sz w:val="26"/>
      <w:szCs w:val="26"/>
      <w:lang w:val="en-US" w:eastAsia="en-US" w:bidi="ar-SA"/>
    </w:rPr>
  </w:style>
  <w:style w:type="character" w:customStyle="1" w:styleId="PageNumber1">
    <w:name w:val="Page Number1"/>
    <w:rsid w:val="0035780A"/>
  </w:style>
  <w:style w:type="paragraph" w:customStyle="1" w:styleId="Heading31">
    <w:name w:val="Heading 31"/>
    <w:next w:val="Normal"/>
    <w:uiPriority w:val="99"/>
    <w:rsid w:val="0035780A"/>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outlineLvl w:val="2"/>
    </w:pPr>
    <w:rPr>
      <w:rFonts w:ascii="Arial" w:eastAsia="Arial Unicode MS" w:hAnsi="Arial" w:cs="Arial Unicode MS"/>
      <w:b/>
      <w:bCs/>
      <w:color w:val="000000"/>
      <w:sz w:val="26"/>
      <w:szCs w:val="26"/>
      <w:u w:color="000000"/>
      <w:lang w:val="en-US" w:eastAsia="en-US"/>
    </w:rPr>
  </w:style>
  <w:style w:type="numbering" w:customStyle="1" w:styleId="ImportedStyle2">
    <w:name w:val="Imported Style 2"/>
    <w:rsid w:val="0035780A"/>
    <w:pPr>
      <w:numPr>
        <w:numId w:val="27"/>
      </w:numPr>
    </w:pPr>
  </w:style>
  <w:style w:type="paragraph" w:styleId="BalloonText">
    <w:name w:val="Balloon Text"/>
    <w:basedOn w:val="Normal"/>
    <w:link w:val="BalloonTextChar"/>
    <w:rsid w:val="00E05AE7"/>
    <w:rPr>
      <w:rFonts w:ascii="Segoe UI" w:hAnsi="Segoe UI" w:cs="Segoe UI"/>
      <w:sz w:val="18"/>
      <w:szCs w:val="18"/>
    </w:rPr>
  </w:style>
  <w:style w:type="character" w:customStyle="1" w:styleId="BalloonTextChar">
    <w:name w:val="Balloon Text Char"/>
    <w:link w:val="BalloonText"/>
    <w:rsid w:val="00E05AE7"/>
    <w:rPr>
      <w:rFonts w:ascii="Segoe UI" w:hAnsi="Segoe UI" w:cs="Segoe UI"/>
      <w:sz w:val="18"/>
      <w:szCs w:val="18"/>
    </w:rPr>
  </w:style>
  <w:style w:type="character" w:styleId="FootnoteReference">
    <w:name w:val="footnote reference"/>
    <w:uiPriority w:val="99"/>
    <w:rsid w:val="003601F3"/>
    <w:rPr>
      <w:vertAlign w:val="superscript"/>
    </w:rPr>
  </w:style>
  <w:style w:type="character" w:customStyle="1" w:styleId="Heading1Char">
    <w:name w:val="Heading 1 Char"/>
    <w:basedOn w:val="DefaultParagraphFont"/>
    <w:link w:val="Heading1"/>
    <w:rsid w:val="0080331A"/>
    <w:rPr>
      <w:sz w:val="24"/>
      <w:u w:val="single"/>
      <w:lang w:val="en-US" w:eastAsia="en-US"/>
    </w:rPr>
  </w:style>
  <w:style w:type="character" w:customStyle="1" w:styleId="FootnoteTextChar">
    <w:name w:val="Footnote Text Char"/>
    <w:basedOn w:val="DefaultParagraphFont"/>
    <w:link w:val="FootnoteText"/>
    <w:uiPriority w:val="99"/>
    <w:semiHidden/>
    <w:rsid w:val="0080331A"/>
    <w:rPr>
      <w:lang w:val="en-US" w:eastAsia="en-US"/>
    </w:rPr>
  </w:style>
  <w:style w:type="character" w:customStyle="1" w:styleId="BodyTextChar">
    <w:name w:val="Body Text Char"/>
    <w:basedOn w:val="DefaultParagraphFont"/>
    <w:link w:val="BodyText"/>
    <w:uiPriority w:val="99"/>
    <w:rsid w:val="0080331A"/>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41130">
      <w:bodyDiv w:val="1"/>
      <w:marLeft w:val="0"/>
      <w:marRight w:val="0"/>
      <w:marTop w:val="0"/>
      <w:marBottom w:val="0"/>
      <w:divBdr>
        <w:top w:val="none" w:sz="0" w:space="0" w:color="auto"/>
        <w:left w:val="none" w:sz="0" w:space="0" w:color="auto"/>
        <w:bottom w:val="none" w:sz="0" w:space="0" w:color="auto"/>
        <w:right w:val="none" w:sz="0" w:space="0" w:color="auto"/>
      </w:divBdr>
    </w:div>
    <w:div w:id="1071999395">
      <w:bodyDiv w:val="1"/>
      <w:marLeft w:val="0"/>
      <w:marRight w:val="0"/>
      <w:marTop w:val="0"/>
      <w:marBottom w:val="0"/>
      <w:divBdr>
        <w:top w:val="none" w:sz="0" w:space="0" w:color="auto"/>
        <w:left w:val="none" w:sz="0" w:space="0" w:color="auto"/>
        <w:bottom w:val="none" w:sz="0" w:space="0" w:color="auto"/>
        <w:right w:val="none" w:sz="0" w:space="0" w:color="auto"/>
      </w:divBdr>
      <w:divsChild>
        <w:div w:id="1246306014">
          <w:marLeft w:val="0"/>
          <w:marRight w:val="0"/>
          <w:marTop w:val="0"/>
          <w:marBottom w:val="0"/>
          <w:divBdr>
            <w:top w:val="none" w:sz="0" w:space="0" w:color="auto"/>
            <w:left w:val="none" w:sz="0" w:space="0" w:color="auto"/>
            <w:bottom w:val="none" w:sz="0" w:space="0" w:color="auto"/>
            <w:right w:val="none" w:sz="0" w:space="0" w:color="auto"/>
          </w:divBdr>
          <w:divsChild>
            <w:div w:id="114562275">
              <w:marLeft w:val="0"/>
              <w:marRight w:val="0"/>
              <w:marTop w:val="0"/>
              <w:marBottom w:val="0"/>
              <w:divBdr>
                <w:top w:val="none" w:sz="0" w:space="0" w:color="auto"/>
                <w:left w:val="none" w:sz="0" w:space="0" w:color="auto"/>
                <w:bottom w:val="none" w:sz="0" w:space="0" w:color="auto"/>
                <w:right w:val="none" w:sz="0" w:space="0" w:color="auto"/>
              </w:divBdr>
            </w:div>
            <w:div w:id="426392233">
              <w:marLeft w:val="0"/>
              <w:marRight w:val="0"/>
              <w:marTop w:val="0"/>
              <w:marBottom w:val="0"/>
              <w:divBdr>
                <w:top w:val="none" w:sz="0" w:space="0" w:color="auto"/>
                <w:left w:val="none" w:sz="0" w:space="0" w:color="auto"/>
                <w:bottom w:val="none" w:sz="0" w:space="0" w:color="auto"/>
                <w:right w:val="none" w:sz="0" w:space="0" w:color="auto"/>
              </w:divBdr>
            </w:div>
            <w:div w:id="490340446">
              <w:marLeft w:val="0"/>
              <w:marRight w:val="0"/>
              <w:marTop w:val="0"/>
              <w:marBottom w:val="0"/>
              <w:divBdr>
                <w:top w:val="none" w:sz="0" w:space="0" w:color="auto"/>
                <w:left w:val="none" w:sz="0" w:space="0" w:color="auto"/>
                <w:bottom w:val="none" w:sz="0" w:space="0" w:color="auto"/>
                <w:right w:val="none" w:sz="0" w:space="0" w:color="auto"/>
              </w:divBdr>
            </w:div>
            <w:div w:id="561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152">
      <w:bodyDiv w:val="1"/>
      <w:marLeft w:val="0"/>
      <w:marRight w:val="0"/>
      <w:marTop w:val="0"/>
      <w:marBottom w:val="0"/>
      <w:divBdr>
        <w:top w:val="none" w:sz="0" w:space="0" w:color="auto"/>
        <w:left w:val="none" w:sz="0" w:space="0" w:color="auto"/>
        <w:bottom w:val="none" w:sz="0" w:space="0" w:color="auto"/>
        <w:right w:val="none" w:sz="0" w:space="0" w:color="auto"/>
      </w:divBdr>
    </w:div>
    <w:div w:id="18880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D7955-425E-4CF3-8297-0BD54C815051}">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89f4cd83-a2d3-4405-9b45-6aff5241ff8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D28E6FC-7FC7-4B2A-A914-A7982BF7F3EE}">
  <ds:schemaRefs>
    <ds:schemaRef ds:uri="http://schemas.microsoft.com/sharepoint/v3/contenttype/forms"/>
  </ds:schemaRefs>
</ds:datastoreItem>
</file>

<file path=customXml/itemProps3.xml><?xml version="1.0" encoding="utf-8"?>
<ds:datastoreItem xmlns:ds="http://schemas.openxmlformats.org/officeDocument/2006/customXml" ds:itemID="{13FBA5BF-735A-4AF9-90E0-52A0FF20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1357</Words>
  <Characters>7459</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CONVENCIÓN INTERAMERICANA CONTRA</vt:lpstr>
      <vt:lpstr>CONVENCIÓN INTERAMERICANA CONTRA</vt:lpstr>
    </vt:vector>
  </TitlesOfParts>
  <Company>OAS</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dc:title>
  <dc:subject/>
  <dc:creator>Michael Bejos</dc:creator>
  <cp:keywords/>
  <dc:description/>
  <cp:lastModifiedBy>Lobaton, Ursula</cp:lastModifiedBy>
  <cp:revision>4</cp:revision>
  <cp:lastPrinted>2016-05-17T15:56:00Z</cp:lastPrinted>
  <dcterms:created xsi:type="dcterms:W3CDTF">2021-01-13T20:45:00Z</dcterms:created>
  <dcterms:modified xsi:type="dcterms:W3CDTF">2021-01-21T22:10:00Z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