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AC" w:rsidRPr="006A1483" w:rsidRDefault="00D2565A" w:rsidP="00D261AC">
      <w:pPr>
        <w:tabs>
          <w:tab w:val="left" w:pos="7200"/>
        </w:tabs>
        <w:suppressAutoHyphens/>
        <w:ind w:right="-389"/>
        <w:jc w:val="both"/>
        <w:rPr>
          <w:sz w:val="22"/>
          <w:szCs w:val="22"/>
          <w:lang w:val="fr-CA"/>
        </w:rPr>
      </w:pPr>
      <w:r w:rsidRPr="006A1483">
        <w:rPr>
          <w:sz w:val="22"/>
          <w:szCs w:val="22"/>
          <w:lang w:val="fr-CA"/>
        </w:rPr>
        <w:t>CONVEN</w:t>
      </w:r>
      <w:r w:rsidR="006A1483">
        <w:rPr>
          <w:sz w:val="22"/>
          <w:szCs w:val="22"/>
          <w:lang w:val="fr-CA"/>
        </w:rPr>
        <w:t>TION</w:t>
      </w:r>
      <w:r w:rsidRPr="006A1483">
        <w:rPr>
          <w:sz w:val="22"/>
          <w:szCs w:val="22"/>
          <w:lang w:val="fr-CA"/>
        </w:rPr>
        <w:t xml:space="preserve"> INTERAM</w:t>
      </w:r>
      <w:r w:rsidR="006A1483">
        <w:rPr>
          <w:sz w:val="22"/>
          <w:szCs w:val="22"/>
          <w:lang w:val="fr-CA"/>
        </w:rPr>
        <w:t>ÉRICAINE CONTRE</w:t>
      </w:r>
      <w:r w:rsidRPr="006A1483">
        <w:rPr>
          <w:sz w:val="22"/>
          <w:szCs w:val="22"/>
          <w:lang w:val="fr-CA"/>
        </w:rPr>
        <w:tab/>
        <w:t>OEA/Ser.L/XXII.2.</w:t>
      </w:r>
      <w:r w:rsidR="008C179A" w:rsidRPr="006A1483">
        <w:rPr>
          <w:sz w:val="22"/>
          <w:szCs w:val="22"/>
          <w:lang w:val="fr-CA"/>
        </w:rPr>
        <w:t>20</w:t>
      </w:r>
    </w:p>
    <w:p w:rsidR="00D261AC" w:rsidRPr="006A1483" w:rsidRDefault="00D2565A" w:rsidP="00D261AC">
      <w:pPr>
        <w:tabs>
          <w:tab w:val="left" w:pos="7200"/>
        </w:tabs>
        <w:suppressAutoHyphens/>
        <w:ind w:right="-1289"/>
        <w:jc w:val="both"/>
        <w:rPr>
          <w:sz w:val="22"/>
          <w:szCs w:val="22"/>
          <w:lang w:val="fr-CA"/>
        </w:rPr>
      </w:pPr>
      <w:r w:rsidRPr="006A1483">
        <w:rPr>
          <w:sz w:val="22"/>
          <w:szCs w:val="22"/>
          <w:lang w:val="fr-CA"/>
        </w:rPr>
        <w:t>LA FABRICA</w:t>
      </w:r>
      <w:r w:rsidR="006A1483">
        <w:rPr>
          <w:sz w:val="22"/>
          <w:szCs w:val="22"/>
          <w:lang w:val="fr-CA"/>
        </w:rPr>
        <w:t>TION ET LE TRAFIC ILLICITES</w:t>
      </w:r>
      <w:r w:rsidRPr="006A1483">
        <w:rPr>
          <w:sz w:val="22"/>
          <w:szCs w:val="22"/>
          <w:lang w:val="fr-CA"/>
        </w:rPr>
        <w:t xml:space="preserve"> </w:t>
      </w:r>
      <w:r w:rsidRPr="006A1483">
        <w:rPr>
          <w:sz w:val="22"/>
          <w:szCs w:val="22"/>
          <w:lang w:val="fr-CA"/>
        </w:rPr>
        <w:tab/>
        <w:t>CIFTA/CC-X</w:t>
      </w:r>
      <w:r w:rsidR="004B765C" w:rsidRPr="006A1483">
        <w:rPr>
          <w:sz w:val="22"/>
          <w:szCs w:val="22"/>
          <w:lang w:val="fr-CA"/>
        </w:rPr>
        <w:t>X</w:t>
      </w:r>
      <w:r w:rsidRPr="006A1483">
        <w:rPr>
          <w:sz w:val="22"/>
          <w:szCs w:val="22"/>
          <w:lang w:val="fr-CA"/>
        </w:rPr>
        <w:t>/doc.</w:t>
      </w:r>
      <w:r w:rsidR="00A709DE" w:rsidRPr="006A1483">
        <w:rPr>
          <w:sz w:val="22"/>
          <w:szCs w:val="22"/>
          <w:lang w:val="fr-CA"/>
        </w:rPr>
        <w:t>12</w:t>
      </w:r>
      <w:r w:rsidRPr="006A1483">
        <w:rPr>
          <w:sz w:val="22"/>
          <w:szCs w:val="22"/>
          <w:lang w:val="fr-CA"/>
        </w:rPr>
        <w:t>/</w:t>
      </w:r>
      <w:r w:rsidR="009E31BD">
        <w:rPr>
          <w:sz w:val="22"/>
          <w:szCs w:val="22"/>
          <w:lang w:val="fr-CA"/>
        </w:rPr>
        <w:t>21</w:t>
      </w:r>
    </w:p>
    <w:p w:rsidR="00D261AC" w:rsidRPr="006A1483" w:rsidRDefault="006A1483" w:rsidP="00D261AC">
      <w:pPr>
        <w:tabs>
          <w:tab w:val="left" w:pos="7200"/>
        </w:tabs>
        <w:suppressAutoHyphens/>
        <w:ind w:right="-929"/>
        <w:jc w:val="both"/>
        <w:rPr>
          <w:sz w:val="22"/>
          <w:szCs w:val="22"/>
          <w:lang w:val="fr-CA"/>
        </w:rPr>
      </w:pPr>
      <w:r>
        <w:rPr>
          <w:sz w:val="22"/>
          <w:szCs w:val="22"/>
          <w:lang w:val="fr-CA"/>
        </w:rPr>
        <w:t>D’</w:t>
      </w:r>
      <w:r w:rsidR="00D2565A" w:rsidRPr="006A1483">
        <w:rPr>
          <w:sz w:val="22"/>
          <w:szCs w:val="22"/>
          <w:lang w:val="fr-CA"/>
        </w:rPr>
        <w:t>ARM</w:t>
      </w:r>
      <w:r>
        <w:rPr>
          <w:sz w:val="22"/>
          <w:szCs w:val="22"/>
          <w:lang w:val="fr-CA"/>
        </w:rPr>
        <w:t>ES À FEU, DE MUNITIONS, D’EXPLOSIFS</w:t>
      </w:r>
      <w:r w:rsidR="00D2565A" w:rsidRPr="006A1483">
        <w:rPr>
          <w:sz w:val="22"/>
          <w:szCs w:val="22"/>
          <w:lang w:val="fr-CA"/>
        </w:rPr>
        <w:tab/>
      </w:r>
      <w:r w:rsidR="00E019DA" w:rsidRPr="006A1483">
        <w:rPr>
          <w:sz w:val="22"/>
          <w:szCs w:val="22"/>
          <w:lang w:val="fr-CA"/>
        </w:rPr>
        <w:t>1</w:t>
      </w:r>
      <w:r w:rsidR="00A709DE" w:rsidRPr="006A1483">
        <w:rPr>
          <w:sz w:val="22"/>
          <w:szCs w:val="22"/>
          <w:lang w:val="fr-CA"/>
        </w:rPr>
        <w:t>3</w:t>
      </w:r>
      <w:r w:rsidR="008C179A" w:rsidRPr="006A1483">
        <w:rPr>
          <w:sz w:val="22"/>
          <w:szCs w:val="22"/>
          <w:lang w:val="fr-CA"/>
        </w:rPr>
        <w:t xml:space="preserve"> </w:t>
      </w:r>
      <w:r>
        <w:rPr>
          <w:sz w:val="22"/>
          <w:szCs w:val="22"/>
          <w:lang w:val="fr-CA"/>
        </w:rPr>
        <w:t>janvier</w:t>
      </w:r>
      <w:r w:rsidR="008C179A" w:rsidRPr="006A1483">
        <w:rPr>
          <w:sz w:val="22"/>
          <w:szCs w:val="22"/>
          <w:lang w:val="fr-CA"/>
        </w:rPr>
        <w:t xml:space="preserve"> 202</w:t>
      </w:r>
      <w:r w:rsidR="00A709DE" w:rsidRPr="006A1483">
        <w:rPr>
          <w:sz w:val="22"/>
          <w:szCs w:val="22"/>
          <w:lang w:val="fr-CA"/>
        </w:rPr>
        <w:t>1</w:t>
      </w:r>
    </w:p>
    <w:p w:rsidR="00D261AC" w:rsidRPr="006A1483" w:rsidRDefault="006A1483" w:rsidP="00D261AC">
      <w:pPr>
        <w:tabs>
          <w:tab w:val="left" w:pos="7200"/>
        </w:tabs>
        <w:ind w:right="-569"/>
        <w:jc w:val="both"/>
        <w:rPr>
          <w:sz w:val="22"/>
          <w:szCs w:val="22"/>
          <w:lang w:val="fr-CA"/>
        </w:rPr>
      </w:pPr>
      <w:r>
        <w:rPr>
          <w:sz w:val="22"/>
          <w:szCs w:val="22"/>
          <w:lang w:val="fr-CA"/>
        </w:rPr>
        <w:t>ET AUTRES MATÉRIELS CONNEXES (CIFTA)</w:t>
      </w:r>
      <w:r>
        <w:rPr>
          <w:sz w:val="22"/>
          <w:szCs w:val="22"/>
          <w:lang w:val="fr-CA"/>
        </w:rPr>
        <w:tab/>
        <w:t>Original: espagn</w:t>
      </w:r>
      <w:r w:rsidR="00A709DE" w:rsidRPr="006A1483">
        <w:rPr>
          <w:sz w:val="22"/>
          <w:szCs w:val="22"/>
          <w:lang w:val="fr-CA"/>
        </w:rPr>
        <w:t>ol</w:t>
      </w:r>
    </w:p>
    <w:p w:rsidR="00D261AC" w:rsidRPr="006A1483" w:rsidRDefault="00D2565A" w:rsidP="00D261AC">
      <w:pPr>
        <w:pStyle w:val="Heading3"/>
        <w:tabs>
          <w:tab w:val="left" w:pos="7200"/>
        </w:tabs>
        <w:spacing w:before="0" w:after="0"/>
        <w:rPr>
          <w:rFonts w:ascii="Times New Roman" w:hAnsi="Times New Roman" w:cs="Times New Roman"/>
          <w:b w:val="0"/>
          <w:sz w:val="22"/>
          <w:szCs w:val="22"/>
          <w:u w:val="single"/>
          <w:lang w:val="fr-CA"/>
        </w:rPr>
      </w:pPr>
      <w:r w:rsidRPr="006A1483">
        <w:rPr>
          <w:rFonts w:ascii="Times New Roman" w:hAnsi="Times New Roman"/>
          <w:b w:val="0"/>
          <w:sz w:val="22"/>
          <w:szCs w:val="22"/>
          <w:u w:val="single"/>
          <w:lang w:val="fr-CA"/>
        </w:rPr>
        <w:t>Comité</w:t>
      </w:r>
      <w:r w:rsidR="006A1483">
        <w:rPr>
          <w:rFonts w:ascii="Times New Roman" w:hAnsi="Times New Roman"/>
          <w:b w:val="0"/>
          <w:sz w:val="22"/>
          <w:szCs w:val="22"/>
          <w:u w:val="single"/>
          <w:lang w:val="fr-CA"/>
        </w:rPr>
        <w:t xml:space="preserve"> consultatif</w:t>
      </w:r>
    </w:p>
    <w:p w:rsidR="00D261AC" w:rsidRPr="006A1483" w:rsidRDefault="008C179A" w:rsidP="00D261AC">
      <w:pPr>
        <w:tabs>
          <w:tab w:val="left" w:pos="7200"/>
        </w:tabs>
        <w:suppressAutoHyphens/>
        <w:jc w:val="both"/>
        <w:rPr>
          <w:sz w:val="22"/>
          <w:szCs w:val="22"/>
          <w:u w:val="single"/>
          <w:lang w:val="fr-CA"/>
        </w:rPr>
      </w:pPr>
      <w:r w:rsidRPr="006A1483">
        <w:rPr>
          <w:sz w:val="22"/>
          <w:szCs w:val="22"/>
          <w:u w:val="single"/>
          <w:lang w:val="fr-CA"/>
        </w:rPr>
        <w:t>Vi</w:t>
      </w:r>
      <w:r w:rsidR="006A1483">
        <w:rPr>
          <w:sz w:val="22"/>
          <w:szCs w:val="22"/>
          <w:u w:val="single"/>
          <w:lang w:val="fr-CA"/>
        </w:rPr>
        <w:t>ngtième Réunion ordinaire</w:t>
      </w:r>
    </w:p>
    <w:p w:rsidR="00D261AC" w:rsidRPr="006A1483" w:rsidRDefault="008C179A" w:rsidP="00D261AC">
      <w:pPr>
        <w:tabs>
          <w:tab w:val="left" w:pos="7200"/>
        </w:tabs>
        <w:suppressAutoHyphens/>
        <w:jc w:val="both"/>
        <w:rPr>
          <w:sz w:val="22"/>
          <w:szCs w:val="22"/>
          <w:lang w:val="fr-CA"/>
        </w:rPr>
      </w:pPr>
      <w:r w:rsidRPr="006A1483">
        <w:rPr>
          <w:sz w:val="22"/>
          <w:szCs w:val="22"/>
          <w:lang w:val="fr-CA"/>
        </w:rPr>
        <w:t xml:space="preserve">17 </w:t>
      </w:r>
      <w:r w:rsidR="006A1483">
        <w:rPr>
          <w:sz w:val="22"/>
          <w:szCs w:val="22"/>
          <w:lang w:val="fr-CA"/>
        </w:rPr>
        <w:t>décembre</w:t>
      </w:r>
      <w:r w:rsidR="00D2565A" w:rsidRPr="006A1483">
        <w:rPr>
          <w:sz w:val="22"/>
          <w:szCs w:val="22"/>
          <w:lang w:val="fr-CA"/>
        </w:rPr>
        <w:t xml:space="preserve"> </w:t>
      </w:r>
      <w:r w:rsidRPr="006A1483">
        <w:rPr>
          <w:sz w:val="22"/>
          <w:szCs w:val="22"/>
          <w:lang w:val="fr-CA"/>
        </w:rPr>
        <w:t>2020</w:t>
      </w:r>
    </w:p>
    <w:p w:rsidR="00D261AC" w:rsidRPr="006A1483" w:rsidRDefault="00D2565A" w:rsidP="00D261AC">
      <w:pPr>
        <w:tabs>
          <w:tab w:val="left" w:pos="7200"/>
        </w:tabs>
        <w:suppressAutoHyphens/>
        <w:jc w:val="both"/>
        <w:rPr>
          <w:sz w:val="22"/>
          <w:szCs w:val="22"/>
          <w:lang w:val="fr-CA"/>
        </w:rPr>
      </w:pPr>
      <w:r w:rsidRPr="006A1483">
        <w:rPr>
          <w:sz w:val="22"/>
          <w:szCs w:val="22"/>
          <w:lang w:val="fr-CA"/>
        </w:rPr>
        <w:t>Washington, D. C.</w:t>
      </w:r>
    </w:p>
    <w:p w:rsidR="00D261AC" w:rsidRPr="006A1483" w:rsidRDefault="00D261AC" w:rsidP="00D261AC">
      <w:pPr>
        <w:jc w:val="both"/>
        <w:rPr>
          <w:sz w:val="22"/>
          <w:szCs w:val="22"/>
          <w:lang w:val="fr-CA"/>
        </w:rPr>
      </w:pPr>
    </w:p>
    <w:p w:rsidR="00D261AC" w:rsidRPr="006A1483" w:rsidRDefault="00D261AC" w:rsidP="00D261AC">
      <w:pPr>
        <w:jc w:val="both"/>
        <w:rPr>
          <w:sz w:val="22"/>
          <w:szCs w:val="22"/>
          <w:lang w:val="fr-CA"/>
        </w:rPr>
      </w:pPr>
    </w:p>
    <w:p w:rsidR="00D261AC" w:rsidRPr="006A1483" w:rsidRDefault="00D261AC" w:rsidP="00D261AC">
      <w:pPr>
        <w:jc w:val="both"/>
        <w:rPr>
          <w:sz w:val="22"/>
          <w:szCs w:val="22"/>
          <w:lang w:val="fr-CA"/>
        </w:rPr>
      </w:pPr>
    </w:p>
    <w:p w:rsidR="00D261AC" w:rsidRPr="006A1483" w:rsidRDefault="00D261AC" w:rsidP="00D261AC">
      <w:pPr>
        <w:jc w:val="both"/>
        <w:rPr>
          <w:sz w:val="22"/>
          <w:szCs w:val="22"/>
          <w:lang w:val="fr-CA"/>
        </w:rPr>
      </w:pPr>
    </w:p>
    <w:p w:rsidR="00D261AC" w:rsidRPr="006A1483" w:rsidRDefault="00D261AC" w:rsidP="00D261AC">
      <w:pPr>
        <w:jc w:val="both"/>
        <w:rPr>
          <w:sz w:val="22"/>
          <w:szCs w:val="22"/>
          <w:lang w:val="fr-CA"/>
        </w:rPr>
      </w:pPr>
    </w:p>
    <w:p w:rsidR="00D261AC" w:rsidRPr="006A1483" w:rsidRDefault="00D261AC" w:rsidP="00D261AC">
      <w:pPr>
        <w:jc w:val="both"/>
        <w:rPr>
          <w:sz w:val="22"/>
          <w:szCs w:val="22"/>
          <w:lang w:val="fr-CA"/>
        </w:rPr>
      </w:pPr>
    </w:p>
    <w:p w:rsidR="00D261AC" w:rsidRPr="006A1483" w:rsidRDefault="00D261AC" w:rsidP="00D261AC">
      <w:pPr>
        <w:jc w:val="both"/>
        <w:rPr>
          <w:sz w:val="22"/>
          <w:szCs w:val="22"/>
          <w:lang w:val="fr-CA"/>
        </w:rPr>
      </w:pPr>
    </w:p>
    <w:p w:rsidR="00D261AC" w:rsidRPr="006A1483" w:rsidRDefault="00D261AC" w:rsidP="00D261AC">
      <w:pPr>
        <w:jc w:val="both"/>
        <w:rPr>
          <w:sz w:val="22"/>
          <w:szCs w:val="22"/>
          <w:lang w:val="fr-CA"/>
        </w:rPr>
      </w:pPr>
    </w:p>
    <w:p w:rsidR="00D261AC" w:rsidRPr="006A1483" w:rsidRDefault="00D261AC" w:rsidP="00D261AC">
      <w:pPr>
        <w:jc w:val="both"/>
        <w:rPr>
          <w:sz w:val="22"/>
          <w:szCs w:val="22"/>
          <w:lang w:val="fr-CA"/>
        </w:rPr>
      </w:pPr>
    </w:p>
    <w:p w:rsidR="00D261AC" w:rsidRPr="006A1483" w:rsidRDefault="00D261AC" w:rsidP="00D261AC">
      <w:pPr>
        <w:jc w:val="both"/>
        <w:rPr>
          <w:sz w:val="22"/>
          <w:szCs w:val="22"/>
          <w:lang w:val="fr-CA"/>
        </w:rPr>
      </w:pPr>
    </w:p>
    <w:p w:rsidR="00D261AC" w:rsidRPr="006A1483" w:rsidRDefault="00D261AC" w:rsidP="00D261AC">
      <w:pPr>
        <w:jc w:val="both"/>
        <w:rPr>
          <w:sz w:val="22"/>
          <w:szCs w:val="22"/>
          <w:lang w:val="fr-CA"/>
        </w:rPr>
      </w:pPr>
    </w:p>
    <w:p w:rsidR="00D261AC" w:rsidRPr="006A1483" w:rsidRDefault="006A1483" w:rsidP="00D261AC">
      <w:pPr>
        <w:jc w:val="center"/>
        <w:rPr>
          <w:sz w:val="22"/>
          <w:szCs w:val="22"/>
          <w:lang w:val="fr-CA"/>
        </w:rPr>
      </w:pPr>
      <w:r>
        <w:rPr>
          <w:sz w:val="22"/>
          <w:szCs w:val="22"/>
          <w:lang w:val="fr-CA"/>
        </w:rPr>
        <w:t>RAPPORT</w:t>
      </w:r>
      <w:r w:rsidR="00D2565A" w:rsidRPr="006A1483">
        <w:rPr>
          <w:sz w:val="22"/>
          <w:szCs w:val="22"/>
          <w:lang w:val="fr-CA"/>
        </w:rPr>
        <w:t xml:space="preserve"> </w:t>
      </w:r>
      <w:r w:rsidR="008C179A" w:rsidRPr="006A1483">
        <w:rPr>
          <w:sz w:val="22"/>
          <w:szCs w:val="22"/>
          <w:lang w:val="fr-CA"/>
        </w:rPr>
        <w:t>2019</w:t>
      </w:r>
      <w:r w:rsidR="00D2565A" w:rsidRPr="006A1483">
        <w:rPr>
          <w:sz w:val="22"/>
          <w:szCs w:val="22"/>
          <w:lang w:val="fr-CA"/>
        </w:rPr>
        <w:t>-</w:t>
      </w:r>
      <w:r w:rsidR="008C179A" w:rsidRPr="006A1483">
        <w:rPr>
          <w:sz w:val="22"/>
          <w:szCs w:val="22"/>
          <w:lang w:val="fr-CA"/>
        </w:rPr>
        <w:t xml:space="preserve">2020 </w:t>
      </w:r>
      <w:r w:rsidR="00D2565A" w:rsidRPr="006A1483">
        <w:rPr>
          <w:sz w:val="22"/>
          <w:szCs w:val="22"/>
          <w:lang w:val="fr-CA"/>
        </w:rPr>
        <w:t>D</w:t>
      </w:r>
      <w:r>
        <w:rPr>
          <w:sz w:val="22"/>
          <w:szCs w:val="22"/>
          <w:lang w:val="fr-CA"/>
        </w:rPr>
        <w:t>U SECRÉTARIAT TECHNIQUE DU</w:t>
      </w:r>
      <w:r w:rsidRPr="006A1483">
        <w:rPr>
          <w:sz w:val="22"/>
          <w:szCs w:val="22"/>
          <w:lang w:val="fr-CA"/>
        </w:rPr>
        <w:t xml:space="preserve"> </w:t>
      </w:r>
      <w:r w:rsidR="00D2565A" w:rsidRPr="006A1483">
        <w:rPr>
          <w:sz w:val="22"/>
          <w:szCs w:val="22"/>
          <w:lang w:val="fr-CA"/>
        </w:rPr>
        <w:br/>
        <w:t>COMITÉ CONSULT</w:t>
      </w:r>
      <w:r>
        <w:rPr>
          <w:sz w:val="22"/>
          <w:szCs w:val="22"/>
          <w:lang w:val="fr-CA"/>
        </w:rPr>
        <w:t>ATIF</w:t>
      </w:r>
      <w:r w:rsidR="00D2565A" w:rsidRPr="006A1483">
        <w:rPr>
          <w:sz w:val="22"/>
          <w:szCs w:val="22"/>
          <w:lang w:val="fr-CA"/>
        </w:rPr>
        <w:t xml:space="preserve"> DE LA CIFTA S</w:t>
      </w:r>
      <w:r>
        <w:rPr>
          <w:sz w:val="22"/>
          <w:szCs w:val="22"/>
          <w:lang w:val="fr-CA"/>
        </w:rPr>
        <w:t>UR LES QUESTIONS SUIVANTES</w:t>
      </w:r>
      <w:r w:rsidR="00D2565A" w:rsidRPr="006A1483">
        <w:rPr>
          <w:sz w:val="22"/>
          <w:szCs w:val="22"/>
          <w:lang w:val="fr-CA"/>
        </w:rPr>
        <w:t xml:space="preserve">: </w:t>
      </w:r>
    </w:p>
    <w:p w:rsidR="00D261AC" w:rsidRPr="006A1483" w:rsidRDefault="00D261AC" w:rsidP="005A0610">
      <w:pPr>
        <w:rPr>
          <w:sz w:val="22"/>
          <w:szCs w:val="22"/>
          <w:lang w:val="fr-CA"/>
        </w:rPr>
      </w:pPr>
    </w:p>
    <w:p w:rsidR="00D261AC" w:rsidRPr="006A1483" w:rsidRDefault="006A1483" w:rsidP="005A0610">
      <w:pPr>
        <w:numPr>
          <w:ilvl w:val="1"/>
          <w:numId w:val="2"/>
        </w:numPr>
        <w:tabs>
          <w:tab w:val="clear" w:pos="1440"/>
        </w:tabs>
        <w:ind w:left="2160" w:hanging="720"/>
        <w:rPr>
          <w:caps/>
          <w:sz w:val="22"/>
          <w:szCs w:val="22"/>
          <w:lang w:val="fr-CA"/>
        </w:rPr>
      </w:pPr>
      <w:r>
        <w:rPr>
          <w:caps/>
          <w:sz w:val="22"/>
          <w:szCs w:val="22"/>
          <w:lang w:val="fr-CA"/>
        </w:rPr>
        <w:t>ÉTAT DES SIGNATURES ET RATIFICATIONS</w:t>
      </w:r>
      <w:r w:rsidR="00D2565A" w:rsidRPr="006A1483">
        <w:rPr>
          <w:caps/>
          <w:sz w:val="22"/>
          <w:szCs w:val="22"/>
          <w:lang w:val="fr-CA"/>
        </w:rPr>
        <w:t xml:space="preserve"> DE LA CIFTA</w:t>
      </w:r>
    </w:p>
    <w:p w:rsidR="00D261AC" w:rsidRPr="006A1483" w:rsidRDefault="006A1483" w:rsidP="005A0610">
      <w:pPr>
        <w:numPr>
          <w:ilvl w:val="1"/>
          <w:numId w:val="2"/>
        </w:numPr>
        <w:tabs>
          <w:tab w:val="clear" w:pos="1440"/>
        </w:tabs>
        <w:ind w:left="2160" w:hanging="720"/>
        <w:rPr>
          <w:caps/>
          <w:sz w:val="22"/>
          <w:szCs w:val="22"/>
          <w:lang w:val="fr-CA"/>
        </w:rPr>
      </w:pPr>
      <w:r>
        <w:rPr>
          <w:caps/>
          <w:sz w:val="22"/>
          <w:szCs w:val="22"/>
          <w:lang w:val="fr-CA"/>
        </w:rPr>
        <w:t>RÉPECTOIRE DES AUTORITÉS</w:t>
      </w:r>
      <w:r w:rsidR="00D2565A" w:rsidRPr="006A1483">
        <w:rPr>
          <w:caps/>
          <w:sz w:val="22"/>
          <w:szCs w:val="22"/>
          <w:lang w:val="fr-CA"/>
        </w:rPr>
        <w:t xml:space="preserve"> DE LA CIFTA</w:t>
      </w:r>
    </w:p>
    <w:p w:rsidR="00D261AC" w:rsidRPr="006A1483" w:rsidRDefault="006A1483" w:rsidP="005A0610">
      <w:pPr>
        <w:numPr>
          <w:ilvl w:val="1"/>
          <w:numId w:val="2"/>
        </w:numPr>
        <w:tabs>
          <w:tab w:val="clear" w:pos="1440"/>
        </w:tabs>
        <w:ind w:left="2160" w:hanging="720"/>
        <w:rPr>
          <w:caps/>
          <w:sz w:val="22"/>
          <w:szCs w:val="22"/>
          <w:lang w:val="fr-CA"/>
        </w:rPr>
      </w:pPr>
      <w:r>
        <w:rPr>
          <w:caps/>
          <w:sz w:val="22"/>
          <w:szCs w:val="22"/>
          <w:lang w:val="fr-CA"/>
        </w:rPr>
        <w:t>qUESTIONNAIRE SUR LA MISE EN œuvre ET L’EFFECTIVITÉ</w:t>
      </w:r>
      <w:r w:rsidR="00D2565A" w:rsidRPr="006A1483">
        <w:rPr>
          <w:caps/>
          <w:sz w:val="22"/>
          <w:szCs w:val="22"/>
          <w:lang w:val="fr-CA"/>
        </w:rPr>
        <w:t xml:space="preserve"> DE LA CIFTA</w:t>
      </w:r>
    </w:p>
    <w:p w:rsidR="00D261AC" w:rsidRPr="006A1483" w:rsidRDefault="00D261AC" w:rsidP="00D261AC">
      <w:pPr>
        <w:rPr>
          <w:caps/>
          <w:sz w:val="22"/>
          <w:szCs w:val="22"/>
          <w:lang w:val="fr-CA"/>
        </w:rPr>
      </w:pPr>
    </w:p>
    <w:p w:rsidR="00D261AC" w:rsidRPr="006A1483" w:rsidRDefault="00D261AC" w:rsidP="00D261AC">
      <w:pPr>
        <w:rPr>
          <w:caps/>
          <w:sz w:val="22"/>
          <w:szCs w:val="22"/>
          <w:lang w:val="fr-CA"/>
        </w:rPr>
      </w:pPr>
    </w:p>
    <w:p w:rsidR="00D261AC" w:rsidRPr="006A1483" w:rsidRDefault="00D261AC" w:rsidP="00D261AC">
      <w:pPr>
        <w:jc w:val="center"/>
        <w:rPr>
          <w:caps/>
          <w:sz w:val="22"/>
          <w:szCs w:val="22"/>
          <w:lang w:val="fr-CA"/>
        </w:rPr>
        <w:sectPr w:rsidR="00D261AC" w:rsidRPr="006A1483" w:rsidSect="00D261AC">
          <w:headerReference w:type="even" r:id="rId10"/>
          <w:type w:val="oddPage"/>
          <w:pgSz w:w="12240" w:h="15840" w:code="1"/>
          <w:pgMar w:top="2160" w:right="1570" w:bottom="1296" w:left="1699" w:header="1296" w:footer="1296" w:gutter="0"/>
          <w:pgNumType w:start="1"/>
          <w:cols w:space="720"/>
          <w:titlePg/>
          <w:docGrid w:linePitch="360"/>
        </w:sectPr>
      </w:pPr>
    </w:p>
    <w:p w:rsidR="00D261AC" w:rsidRPr="006A1483" w:rsidRDefault="006A1483" w:rsidP="00D261AC">
      <w:pPr>
        <w:jc w:val="center"/>
        <w:rPr>
          <w:sz w:val="22"/>
          <w:szCs w:val="22"/>
          <w:lang w:val="fr-CA"/>
        </w:rPr>
      </w:pPr>
      <w:r>
        <w:rPr>
          <w:sz w:val="22"/>
          <w:szCs w:val="22"/>
          <w:lang w:val="fr-CA"/>
        </w:rPr>
        <w:lastRenderedPageBreak/>
        <w:t>RAPPORT</w:t>
      </w:r>
      <w:r w:rsidR="00D2565A" w:rsidRPr="006A1483">
        <w:rPr>
          <w:sz w:val="22"/>
          <w:szCs w:val="22"/>
          <w:lang w:val="fr-CA"/>
        </w:rPr>
        <w:t xml:space="preserve"> </w:t>
      </w:r>
      <w:r w:rsidR="003B574D" w:rsidRPr="006A1483">
        <w:rPr>
          <w:sz w:val="22"/>
          <w:szCs w:val="22"/>
          <w:lang w:val="fr-CA"/>
        </w:rPr>
        <w:t>2019</w:t>
      </w:r>
      <w:r w:rsidR="00D2565A" w:rsidRPr="006A1483">
        <w:rPr>
          <w:sz w:val="22"/>
          <w:szCs w:val="22"/>
          <w:lang w:val="fr-CA"/>
        </w:rPr>
        <w:t>-</w:t>
      </w:r>
      <w:r w:rsidR="003B574D" w:rsidRPr="006A1483">
        <w:rPr>
          <w:sz w:val="22"/>
          <w:szCs w:val="22"/>
          <w:lang w:val="fr-CA"/>
        </w:rPr>
        <w:t xml:space="preserve">2020 </w:t>
      </w:r>
      <w:r w:rsidR="00D2565A" w:rsidRPr="006A1483">
        <w:rPr>
          <w:sz w:val="22"/>
          <w:szCs w:val="22"/>
          <w:lang w:val="fr-CA"/>
        </w:rPr>
        <w:t>D</w:t>
      </w:r>
      <w:r>
        <w:rPr>
          <w:sz w:val="22"/>
          <w:szCs w:val="22"/>
          <w:lang w:val="fr-CA"/>
        </w:rPr>
        <w:t>U SECRÉTARIAT TECHNIQUE DU</w:t>
      </w:r>
      <w:r w:rsidRPr="006A1483">
        <w:rPr>
          <w:sz w:val="22"/>
          <w:szCs w:val="22"/>
          <w:lang w:val="fr-CA"/>
        </w:rPr>
        <w:t xml:space="preserve"> </w:t>
      </w:r>
      <w:r w:rsidR="00D2565A" w:rsidRPr="006A1483">
        <w:rPr>
          <w:sz w:val="22"/>
          <w:szCs w:val="22"/>
          <w:lang w:val="fr-CA"/>
        </w:rPr>
        <w:br/>
        <w:t>COMITÉ CONSULT</w:t>
      </w:r>
      <w:r>
        <w:rPr>
          <w:sz w:val="22"/>
          <w:szCs w:val="22"/>
          <w:lang w:val="fr-CA"/>
        </w:rPr>
        <w:t>ATIF</w:t>
      </w:r>
      <w:r w:rsidR="00D2565A" w:rsidRPr="006A1483">
        <w:rPr>
          <w:sz w:val="22"/>
          <w:szCs w:val="22"/>
          <w:lang w:val="fr-CA"/>
        </w:rPr>
        <w:t xml:space="preserve"> DE LA CIFTA</w:t>
      </w:r>
    </w:p>
    <w:p w:rsidR="005A0610" w:rsidRDefault="005A0610" w:rsidP="00D261AC">
      <w:pPr>
        <w:pStyle w:val="BodyText"/>
        <w:widowControl/>
        <w:spacing w:after="0"/>
        <w:jc w:val="both"/>
        <w:rPr>
          <w:sz w:val="22"/>
          <w:szCs w:val="22"/>
          <w:lang w:val="fr-CA"/>
        </w:rPr>
      </w:pPr>
    </w:p>
    <w:p w:rsidR="00977A6E" w:rsidRPr="006A1483" w:rsidRDefault="00977A6E" w:rsidP="00D261AC">
      <w:pPr>
        <w:pStyle w:val="BodyText"/>
        <w:widowControl/>
        <w:spacing w:after="0"/>
        <w:jc w:val="both"/>
        <w:rPr>
          <w:sz w:val="22"/>
          <w:szCs w:val="22"/>
          <w:lang w:val="fr-CA"/>
        </w:rPr>
      </w:pPr>
    </w:p>
    <w:p w:rsidR="00D261AC" w:rsidRPr="006A1483" w:rsidRDefault="00D2565A" w:rsidP="00D261AC">
      <w:pPr>
        <w:jc w:val="both"/>
        <w:rPr>
          <w:sz w:val="22"/>
          <w:szCs w:val="22"/>
          <w:lang w:val="fr-CA"/>
        </w:rPr>
      </w:pPr>
      <w:r w:rsidRPr="006A1483">
        <w:rPr>
          <w:sz w:val="22"/>
          <w:szCs w:val="22"/>
          <w:lang w:val="fr-CA"/>
        </w:rPr>
        <w:tab/>
      </w:r>
      <w:r w:rsidR="006A1483">
        <w:rPr>
          <w:sz w:val="22"/>
          <w:szCs w:val="22"/>
          <w:lang w:val="fr-CA"/>
        </w:rPr>
        <w:t>Le Secrétariat technique du Comité consultatif de la Convention interaméricaine contre la fabrication et le trafic illicites d’armes à feu, de munitions, d’explosifs et autres matériels connexes</w:t>
      </w:r>
      <w:r w:rsidRPr="006A1483">
        <w:rPr>
          <w:sz w:val="22"/>
          <w:szCs w:val="22"/>
          <w:lang w:val="fr-CA"/>
        </w:rPr>
        <w:t xml:space="preserve"> (CIFTA)</w:t>
      </w:r>
      <w:r w:rsidR="006A1483">
        <w:rPr>
          <w:sz w:val="22"/>
          <w:szCs w:val="22"/>
          <w:lang w:val="fr-CA"/>
        </w:rPr>
        <w:t xml:space="preserve"> a l’honneur de présenter le rapport sur l’état des signatures et ratifications</w:t>
      </w:r>
      <w:r w:rsidRPr="006A1483">
        <w:rPr>
          <w:sz w:val="22"/>
          <w:szCs w:val="22"/>
          <w:lang w:val="fr-CA"/>
        </w:rPr>
        <w:t xml:space="preserve"> de la CIFT</w:t>
      </w:r>
      <w:r w:rsidR="0092369F">
        <w:rPr>
          <w:sz w:val="22"/>
          <w:szCs w:val="22"/>
          <w:lang w:val="fr-CA"/>
        </w:rPr>
        <w:t>A</w:t>
      </w:r>
      <w:r w:rsidRPr="006A1483">
        <w:rPr>
          <w:sz w:val="22"/>
          <w:szCs w:val="22"/>
          <w:lang w:val="fr-CA"/>
        </w:rPr>
        <w:t>,</w:t>
      </w:r>
      <w:r w:rsidR="0092369F">
        <w:rPr>
          <w:sz w:val="22"/>
          <w:szCs w:val="22"/>
          <w:lang w:val="fr-CA"/>
        </w:rPr>
        <w:t xml:space="preserve"> le Répertoire des autorités</w:t>
      </w:r>
      <w:r w:rsidRPr="006A1483">
        <w:rPr>
          <w:sz w:val="22"/>
          <w:szCs w:val="22"/>
          <w:lang w:val="fr-CA"/>
        </w:rPr>
        <w:t xml:space="preserve"> de la CIFTA</w:t>
      </w:r>
      <w:r w:rsidR="0092369F">
        <w:rPr>
          <w:sz w:val="22"/>
          <w:szCs w:val="22"/>
          <w:lang w:val="fr-CA"/>
        </w:rPr>
        <w:t xml:space="preserve"> et le questionnaire sur la mise en œuvre et l’effectivité de la CIFTA en</w:t>
      </w:r>
      <w:r w:rsidRPr="006A1483">
        <w:rPr>
          <w:sz w:val="22"/>
          <w:szCs w:val="22"/>
          <w:lang w:val="fr-CA"/>
        </w:rPr>
        <w:t xml:space="preserve"> </w:t>
      </w:r>
      <w:r w:rsidR="008C179A" w:rsidRPr="006A1483">
        <w:rPr>
          <w:sz w:val="22"/>
          <w:szCs w:val="22"/>
          <w:lang w:val="fr-CA"/>
        </w:rPr>
        <w:t>2020</w:t>
      </w:r>
      <w:r w:rsidRPr="006A1483">
        <w:rPr>
          <w:sz w:val="22"/>
          <w:szCs w:val="22"/>
          <w:lang w:val="fr-CA"/>
        </w:rPr>
        <w:t>.</w:t>
      </w:r>
    </w:p>
    <w:p w:rsidR="00D261AC" w:rsidRPr="006A1483" w:rsidRDefault="00D261AC" w:rsidP="00D261AC">
      <w:pPr>
        <w:jc w:val="both"/>
        <w:rPr>
          <w:sz w:val="22"/>
          <w:szCs w:val="22"/>
          <w:lang w:val="fr-CA"/>
        </w:rPr>
      </w:pPr>
    </w:p>
    <w:p w:rsidR="00D261AC" w:rsidRPr="006A1483" w:rsidRDefault="0092369F" w:rsidP="00D261AC">
      <w:pPr>
        <w:jc w:val="both"/>
        <w:rPr>
          <w:b/>
          <w:sz w:val="22"/>
          <w:szCs w:val="22"/>
          <w:lang w:val="fr-CA"/>
        </w:rPr>
      </w:pPr>
      <w:r>
        <w:rPr>
          <w:b/>
          <w:sz w:val="22"/>
          <w:szCs w:val="22"/>
          <w:lang w:val="fr-CA"/>
        </w:rPr>
        <w:t>État des signatures et ratifications</w:t>
      </w:r>
      <w:r w:rsidR="00D2565A" w:rsidRPr="006A1483">
        <w:rPr>
          <w:b/>
          <w:sz w:val="22"/>
          <w:szCs w:val="22"/>
          <w:lang w:val="fr-CA"/>
        </w:rPr>
        <w:t xml:space="preserve"> de la CIFTA</w:t>
      </w:r>
    </w:p>
    <w:p w:rsidR="00D261AC" w:rsidRPr="006A1483" w:rsidRDefault="00D261AC" w:rsidP="00D261AC">
      <w:pPr>
        <w:jc w:val="both"/>
        <w:rPr>
          <w:sz w:val="22"/>
          <w:szCs w:val="22"/>
          <w:u w:val="single"/>
          <w:lang w:val="fr-CA"/>
        </w:rPr>
      </w:pPr>
    </w:p>
    <w:p w:rsidR="00D261AC" w:rsidRPr="006A1483" w:rsidRDefault="00A00EF9" w:rsidP="00D261AC">
      <w:pPr>
        <w:ind w:firstLine="720"/>
        <w:jc w:val="both"/>
        <w:rPr>
          <w:sz w:val="22"/>
          <w:szCs w:val="22"/>
          <w:lang w:val="fr-CA"/>
        </w:rPr>
      </w:pPr>
      <w:r>
        <w:rPr>
          <w:sz w:val="22"/>
          <w:szCs w:val="22"/>
          <w:lang w:val="fr-CA"/>
        </w:rPr>
        <w:t xml:space="preserve">À cette date, 31 États ont ratifié la Convention interaméricaine contre la fabrication et le trafic illicites d’armes à feu, de munitions, d’explosifs et autres matériels connexes ou y ont adhéré. </w:t>
      </w:r>
    </w:p>
    <w:p w:rsidR="00D261AC" w:rsidRPr="006A1483" w:rsidRDefault="00D261AC" w:rsidP="00D261AC">
      <w:pPr>
        <w:jc w:val="both"/>
        <w:rPr>
          <w:sz w:val="22"/>
          <w:szCs w:val="22"/>
          <w:lang w:val="fr-CA"/>
        </w:rPr>
      </w:pPr>
    </w:p>
    <w:p w:rsidR="00D261AC" w:rsidRPr="006A1483" w:rsidRDefault="00A00EF9" w:rsidP="00D261AC">
      <w:pPr>
        <w:ind w:firstLine="720"/>
        <w:jc w:val="both"/>
        <w:rPr>
          <w:sz w:val="22"/>
          <w:szCs w:val="22"/>
          <w:lang w:val="fr-CA"/>
        </w:rPr>
      </w:pPr>
      <w:r>
        <w:rPr>
          <w:sz w:val="22"/>
          <w:szCs w:val="22"/>
          <w:lang w:val="fr-CA"/>
        </w:rPr>
        <w:t>Le</w:t>
      </w:r>
      <w:r w:rsidR="00D2565A" w:rsidRPr="006A1483">
        <w:rPr>
          <w:sz w:val="22"/>
          <w:szCs w:val="22"/>
          <w:lang w:val="fr-CA"/>
        </w:rPr>
        <w:t xml:space="preserve"> </w:t>
      </w:r>
      <w:r w:rsidR="001A3929" w:rsidRPr="006A1483">
        <w:rPr>
          <w:sz w:val="22"/>
          <w:szCs w:val="22"/>
          <w:lang w:val="fr-CA"/>
        </w:rPr>
        <w:t>14</w:t>
      </w:r>
      <w:r>
        <w:rPr>
          <w:sz w:val="22"/>
          <w:szCs w:val="22"/>
          <w:lang w:val="fr-CA"/>
        </w:rPr>
        <w:t xml:space="preserve"> décembre</w:t>
      </w:r>
      <w:r w:rsidR="00D2565A" w:rsidRPr="006A1483">
        <w:rPr>
          <w:sz w:val="22"/>
          <w:szCs w:val="22"/>
          <w:lang w:val="fr-CA"/>
        </w:rPr>
        <w:t xml:space="preserve"> </w:t>
      </w:r>
      <w:r w:rsidR="003B574D" w:rsidRPr="006A1483">
        <w:rPr>
          <w:sz w:val="22"/>
          <w:szCs w:val="22"/>
          <w:lang w:val="fr-CA"/>
        </w:rPr>
        <w:t>2020</w:t>
      </w:r>
      <w:r w:rsidR="00D2565A" w:rsidRPr="006A1483">
        <w:rPr>
          <w:sz w:val="22"/>
          <w:szCs w:val="22"/>
          <w:lang w:val="fr-CA"/>
        </w:rPr>
        <w:t>,</w:t>
      </w:r>
      <w:r>
        <w:rPr>
          <w:sz w:val="22"/>
          <w:szCs w:val="22"/>
          <w:lang w:val="fr-CA"/>
        </w:rPr>
        <w:t xml:space="preserve"> le Secrétariat technique a diffusé le document portant la cote</w:t>
      </w:r>
      <w:r w:rsidR="00D2565A" w:rsidRPr="006A1483">
        <w:rPr>
          <w:sz w:val="22"/>
          <w:szCs w:val="22"/>
          <w:lang w:val="fr-CA"/>
        </w:rPr>
        <w:t xml:space="preserve"> CIFTA/CC</w:t>
      </w:r>
      <w:r w:rsidR="00152DFA" w:rsidRPr="006A1483">
        <w:rPr>
          <w:sz w:val="22"/>
          <w:szCs w:val="22"/>
          <w:lang w:val="fr-CA"/>
        </w:rPr>
        <w:noBreakHyphen/>
      </w:r>
      <w:r w:rsidR="00D2565A" w:rsidRPr="006A1483">
        <w:rPr>
          <w:sz w:val="22"/>
          <w:szCs w:val="22"/>
          <w:lang w:val="fr-CA"/>
        </w:rPr>
        <w:t>XX/doc.</w:t>
      </w:r>
      <w:r w:rsidR="001A3929" w:rsidRPr="006A1483">
        <w:rPr>
          <w:sz w:val="22"/>
          <w:szCs w:val="22"/>
          <w:lang w:val="fr-CA"/>
        </w:rPr>
        <w:t>8</w:t>
      </w:r>
      <w:r w:rsidR="00D2565A" w:rsidRPr="006A1483">
        <w:rPr>
          <w:sz w:val="22"/>
          <w:szCs w:val="22"/>
          <w:lang w:val="fr-CA"/>
        </w:rPr>
        <w:t>/</w:t>
      </w:r>
      <w:r w:rsidR="00251249" w:rsidRPr="006A1483">
        <w:rPr>
          <w:sz w:val="22"/>
          <w:szCs w:val="22"/>
          <w:lang w:val="fr-CA"/>
        </w:rPr>
        <w:t>20</w:t>
      </w:r>
      <w:r w:rsidR="00D2565A" w:rsidRPr="006A1483">
        <w:rPr>
          <w:sz w:val="22"/>
          <w:szCs w:val="22"/>
          <w:lang w:val="fr-CA"/>
        </w:rPr>
        <w:t>,</w:t>
      </w:r>
      <w:r>
        <w:rPr>
          <w:sz w:val="22"/>
          <w:szCs w:val="22"/>
          <w:lang w:val="fr-CA"/>
        </w:rPr>
        <w:t xml:space="preserve"> dans lequel on informe officiellement de l’état des ratifications à cette date.</w:t>
      </w:r>
      <w:r w:rsidR="00D2565A" w:rsidRPr="006A1483">
        <w:rPr>
          <w:sz w:val="22"/>
          <w:szCs w:val="22"/>
          <w:lang w:val="fr-CA"/>
        </w:rPr>
        <w:t xml:space="preserve"> </w:t>
      </w:r>
    </w:p>
    <w:p w:rsidR="00D261AC" w:rsidRPr="006A1483" w:rsidRDefault="00D261AC" w:rsidP="00D261AC">
      <w:pPr>
        <w:jc w:val="both"/>
        <w:rPr>
          <w:sz w:val="22"/>
          <w:szCs w:val="22"/>
          <w:lang w:val="fr-CA"/>
        </w:rPr>
      </w:pPr>
    </w:p>
    <w:p w:rsidR="00D261AC" w:rsidRPr="006A1483" w:rsidRDefault="00A00EF9" w:rsidP="00D261AC">
      <w:pPr>
        <w:jc w:val="both"/>
        <w:rPr>
          <w:b/>
          <w:sz w:val="22"/>
          <w:szCs w:val="22"/>
          <w:lang w:val="fr-CA"/>
        </w:rPr>
      </w:pPr>
      <w:r>
        <w:rPr>
          <w:b/>
          <w:sz w:val="22"/>
          <w:szCs w:val="22"/>
          <w:lang w:val="fr-CA"/>
        </w:rPr>
        <w:t>Répertoire des autorités</w:t>
      </w:r>
      <w:r w:rsidR="00D2565A" w:rsidRPr="006A1483">
        <w:rPr>
          <w:b/>
          <w:sz w:val="22"/>
          <w:szCs w:val="22"/>
          <w:lang w:val="fr-CA"/>
        </w:rPr>
        <w:t xml:space="preserve"> de la CIFTA</w:t>
      </w:r>
    </w:p>
    <w:p w:rsidR="00D261AC" w:rsidRPr="006A1483" w:rsidRDefault="00D261AC" w:rsidP="00D261AC">
      <w:pPr>
        <w:jc w:val="both"/>
        <w:rPr>
          <w:sz w:val="22"/>
          <w:szCs w:val="22"/>
          <w:lang w:val="fr-CA"/>
        </w:rPr>
      </w:pPr>
    </w:p>
    <w:p w:rsidR="00D261AC" w:rsidRPr="006A1483" w:rsidRDefault="00A00EF9" w:rsidP="00D261AC">
      <w:pPr>
        <w:jc w:val="both"/>
        <w:rPr>
          <w:sz w:val="22"/>
          <w:szCs w:val="22"/>
          <w:lang w:val="fr-CA"/>
        </w:rPr>
      </w:pPr>
      <w:r>
        <w:rPr>
          <w:sz w:val="22"/>
          <w:szCs w:val="22"/>
          <w:lang w:val="fr-CA"/>
        </w:rPr>
        <w:tab/>
        <w:t>Le 8 décembre</w:t>
      </w:r>
      <w:r w:rsidR="00D2565A" w:rsidRPr="006A1483">
        <w:rPr>
          <w:sz w:val="22"/>
          <w:szCs w:val="22"/>
          <w:lang w:val="fr-CA"/>
        </w:rPr>
        <w:t xml:space="preserve"> </w:t>
      </w:r>
      <w:r w:rsidR="00251249" w:rsidRPr="006A1483">
        <w:rPr>
          <w:sz w:val="22"/>
          <w:szCs w:val="22"/>
          <w:lang w:val="fr-CA"/>
        </w:rPr>
        <w:t>2020</w:t>
      </w:r>
      <w:r w:rsidR="008F6EA8">
        <w:rPr>
          <w:sz w:val="22"/>
          <w:szCs w:val="22"/>
          <w:lang w:val="fr-CA"/>
        </w:rPr>
        <w:t>, le Secrétariat technique a diffusé le document portant la cote</w:t>
      </w:r>
      <w:r w:rsidR="00D2565A" w:rsidRPr="006A1483">
        <w:rPr>
          <w:sz w:val="22"/>
          <w:szCs w:val="22"/>
          <w:lang w:val="fr-CA"/>
        </w:rPr>
        <w:t xml:space="preserve"> CIFTA/CC</w:t>
      </w:r>
      <w:r w:rsidR="00152DFA" w:rsidRPr="006A1483">
        <w:rPr>
          <w:sz w:val="22"/>
          <w:szCs w:val="22"/>
          <w:lang w:val="fr-CA"/>
        </w:rPr>
        <w:noBreakHyphen/>
      </w:r>
      <w:r w:rsidR="00D2565A" w:rsidRPr="006A1483">
        <w:rPr>
          <w:sz w:val="22"/>
          <w:szCs w:val="22"/>
          <w:lang w:val="fr-CA"/>
        </w:rPr>
        <w:t>XX/doc.</w:t>
      </w:r>
      <w:r w:rsidR="003B574D" w:rsidRPr="006A1483">
        <w:rPr>
          <w:sz w:val="22"/>
          <w:szCs w:val="22"/>
          <w:lang w:val="fr-CA"/>
        </w:rPr>
        <w:t>6/</w:t>
      </w:r>
      <w:r w:rsidR="008C179A" w:rsidRPr="006A1483">
        <w:rPr>
          <w:sz w:val="22"/>
          <w:szCs w:val="22"/>
          <w:lang w:val="fr-CA"/>
        </w:rPr>
        <w:t>20</w:t>
      </w:r>
      <w:r w:rsidR="00D2565A" w:rsidRPr="006A1483">
        <w:rPr>
          <w:sz w:val="22"/>
          <w:szCs w:val="22"/>
          <w:lang w:val="fr-CA"/>
        </w:rPr>
        <w:t>,</w:t>
      </w:r>
      <w:r w:rsidR="008F6EA8">
        <w:rPr>
          <w:sz w:val="22"/>
          <w:szCs w:val="22"/>
          <w:lang w:val="fr-CA"/>
        </w:rPr>
        <w:t xml:space="preserve"> dans lequel on demande aux États membres </w:t>
      </w:r>
      <w:r w:rsidR="000805EF">
        <w:rPr>
          <w:sz w:val="22"/>
          <w:szCs w:val="22"/>
          <w:lang w:val="fr-CA"/>
        </w:rPr>
        <w:t>de fournir les données de contact de leurs autorités nationales liées à la</w:t>
      </w:r>
      <w:r w:rsidR="00D2565A" w:rsidRPr="006A1483">
        <w:rPr>
          <w:sz w:val="22"/>
          <w:szCs w:val="22"/>
          <w:lang w:val="fr-CA"/>
        </w:rPr>
        <w:t xml:space="preserve"> CIFTA.</w:t>
      </w:r>
      <w:r w:rsidR="000805EF">
        <w:rPr>
          <w:sz w:val="22"/>
          <w:szCs w:val="22"/>
          <w:lang w:val="fr-CA"/>
        </w:rPr>
        <w:t xml:space="preserve"> Le 16 décembre 2020, le Secrétariat technique </w:t>
      </w:r>
      <w:r w:rsidR="00270C88">
        <w:rPr>
          <w:sz w:val="22"/>
          <w:szCs w:val="22"/>
          <w:lang w:val="fr-CA"/>
        </w:rPr>
        <w:t>a publié une version actualisée du Répertoire des autorités</w:t>
      </w:r>
      <w:r w:rsidR="000805EF">
        <w:rPr>
          <w:sz w:val="22"/>
          <w:szCs w:val="22"/>
          <w:lang w:val="fr-CA"/>
        </w:rPr>
        <w:t xml:space="preserve"> </w:t>
      </w:r>
      <w:r w:rsidR="00FF4464" w:rsidRPr="006A1483">
        <w:rPr>
          <w:sz w:val="22"/>
          <w:szCs w:val="22"/>
          <w:lang w:val="fr-CA"/>
        </w:rPr>
        <w:t>(CIFTA/CC-XX/doc.9/20</w:t>
      </w:r>
      <w:r w:rsidR="00427BB9" w:rsidRPr="006A1483">
        <w:rPr>
          <w:sz w:val="22"/>
          <w:szCs w:val="22"/>
          <w:lang w:val="fr-CA"/>
        </w:rPr>
        <w:t xml:space="preserve"> rev.1</w:t>
      </w:r>
      <w:r w:rsidR="00FF4464" w:rsidRPr="006A1483">
        <w:rPr>
          <w:sz w:val="22"/>
          <w:szCs w:val="22"/>
          <w:lang w:val="fr-CA"/>
        </w:rPr>
        <w:t>)</w:t>
      </w:r>
      <w:r w:rsidR="00D2565A" w:rsidRPr="006A1483">
        <w:rPr>
          <w:sz w:val="22"/>
          <w:szCs w:val="22"/>
          <w:lang w:val="fr-CA"/>
        </w:rPr>
        <w:t>,</w:t>
      </w:r>
      <w:r w:rsidR="00270C88">
        <w:rPr>
          <w:sz w:val="22"/>
          <w:szCs w:val="22"/>
          <w:lang w:val="fr-CA"/>
        </w:rPr>
        <w:t xml:space="preserve"> avec des données actualisées de la Colombie, du</w:t>
      </w:r>
      <w:r w:rsidR="00893642" w:rsidRPr="006A1483">
        <w:rPr>
          <w:sz w:val="22"/>
          <w:szCs w:val="22"/>
          <w:lang w:val="fr-CA"/>
        </w:rPr>
        <w:t xml:space="preserve"> </w:t>
      </w:r>
      <w:r w:rsidR="009C6980" w:rsidRPr="006A1483">
        <w:rPr>
          <w:sz w:val="22"/>
          <w:szCs w:val="22"/>
          <w:lang w:val="fr-CA"/>
        </w:rPr>
        <w:t>Costa Rica,</w:t>
      </w:r>
      <w:r w:rsidR="00270C88">
        <w:rPr>
          <w:sz w:val="22"/>
          <w:szCs w:val="22"/>
          <w:lang w:val="fr-CA"/>
        </w:rPr>
        <w:t xml:space="preserve"> de l’Équateur, des États-Unis et du Pérou.</w:t>
      </w:r>
      <w:r w:rsidR="009C6980" w:rsidRPr="006A1483">
        <w:rPr>
          <w:sz w:val="22"/>
          <w:szCs w:val="22"/>
          <w:lang w:val="fr-CA"/>
        </w:rPr>
        <w:t xml:space="preserve"> </w:t>
      </w:r>
    </w:p>
    <w:p w:rsidR="00D261AC" w:rsidRPr="006A1483" w:rsidRDefault="00D261AC" w:rsidP="00D261AC">
      <w:pPr>
        <w:jc w:val="both"/>
        <w:rPr>
          <w:sz w:val="22"/>
          <w:szCs w:val="22"/>
          <w:lang w:val="fr-CA"/>
        </w:rPr>
      </w:pPr>
    </w:p>
    <w:p w:rsidR="00D261AC" w:rsidRPr="006A1483" w:rsidRDefault="00270C88" w:rsidP="00D261AC">
      <w:pPr>
        <w:jc w:val="both"/>
        <w:rPr>
          <w:sz w:val="22"/>
          <w:szCs w:val="22"/>
          <w:lang w:val="fr-CA"/>
        </w:rPr>
      </w:pPr>
      <w:r>
        <w:rPr>
          <w:sz w:val="22"/>
          <w:szCs w:val="22"/>
          <w:lang w:val="fr-CA"/>
        </w:rPr>
        <w:tab/>
        <w:t xml:space="preserve">Le Secrétariat technique demande instamment aux États membres de transmettre </w:t>
      </w:r>
      <w:r w:rsidR="007853A4">
        <w:rPr>
          <w:sz w:val="22"/>
          <w:szCs w:val="22"/>
          <w:lang w:val="fr-CA"/>
        </w:rPr>
        <w:t>au Secrétariat général</w:t>
      </w:r>
      <w:r w:rsidR="007853A4" w:rsidRPr="006A1483">
        <w:rPr>
          <w:sz w:val="22"/>
          <w:szCs w:val="22"/>
          <w:lang w:val="fr-CA"/>
        </w:rPr>
        <w:t xml:space="preserve"> </w:t>
      </w:r>
      <w:r>
        <w:rPr>
          <w:sz w:val="22"/>
          <w:szCs w:val="22"/>
          <w:lang w:val="fr-CA"/>
        </w:rPr>
        <w:t>toute information sur la nomination de candidats ou sur des changements</w:t>
      </w:r>
      <w:r w:rsidR="007853A4">
        <w:rPr>
          <w:sz w:val="22"/>
          <w:szCs w:val="22"/>
          <w:lang w:val="fr-CA"/>
        </w:rPr>
        <w:t xml:space="preserve">, par l’intermédiaire du Secrétariat technique </w:t>
      </w:r>
      <w:r w:rsidR="00D2565A" w:rsidRPr="006A1483">
        <w:rPr>
          <w:sz w:val="22"/>
          <w:szCs w:val="22"/>
          <w:lang w:val="fr-CA"/>
        </w:rPr>
        <w:t>de la CIFTA.</w:t>
      </w:r>
    </w:p>
    <w:p w:rsidR="00D261AC" w:rsidRPr="006A1483" w:rsidRDefault="00D261AC" w:rsidP="00D261AC">
      <w:pPr>
        <w:jc w:val="both"/>
        <w:rPr>
          <w:sz w:val="22"/>
          <w:szCs w:val="22"/>
          <w:lang w:val="fr-CA"/>
        </w:rPr>
      </w:pPr>
    </w:p>
    <w:p w:rsidR="00D261AC" w:rsidRPr="006A1483" w:rsidRDefault="007853A4" w:rsidP="00D261AC">
      <w:pPr>
        <w:jc w:val="both"/>
        <w:rPr>
          <w:b/>
          <w:sz w:val="22"/>
          <w:szCs w:val="22"/>
          <w:lang w:val="fr-CA"/>
        </w:rPr>
      </w:pPr>
      <w:r>
        <w:rPr>
          <w:b/>
          <w:sz w:val="22"/>
          <w:szCs w:val="22"/>
          <w:lang w:val="fr-CA"/>
        </w:rPr>
        <w:t>Questionnaire sur la mise en application et l’effectivité</w:t>
      </w:r>
      <w:r w:rsidR="00D2565A" w:rsidRPr="006A1483">
        <w:rPr>
          <w:b/>
          <w:sz w:val="22"/>
          <w:szCs w:val="22"/>
          <w:lang w:val="fr-CA"/>
        </w:rPr>
        <w:t xml:space="preserve"> de la CIFTA</w:t>
      </w:r>
    </w:p>
    <w:p w:rsidR="00D261AC" w:rsidRPr="006A1483" w:rsidRDefault="00D261AC" w:rsidP="00D261AC">
      <w:pPr>
        <w:jc w:val="both"/>
        <w:rPr>
          <w:sz w:val="22"/>
          <w:szCs w:val="22"/>
          <w:lang w:val="fr-CA"/>
        </w:rPr>
      </w:pPr>
    </w:p>
    <w:p w:rsidR="00D261AC" w:rsidRPr="006A1483" w:rsidRDefault="00D2565A" w:rsidP="00D261AC">
      <w:pPr>
        <w:jc w:val="both"/>
        <w:rPr>
          <w:sz w:val="22"/>
          <w:szCs w:val="22"/>
          <w:lang w:val="fr-CA"/>
        </w:rPr>
      </w:pPr>
      <w:r w:rsidRPr="006A1483">
        <w:rPr>
          <w:sz w:val="22"/>
          <w:szCs w:val="22"/>
          <w:lang w:val="fr-CA"/>
        </w:rPr>
        <w:tab/>
      </w:r>
      <w:r w:rsidR="007853A4">
        <w:rPr>
          <w:sz w:val="22"/>
          <w:szCs w:val="22"/>
          <w:lang w:val="fr-CA"/>
        </w:rPr>
        <w:t>Comme les délégations se souviendront, le</w:t>
      </w:r>
      <w:r w:rsidRPr="006A1483">
        <w:rPr>
          <w:sz w:val="22"/>
          <w:szCs w:val="22"/>
          <w:lang w:val="fr-CA"/>
        </w:rPr>
        <w:t xml:space="preserve"> </w:t>
      </w:r>
      <w:r w:rsidR="00152DFA" w:rsidRPr="006A1483">
        <w:rPr>
          <w:sz w:val="22"/>
          <w:szCs w:val="22"/>
          <w:lang w:val="fr-CA"/>
        </w:rPr>
        <w:t>“</w:t>
      </w:r>
      <w:r w:rsidR="007853A4">
        <w:rPr>
          <w:sz w:val="22"/>
          <w:szCs w:val="22"/>
          <w:lang w:val="fr-CA"/>
        </w:rPr>
        <w:t>Questionnaire sur la mise en application et l’effectivité</w:t>
      </w:r>
      <w:r w:rsidRPr="006A1483">
        <w:rPr>
          <w:sz w:val="22"/>
          <w:szCs w:val="22"/>
          <w:lang w:val="fr-CA"/>
        </w:rPr>
        <w:t xml:space="preserve"> de la CIFTA</w:t>
      </w:r>
      <w:r w:rsidR="00152DFA" w:rsidRPr="006A1483">
        <w:rPr>
          <w:sz w:val="22"/>
          <w:szCs w:val="22"/>
          <w:lang w:val="fr-CA"/>
        </w:rPr>
        <w:t>”</w:t>
      </w:r>
      <w:r w:rsidR="007853A4">
        <w:rPr>
          <w:sz w:val="22"/>
          <w:szCs w:val="22"/>
          <w:lang w:val="fr-CA"/>
        </w:rPr>
        <w:t xml:space="preserve"> a été conçu comme un outil aidant les États membres à connaitre le degré d’application des dispositions de cette convention, la loi-type et son incidence sur les lois nationales</w:t>
      </w:r>
      <w:r w:rsidRPr="006A1483">
        <w:rPr>
          <w:sz w:val="22"/>
          <w:szCs w:val="22"/>
          <w:lang w:val="fr-CA"/>
        </w:rPr>
        <w:t>.</w:t>
      </w:r>
    </w:p>
    <w:p w:rsidR="00D261AC" w:rsidRPr="006A1483" w:rsidRDefault="00D261AC" w:rsidP="00D261AC">
      <w:pPr>
        <w:jc w:val="both"/>
        <w:rPr>
          <w:sz w:val="22"/>
          <w:szCs w:val="22"/>
          <w:lang w:val="fr-CA"/>
        </w:rPr>
      </w:pPr>
    </w:p>
    <w:p w:rsidR="00D261AC" w:rsidRPr="006A1483" w:rsidRDefault="00D2565A" w:rsidP="00D261AC">
      <w:pPr>
        <w:jc w:val="both"/>
        <w:rPr>
          <w:sz w:val="22"/>
          <w:szCs w:val="22"/>
          <w:lang w:val="fr-CA"/>
        </w:rPr>
      </w:pPr>
      <w:r w:rsidRPr="006A1483">
        <w:rPr>
          <w:sz w:val="22"/>
          <w:szCs w:val="22"/>
          <w:lang w:val="fr-CA"/>
        </w:rPr>
        <w:tab/>
      </w:r>
      <w:r w:rsidR="007853A4">
        <w:rPr>
          <w:sz w:val="22"/>
          <w:szCs w:val="22"/>
          <w:lang w:val="fr-CA"/>
        </w:rPr>
        <w:t>Dans le Plan d’action</w:t>
      </w:r>
      <w:r w:rsidRPr="006A1483">
        <w:rPr>
          <w:sz w:val="22"/>
          <w:szCs w:val="22"/>
          <w:lang w:val="fr-CA"/>
        </w:rPr>
        <w:t xml:space="preserve"> 2018-</w:t>
      </w:r>
      <w:r w:rsidR="00746278">
        <w:rPr>
          <w:sz w:val="22"/>
          <w:szCs w:val="22"/>
          <w:lang w:val="fr-CA"/>
        </w:rPr>
        <w:t>2022 pour le fonctionnement et l’application de</w:t>
      </w:r>
      <w:r w:rsidRPr="006A1483">
        <w:rPr>
          <w:sz w:val="22"/>
          <w:szCs w:val="22"/>
          <w:lang w:val="fr-CA"/>
        </w:rPr>
        <w:t xml:space="preserve"> la CIFTA,</w:t>
      </w:r>
      <w:r w:rsidR="00746278">
        <w:rPr>
          <w:sz w:val="22"/>
          <w:szCs w:val="22"/>
          <w:lang w:val="fr-CA"/>
        </w:rPr>
        <w:t xml:space="preserve"> approuvé lors de la Quatrième Conférence des États parties, les États sont priés d’envoyer tous les deux ans au Secrétariat technique des renseignements actualisés sur l’état de la mise en application </w:t>
      </w:r>
      <w:r w:rsidRPr="006A1483">
        <w:rPr>
          <w:sz w:val="22"/>
          <w:szCs w:val="22"/>
          <w:lang w:val="fr-CA"/>
        </w:rPr>
        <w:t>de la CIFTA.</w:t>
      </w:r>
    </w:p>
    <w:p w:rsidR="00D261AC" w:rsidRPr="006A1483" w:rsidRDefault="00D261AC" w:rsidP="00D261AC">
      <w:pPr>
        <w:jc w:val="both"/>
        <w:rPr>
          <w:sz w:val="22"/>
          <w:szCs w:val="22"/>
          <w:lang w:val="fr-CA"/>
        </w:rPr>
      </w:pPr>
    </w:p>
    <w:p w:rsidR="005A0610" w:rsidRPr="006A1483" w:rsidRDefault="00D2565A" w:rsidP="00D261AC">
      <w:pPr>
        <w:jc w:val="both"/>
        <w:rPr>
          <w:sz w:val="22"/>
          <w:szCs w:val="22"/>
          <w:lang w:val="fr-CA"/>
        </w:rPr>
      </w:pPr>
      <w:r w:rsidRPr="006A1483">
        <w:rPr>
          <w:sz w:val="22"/>
          <w:szCs w:val="22"/>
          <w:lang w:val="fr-CA"/>
        </w:rPr>
        <w:tab/>
      </w:r>
      <w:r w:rsidR="00746278">
        <w:rPr>
          <w:sz w:val="22"/>
          <w:szCs w:val="22"/>
          <w:lang w:val="fr-CA"/>
        </w:rPr>
        <w:t>Pendant la période</w:t>
      </w:r>
      <w:r w:rsidRPr="006A1483">
        <w:rPr>
          <w:sz w:val="22"/>
          <w:szCs w:val="22"/>
          <w:lang w:val="fr-CA"/>
        </w:rPr>
        <w:t xml:space="preserve"> 201</w:t>
      </w:r>
      <w:r w:rsidR="008C179A" w:rsidRPr="006A1483">
        <w:rPr>
          <w:sz w:val="22"/>
          <w:szCs w:val="22"/>
          <w:lang w:val="fr-CA"/>
        </w:rPr>
        <w:t>9-2020</w:t>
      </w:r>
      <w:r w:rsidR="00746278">
        <w:rPr>
          <w:sz w:val="22"/>
          <w:szCs w:val="22"/>
          <w:lang w:val="fr-CA"/>
        </w:rPr>
        <w:t>, cinq questionnaires actualisés ont été reçus, du</w:t>
      </w:r>
      <w:r w:rsidRPr="006A1483">
        <w:rPr>
          <w:sz w:val="22"/>
          <w:szCs w:val="22"/>
          <w:lang w:val="fr-CA"/>
        </w:rPr>
        <w:t xml:space="preserve"> Costa Rica, </w:t>
      </w:r>
      <w:r w:rsidR="00746278">
        <w:rPr>
          <w:sz w:val="22"/>
          <w:szCs w:val="22"/>
          <w:lang w:val="fr-CA"/>
        </w:rPr>
        <w:t>de l’Équateur</w:t>
      </w:r>
      <w:r w:rsidR="008C179A" w:rsidRPr="006A1483">
        <w:rPr>
          <w:sz w:val="22"/>
          <w:szCs w:val="22"/>
          <w:lang w:val="fr-CA"/>
        </w:rPr>
        <w:t xml:space="preserve">, </w:t>
      </w:r>
      <w:r w:rsidR="00746278">
        <w:rPr>
          <w:sz w:val="22"/>
          <w:szCs w:val="22"/>
          <w:lang w:val="fr-CA"/>
        </w:rPr>
        <w:t>d’</w:t>
      </w:r>
      <w:r w:rsidR="00E40DB1" w:rsidRPr="006A1483">
        <w:rPr>
          <w:sz w:val="22"/>
          <w:szCs w:val="22"/>
          <w:lang w:val="fr-CA"/>
        </w:rPr>
        <w:t xml:space="preserve">El Salvador, </w:t>
      </w:r>
      <w:r w:rsidR="00746278">
        <w:rPr>
          <w:sz w:val="22"/>
          <w:szCs w:val="22"/>
          <w:lang w:val="fr-CA"/>
        </w:rPr>
        <w:t xml:space="preserve">du Mexique et du Pérou. Les États membres qui n’ont pas présenté les questionnaires en </w:t>
      </w:r>
      <w:r w:rsidR="008C179A" w:rsidRPr="006A1483">
        <w:rPr>
          <w:sz w:val="22"/>
          <w:szCs w:val="22"/>
          <w:lang w:val="fr-CA"/>
        </w:rPr>
        <w:t xml:space="preserve">2019 </w:t>
      </w:r>
      <w:r w:rsidRPr="006A1483">
        <w:rPr>
          <w:sz w:val="22"/>
          <w:szCs w:val="22"/>
          <w:lang w:val="fr-CA"/>
        </w:rPr>
        <w:t>o</w:t>
      </w:r>
      <w:r w:rsidR="00746278">
        <w:rPr>
          <w:sz w:val="22"/>
          <w:szCs w:val="22"/>
          <w:lang w:val="fr-CA"/>
        </w:rPr>
        <w:t>u en</w:t>
      </w:r>
      <w:r w:rsidRPr="006A1483">
        <w:rPr>
          <w:sz w:val="22"/>
          <w:szCs w:val="22"/>
          <w:lang w:val="fr-CA"/>
        </w:rPr>
        <w:t xml:space="preserve"> </w:t>
      </w:r>
      <w:r w:rsidR="008C179A" w:rsidRPr="006A1483">
        <w:rPr>
          <w:sz w:val="22"/>
          <w:szCs w:val="22"/>
          <w:lang w:val="fr-CA"/>
        </w:rPr>
        <w:t>2020</w:t>
      </w:r>
      <w:r w:rsidRPr="006A1483">
        <w:rPr>
          <w:sz w:val="22"/>
          <w:szCs w:val="22"/>
          <w:lang w:val="fr-CA"/>
        </w:rPr>
        <w:t>, o</w:t>
      </w:r>
      <w:r w:rsidR="00746278">
        <w:rPr>
          <w:sz w:val="22"/>
          <w:szCs w:val="22"/>
          <w:lang w:val="fr-CA"/>
        </w:rPr>
        <w:t xml:space="preserve">u qui doivent les actualiser sont priés de les envoyer au Secrétariat général par le truchement du Secrétariat </w:t>
      </w:r>
      <w:r w:rsidR="00785945">
        <w:rPr>
          <w:sz w:val="22"/>
          <w:szCs w:val="22"/>
          <w:lang w:val="fr-CA"/>
        </w:rPr>
        <w:t>technique</w:t>
      </w:r>
      <w:r w:rsidRPr="006A1483">
        <w:rPr>
          <w:sz w:val="22"/>
          <w:szCs w:val="22"/>
          <w:lang w:val="fr-CA"/>
        </w:rPr>
        <w:t xml:space="preserve"> de la CIFTA. </w:t>
      </w:r>
    </w:p>
    <w:p w:rsidR="00893642" w:rsidRPr="006A1483" w:rsidRDefault="00893642" w:rsidP="00D261AC">
      <w:pPr>
        <w:jc w:val="both"/>
        <w:rPr>
          <w:sz w:val="22"/>
          <w:szCs w:val="22"/>
          <w:lang w:val="fr-CA"/>
        </w:rPr>
      </w:pPr>
    </w:p>
    <w:p w:rsidR="00893642" w:rsidRPr="006A1483" w:rsidRDefault="00893642" w:rsidP="00D261AC">
      <w:pPr>
        <w:jc w:val="both"/>
        <w:rPr>
          <w:sz w:val="22"/>
          <w:szCs w:val="22"/>
          <w:lang w:val="fr-CA"/>
        </w:rPr>
      </w:pPr>
    </w:p>
    <w:p w:rsidR="00D261AC" w:rsidRPr="006A1483" w:rsidRDefault="00D2565A" w:rsidP="00D261AC">
      <w:pPr>
        <w:jc w:val="center"/>
        <w:rPr>
          <w:sz w:val="22"/>
          <w:szCs w:val="22"/>
          <w:lang w:val="fr-CA"/>
        </w:rPr>
      </w:pPr>
      <w:r w:rsidRPr="006A1483">
        <w:rPr>
          <w:sz w:val="22"/>
          <w:szCs w:val="22"/>
          <w:lang w:val="fr-CA"/>
        </w:rPr>
        <w:t>Secr</w:t>
      </w:r>
      <w:r w:rsidR="00785945">
        <w:rPr>
          <w:sz w:val="22"/>
          <w:szCs w:val="22"/>
          <w:lang w:val="fr-CA"/>
        </w:rPr>
        <w:t>étariat technique</w:t>
      </w:r>
      <w:r w:rsidRPr="006A1483">
        <w:rPr>
          <w:sz w:val="22"/>
          <w:szCs w:val="22"/>
          <w:lang w:val="fr-CA"/>
        </w:rPr>
        <w:t xml:space="preserve"> de la CIFTA</w:t>
      </w:r>
      <w:r w:rsidR="00977A6E">
        <w:rPr>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554" cy="23291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554" cy="232913"/>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77A6E" w:rsidRPr="00977A6E" w:rsidRDefault="00977A6E">
                            <w:pPr>
                              <w:rPr>
                                <w:sz w:val="18"/>
                              </w:rPr>
                            </w:pPr>
                            <w:r>
                              <w:rPr>
                                <w:sz w:val="18"/>
                              </w:rPr>
                              <w:fldChar w:fldCharType="begin"/>
                            </w:r>
                            <w:r>
                              <w:rPr>
                                <w:sz w:val="18"/>
                              </w:rPr>
                              <w:instrText xml:space="preserve"> FILENAME  \* MERGEFORMAT </w:instrText>
                            </w:r>
                            <w:r>
                              <w:rPr>
                                <w:sz w:val="18"/>
                              </w:rPr>
                              <w:fldChar w:fldCharType="separate"/>
                            </w:r>
                            <w:r w:rsidR="0060330E">
                              <w:rPr>
                                <w:noProof/>
                                <w:sz w:val="18"/>
                              </w:rPr>
                              <w:t>CIFTA00886F05</w:t>
                            </w:r>
                            <w:r>
                              <w:rPr>
                                <w:sz w:val="18"/>
                              </w:rPr>
                              <w:fldChar w:fldCharType="end"/>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25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" filled="f" stroked="f">
                <v:stroke joinstyle="round"/>
                <v:path arrowok="t"/>
                <v:textbox>
                  <w:txbxContent>
                    <w:p w:rsidR="00977A6E" w:rsidRPr="00977A6E" w:rsidRDefault="00977A6E">
                      <w:pPr>
                        <w:rPr>
                          <w:sz w:val="18"/>
                        </w:rPr>
                      </w:pPr>
                      <w:r>
                        <w:rPr>
                          <w:sz w:val="18"/>
                        </w:rPr>
                        <w:fldChar w:fldCharType="begin"/>
                      </w:r>
                      <w:r>
                        <w:rPr>
                          <w:sz w:val="18"/>
                        </w:rPr>
                        <w:instrText xml:space="preserve"> FILENAME  \* MERGEFORMAT </w:instrText>
                      </w:r>
                      <w:r>
                        <w:rPr>
                          <w:sz w:val="18"/>
                        </w:rPr>
                        <w:fldChar w:fldCharType="separate"/>
                      </w:r>
                      <w:r w:rsidR="0060330E">
                        <w:rPr>
                          <w:noProof/>
                          <w:sz w:val="18"/>
                        </w:rPr>
                        <w:t>CIFTA00886F05</w:t>
                      </w:r>
                      <w:r>
                        <w:rPr>
                          <w:sz w:val="18"/>
                        </w:rPr>
                        <w:fldChar w:fldCharType="end"/>
                      </w:r>
                      <w:bookmarkStart w:id="1" w:name="_GoBack"/>
                      <w:bookmarkEnd w:id="1"/>
                    </w:p>
                  </w:txbxContent>
                </v:textbox>
                <w10:wrap anchory="page"/>
                <w10:anchorlock/>
              </v:shape>
            </w:pict>
          </mc:Fallback>
        </mc:AlternateContent>
      </w:r>
    </w:p>
    <w:sectPr w:rsidR="00D261AC" w:rsidRPr="006A1483" w:rsidSect="005A0610">
      <w:headerReference w:type="default" r:id="rId11"/>
      <w:type w:val="oddPage"/>
      <w:pgSz w:w="12240" w:h="15840" w:code="1"/>
      <w:pgMar w:top="1800" w:right="1570" w:bottom="270" w:left="1699" w:header="1296" w:footer="62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0F1" w:rsidRDefault="001310F1">
      <w:r>
        <w:separator/>
      </w:r>
    </w:p>
  </w:endnote>
  <w:endnote w:type="continuationSeparator" w:id="0">
    <w:p w:rsidR="001310F1" w:rsidRDefault="0013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0F1" w:rsidRDefault="001310F1">
      <w:r>
        <w:separator/>
      </w:r>
    </w:p>
  </w:footnote>
  <w:footnote w:type="continuationSeparator" w:id="0">
    <w:p w:rsidR="001310F1" w:rsidRDefault="0013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AC" w:rsidRPr="00D261AC" w:rsidRDefault="00D2565A" w:rsidP="00CC63DE">
    <w:pPr>
      <w:pStyle w:val="Header"/>
      <w:framePr w:wrap="around" w:vAnchor="text" w:hAnchor="margin" w:xAlign="center" w:y="1"/>
      <w:rPr>
        <w:rStyle w:val="PageNumber"/>
        <w:noProof/>
        <w:sz w:val="22"/>
        <w:szCs w:val="22"/>
      </w:rPr>
    </w:pPr>
    <w:r w:rsidRPr="00D261AC">
      <w:rPr>
        <w:rStyle w:val="PageNumber"/>
        <w:sz w:val="22"/>
        <w:szCs w:val="22"/>
      </w:rPr>
      <w:fldChar w:fldCharType="begin"/>
    </w:r>
    <w:r w:rsidRPr="00D261AC">
      <w:rPr>
        <w:rStyle w:val="PageNumber"/>
        <w:sz w:val="22"/>
        <w:szCs w:val="22"/>
      </w:rPr>
      <w:instrText xml:space="preserve">PAGE  </w:instrText>
    </w:r>
    <w:r w:rsidRPr="00D261AC">
      <w:rPr>
        <w:rStyle w:val="PageNumber"/>
        <w:sz w:val="22"/>
        <w:szCs w:val="22"/>
      </w:rPr>
      <w:fldChar w:fldCharType="separate"/>
    </w:r>
    <w:r w:rsidRPr="00D261AC">
      <w:rPr>
        <w:rStyle w:val="PageNumber"/>
        <w:sz w:val="22"/>
        <w:szCs w:val="22"/>
      </w:rPr>
      <w:t>- 2 -</w:t>
    </w:r>
    <w:r w:rsidRPr="00D261AC">
      <w:rPr>
        <w:rStyle w:val="PageNumber"/>
        <w:sz w:val="22"/>
        <w:szCs w:val="22"/>
      </w:rPr>
      <w:fldChar w:fldCharType="end"/>
    </w:r>
  </w:p>
  <w:p w:rsidR="00D261AC" w:rsidRPr="00D261AC" w:rsidRDefault="00D261AC">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43" w:rsidRPr="00D261AC" w:rsidRDefault="00D2565A" w:rsidP="00C92043">
    <w:pPr>
      <w:pStyle w:val="Header"/>
      <w:jc w:val="center"/>
      <w:rPr>
        <w:noProof/>
      </w:rPr>
    </w:pPr>
    <w:r>
      <w:t xml:space="preserve">- </w:t>
    </w:r>
    <w:r w:rsidRPr="00D261AC">
      <w:fldChar w:fldCharType="begin"/>
    </w:r>
    <w:r w:rsidRPr="00D261AC">
      <w:instrText xml:space="preserve"> PAGE   \* MERGEFORMAT </w:instrText>
    </w:r>
    <w:r w:rsidRPr="00D261AC">
      <w:fldChar w:fldCharType="separate"/>
    </w:r>
    <w:r w:rsidR="005A0610">
      <w:rPr>
        <w:noProof/>
      </w:rPr>
      <w:t>2</w:t>
    </w:r>
    <w:r w:rsidRPr="00D261AC">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403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57E2D"/>
    <w:multiLevelType w:val="hybridMultilevel"/>
    <w:tmpl w:val="92E60268"/>
    <w:lvl w:ilvl="0" w:tplc="F8AEC002">
      <w:start w:val="1"/>
      <w:numFmt w:val="bullet"/>
      <w:lvlText w:val=""/>
      <w:lvlJc w:val="left"/>
      <w:pPr>
        <w:tabs>
          <w:tab w:val="num" w:pos="720"/>
        </w:tabs>
        <w:ind w:left="720" w:hanging="360"/>
      </w:pPr>
      <w:rPr>
        <w:rFonts w:ascii="Wingdings" w:hAnsi="Wingdings" w:hint="default"/>
      </w:rPr>
    </w:lvl>
    <w:lvl w:ilvl="1" w:tplc="8698E8A6" w:tentative="1">
      <w:start w:val="1"/>
      <w:numFmt w:val="bullet"/>
      <w:lvlText w:val="o"/>
      <w:lvlJc w:val="left"/>
      <w:pPr>
        <w:tabs>
          <w:tab w:val="num" w:pos="1440"/>
        </w:tabs>
        <w:ind w:left="1440" w:hanging="360"/>
      </w:pPr>
      <w:rPr>
        <w:rFonts w:ascii="Courier New" w:hAnsi="Courier New" w:hint="default"/>
      </w:rPr>
    </w:lvl>
    <w:lvl w:ilvl="2" w:tplc="A744879A" w:tentative="1">
      <w:start w:val="1"/>
      <w:numFmt w:val="bullet"/>
      <w:lvlText w:val=""/>
      <w:lvlJc w:val="left"/>
      <w:pPr>
        <w:tabs>
          <w:tab w:val="num" w:pos="2160"/>
        </w:tabs>
        <w:ind w:left="2160" w:hanging="360"/>
      </w:pPr>
      <w:rPr>
        <w:rFonts w:ascii="Wingdings" w:hAnsi="Wingdings" w:hint="default"/>
      </w:rPr>
    </w:lvl>
    <w:lvl w:ilvl="3" w:tplc="A7F62CF4" w:tentative="1">
      <w:start w:val="1"/>
      <w:numFmt w:val="bullet"/>
      <w:lvlText w:val=""/>
      <w:lvlJc w:val="left"/>
      <w:pPr>
        <w:tabs>
          <w:tab w:val="num" w:pos="2880"/>
        </w:tabs>
        <w:ind w:left="2880" w:hanging="360"/>
      </w:pPr>
      <w:rPr>
        <w:rFonts w:ascii="Symbol" w:hAnsi="Symbol" w:hint="default"/>
      </w:rPr>
    </w:lvl>
    <w:lvl w:ilvl="4" w:tplc="108AF470" w:tentative="1">
      <w:start w:val="1"/>
      <w:numFmt w:val="bullet"/>
      <w:lvlText w:val="o"/>
      <w:lvlJc w:val="left"/>
      <w:pPr>
        <w:tabs>
          <w:tab w:val="num" w:pos="3600"/>
        </w:tabs>
        <w:ind w:left="3600" w:hanging="360"/>
      </w:pPr>
      <w:rPr>
        <w:rFonts w:ascii="Courier New" w:hAnsi="Courier New" w:hint="default"/>
      </w:rPr>
    </w:lvl>
    <w:lvl w:ilvl="5" w:tplc="08FC21A8" w:tentative="1">
      <w:start w:val="1"/>
      <w:numFmt w:val="bullet"/>
      <w:lvlText w:val=""/>
      <w:lvlJc w:val="left"/>
      <w:pPr>
        <w:tabs>
          <w:tab w:val="num" w:pos="4320"/>
        </w:tabs>
        <w:ind w:left="4320" w:hanging="360"/>
      </w:pPr>
      <w:rPr>
        <w:rFonts w:ascii="Wingdings" w:hAnsi="Wingdings" w:hint="default"/>
      </w:rPr>
    </w:lvl>
    <w:lvl w:ilvl="6" w:tplc="9DC0367E" w:tentative="1">
      <w:start w:val="1"/>
      <w:numFmt w:val="bullet"/>
      <w:lvlText w:val=""/>
      <w:lvlJc w:val="left"/>
      <w:pPr>
        <w:tabs>
          <w:tab w:val="num" w:pos="5040"/>
        </w:tabs>
        <w:ind w:left="5040" w:hanging="360"/>
      </w:pPr>
      <w:rPr>
        <w:rFonts w:ascii="Symbol" w:hAnsi="Symbol" w:hint="default"/>
      </w:rPr>
    </w:lvl>
    <w:lvl w:ilvl="7" w:tplc="EB444742" w:tentative="1">
      <w:start w:val="1"/>
      <w:numFmt w:val="bullet"/>
      <w:lvlText w:val="o"/>
      <w:lvlJc w:val="left"/>
      <w:pPr>
        <w:tabs>
          <w:tab w:val="num" w:pos="5760"/>
        </w:tabs>
        <w:ind w:left="5760" w:hanging="360"/>
      </w:pPr>
      <w:rPr>
        <w:rFonts w:ascii="Courier New" w:hAnsi="Courier New" w:hint="default"/>
      </w:rPr>
    </w:lvl>
    <w:lvl w:ilvl="8" w:tplc="3B48B6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74C8D"/>
    <w:multiLevelType w:val="hybridMultilevel"/>
    <w:tmpl w:val="14960F6E"/>
    <w:lvl w:ilvl="0" w:tplc="A3B6FDB6">
      <w:start w:val="1"/>
      <w:numFmt w:val="bullet"/>
      <w:lvlText w:val=""/>
      <w:lvlJc w:val="left"/>
      <w:pPr>
        <w:tabs>
          <w:tab w:val="num" w:pos="720"/>
        </w:tabs>
        <w:ind w:left="720" w:hanging="360"/>
      </w:pPr>
      <w:rPr>
        <w:rFonts w:ascii="Symbol" w:hAnsi="Symbol" w:hint="default"/>
      </w:rPr>
    </w:lvl>
    <w:lvl w:ilvl="1" w:tplc="C5E4742C" w:tentative="1">
      <w:start w:val="1"/>
      <w:numFmt w:val="bullet"/>
      <w:lvlText w:val="o"/>
      <w:lvlJc w:val="left"/>
      <w:pPr>
        <w:tabs>
          <w:tab w:val="num" w:pos="1440"/>
        </w:tabs>
        <w:ind w:left="1440" w:hanging="360"/>
      </w:pPr>
      <w:rPr>
        <w:rFonts w:ascii="Courier New" w:hAnsi="Courier New" w:cs="Courier New" w:hint="default"/>
      </w:rPr>
    </w:lvl>
    <w:lvl w:ilvl="2" w:tplc="3C4822A0" w:tentative="1">
      <w:start w:val="1"/>
      <w:numFmt w:val="bullet"/>
      <w:lvlText w:val=""/>
      <w:lvlJc w:val="left"/>
      <w:pPr>
        <w:tabs>
          <w:tab w:val="num" w:pos="2160"/>
        </w:tabs>
        <w:ind w:left="2160" w:hanging="360"/>
      </w:pPr>
      <w:rPr>
        <w:rFonts w:ascii="Wingdings" w:hAnsi="Wingdings" w:hint="default"/>
      </w:rPr>
    </w:lvl>
    <w:lvl w:ilvl="3" w:tplc="C518CC02" w:tentative="1">
      <w:start w:val="1"/>
      <w:numFmt w:val="bullet"/>
      <w:lvlText w:val=""/>
      <w:lvlJc w:val="left"/>
      <w:pPr>
        <w:tabs>
          <w:tab w:val="num" w:pos="2880"/>
        </w:tabs>
        <w:ind w:left="2880" w:hanging="360"/>
      </w:pPr>
      <w:rPr>
        <w:rFonts w:ascii="Symbol" w:hAnsi="Symbol" w:hint="default"/>
      </w:rPr>
    </w:lvl>
    <w:lvl w:ilvl="4" w:tplc="0C7C3F28" w:tentative="1">
      <w:start w:val="1"/>
      <w:numFmt w:val="bullet"/>
      <w:lvlText w:val="o"/>
      <w:lvlJc w:val="left"/>
      <w:pPr>
        <w:tabs>
          <w:tab w:val="num" w:pos="3600"/>
        </w:tabs>
        <w:ind w:left="3600" w:hanging="360"/>
      </w:pPr>
      <w:rPr>
        <w:rFonts w:ascii="Courier New" w:hAnsi="Courier New" w:cs="Courier New" w:hint="default"/>
      </w:rPr>
    </w:lvl>
    <w:lvl w:ilvl="5" w:tplc="349805F8" w:tentative="1">
      <w:start w:val="1"/>
      <w:numFmt w:val="bullet"/>
      <w:lvlText w:val=""/>
      <w:lvlJc w:val="left"/>
      <w:pPr>
        <w:tabs>
          <w:tab w:val="num" w:pos="4320"/>
        </w:tabs>
        <w:ind w:left="4320" w:hanging="360"/>
      </w:pPr>
      <w:rPr>
        <w:rFonts w:ascii="Wingdings" w:hAnsi="Wingdings" w:hint="default"/>
      </w:rPr>
    </w:lvl>
    <w:lvl w:ilvl="6" w:tplc="62F601CC" w:tentative="1">
      <w:start w:val="1"/>
      <w:numFmt w:val="bullet"/>
      <w:lvlText w:val=""/>
      <w:lvlJc w:val="left"/>
      <w:pPr>
        <w:tabs>
          <w:tab w:val="num" w:pos="5040"/>
        </w:tabs>
        <w:ind w:left="5040" w:hanging="360"/>
      </w:pPr>
      <w:rPr>
        <w:rFonts w:ascii="Symbol" w:hAnsi="Symbol" w:hint="default"/>
      </w:rPr>
    </w:lvl>
    <w:lvl w:ilvl="7" w:tplc="71FAE698" w:tentative="1">
      <w:start w:val="1"/>
      <w:numFmt w:val="bullet"/>
      <w:lvlText w:val="o"/>
      <w:lvlJc w:val="left"/>
      <w:pPr>
        <w:tabs>
          <w:tab w:val="num" w:pos="5760"/>
        </w:tabs>
        <w:ind w:left="5760" w:hanging="360"/>
      </w:pPr>
      <w:rPr>
        <w:rFonts w:ascii="Courier New" w:hAnsi="Courier New" w:cs="Courier New" w:hint="default"/>
      </w:rPr>
    </w:lvl>
    <w:lvl w:ilvl="8" w:tplc="E984FC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872859"/>
    <w:multiLevelType w:val="hybridMultilevel"/>
    <w:tmpl w:val="5A34E430"/>
    <w:lvl w:ilvl="0" w:tplc="7EC85978">
      <w:start w:val="1"/>
      <w:numFmt w:val="decimal"/>
      <w:lvlText w:val="%1."/>
      <w:lvlJc w:val="left"/>
      <w:pPr>
        <w:tabs>
          <w:tab w:val="num" w:pos="720"/>
        </w:tabs>
        <w:ind w:left="720" w:hanging="360"/>
      </w:pPr>
      <w:rPr>
        <w:lang w:val="es-AR"/>
      </w:rPr>
    </w:lvl>
    <w:lvl w:ilvl="1" w:tplc="A378AE7E">
      <w:start w:val="1"/>
      <w:numFmt w:val="lowerLetter"/>
      <w:lvlText w:val="%2)"/>
      <w:lvlJc w:val="left"/>
      <w:pPr>
        <w:tabs>
          <w:tab w:val="num" w:pos="1440"/>
        </w:tabs>
        <w:ind w:left="1440" w:hanging="360"/>
      </w:pPr>
    </w:lvl>
    <w:lvl w:ilvl="2" w:tplc="C6D8EA16">
      <w:start w:val="1"/>
      <w:numFmt w:val="bullet"/>
      <w:lvlText w:val=""/>
      <w:lvlJc w:val="left"/>
      <w:pPr>
        <w:tabs>
          <w:tab w:val="num" w:pos="2340"/>
        </w:tabs>
        <w:ind w:left="2340" w:hanging="360"/>
      </w:pPr>
      <w:rPr>
        <w:rFonts w:ascii="Symbol" w:hAnsi="Symbol" w:hint="default"/>
        <w:lang w:val="es-AR"/>
      </w:rPr>
    </w:lvl>
    <w:lvl w:ilvl="3" w:tplc="D84C8722">
      <w:start w:val="1"/>
      <w:numFmt w:val="decimal"/>
      <w:lvlText w:val="%4."/>
      <w:lvlJc w:val="left"/>
      <w:pPr>
        <w:tabs>
          <w:tab w:val="num" w:pos="2880"/>
        </w:tabs>
        <w:ind w:left="2880" w:hanging="360"/>
      </w:pPr>
    </w:lvl>
    <w:lvl w:ilvl="4" w:tplc="AB72BBC2" w:tentative="1">
      <w:start w:val="1"/>
      <w:numFmt w:val="lowerLetter"/>
      <w:lvlText w:val="%5."/>
      <w:lvlJc w:val="left"/>
      <w:pPr>
        <w:tabs>
          <w:tab w:val="num" w:pos="3600"/>
        </w:tabs>
        <w:ind w:left="3600" w:hanging="360"/>
      </w:pPr>
    </w:lvl>
    <w:lvl w:ilvl="5" w:tplc="818EC9CC" w:tentative="1">
      <w:start w:val="1"/>
      <w:numFmt w:val="lowerRoman"/>
      <w:lvlText w:val="%6."/>
      <w:lvlJc w:val="right"/>
      <w:pPr>
        <w:tabs>
          <w:tab w:val="num" w:pos="4320"/>
        </w:tabs>
        <w:ind w:left="4320" w:hanging="180"/>
      </w:pPr>
    </w:lvl>
    <w:lvl w:ilvl="6" w:tplc="134E0B3E" w:tentative="1">
      <w:start w:val="1"/>
      <w:numFmt w:val="decimal"/>
      <w:lvlText w:val="%7."/>
      <w:lvlJc w:val="left"/>
      <w:pPr>
        <w:tabs>
          <w:tab w:val="num" w:pos="5040"/>
        </w:tabs>
        <w:ind w:left="5040" w:hanging="360"/>
      </w:pPr>
    </w:lvl>
    <w:lvl w:ilvl="7" w:tplc="AD1450D4" w:tentative="1">
      <w:start w:val="1"/>
      <w:numFmt w:val="lowerLetter"/>
      <w:lvlText w:val="%8."/>
      <w:lvlJc w:val="left"/>
      <w:pPr>
        <w:tabs>
          <w:tab w:val="num" w:pos="5760"/>
        </w:tabs>
        <w:ind w:left="5760" w:hanging="360"/>
      </w:pPr>
    </w:lvl>
    <w:lvl w:ilvl="8" w:tplc="59E65CAC"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06"/>
    <w:rsid w:val="00010A13"/>
    <w:rsid w:val="00032844"/>
    <w:rsid w:val="00067394"/>
    <w:rsid w:val="000805EF"/>
    <w:rsid w:val="000827D4"/>
    <w:rsid w:val="00082B91"/>
    <w:rsid w:val="000C073A"/>
    <w:rsid w:val="000D791F"/>
    <w:rsid w:val="000E55D3"/>
    <w:rsid w:val="000F175A"/>
    <w:rsid w:val="0010378E"/>
    <w:rsid w:val="00117046"/>
    <w:rsid w:val="001310F1"/>
    <w:rsid w:val="001457F6"/>
    <w:rsid w:val="00151979"/>
    <w:rsid w:val="00152DFA"/>
    <w:rsid w:val="001662A1"/>
    <w:rsid w:val="001738BE"/>
    <w:rsid w:val="001840FC"/>
    <w:rsid w:val="00184643"/>
    <w:rsid w:val="0018789A"/>
    <w:rsid w:val="00196E26"/>
    <w:rsid w:val="001A2474"/>
    <w:rsid w:val="001A3929"/>
    <w:rsid w:val="001B5ECF"/>
    <w:rsid w:val="001B7EAC"/>
    <w:rsid w:val="001C18EF"/>
    <w:rsid w:val="001E7772"/>
    <w:rsid w:val="001F78DB"/>
    <w:rsid w:val="002107E2"/>
    <w:rsid w:val="00214977"/>
    <w:rsid w:val="00214AB7"/>
    <w:rsid w:val="00217F3F"/>
    <w:rsid w:val="00242042"/>
    <w:rsid w:val="00242BC5"/>
    <w:rsid w:val="0025103B"/>
    <w:rsid w:val="00251249"/>
    <w:rsid w:val="00257676"/>
    <w:rsid w:val="00270C88"/>
    <w:rsid w:val="00271624"/>
    <w:rsid w:val="00277426"/>
    <w:rsid w:val="0028648D"/>
    <w:rsid w:val="002D6C8E"/>
    <w:rsid w:val="002D75B9"/>
    <w:rsid w:val="002F0443"/>
    <w:rsid w:val="002F6360"/>
    <w:rsid w:val="003029B6"/>
    <w:rsid w:val="0030499D"/>
    <w:rsid w:val="0031487C"/>
    <w:rsid w:val="00315AE9"/>
    <w:rsid w:val="0036075C"/>
    <w:rsid w:val="00363928"/>
    <w:rsid w:val="00391A8F"/>
    <w:rsid w:val="003B574D"/>
    <w:rsid w:val="00427BB9"/>
    <w:rsid w:val="00444170"/>
    <w:rsid w:val="0046300A"/>
    <w:rsid w:val="0046748E"/>
    <w:rsid w:val="00476048"/>
    <w:rsid w:val="00493EBC"/>
    <w:rsid w:val="004A33FD"/>
    <w:rsid w:val="004B765C"/>
    <w:rsid w:val="004C57B1"/>
    <w:rsid w:val="004C6440"/>
    <w:rsid w:val="004C6489"/>
    <w:rsid w:val="004D1981"/>
    <w:rsid w:val="004F1F44"/>
    <w:rsid w:val="00523AD2"/>
    <w:rsid w:val="005275DF"/>
    <w:rsid w:val="0054063B"/>
    <w:rsid w:val="005663AB"/>
    <w:rsid w:val="005751CE"/>
    <w:rsid w:val="005A0610"/>
    <w:rsid w:val="005A3E28"/>
    <w:rsid w:val="005A4BEE"/>
    <w:rsid w:val="005B03FB"/>
    <w:rsid w:val="005B1E9A"/>
    <w:rsid w:val="005B28AD"/>
    <w:rsid w:val="005F00F5"/>
    <w:rsid w:val="00600A36"/>
    <w:rsid w:val="0060330E"/>
    <w:rsid w:val="00613588"/>
    <w:rsid w:val="0061476A"/>
    <w:rsid w:val="00616325"/>
    <w:rsid w:val="00642810"/>
    <w:rsid w:val="006751DB"/>
    <w:rsid w:val="00676D18"/>
    <w:rsid w:val="006A1483"/>
    <w:rsid w:val="00743FA7"/>
    <w:rsid w:val="00746278"/>
    <w:rsid w:val="0075580A"/>
    <w:rsid w:val="00784086"/>
    <w:rsid w:val="007853A4"/>
    <w:rsid w:val="00785439"/>
    <w:rsid w:val="00785945"/>
    <w:rsid w:val="007C166B"/>
    <w:rsid w:val="007C5252"/>
    <w:rsid w:val="007C7C99"/>
    <w:rsid w:val="007D3FF2"/>
    <w:rsid w:val="008059CF"/>
    <w:rsid w:val="00807F43"/>
    <w:rsid w:val="008231C3"/>
    <w:rsid w:val="008529F7"/>
    <w:rsid w:val="008622EC"/>
    <w:rsid w:val="00863F20"/>
    <w:rsid w:val="00867799"/>
    <w:rsid w:val="008731E9"/>
    <w:rsid w:val="00881813"/>
    <w:rsid w:val="00893642"/>
    <w:rsid w:val="008B1C68"/>
    <w:rsid w:val="008B2ABF"/>
    <w:rsid w:val="008C0CA7"/>
    <w:rsid w:val="008C179A"/>
    <w:rsid w:val="008C5182"/>
    <w:rsid w:val="008D1406"/>
    <w:rsid w:val="008E0AFB"/>
    <w:rsid w:val="008E7E42"/>
    <w:rsid w:val="008F6EA8"/>
    <w:rsid w:val="009117A8"/>
    <w:rsid w:val="00915188"/>
    <w:rsid w:val="00921C30"/>
    <w:rsid w:val="00923620"/>
    <w:rsid w:val="0092369F"/>
    <w:rsid w:val="00932D88"/>
    <w:rsid w:val="00977A6E"/>
    <w:rsid w:val="009A1826"/>
    <w:rsid w:val="009C20A4"/>
    <w:rsid w:val="009C6980"/>
    <w:rsid w:val="009C6E1D"/>
    <w:rsid w:val="009E31BD"/>
    <w:rsid w:val="009E56AB"/>
    <w:rsid w:val="009F04DF"/>
    <w:rsid w:val="009F5ABB"/>
    <w:rsid w:val="009F605C"/>
    <w:rsid w:val="00A00EF9"/>
    <w:rsid w:val="00A00FD6"/>
    <w:rsid w:val="00A043D2"/>
    <w:rsid w:val="00A27D8D"/>
    <w:rsid w:val="00A34DE6"/>
    <w:rsid w:val="00A42FA3"/>
    <w:rsid w:val="00A709DE"/>
    <w:rsid w:val="00A876B3"/>
    <w:rsid w:val="00A87779"/>
    <w:rsid w:val="00AD1290"/>
    <w:rsid w:val="00AF0AF3"/>
    <w:rsid w:val="00B10181"/>
    <w:rsid w:val="00B32BA2"/>
    <w:rsid w:val="00B36EFE"/>
    <w:rsid w:val="00B421AF"/>
    <w:rsid w:val="00B45CDF"/>
    <w:rsid w:val="00B47108"/>
    <w:rsid w:val="00B525D4"/>
    <w:rsid w:val="00B64750"/>
    <w:rsid w:val="00B664D0"/>
    <w:rsid w:val="00B93E86"/>
    <w:rsid w:val="00BB1B50"/>
    <w:rsid w:val="00BB4647"/>
    <w:rsid w:val="00BC072A"/>
    <w:rsid w:val="00BD3947"/>
    <w:rsid w:val="00BF3C21"/>
    <w:rsid w:val="00C708A5"/>
    <w:rsid w:val="00C83318"/>
    <w:rsid w:val="00C92043"/>
    <w:rsid w:val="00C941E6"/>
    <w:rsid w:val="00CA043A"/>
    <w:rsid w:val="00CB4AC9"/>
    <w:rsid w:val="00CC63DE"/>
    <w:rsid w:val="00CC7490"/>
    <w:rsid w:val="00CD00A1"/>
    <w:rsid w:val="00D033A6"/>
    <w:rsid w:val="00D047BA"/>
    <w:rsid w:val="00D20059"/>
    <w:rsid w:val="00D24375"/>
    <w:rsid w:val="00D2565A"/>
    <w:rsid w:val="00D261AC"/>
    <w:rsid w:val="00D3120F"/>
    <w:rsid w:val="00D41FFA"/>
    <w:rsid w:val="00D46B05"/>
    <w:rsid w:val="00D51D20"/>
    <w:rsid w:val="00D56B36"/>
    <w:rsid w:val="00D90663"/>
    <w:rsid w:val="00DA41C9"/>
    <w:rsid w:val="00DB5B47"/>
    <w:rsid w:val="00DE7CF5"/>
    <w:rsid w:val="00DF2008"/>
    <w:rsid w:val="00DF3575"/>
    <w:rsid w:val="00DF4B1D"/>
    <w:rsid w:val="00DF69C7"/>
    <w:rsid w:val="00E019DA"/>
    <w:rsid w:val="00E15D09"/>
    <w:rsid w:val="00E32C56"/>
    <w:rsid w:val="00E32F33"/>
    <w:rsid w:val="00E375AC"/>
    <w:rsid w:val="00E40DB1"/>
    <w:rsid w:val="00E63F2A"/>
    <w:rsid w:val="00E76AE1"/>
    <w:rsid w:val="00E81D72"/>
    <w:rsid w:val="00E8783C"/>
    <w:rsid w:val="00EA0585"/>
    <w:rsid w:val="00EB2091"/>
    <w:rsid w:val="00EB53EE"/>
    <w:rsid w:val="00ED2377"/>
    <w:rsid w:val="00EE4776"/>
    <w:rsid w:val="00F02569"/>
    <w:rsid w:val="00F30E11"/>
    <w:rsid w:val="00F31D2A"/>
    <w:rsid w:val="00F40495"/>
    <w:rsid w:val="00F57FA5"/>
    <w:rsid w:val="00F80394"/>
    <w:rsid w:val="00F804EF"/>
    <w:rsid w:val="00F84A7F"/>
    <w:rsid w:val="00FB1E2A"/>
    <w:rsid w:val="00FC1970"/>
    <w:rsid w:val="00FC7936"/>
    <w:rsid w:val="00FD7A22"/>
    <w:rsid w:val="00FE4179"/>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62F9BD"/>
  <w15:docId w15:val="{BE3ADF50-3B75-402D-8B4F-F4E23BA4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paragraph" w:styleId="Heading3">
    <w:name w:val="heading 3"/>
    <w:basedOn w:val="Normal"/>
    <w:next w:val="Normal"/>
    <w:link w:val="Heading3Char"/>
    <w:qFormat/>
    <w:rsid w:val="00B525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C7936"/>
    <w:rPr>
      <w:rFonts w:ascii="Courier New" w:hAnsi="Courier New" w:cs="Courier New"/>
      <w:sz w:val="20"/>
      <w:szCs w:val="20"/>
    </w:rPr>
  </w:style>
  <w:style w:type="character" w:customStyle="1" w:styleId="Heading3Char">
    <w:name w:val="Heading 3 Char"/>
    <w:link w:val="Heading3"/>
    <w:semiHidden/>
    <w:locked/>
    <w:rsid w:val="00B525D4"/>
    <w:rPr>
      <w:rFonts w:ascii="Arial" w:hAnsi="Arial" w:cs="Arial"/>
      <w:b/>
      <w:bCs/>
      <w:sz w:val="26"/>
      <w:szCs w:val="26"/>
      <w:lang w:val="es-ES" w:eastAsia="en-US" w:bidi="ar-SA"/>
    </w:rPr>
  </w:style>
  <w:style w:type="paragraph" w:styleId="BodyText">
    <w:name w:val="Body Text"/>
    <w:basedOn w:val="Normal"/>
    <w:link w:val="BodyTextChar"/>
    <w:rsid w:val="00B525D4"/>
    <w:pPr>
      <w:widowControl w:val="0"/>
      <w:autoSpaceDE w:val="0"/>
      <w:autoSpaceDN w:val="0"/>
      <w:adjustRightInd w:val="0"/>
      <w:spacing w:after="120"/>
    </w:pPr>
  </w:style>
  <w:style w:type="character" w:customStyle="1" w:styleId="BodyTextChar">
    <w:name w:val="Body Text Char"/>
    <w:link w:val="BodyText"/>
    <w:semiHidden/>
    <w:locked/>
    <w:rsid w:val="00B525D4"/>
    <w:rPr>
      <w:sz w:val="24"/>
      <w:szCs w:val="24"/>
      <w:lang w:val="es-ES" w:eastAsia="en-US" w:bidi="ar-SA"/>
    </w:rPr>
  </w:style>
  <w:style w:type="paragraph" w:styleId="Header">
    <w:name w:val="header"/>
    <w:basedOn w:val="Normal"/>
    <w:link w:val="HeaderChar"/>
    <w:uiPriority w:val="99"/>
    <w:rsid w:val="00B525D4"/>
    <w:pPr>
      <w:widowControl w:val="0"/>
      <w:tabs>
        <w:tab w:val="center" w:pos="4320"/>
        <w:tab w:val="right" w:pos="8640"/>
      </w:tabs>
      <w:autoSpaceDE w:val="0"/>
      <w:autoSpaceDN w:val="0"/>
      <w:adjustRightInd w:val="0"/>
    </w:pPr>
  </w:style>
  <w:style w:type="character" w:customStyle="1" w:styleId="HeaderChar">
    <w:name w:val="Header Char"/>
    <w:link w:val="Header"/>
    <w:uiPriority w:val="99"/>
    <w:locked/>
    <w:rsid w:val="00B525D4"/>
    <w:rPr>
      <w:sz w:val="24"/>
      <w:szCs w:val="24"/>
      <w:lang w:val="es-ES" w:eastAsia="en-US" w:bidi="ar-SA"/>
    </w:rPr>
  </w:style>
  <w:style w:type="character" w:styleId="PageNumber">
    <w:name w:val="page number"/>
    <w:rsid w:val="00B525D4"/>
    <w:rPr>
      <w:rFonts w:cs="Times New Roman"/>
    </w:rPr>
  </w:style>
  <w:style w:type="character" w:styleId="Hyperlink">
    <w:name w:val="Hyperlink"/>
    <w:rsid w:val="00B525D4"/>
    <w:rPr>
      <w:rFonts w:cs="Times New Roman"/>
      <w:color w:val="0000FF"/>
      <w:u w:val="single"/>
    </w:rPr>
  </w:style>
  <w:style w:type="paragraph" w:styleId="BalloonText">
    <w:name w:val="Balloon Text"/>
    <w:basedOn w:val="Normal"/>
    <w:semiHidden/>
    <w:rsid w:val="00867799"/>
    <w:rPr>
      <w:rFonts w:ascii="Tahoma" w:hAnsi="Tahoma" w:cs="Tahoma"/>
      <w:sz w:val="16"/>
      <w:szCs w:val="16"/>
    </w:rPr>
  </w:style>
  <w:style w:type="character" w:styleId="FollowedHyperlink">
    <w:name w:val="FollowedHyperlink"/>
    <w:rsid w:val="007D3FF2"/>
    <w:rPr>
      <w:color w:val="800080"/>
      <w:u w:val="single"/>
    </w:rPr>
  </w:style>
  <w:style w:type="paragraph" w:styleId="Footer">
    <w:name w:val="footer"/>
    <w:basedOn w:val="Normal"/>
    <w:rsid w:val="0046300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AB23F-7D9D-4B9E-9C81-2680304927EA}">
  <ds:schemaRefs>
    <ds:schemaRef ds:uri="http://schemas.microsoft.com/sharepoint/v3/contenttype/forms"/>
  </ds:schemaRefs>
</ds:datastoreItem>
</file>

<file path=customXml/itemProps2.xml><?xml version="1.0" encoding="utf-8"?>
<ds:datastoreItem xmlns:ds="http://schemas.openxmlformats.org/officeDocument/2006/customXml" ds:itemID="{46FFC792-DA6B-4D21-9676-770A38D7C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0EAAA-DAFC-4779-9B9F-B9E5E93FA2D8}">
  <ds:schemaRefs>
    <ds:schemaRef ds:uri="http://purl.org/dc/elements/1.1/"/>
    <ds:schemaRef ds:uri="http://schemas.microsoft.com/office/2006/metadata/properties"/>
    <ds:schemaRef ds:uri="89f4cd83-a2d3-4405-9b45-6aff5241ff8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2849</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CONVENCIÓN INTERAMERICANA CONTRA</vt:lpstr>
    </vt:vector>
  </TitlesOfParts>
  <Company>OAS</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CONTRA</dc:title>
  <dc:subject/>
  <dc:creator>atreppel</dc:creator>
  <cp:keywords/>
  <dc:description/>
  <cp:lastModifiedBy>Lobaton, Ursula</cp:lastModifiedBy>
  <cp:revision>4</cp:revision>
  <cp:lastPrinted>2016-05-04T20:09:00Z</cp:lastPrinted>
  <dcterms:created xsi:type="dcterms:W3CDTF">2021-01-13T21:10:00Z</dcterms:created>
  <dcterms:modified xsi:type="dcterms:W3CDTF">2021-01-21T22:17:00Z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