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C" w:rsidRPr="005C58DD" w:rsidRDefault="00DB6C7C" w:rsidP="001A57B4">
      <w:pPr>
        <w:pStyle w:val="CPClassification"/>
        <w:ind w:left="2160" w:firstLine="5040"/>
        <w:contextualSpacing/>
        <w:rPr>
          <w:szCs w:val="22"/>
          <w:lang w:val="pt-BR"/>
        </w:rPr>
      </w:pPr>
    </w:p>
    <w:p w:rsidR="00DB6C7C" w:rsidRPr="005C58DD" w:rsidRDefault="005E3126" w:rsidP="001A57B4">
      <w:pPr>
        <w:pStyle w:val="CPClassification"/>
        <w:ind w:left="2160" w:firstLine="5040"/>
        <w:contextualSpacing/>
        <w:rPr>
          <w:rFonts w:eastAsia="Batang"/>
          <w:szCs w:val="22"/>
          <w:lang w:val="pt-BR"/>
        </w:rPr>
      </w:pPr>
      <w:r>
        <w:rPr>
          <w:szCs w:val="22"/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2.35pt;margin-top:-41.45pt;width:320.1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1027" DrawAspect="Content" ObjectID="_1654694185" r:id="rId9"/>
        </w:object>
      </w:r>
      <w:bookmarkStart w:id="0" w:name="tittle"/>
      <w:r w:rsidR="00DB6C7C" w:rsidRPr="005C58DD">
        <w:rPr>
          <w:szCs w:val="22"/>
          <w:lang w:val="pt-BR"/>
        </w:rPr>
        <w:t>OEA/Ser.G</w:t>
      </w:r>
    </w:p>
    <w:p w:rsidR="00DB6C7C" w:rsidRPr="005C58DD" w:rsidRDefault="00DB6C7C" w:rsidP="001A57B4">
      <w:pPr>
        <w:ind w:left="7200" w:right="-1289"/>
        <w:contextualSpacing/>
        <w:rPr>
          <w:rFonts w:ascii="Times New Roman" w:eastAsia="Calibri" w:hAnsi="Times New Roman"/>
          <w:szCs w:val="22"/>
          <w:lang w:val="pt-BR"/>
        </w:rPr>
      </w:pPr>
      <w:r w:rsidRPr="005C58DD">
        <w:rPr>
          <w:rFonts w:ascii="Times New Roman" w:hAnsi="Times New Roman"/>
          <w:szCs w:val="22"/>
          <w:lang w:val="pt-BR"/>
        </w:rPr>
        <w:t>CP/</w:t>
      </w:r>
      <w:r w:rsidR="00AF15F2" w:rsidRPr="005C58DD">
        <w:rPr>
          <w:rFonts w:ascii="Times New Roman" w:hAnsi="Times New Roman"/>
          <w:szCs w:val="22"/>
          <w:lang w:val="pt-BR"/>
        </w:rPr>
        <w:t>RES</w:t>
      </w:r>
      <w:r w:rsidRPr="005C58DD">
        <w:rPr>
          <w:rFonts w:ascii="Times New Roman" w:hAnsi="Times New Roman"/>
          <w:szCs w:val="22"/>
          <w:lang w:val="pt-BR"/>
        </w:rPr>
        <w:t>.</w:t>
      </w:r>
      <w:r w:rsidR="00AF15F2" w:rsidRPr="005C58DD">
        <w:rPr>
          <w:rFonts w:ascii="Times New Roman" w:hAnsi="Times New Roman"/>
          <w:szCs w:val="22"/>
          <w:lang w:val="pt-BR"/>
        </w:rPr>
        <w:t xml:space="preserve"> 11</w:t>
      </w:r>
      <w:r w:rsidRPr="005C58DD">
        <w:rPr>
          <w:rFonts w:ascii="Times New Roman" w:hAnsi="Times New Roman"/>
          <w:szCs w:val="22"/>
          <w:lang w:val="pt-BR"/>
        </w:rPr>
        <w:t>56</w:t>
      </w:r>
      <w:r w:rsidR="00AF15F2" w:rsidRPr="005C58DD">
        <w:rPr>
          <w:rFonts w:ascii="Times New Roman" w:hAnsi="Times New Roman"/>
          <w:szCs w:val="22"/>
          <w:lang w:val="pt-BR"/>
        </w:rPr>
        <w:t xml:space="preserve"> (2291</w:t>
      </w:r>
      <w:r w:rsidRPr="005C58DD">
        <w:rPr>
          <w:rFonts w:ascii="Times New Roman" w:hAnsi="Times New Roman"/>
          <w:szCs w:val="22"/>
          <w:lang w:val="pt-BR"/>
        </w:rPr>
        <w:t>/20</w:t>
      </w:r>
      <w:r w:rsidR="00AF15F2" w:rsidRPr="005C58DD">
        <w:rPr>
          <w:rFonts w:ascii="Times New Roman" w:hAnsi="Times New Roman"/>
          <w:szCs w:val="22"/>
          <w:lang w:val="pt-BR"/>
        </w:rPr>
        <w:t>)</w:t>
      </w:r>
    </w:p>
    <w:p w:rsidR="00DB6C7C" w:rsidRPr="005C58DD" w:rsidRDefault="00DB6C7C" w:rsidP="001A57B4">
      <w:pPr>
        <w:ind w:left="7200"/>
        <w:contextualSpacing/>
        <w:rPr>
          <w:rFonts w:ascii="Times New Roman" w:hAnsi="Times New Roman"/>
          <w:szCs w:val="22"/>
          <w:lang w:val="pt-BR"/>
        </w:rPr>
      </w:pPr>
      <w:r w:rsidRPr="005C58DD">
        <w:rPr>
          <w:rFonts w:ascii="Times New Roman" w:hAnsi="Times New Roman"/>
          <w:szCs w:val="22"/>
          <w:lang w:val="pt-BR"/>
        </w:rPr>
        <w:t>2</w:t>
      </w:r>
      <w:r w:rsidR="00D00989" w:rsidRPr="005C58DD">
        <w:rPr>
          <w:rFonts w:ascii="Times New Roman" w:hAnsi="Times New Roman"/>
          <w:szCs w:val="22"/>
          <w:lang w:val="pt-BR"/>
        </w:rPr>
        <w:t>6</w:t>
      </w:r>
      <w:r w:rsidRPr="005C58DD">
        <w:rPr>
          <w:rFonts w:ascii="Times New Roman" w:hAnsi="Times New Roman"/>
          <w:szCs w:val="22"/>
          <w:lang w:val="pt-BR"/>
        </w:rPr>
        <w:t xml:space="preserve"> junho 2020</w:t>
      </w:r>
    </w:p>
    <w:p w:rsidR="00DB6C7C" w:rsidRPr="005C58DD" w:rsidRDefault="00DB6C7C" w:rsidP="001A57B4">
      <w:pPr>
        <w:ind w:left="7200"/>
        <w:contextualSpacing/>
        <w:rPr>
          <w:rFonts w:ascii="Times New Roman" w:hAnsi="Times New Roman"/>
          <w:szCs w:val="22"/>
          <w:lang w:val="pt-BR"/>
        </w:rPr>
      </w:pPr>
      <w:r w:rsidRPr="005C58DD">
        <w:rPr>
          <w:rFonts w:ascii="Times New Roman" w:hAnsi="Times New Roman"/>
          <w:szCs w:val="22"/>
          <w:lang w:val="pt-BR"/>
        </w:rPr>
        <w:t>Original: espanhol</w:t>
      </w:r>
    </w:p>
    <w:p w:rsidR="00DB6C7C" w:rsidRPr="005C58DD" w:rsidRDefault="00DB6C7C" w:rsidP="001A57B4">
      <w:pPr>
        <w:rPr>
          <w:rFonts w:ascii="Times New Roman" w:hAnsi="Times New Roman"/>
          <w:szCs w:val="22"/>
          <w:lang w:val="pt-BR"/>
        </w:rPr>
      </w:pPr>
    </w:p>
    <w:p w:rsidR="00DB6C7C" w:rsidRPr="005C58DD" w:rsidRDefault="00DB6C7C" w:rsidP="001A57B4">
      <w:pPr>
        <w:rPr>
          <w:rFonts w:ascii="Times New Roman" w:hAnsi="Times New Roman"/>
          <w:szCs w:val="22"/>
          <w:lang w:val="pt-BR"/>
        </w:rPr>
      </w:pPr>
    </w:p>
    <w:p w:rsidR="00DB6C7C" w:rsidRPr="005C58DD" w:rsidRDefault="00DB6C7C" w:rsidP="001A57B4">
      <w:pPr>
        <w:rPr>
          <w:rFonts w:ascii="Times New Roman" w:hAnsi="Times New Roman"/>
          <w:szCs w:val="22"/>
          <w:lang w:val="pt-BR"/>
        </w:rPr>
      </w:pPr>
    </w:p>
    <w:bookmarkEnd w:id="0"/>
    <w:p w:rsidR="00DB6C7C" w:rsidRPr="005C58DD" w:rsidRDefault="00DB6C7C" w:rsidP="001A57B4">
      <w:pPr>
        <w:pStyle w:val="BodyText"/>
        <w:widowControl/>
        <w:rPr>
          <w:rFonts w:ascii="Times New Roman" w:hAnsi="Times New Roman" w:cs="Times New Roman"/>
          <w:sz w:val="22"/>
          <w:szCs w:val="22"/>
          <w:lang w:val="pt-BR"/>
        </w:rPr>
      </w:pPr>
    </w:p>
    <w:p w:rsidR="001A57B4" w:rsidRPr="005C58DD" w:rsidRDefault="001A57B4" w:rsidP="001A57B4">
      <w:pPr>
        <w:pStyle w:val="BodyText"/>
        <w:widowControl/>
        <w:ind w:left="185" w:right="199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sz w:val="22"/>
          <w:szCs w:val="22"/>
          <w:lang w:val="pt-BR"/>
        </w:rPr>
        <w:t>CP/RES. 1156 (2291/20)</w:t>
      </w:r>
    </w:p>
    <w:p w:rsidR="001A57B4" w:rsidRPr="005C58DD" w:rsidRDefault="001A57B4" w:rsidP="001A57B4">
      <w:pPr>
        <w:pStyle w:val="BodyText"/>
        <w:widowControl/>
        <w:ind w:left="185" w:right="199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left="185" w:right="199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sz w:val="22"/>
          <w:szCs w:val="22"/>
          <w:lang w:val="pt-BR"/>
        </w:rPr>
        <w:t>AS RECENTES DECISÕES ILEGÍTIMAS DO SUPREMO TRIBUNAL DE JUSTIÇA NA REPÚBLICA BOLIVARIANA DA VENEZUELA</w:t>
      </w:r>
      <w:bookmarkStart w:id="1" w:name="_GoBack"/>
      <w:bookmarkEnd w:id="1"/>
      <w:r w:rsidR="00C3411E" w:rsidRPr="005E3126">
        <w:rPr>
          <w:rStyle w:val="FootnoteReference"/>
          <w:rFonts w:ascii="Times New Roman" w:hAnsi="Times New Roman" w:cs="Times New Roman"/>
          <w:sz w:val="20"/>
          <w:szCs w:val="20"/>
          <w:u w:val="single"/>
          <w:vertAlign w:val="superscript"/>
          <w:lang w:val="pt-BR"/>
        </w:rPr>
        <w:footnoteReference w:id="1"/>
      </w:r>
      <w:r w:rsidR="005E3126" w:rsidRPr="005E3126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/</w:t>
      </w:r>
    </w:p>
    <w:p w:rsidR="00DB6C7C" w:rsidRPr="005C58DD" w:rsidRDefault="00DB6C7C" w:rsidP="001A57B4">
      <w:pPr>
        <w:pStyle w:val="BodyText"/>
        <w:widowControl/>
        <w:rPr>
          <w:rFonts w:ascii="Times New Roman" w:hAnsi="Times New Roman" w:cs="Times New Roman"/>
          <w:sz w:val="22"/>
          <w:szCs w:val="22"/>
          <w:lang w:val="pt-BR"/>
        </w:rPr>
      </w:pPr>
    </w:p>
    <w:p w:rsidR="00DB6C7C" w:rsidRPr="005C58DD" w:rsidRDefault="00DB6C7C" w:rsidP="001A57B4">
      <w:pPr>
        <w:jc w:val="center"/>
        <w:rPr>
          <w:rFonts w:ascii="Times New Roman" w:hAnsi="Times New Roman"/>
          <w:color w:val="181817"/>
          <w:szCs w:val="22"/>
          <w:lang w:val="pt-BR"/>
        </w:rPr>
      </w:pPr>
      <w:r w:rsidRPr="005C58DD">
        <w:rPr>
          <w:rFonts w:ascii="Times New Roman" w:hAnsi="Times New Roman"/>
          <w:color w:val="181817"/>
          <w:szCs w:val="22"/>
          <w:lang w:val="pt-BR"/>
        </w:rPr>
        <w:t>(</w:t>
      </w:r>
      <w:r w:rsidR="0033489F" w:rsidRPr="005C58DD">
        <w:rPr>
          <w:rFonts w:ascii="Times New Roman" w:hAnsi="Times New Roman"/>
          <w:szCs w:val="22"/>
          <w:lang w:val="pt-BR"/>
        </w:rPr>
        <w:t>Aprovada pelo Conselho Permanente na sessão extraordinária</w:t>
      </w:r>
      <w:r w:rsidR="0033489F" w:rsidRPr="005C58DD">
        <w:rPr>
          <w:rFonts w:ascii="Times New Roman" w:hAnsi="Times New Roman"/>
          <w:szCs w:val="22"/>
          <w:lang w:val="pt-BR"/>
        </w:rPr>
        <w:br/>
        <w:t>virtual realizada em 26 de junho de 2020</w:t>
      </w:r>
      <w:r w:rsidRPr="005C58DD">
        <w:rPr>
          <w:rFonts w:ascii="Times New Roman" w:hAnsi="Times New Roman"/>
          <w:color w:val="181817"/>
          <w:szCs w:val="22"/>
          <w:lang w:val="pt-BR"/>
        </w:rPr>
        <w:t>)</w:t>
      </w:r>
    </w:p>
    <w:p w:rsidR="00DB6C7C" w:rsidRPr="005C58DD" w:rsidRDefault="00DB6C7C" w:rsidP="001A57B4">
      <w:pPr>
        <w:pStyle w:val="BodyText"/>
        <w:widowControl/>
        <w:rPr>
          <w:rFonts w:ascii="Times New Roman" w:hAnsi="Times New Roman" w:cs="Times New Roman"/>
          <w:sz w:val="22"/>
          <w:szCs w:val="22"/>
          <w:lang w:val="pt-BR"/>
        </w:rPr>
      </w:pPr>
    </w:p>
    <w:p w:rsidR="001A57B4" w:rsidRPr="005C58DD" w:rsidRDefault="001A57B4" w:rsidP="001A57B4">
      <w:pPr>
        <w:pStyle w:val="BodyText"/>
        <w:widowControl/>
        <w:rPr>
          <w:rFonts w:ascii="Times New Roman" w:hAnsi="Times New Roman" w:cs="Times New Roman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O CONSELHO PERMANENTE DA ORGANIZAÇÃO DOS ESTADOS AMERICANOS,</w:t>
      </w:r>
    </w:p>
    <w:p w:rsidR="00DB6C7C" w:rsidRPr="005C58DD" w:rsidRDefault="00DB6C7C" w:rsidP="001A57B4">
      <w:pPr>
        <w:pStyle w:val="BodyText"/>
        <w:widowControl/>
        <w:rPr>
          <w:rFonts w:ascii="Times New Roman" w:hAnsi="Times New Roman" w:cs="Times New Roman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23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CONSIDERANDO que a Carta da Organização dos Estados Americanos reconhece que a democracia representativa é condição indispensável para a estabilidade, a paz e o desenvolvimento da região;</w:t>
      </w:r>
    </w:p>
    <w:p w:rsidR="00DB6C7C" w:rsidRPr="005C58DD" w:rsidRDefault="00DB6C7C" w:rsidP="001A57B4">
      <w:pPr>
        <w:pStyle w:val="BodyText"/>
        <w:widowControl/>
        <w:ind w:right="120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20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REAFIRMANDO que os povos das Américas têm o direito à democracia e seus governos têm a obrigação de promovê-la e defendê-la, conforme estabelecido no artigo 1º da Carta Democrática Interamericana;</w:t>
      </w:r>
    </w:p>
    <w:p w:rsidR="00DB6C7C" w:rsidRPr="005C58DD" w:rsidRDefault="00DB6C7C" w:rsidP="001A57B4">
      <w:pPr>
        <w:pStyle w:val="BodyText"/>
        <w:widowControl/>
        <w:ind w:right="119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1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RECONHECENDO que a Carta Democrática Interamericana estabelece que são elementos essenciais da democracia representativa, entre outros, o respeito aos direitos humanos e às liberdades fundamentais; o acesso ao poder e seu exercício com sujeição ao Estado de Direito; a celebração de eleições periódicas, livres, justas e baseadas no sufrágio universal e secreto como expressão da soberania do povo; o regime pluralista de partidos e organizações políticas; e a separação e independência dos poderes públicos;</w:t>
      </w:r>
    </w:p>
    <w:p w:rsidR="00DB6C7C" w:rsidRPr="005C58DD" w:rsidRDefault="00DB6C7C" w:rsidP="001A57B4">
      <w:pPr>
        <w:pStyle w:val="BodyText"/>
        <w:widowControl/>
        <w:ind w:right="119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1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RESSALTANDO que a resolução CP/RES. 1117 (2200/19), aprovada em 10 de janeiro de 2019, resolveu “[n]ão reconhecer a legitimidade do mandato do regime de Nicolás Maduro a partir de 10 de janeiro de 2019” e fez um apelo à “realização de novas eleições presidenciais com todas as garantias necessárias a um processo livre, justo, transparente e legítimo, em data próxima, com a presença de observadores internacionais”;</w:t>
      </w:r>
    </w:p>
    <w:p w:rsidR="00DB6C7C" w:rsidRPr="005C58DD" w:rsidRDefault="00DB6C7C" w:rsidP="001A57B4">
      <w:pPr>
        <w:pStyle w:val="BodyText"/>
        <w:widowControl/>
        <w:ind w:right="119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19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 xml:space="preserve">RECORDANDO que a resolução CP/RES 1143 (2269/20), aprovada em 10 de janeiro de 2020, acordou renovar o apelo pelo pronto retorno da democracia na Venezuela e, nesse sentido, reafirmar a necessidade de realizar eleições presidenciais inclusivas, livres, justas e transparentes, </w:t>
      </w: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lastRenderedPageBreak/>
        <w:t>com um Conselho Nacional Eleitoral e um Supremo Tribunal de Justiça renovados, que gozem de autonomia e independência e com a presença de observadores internacionais independentes;</w:t>
      </w:r>
    </w:p>
    <w:p w:rsidR="004E614B" w:rsidRDefault="004E614B" w:rsidP="001A57B4">
      <w:pPr>
        <w:pStyle w:val="BodyText"/>
        <w:widowControl/>
        <w:ind w:right="130" w:firstLine="720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30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CONSIDERANDO que a Assembleia Nacional da República Bolivariana da Venezuela é a única instituição democraticamente eleita na Venezuela;</w:t>
      </w:r>
    </w:p>
    <w:p w:rsidR="00DB6C7C" w:rsidRPr="005C58DD" w:rsidRDefault="00DB6C7C" w:rsidP="001A57B4">
      <w:pPr>
        <w:pStyle w:val="BodyText"/>
        <w:widowControl/>
        <w:ind w:right="128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28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RECORDANDO que tanto a Comissão Interamericana de Direitos Humanos como o Alto Comissariado das Nações Unidas para os Direitos Humanos têm denunciado, reiteradamente,</w:t>
      </w:r>
      <w:r w:rsidRPr="005C58D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a contínua violação dos direitos políticos consagrados na Constituição venezuelana e nas convenções internacionais que os garantem;</w:t>
      </w:r>
    </w:p>
    <w:p w:rsidR="00DB6C7C" w:rsidRPr="005C58DD" w:rsidRDefault="00DB6C7C" w:rsidP="001A57B4">
      <w:pPr>
        <w:pStyle w:val="BodyText"/>
        <w:widowControl/>
        <w:ind w:right="117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17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>TOMANDO NOTA de que o Supremo Tribunal de Justiça procedeu com uma posição tendenciosa, alegando uma suposta “omissão legislativa” na nomeação dos membros do Conselho Nacional Eleitoral, usurpando as funções que correspondem à Assembleia Nacional, como estabelecidas na Constituição da República Bolivariana da Venezuela, e violando o princípio da autonomia, equilíbrio e divisão dos poderes públicos; e</w:t>
      </w:r>
    </w:p>
    <w:p w:rsidR="00DB6C7C" w:rsidRPr="005C58DD" w:rsidRDefault="00DB6C7C" w:rsidP="001A57B4">
      <w:pPr>
        <w:pStyle w:val="BodyText"/>
        <w:widowControl/>
        <w:ind w:right="112"/>
        <w:jc w:val="both"/>
        <w:rPr>
          <w:rFonts w:ascii="Times New Roman" w:hAnsi="Times New Roman" w:cs="Times New Roman"/>
          <w:color w:val="171717"/>
          <w:sz w:val="22"/>
          <w:szCs w:val="22"/>
          <w:lang w:val="pt-BR"/>
        </w:rPr>
      </w:pPr>
    </w:p>
    <w:p w:rsidR="00DB6C7C" w:rsidRPr="005C58DD" w:rsidRDefault="00DB6C7C" w:rsidP="001A57B4">
      <w:pPr>
        <w:pStyle w:val="BodyText"/>
        <w:widowControl/>
        <w:ind w:right="112"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 xml:space="preserve">EXPRESSANDO a preocupação com as recentes decisões do Supremo Tribunal de Justiça destinadas a intervir nos partidos políticos de oposição, suspendendo as diretorias de dois dos principais partidos de oposição — </w:t>
      </w:r>
      <w:r w:rsidRPr="005C58DD">
        <w:rPr>
          <w:rFonts w:ascii="Times New Roman" w:hAnsi="Times New Roman" w:cs="Times New Roman"/>
          <w:i/>
          <w:iCs/>
          <w:color w:val="171717"/>
          <w:sz w:val="22"/>
          <w:szCs w:val="22"/>
          <w:lang w:val="pt-BR"/>
        </w:rPr>
        <w:t>Acción Democrática</w:t>
      </w: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 xml:space="preserve"> e </w:t>
      </w:r>
      <w:r w:rsidRPr="005C58DD">
        <w:rPr>
          <w:rFonts w:ascii="Times New Roman" w:hAnsi="Times New Roman" w:cs="Times New Roman"/>
          <w:i/>
          <w:iCs/>
          <w:color w:val="171717"/>
          <w:sz w:val="22"/>
          <w:szCs w:val="22"/>
          <w:lang w:val="pt-BR"/>
        </w:rPr>
        <w:t>Primero Justicia</w:t>
      </w: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 xml:space="preserve"> — e nomeando uma diretoria </w:t>
      </w:r>
      <w:r w:rsidRPr="005C58DD">
        <w:rPr>
          <w:rFonts w:ascii="Times New Roman" w:hAnsi="Times New Roman" w:cs="Times New Roman"/>
          <w:i/>
          <w:iCs/>
          <w:color w:val="171717"/>
          <w:sz w:val="22"/>
          <w:szCs w:val="22"/>
          <w:lang w:val="pt-BR"/>
        </w:rPr>
        <w:t>ad hoc</w:t>
      </w:r>
      <w:r w:rsidRPr="005C58DD">
        <w:rPr>
          <w:rFonts w:ascii="Times New Roman" w:hAnsi="Times New Roman" w:cs="Times New Roman"/>
          <w:color w:val="171717"/>
          <w:sz w:val="22"/>
          <w:szCs w:val="22"/>
          <w:lang w:val="pt-BR"/>
        </w:rPr>
        <w:t xml:space="preserve"> com poderes para utilizar os símbolos partidários de cada um desses partidos;</w:t>
      </w:r>
    </w:p>
    <w:p w:rsidR="00DB6C7C" w:rsidRPr="005C58DD" w:rsidRDefault="00DB6C7C" w:rsidP="001A57B4">
      <w:pPr>
        <w:pStyle w:val="BodyText"/>
        <w:widowControl/>
        <w:rPr>
          <w:rFonts w:ascii="Times New Roman" w:hAnsi="Times New Roman" w:cs="Times New Roman"/>
          <w:sz w:val="22"/>
          <w:szCs w:val="22"/>
          <w:lang w:val="pt-BR"/>
        </w:rPr>
      </w:pPr>
    </w:p>
    <w:p w:rsidR="00DB6C7C" w:rsidRPr="005C58DD" w:rsidRDefault="00DB6C7C" w:rsidP="001A57B4">
      <w:pPr>
        <w:widowControl/>
        <w:rPr>
          <w:rFonts w:ascii="Times New Roman" w:hAnsi="Times New Roman"/>
          <w:szCs w:val="22"/>
          <w:lang w:val="pt-BR"/>
        </w:rPr>
      </w:pPr>
      <w:r w:rsidRPr="005C58DD">
        <w:rPr>
          <w:rFonts w:ascii="Times New Roman" w:hAnsi="Times New Roman"/>
          <w:color w:val="171717"/>
          <w:szCs w:val="22"/>
          <w:lang w:val="pt-BR"/>
        </w:rPr>
        <w:t>RESOLVE:</w:t>
      </w:r>
    </w:p>
    <w:p w:rsidR="00DB6C7C" w:rsidRPr="005C58DD" w:rsidRDefault="00DB6C7C" w:rsidP="001A57B4">
      <w:pPr>
        <w:pStyle w:val="BodyText"/>
        <w:widowControl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B6C7C" w:rsidRPr="005C58DD" w:rsidRDefault="00DB6C7C" w:rsidP="001A57B4">
      <w:pPr>
        <w:pStyle w:val="ListParagraph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left="0" w:right="121" w:firstLine="720"/>
        <w:contextualSpacing w:val="0"/>
        <w:jc w:val="both"/>
        <w:rPr>
          <w:rFonts w:ascii="Times New Roman" w:hAnsi="Times New Roman"/>
          <w:szCs w:val="22"/>
          <w:lang w:val="pt-BR"/>
        </w:rPr>
      </w:pPr>
      <w:r w:rsidRPr="005C58DD">
        <w:rPr>
          <w:rFonts w:ascii="Times New Roman" w:hAnsi="Times New Roman"/>
          <w:color w:val="171717"/>
          <w:szCs w:val="22"/>
          <w:lang w:val="pt-BR"/>
        </w:rPr>
        <w:t xml:space="preserve">Condenar o contínuo assédio </w:t>
      </w:r>
      <w:r w:rsidR="00D00989" w:rsidRPr="005C58DD">
        <w:rPr>
          <w:rFonts w:ascii="Times New Roman" w:hAnsi="Times New Roman"/>
          <w:color w:val="171717"/>
          <w:szCs w:val="22"/>
          <w:lang w:val="pt-BR"/>
        </w:rPr>
        <w:t>exercido</w:t>
      </w:r>
      <w:r w:rsidRPr="005C58DD">
        <w:rPr>
          <w:rFonts w:ascii="Times New Roman" w:hAnsi="Times New Roman"/>
          <w:color w:val="171717"/>
          <w:szCs w:val="22"/>
          <w:lang w:val="pt-BR"/>
        </w:rPr>
        <w:t xml:space="preserve"> pelo regime ilegítimo de Nicolás Maduro contra as funções</w:t>
      </w:r>
      <w:r w:rsidR="00D00989" w:rsidRPr="005C58DD">
        <w:rPr>
          <w:rFonts w:ascii="Times New Roman" w:hAnsi="Times New Roman"/>
          <w:color w:val="171717"/>
          <w:szCs w:val="22"/>
          <w:lang w:val="pt-BR"/>
        </w:rPr>
        <w:t xml:space="preserve"> outorgadas pelas leis venezuelanas à</w:t>
      </w:r>
      <w:r w:rsidRPr="005C58DD">
        <w:rPr>
          <w:rFonts w:ascii="Times New Roman" w:hAnsi="Times New Roman"/>
          <w:color w:val="171717"/>
          <w:szCs w:val="22"/>
          <w:lang w:val="pt-BR"/>
        </w:rPr>
        <w:t xml:space="preserve"> Assembleia Nacional e contra o funcionamento dos partidos políticos e das instituições democráticas na Venezuela, contrariando as disposições da Carta Interamericana.</w:t>
      </w:r>
    </w:p>
    <w:p w:rsidR="00DB6C7C" w:rsidRPr="005C58DD" w:rsidRDefault="00DB6C7C" w:rsidP="001A57B4">
      <w:pPr>
        <w:widowControl/>
        <w:ind w:right="121"/>
        <w:rPr>
          <w:rFonts w:ascii="Times New Roman" w:hAnsi="Times New Roman"/>
          <w:szCs w:val="22"/>
          <w:lang w:val="pt-BR"/>
        </w:rPr>
      </w:pPr>
    </w:p>
    <w:p w:rsidR="00DB6C7C" w:rsidRPr="005C58DD" w:rsidRDefault="00DB6C7C" w:rsidP="001A57B4">
      <w:pPr>
        <w:pStyle w:val="ListParagraph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91"/>
        </w:tabs>
        <w:autoSpaceDE w:val="0"/>
        <w:autoSpaceDN w:val="0"/>
        <w:ind w:left="0" w:right="121" w:firstLine="720"/>
        <w:contextualSpacing w:val="0"/>
        <w:jc w:val="both"/>
        <w:rPr>
          <w:rFonts w:ascii="Times New Roman" w:hAnsi="Times New Roman"/>
          <w:color w:val="171717"/>
          <w:szCs w:val="22"/>
          <w:lang w:val="pt-BR"/>
        </w:rPr>
      </w:pPr>
      <w:r w:rsidRPr="005C58DD">
        <w:rPr>
          <w:rFonts w:ascii="Times New Roman" w:hAnsi="Times New Roman"/>
          <w:color w:val="171717"/>
          <w:szCs w:val="22"/>
          <w:lang w:val="pt-BR"/>
        </w:rPr>
        <w:t xml:space="preserve">Rejeitar, nos termos mais veementes, e desconsiderar a designação ilegal dos membros do Conselho Nacional Eleitoral pelo Supremo Tribunal de Justiça, bem como a designação ilegal das diretorias dos partidos políticos </w:t>
      </w:r>
      <w:r w:rsidRPr="005C58DD">
        <w:rPr>
          <w:rFonts w:ascii="Times New Roman" w:hAnsi="Times New Roman"/>
          <w:i/>
          <w:iCs/>
          <w:color w:val="171717"/>
          <w:szCs w:val="22"/>
          <w:lang w:val="pt-BR"/>
        </w:rPr>
        <w:t>Primero Justicia</w:t>
      </w:r>
      <w:r w:rsidRPr="005C58DD">
        <w:rPr>
          <w:rFonts w:ascii="Times New Roman" w:hAnsi="Times New Roman"/>
          <w:color w:val="171717"/>
          <w:szCs w:val="22"/>
          <w:lang w:val="pt-BR"/>
        </w:rPr>
        <w:t xml:space="preserve"> e </w:t>
      </w:r>
      <w:r w:rsidRPr="005C58DD">
        <w:rPr>
          <w:rFonts w:ascii="Times New Roman" w:hAnsi="Times New Roman"/>
          <w:i/>
          <w:iCs/>
          <w:color w:val="171717"/>
          <w:szCs w:val="22"/>
          <w:lang w:val="pt-BR"/>
        </w:rPr>
        <w:t>Acción Democrática</w:t>
      </w:r>
      <w:r w:rsidRPr="005C58DD">
        <w:rPr>
          <w:rFonts w:ascii="Times New Roman" w:hAnsi="Times New Roman"/>
          <w:color w:val="171717"/>
          <w:szCs w:val="22"/>
          <w:lang w:val="pt-BR"/>
        </w:rPr>
        <w:t>.</w:t>
      </w:r>
    </w:p>
    <w:p w:rsidR="00DB6C7C" w:rsidRPr="005C58DD" w:rsidRDefault="00DB6C7C" w:rsidP="001A57B4">
      <w:pPr>
        <w:widowControl/>
        <w:tabs>
          <w:tab w:val="left" w:pos="391"/>
        </w:tabs>
        <w:ind w:right="121"/>
        <w:rPr>
          <w:rFonts w:ascii="Times New Roman" w:hAnsi="Times New Roman"/>
          <w:color w:val="171717"/>
          <w:szCs w:val="22"/>
          <w:lang w:val="pt-BR"/>
        </w:rPr>
      </w:pPr>
    </w:p>
    <w:p w:rsidR="00DB6C7C" w:rsidRPr="005C58DD" w:rsidRDefault="00DB6C7C" w:rsidP="001A57B4">
      <w:pPr>
        <w:pStyle w:val="ListParagraph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left="0" w:right="124" w:firstLine="720"/>
        <w:contextualSpacing w:val="0"/>
        <w:jc w:val="both"/>
        <w:rPr>
          <w:rFonts w:ascii="Times New Roman" w:hAnsi="Times New Roman"/>
          <w:szCs w:val="22"/>
          <w:lang w:val="pt-BR"/>
        </w:rPr>
      </w:pPr>
      <w:r w:rsidRPr="005C58DD">
        <w:rPr>
          <w:rFonts w:ascii="Times New Roman" w:hAnsi="Times New Roman"/>
          <w:color w:val="000000" w:themeColor="text1"/>
          <w:szCs w:val="22"/>
          <w:lang w:val="pt-BR"/>
        </w:rPr>
        <w:t>Exigir que o regime ilegítimo de Nicolás Maduro respeite as prerrogativas da Assembleia Nacional, cesse a usurpação das suas funções e se abstenha de interferir no funcionamento dos partidos políticos independentes. Esse tipo de ações constitui um obstáculo à restauração da democracia na Venezuela e ao Estado de Direito, que só é possível alcançar com a realização de eleições justas, livres e transparentes, um Conselho Nacional Eleitoral independente, um Supremo Tribunal de Justiça imparcial e observação internacional independente.</w:t>
      </w:r>
    </w:p>
    <w:p w:rsidR="00DB6C7C" w:rsidRPr="005C58DD" w:rsidRDefault="00DB6C7C" w:rsidP="001A57B4">
      <w:pPr>
        <w:widowControl/>
        <w:ind w:right="124"/>
        <w:rPr>
          <w:rFonts w:ascii="Times New Roman" w:hAnsi="Times New Roman"/>
          <w:szCs w:val="22"/>
          <w:lang w:val="pt-BR"/>
        </w:rPr>
      </w:pPr>
    </w:p>
    <w:p w:rsidR="00DB6C7C" w:rsidRPr="005C58DD" w:rsidRDefault="00DB6C7C" w:rsidP="001A57B4">
      <w:pPr>
        <w:pStyle w:val="ListParagraph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left="0" w:right="115" w:firstLine="720"/>
        <w:contextualSpacing w:val="0"/>
        <w:jc w:val="both"/>
        <w:rPr>
          <w:rFonts w:ascii="Times New Roman" w:hAnsi="Times New Roman"/>
          <w:color w:val="212121"/>
          <w:szCs w:val="22"/>
          <w:lang w:val="pt-BR"/>
        </w:rPr>
      </w:pPr>
      <w:r w:rsidRPr="005C58DD">
        <w:rPr>
          <w:rFonts w:ascii="Times New Roman" w:hAnsi="Times New Roman"/>
          <w:color w:val="212121"/>
          <w:szCs w:val="22"/>
          <w:lang w:val="pt-BR"/>
        </w:rPr>
        <w:t>Instar o regime ilegítimo de Nicolas Maduro a que liberte imediatamente todos os presos políticos, inclusive os deputados da Assembleia Nacional, e a que cesse imediatamente todas as detenções</w:t>
      </w:r>
      <w:r w:rsidR="00D00989" w:rsidRPr="005C58DD">
        <w:rPr>
          <w:rFonts w:ascii="Times New Roman" w:hAnsi="Times New Roman"/>
          <w:color w:val="212121"/>
          <w:szCs w:val="22"/>
          <w:lang w:val="pt-BR"/>
        </w:rPr>
        <w:t>, perseguições</w:t>
      </w:r>
      <w:r w:rsidRPr="005C58DD">
        <w:rPr>
          <w:rFonts w:ascii="Times New Roman" w:hAnsi="Times New Roman"/>
          <w:color w:val="212121"/>
          <w:szCs w:val="22"/>
          <w:lang w:val="pt-BR"/>
        </w:rPr>
        <w:t xml:space="preserve"> e prisões arbitrárias.</w:t>
      </w:r>
    </w:p>
    <w:p w:rsidR="00DB6C7C" w:rsidRPr="005C58DD" w:rsidRDefault="00DB6C7C" w:rsidP="001A57B4">
      <w:pPr>
        <w:widowControl/>
        <w:rPr>
          <w:rFonts w:ascii="Times New Roman" w:hAnsi="Times New Roman"/>
          <w:color w:val="212121"/>
          <w:szCs w:val="22"/>
          <w:lang w:val="pt-BR"/>
        </w:rPr>
      </w:pPr>
    </w:p>
    <w:p w:rsidR="009950E8" w:rsidRPr="004E614B" w:rsidRDefault="00DB6C7C" w:rsidP="004E614B">
      <w:pPr>
        <w:pStyle w:val="ListParagraph"/>
        <w:widowControl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left="0" w:right="118" w:firstLine="720"/>
        <w:contextualSpacing w:val="0"/>
        <w:jc w:val="both"/>
        <w:rPr>
          <w:rStyle w:val="FootnoteReference"/>
          <w:rFonts w:ascii="Times New Roman" w:hAnsi="Times New Roman"/>
          <w:szCs w:val="22"/>
          <w:lang w:val="pt-BR"/>
        </w:rPr>
      </w:pPr>
      <w:r w:rsidRPr="004E614B">
        <w:rPr>
          <w:rFonts w:ascii="Times New Roman" w:hAnsi="Times New Roman"/>
          <w:szCs w:val="22"/>
          <w:lang w:val="pt-BR"/>
        </w:rPr>
        <w:t xml:space="preserve">Fazer um apelo também a todos os atores políticos da Venezuela para que iniciem e realizem um processo firme de transição </w:t>
      </w:r>
      <w:r w:rsidR="00D00989" w:rsidRPr="004E614B">
        <w:rPr>
          <w:rFonts w:ascii="Times New Roman" w:hAnsi="Times New Roman"/>
          <w:szCs w:val="22"/>
          <w:lang w:val="pt-BR"/>
        </w:rPr>
        <w:t xml:space="preserve">pacífica e </w:t>
      </w:r>
      <w:r w:rsidRPr="004E614B">
        <w:rPr>
          <w:rFonts w:ascii="Times New Roman" w:hAnsi="Times New Roman"/>
          <w:szCs w:val="22"/>
          <w:lang w:val="pt-BR"/>
        </w:rPr>
        <w:t>democrática na República Bolivariana da Venezuela, em conformidade com as leis nacionais e sua Constituição, bem como com as disposições da Carta Democrática Interamericana e da Carta da OEA.</w:t>
      </w:r>
      <w:r w:rsidR="00885927" w:rsidRPr="005C58DD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-53340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927" w:rsidRPr="00885927" w:rsidRDefault="0088592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CP42611P01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0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" filled="f" stroked="f">
                <v:stroke joinstyle="round"/>
                <v:path arrowok="t"/>
                <v:textbox>
                  <w:txbxContent>
                    <w:p w:rsidR="00885927" w:rsidRPr="00885927" w:rsidRDefault="0088592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CP42611P01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9950E8" w:rsidRPr="004E614B" w:rsidSect="004B0ACE">
      <w:headerReference w:type="default" r:id="rId10"/>
      <w:headerReference w:type="first" r:id="rId11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B0" w:rsidRDefault="001273B0">
      <w:pPr>
        <w:spacing w:line="20" w:lineRule="exact"/>
      </w:pPr>
    </w:p>
  </w:endnote>
  <w:endnote w:type="continuationSeparator" w:id="0">
    <w:p w:rsidR="001273B0" w:rsidRDefault="001273B0">
      <w:r>
        <w:t xml:space="preserve"> </w:t>
      </w:r>
    </w:p>
  </w:endnote>
  <w:endnote w:type="continuationNotice" w:id="1">
    <w:p w:rsidR="001273B0" w:rsidRDefault="001273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B0" w:rsidRDefault="001273B0">
      <w:r>
        <w:separator/>
      </w:r>
    </w:p>
  </w:footnote>
  <w:footnote w:type="continuationSeparator" w:id="0">
    <w:p w:rsidR="001273B0" w:rsidRDefault="001273B0">
      <w:r>
        <w:continuationSeparator/>
      </w:r>
    </w:p>
  </w:footnote>
  <w:footnote w:id="1">
    <w:p w:rsidR="00C3411E" w:rsidRPr="00C35B43" w:rsidRDefault="00C3411E" w:rsidP="00C3411E">
      <w:pPr>
        <w:pStyle w:val="FootnoteText"/>
        <w:ind w:firstLine="0"/>
        <w:rPr>
          <w:rFonts w:ascii="Times New Roman" w:hAnsi="Times New Roman"/>
          <w:sz w:val="20"/>
          <w:lang w:val="pt-BR"/>
        </w:rPr>
      </w:pPr>
      <w:r w:rsidRPr="00C35B43">
        <w:rPr>
          <w:rStyle w:val="FootnoteReference"/>
          <w:rFonts w:ascii="Times New Roman" w:hAnsi="Times New Roman"/>
          <w:sz w:val="20"/>
        </w:rPr>
        <w:footnoteRef/>
      </w:r>
      <w:r w:rsidRPr="00C35B43">
        <w:rPr>
          <w:rFonts w:ascii="Times New Roman" w:hAnsi="Times New Roman"/>
          <w:sz w:val="20"/>
        </w:rPr>
        <w:t>.</w:t>
      </w:r>
      <w:r w:rsidRPr="00C35B43">
        <w:rPr>
          <w:rFonts w:ascii="Times New Roman" w:hAnsi="Times New Roman"/>
          <w:sz w:val="20"/>
        </w:rPr>
        <w:tab/>
      </w:r>
      <w:r w:rsidR="00C35B43" w:rsidRPr="00C35B43">
        <w:rPr>
          <w:rFonts w:ascii="Times New Roman" w:hAnsi="Times New Roman"/>
          <w:sz w:val="20"/>
          <w:lang w:val="pt-BR"/>
        </w:rPr>
        <w:t>A Delegação de Trinidad e Tobago anunciou que adicionará uma nota de rodapé</w:t>
      </w:r>
      <w:r w:rsidR="00C35B43">
        <w:rPr>
          <w:rFonts w:ascii="Times New Roman" w:hAnsi="Times New Roman"/>
          <w:sz w:val="20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252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2DAE" w:rsidRDefault="002B2DA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12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5665F2" w:rsidRDefault="00566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F2" w:rsidRDefault="005665F2">
    <w:pPr>
      <w:pStyle w:val="Header"/>
      <w:jc w:val="center"/>
    </w:pPr>
  </w:p>
  <w:p w:rsidR="005665F2" w:rsidRDefault="005665F2">
    <w:pPr>
      <w:pStyle w:val="Header"/>
      <w:jc w:val="center"/>
    </w:pPr>
  </w:p>
  <w:p w:rsidR="005665F2" w:rsidRDefault="005665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A3643"/>
    <w:multiLevelType w:val="hybridMultilevel"/>
    <w:tmpl w:val="B412C428"/>
    <w:lvl w:ilvl="0" w:tplc="CE9CECB0">
      <w:start w:val="1"/>
      <w:numFmt w:val="decimal"/>
      <w:lvlText w:val="%1."/>
      <w:lvlJc w:val="left"/>
      <w:pPr>
        <w:ind w:left="100" w:hanging="235"/>
        <w:jc w:val="left"/>
      </w:pPr>
      <w:rPr>
        <w:rFonts w:hint="default"/>
        <w:spacing w:val="-18"/>
        <w:lang w:val="es-ES" w:eastAsia="en-US" w:bidi="ar-SA"/>
      </w:rPr>
    </w:lvl>
    <w:lvl w:ilvl="1" w:tplc="A4003740">
      <w:start w:val="1"/>
      <w:numFmt w:val="decimal"/>
      <w:lvlText w:val="%2."/>
      <w:lvlJc w:val="left"/>
      <w:pPr>
        <w:ind w:left="821" w:hanging="360"/>
        <w:jc w:val="left"/>
      </w:pPr>
      <w:rPr>
        <w:rFonts w:hint="default"/>
        <w:spacing w:val="-75"/>
        <w:lang w:val="es-ES" w:eastAsia="en-US" w:bidi="ar-SA"/>
      </w:rPr>
    </w:lvl>
    <w:lvl w:ilvl="2" w:tplc="DAD4921E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0AB41DA6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4" w:tplc="B2F85A64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5" w:tplc="2ABE093A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 w:tplc="6E5C3326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7" w:tplc="C2D86A84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8" w:tplc="B5D0726A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E"/>
    <w:rsid w:val="000113C7"/>
    <w:rsid w:val="00053BAA"/>
    <w:rsid w:val="000B4FAC"/>
    <w:rsid w:val="001273B0"/>
    <w:rsid w:val="001A57B4"/>
    <w:rsid w:val="001F3A77"/>
    <w:rsid w:val="0020203E"/>
    <w:rsid w:val="00256B86"/>
    <w:rsid w:val="002809D6"/>
    <w:rsid w:val="002B2DAE"/>
    <w:rsid w:val="002F2529"/>
    <w:rsid w:val="00307E61"/>
    <w:rsid w:val="0031260E"/>
    <w:rsid w:val="0033489F"/>
    <w:rsid w:val="00341156"/>
    <w:rsid w:val="00414601"/>
    <w:rsid w:val="00423D3D"/>
    <w:rsid w:val="004B0ACE"/>
    <w:rsid w:val="004B64D2"/>
    <w:rsid w:val="004E614B"/>
    <w:rsid w:val="005248B2"/>
    <w:rsid w:val="005665F2"/>
    <w:rsid w:val="0059746B"/>
    <w:rsid w:val="005C58DD"/>
    <w:rsid w:val="005E3126"/>
    <w:rsid w:val="00681B67"/>
    <w:rsid w:val="00701E1D"/>
    <w:rsid w:val="00725CE4"/>
    <w:rsid w:val="00856E87"/>
    <w:rsid w:val="00885927"/>
    <w:rsid w:val="009950E8"/>
    <w:rsid w:val="009E111E"/>
    <w:rsid w:val="00AF15F2"/>
    <w:rsid w:val="00B01CDD"/>
    <w:rsid w:val="00B14633"/>
    <w:rsid w:val="00C3411E"/>
    <w:rsid w:val="00C35B43"/>
    <w:rsid w:val="00CA304E"/>
    <w:rsid w:val="00CE2AC2"/>
    <w:rsid w:val="00D00989"/>
    <w:rsid w:val="00DA1A8E"/>
    <w:rsid w:val="00DB6C7C"/>
    <w:rsid w:val="00DE2AC4"/>
    <w:rsid w:val="00DF009E"/>
    <w:rsid w:val="00DF2683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CE8C95C-33A9-41E7-B133-F6BA298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2B2DAE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uiPriority w:val="1"/>
    <w:qFormat/>
    <w:rsid w:val="00053B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6C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6C7C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B6C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86"/>
      <w:ind w:right="118"/>
      <w:jc w:val="right"/>
    </w:pPr>
    <w:rPr>
      <w:rFonts w:ascii="Trebuchet MS" w:eastAsia="Trebuchet MS" w:hAnsi="Trebuchet MS" w:cs="Trebuchet MS"/>
      <w:b/>
      <w:bCs/>
      <w:sz w:val="26"/>
      <w:szCs w:val="26"/>
      <w:lang w:val="pt-BR"/>
    </w:rPr>
  </w:style>
  <w:style w:type="character" w:customStyle="1" w:styleId="TitleChar">
    <w:name w:val="Title Char"/>
    <w:basedOn w:val="DefaultParagraphFont"/>
    <w:link w:val="Title"/>
    <w:uiPriority w:val="1"/>
    <w:rsid w:val="00DB6C7C"/>
    <w:rPr>
      <w:rFonts w:ascii="Trebuchet MS" w:eastAsia="Trebuchet MS" w:hAnsi="Trebuchet MS" w:cs="Trebuchet MS"/>
      <w:b/>
      <w:bCs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3AD3-04D1-4176-BF53-1CFF68C0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12</cp:revision>
  <cp:lastPrinted>1998-03-30T14:02:00Z</cp:lastPrinted>
  <dcterms:created xsi:type="dcterms:W3CDTF">2020-06-26T19:30:00Z</dcterms:created>
  <dcterms:modified xsi:type="dcterms:W3CDTF">2020-06-26T20:30:00Z</dcterms:modified>
</cp:coreProperties>
</file>