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98CAB" w14:textId="77777777" w:rsidR="007A444D" w:rsidRPr="007A444D" w:rsidRDefault="007A444D" w:rsidP="007A444D">
      <w:pPr>
        <w:tabs>
          <w:tab w:val="left" w:pos="6840"/>
        </w:tabs>
        <w:suppressAutoHyphens/>
        <w:ind w:right="-1350"/>
        <w:jc w:val="both"/>
        <w:rPr>
          <w:sz w:val="22"/>
          <w:szCs w:val="22"/>
          <w:lang w:val="pt-BR"/>
        </w:rPr>
      </w:pPr>
      <w:r w:rsidRPr="007A444D">
        <w:rPr>
          <w:caps/>
          <w:sz w:val="22"/>
          <w:szCs w:val="22"/>
          <w:lang w:val="pt-BR"/>
        </w:rPr>
        <w:t>Convenção Interamericana contra</w:t>
      </w:r>
      <w:r w:rsidRPr="007A444D">
        <w:rPr>
          <w:sz w:val="22"/>
          <w:szCs w:val="22"/>
          <w:lang w:val="pt-BR"/>
        </w:rPr>
        <w:tab/>
        <w:t>OEA/Ser.L/XXII.2.20</w:t>
      </w:r>
    </w:p>
    <w:p w14:paraId="68E675E1" w14:textId="123E692F" w:rsidR="007A444D" w:rsidRPr="007A444D" w:rsidRDefault="007A444D" w:rsidP="007A444D">
      <w:pPr>
        <w:tabs>
          <w:tab w:val="left" w:pos="6840"/>
        </w:tabs>
        <w:suppressAutoHyphens/>
        <w:ind w:right="-1350"/>
        <w:jc w:val="both"/>
        <w:rPr>
          <w:sz w:val="22"/>
          <w:szCs w:val="22"/>
          <w:lang w:val="pt-BR"/>
        </w:rPr>
      </w:pPr>
      <w:r w:rsidRPr="007A444D">
        <w:rPr>
          <w:caps/>
          <w:sz w:val="22"/>
          <w:szCs w:val="22"/>
          <w:lang w:val="pt-BR"/>
        </w:rPr>
        <w:t>a Fabricação e o Tráfico Ilícitos</w:t>
      </w:r>
      <w:r w:rsidRPr="007A444D">
        <w:rPr>
          <w:caps/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>CIFTA/CC-XX/doc</w:t>
      </w:r>
      <w:r w:rsidRPr="007A444D">
        <w:rPr>
          <w:sz w:val="22"/>
          <w:szCs w:val="22"/>
          <w:lang w:val="pt-BR"/>
        </w:rPr>
        <w:t>.</w:t>
      </w:r>
      <w:r>
        <w:rPr>
          <w:sz w:val="22"/>
          <w:szCs w:val="22"/>
          <w:lang w:val="pt-BR"/>
        </w:rPr>
        <w:t>11</w:t>
      </w:r>
      <w:r w:rsidRPr="007A444D">
        <w:rPr>
          <w:sz w:val="22"/>
          <w:szCs w:val="22"/>
          <w:lang w:val="pt-BR"/>
        </w:rPr>
        <w:t>/2</w:t>
      </w:r>
      <w:r>
        <w:rPr>
          <w:sz w:val="22"/>
          <w:szCs w:val="22"/>
          <w:lang w:val="pt-BR"/>
        </w:rPr>
        <w:t>1</w:t>
      </w:r>
      <w:r w:rsidRPr="007A444D">
        <w:rPr>
          <w:sz w:val="22"/>
          <w:szCs w:val="22"/>
          <w:lang w:val="pt-BR"/>
        </w:rPr>
        <w:t xml:space="preserve"> </w:t>
      </w:r>
    </w:p>
    <w:p w14:paraId="6C4518F2" w14:textId="5D5A8702" w:rsidR="007A444D" w:rsidRPr="007A444D" w:rsidRDefault="007A444D" w:rsidP="007A444D">
      <w:pPr>
        <w:tabs>
          <w:tab w:val="left" w:pos="6840"/>
        </w:tabs>
        <w:suppressAutoHyphens/>
        <w:ind w:right="-1350"/>
        <w:jc w:val="both"/>
        <w:rPr>
          <w:sz w:val="22"/>
          <w:szCs w:val="22"/>
          <w:lang w:val="pt-BR"/>
        </w:rPr>
      </w:pPr>
      <w:r w:rsidRPr="007A444D">
        <w:rPr>
          <w:caps/>
          <w:sz w:val="22"/>
          <w:szCs w:val="22"/>
          <w:lang w:val="pt-BR"/>
        </w:rPr>
        <w:t>de Armas de Fogo, Munições, Explosivos</w:t>
      </w:r>
      <w:r w:rsidRPr="007A444D"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>28</w:t>
      </w:r>
      <w:r w:rsidRPr="007A444D">
        <w:rPr>
          <w:sz w:val="22"/>
          <w:szCs w:val="22"/>
          <w:lang w:val="pt-BR"/>
        </w:rPr>
        <w:t xml:space="preserve"> janeiro 2021</w:t>
      </w:r>
    </w:p>
    <w:p w14:paraId="31DADE72" w14:textId="77777777" w:rsidR="007A444D" w:rsidRPr="007A444D" w:rsidRDefault="007A444D" w:rsidP="007A444D">
      <w:pPr>
        <w:tabs>
          <w:tab w:val="left" w:pos="6840"/>
        </w:tabs>
        <w:ind w:right="-1350"/>
        <w:jc w:val="both"/>
        <w:rPr>
          <w:sz w:val="22"/>
          <w:szCs w:val="22"/>
          <w:lang w:val="pt-BR"/>
        </w:rPr>
      </w:pPr>
      <w:r w:rsidRPr="007A444D">
        <w:rPr>
          <w:sz w:val="22"/>
          <w:szCs w:val="22"/>
          <w:lang w:val="pt-BR"/>
        </w:rPr>
        <w:t xml:space="preserve">E OUTROS MATERIAIS CORRELATOS (CIFTA) </w:t>
      </w:r>
      <w:r w:rsidRPr="007A444D">
        <w:rPr>
          <w:sz w:val="22"/>
          <w:szCs w:val="22"/>
          <w:lang w:val="pt-BR"/>
        </w:rPr>
        <w:tab/>
        <w:t>Original: espanhol</w:t>
      </w:r>
    </w:p>
    <w:p w14:paraId="34948FDC" w14:textId="77777777" w:rsidR="007A444D" w:rsidRPr="007A444D" w:rsidRDefault="007A444D" w:rsidP="007A444D">
      <w:pPr>
        <w:pStyle w:val="Heading3"/>
        <w:tabs>
          <w:tab w:val="left" w:pos="6300"/>
        </w:tabs>
        <w:spacing w:before="0" w:after="0"/>
        <w:rPr>
          <w:rFonts w:ascii="Times New Roman" w:hAnsi="Times New Roman" w:cs="Times New Roman"/>
          <w:b w:val="0"/>
          <w:sz w:val="22"/>
          <w:szCs w:val="22"/>
          <w:u w:val="single"/>
          <w:lang w:val="pt-BR"/>
        </w:rPr>
      </w:pPr>
      <w:r w:rsidRPr="007A444D">
        <w:rPr>
          <w:rFonts w:ascii="Times New Roman" w:hAnsi="Times New Roman" w:cs="Times New Roman"/>
          <w:b w:val="0"/>
          <w:sz w:val="22"/>
          <w:szCs w:val="22"/>
          <w:u w:val="single"/>
          <w:lang w:val="pt-BR"/>
        </w:rPr>
        <w:t>Comissão Consultiva</w:t>
      </w:r>
    </w:p>
    <w:p w14:paraId="425FB999" w14:textId="77777777" w:rsidR="007A444D" w:rsidRPr="007A444D" w:rsidRDefault="007A444D" w:rsidP="007A444D">
      <w:pPr>
        <w:tabs>
          <w:tab w:val="left" w:pos="6300"/>
        </w:tabs>
        <w:suppressAutoHyphens/>
        <w:jc w:val="both"/>
        <w:rPr>
          <w:sz w:val="22"/>
          <w:szCs w:val="22"/>
          <w:lang w:val="pt-BR"/>
        </w:rPr>
      </w:pPr>
      <w:r w:rsidRPr="007A444D">
        <w:rPr>
          <w:sz w:val="22"/>
          <w:szCs w:val="22"/>
          <w:u w:val="single"/>
          <w:lang w:val="pt-BR"/>
        </w:rPr>
        <w:t>Vigésima Reunião Ordinária</w:t>
      </w:r>
    </w:p>
    <w:p w14:paraId="6D5FF1C7" w14:textId="77777777" w:rsidR="007A444D" w:rsidRPr="007A444D" w:rsidRDefault="007A444D" w:rsidP="007A444D">
      <w:pPr>
        <w:tabs>
          <w:tab w:val="left" w:pos="6300"/>
        </w:tabs>
        <w:suppressAutoHyphens/>
        <w:jc w:val="both"/>
        <w:rPr>
          <w:sz w:val="22"/>
          <w:szCs w:val="22"/>
          <w:lang w:val="pt-BR"/>
        </w:rPr>
      </w:pPr>
      <w:r w:rsidRPr="007A444D">
        <w:rPr>
          <w:sz w:val="22"/>
          <w:szCs w:val="22"/>
          <w:lang w:val="pt-BR"/>
        </w:rPr>
        <w:t>17 de dezembro de 2020</w:t>
      </w:r>
    </w:p>
    <w:p w14:paraId="14CB5F46" w14:textId="77777777" w:rsidR="007A444D" w:rsidRPr="007A444D" w:rsidRDefault="007A444D" w:rsidP="007A444D">
      <w:pPr>
        <w:tabs>
          <w:tab w:val="left" w:pos="6300"/>
        </w:tabs>
        <w:suppressAutoHyphens/>
        <w:jc w:val="both"/>
        <w:rPr>
          <w:sz w:val="22"/>
          <w:szCs w:val="22"/>
          <w:lang w:val="pt-BR"/>
        </w:rPr>
      </w:pPr>
      <w:r w:rsidRPr="007A444D">
        <w:rPr>
          <w:sz w:val="22"/>
          <w:szCs w:val="22"/>
          <w:lang w:val="pt-BR"/>
        </w:rPr>
        <w:t>Washington, D.C.</w:t>
      </w:r>
    </w:p>
    <w:p w14:paraId="5912BD32" w14:textId="77777777" w:rsidR="007A444D" w:rsidRPr="007A444D" w:rsidRDefault="007A444D" w:rsidP="007A444D">
      <w:pPr>
        <w:pStyle w:val="BodyText"/>
        <w:jc w:val="left"/>
        <w:rPr>
          <w:b w:val="0"/>
          <w:sz w:val="22"/>
          <w:szCs w:val="22"/>
          <w:lang w:val="pt-BR"/>
        </w:rPr>
      </w:pPr>
    </w:p>
    <w:p w14:paraId="3EF10CEB" w14:textId="77777777" w:rsidR="007A444D" w:rsidRPr="007A444D" w:rsidRDefault="007A444D" w:rsidP="007A444D">
      <w:pPr>
        <w:tabs>
          <w:tab w:val="left" w:pos="720"/>
          <w:tab w:val="left" w:pos="6840"/>
        </w:tabs>
        <w:rPr>
          <w:sz w:val="22"/>
          <w:szCs w:val="22"/>
          <w:lang w:val="pt-BR"/>
        </w:rPr>
      </w:pPr>
    </w:p>
    <w:p w14:paraId="40896079" w14:textId="77777777" w:rsidR="007A444D" w:rsidRPr="007A444D" w:rsidRDefault="007A444D" w:rsidP="007A444D">
      <w:pPr>
        <w:tabs>
          <w:tab w:val="left" w:pos="720"/>
          <w:tab w:val="left" w:pos="6840"/>
        </w:tabs>
        <w:rPr>
          <w:sz w:val="22"/>
          <w:szCs w:val="22"/>
          <w:lang w:val="pt-BR"/>
        </w:rPr>
      </w:pPr>
    </w:p>
    <w:p w14:paraId="7146D846" w14:textId="77777777" w:rsidR="007A444D" w:rsidRPr="007A444D" w:rsidRDefault="007A444D" w:rsidP="007A444D">
      <w:pPr>
        <w:tabs>
          <w:tab w:val="left" w:pos="720"/>
          <w:tab w:val="left" w:pos="6840"/>
        </w:tabs>
        <w:jc w:val="center"/>
        <w:rPr>
          <w:sz w:val="22"/>
          <w:szCs w:val="22"/>
          <w:lang w:val="pt-BR"/>
        </w:rPr>
      </w:pPr>
      <w:r w:rsidRPr="007A444D">
        <w:rPr>
          <w:sz w:val="22"/>
          <w:szCs w:val="22"/>
          <w:lang w:val="pt-BR"/>
        </w:rPr>
        <w:t xml:space="preserve">RELATÓRIO DA SECRETARIA </w:t>
      </w:r>
      <w:r w:rsidRPr="007A444D">
        <w:rPr>
          <w:i/>
          <w:iCs/>
          <w:sz w:val="22"/>
          <w:szCs w:val="22"/>
          <w:lang w:val="pt-BR"/>
        </w:rPr>
        <w:t>PRO TEMPORE</w:t>
      </w:r>
      <w:r w:rsidRPr="007A444D">
        <w:rPr>
          <w:sz w:val="22"/>
          <w:szCs w:val="22"/>
          <w:lang w:val="pt-BR"/>
        </w:rPr>
        <w:t xml:space="preserve"> DA COMISSÃO CONSULTIVA DA CIFTA SOBRE AS ATIVIDADES DESENVOLVIDAS NO PERÍODO 2019–2020</w:t>
      </w:r>
    </w:p>
    <w:p w14:paraId="45E3D8DC" w14:textId="77777777" w:rsidR="007A444D" w:rsidRPr="007A444D" w:rsidRDefault="007A444D" w:rsidP="007A444D">
      <w:pPr>
        <w:tabs>
          <w:tab w:val="left" w:pos="720"/>
          <w:tab w:val="left" w:pos="6840"/>
        </w:tabs>
        <w:rPr>
          <w:sz w:val="22"/>
          <w:szCs w:val="22"/>
          <w:lang w:val="pt-BR"/>
        </w:rPr>
      </w:pPr>
    </w:p>
    <w:p w14:paraId="51034B42" w14:textId="77777777" w:rsidR="007A444D" w:rsidRPr="007A444D" w:rsidRDefault="007A444D" w:rsidP="007A444D">
      <w:pPr>
        <w:pStyle w:val="BodyText"/>
        <w:keepLines/>
        <w:tabs>
          <w:tab w:val="left" w:pos="720"/>
          <w:tab w:val="left" w:pos="6840"/>
        </w:tabs>
        <w:jc w:val="both"/>
        <w:rPr>
          <w:sz w:val="22"/>
          <w:szCs w:val="22"/>
          <w:lang w:val="pt-BR"/>
        </w:rPr>
      </w:pPr>
    </w:p>
    <w:p w14:paraId="066B0CEE" w14:textId="77777777" w:rsidR="007A444D" w:rsidRPr="007A444D" w:rsidRDefault="007A444D" w:rsidP="007A444D">
      <w:pPr>
        <w:pStyle w:val="Heading1"/>
        <w:jc w:val="both"/>
        <w:rPr>
          <w:sz w:val="22"/>
          <w:szCs w:val="22"/>
          <w:u w:val="none"/>
          <w:lang w:val="pt-BR"/>
        </w:rPr>
      </w:pPr>
      <w:r w:rsidRPr="007A444D">
        <w:rPr>
          <w:sz w:val="22"/>
          <w:szCs w:val="22"/>
          <w:u w:val="none"/>
          <w:lang w:val="pt-BR"/>
        </w:rPr>
        <w:tab/>
        <w:t xml:space="preserve">A Secretaria </w:t>
      </w:r>
      <w:r w:rsidRPr="007A444D">
        <w:rPr>
          <w:i/>
          <w:sz w:val="22"/>
          <w:szCs w:val="22"/>
          <w:u w:val="none"/>
          <w:lang w:val="pt-BR"/>
        </w:rPr>
        <w:t>Pro Tempore</w:t>
      </w:r>
      <w:r w:rsidRPr="007A444D">
        <w:rPr>
          <w:sz w:val="22"/>
          <w:szCs w:val="22"/>
          <w:u w:val="none"/>
          <w:lang w:val="pt-BR"/>
        </w:rPr>
        <w:t xml:space="preserve"> da Comissão Consultiva da Convenção Interamericana contra a Fabricação e o Tráfico Ilícitos de Armas de Fogo, Munições, Explosivos e Outros Materiais Correlatos (CIFTA) tem a honra de apresentar o relatório das atividades realizadas </w:t>
      </w:r>
      <w:r w:rsidRPr="007A444D">
        <w:rPr>
          <w:rStyle w:val="PageNumber1"/>
          <w:sz w:val="22"/>
          <w:szCs w:val="22"/>
          <w:u w:val="none"/>
          <w:lang w:val="pt-BR"/>
        </w:rPr>
        <w:t>desde sua eleição em 5 de abril de 2019</w:t>
      </w:r>
      <w:r w:rsidRPr="007A444D">
        <w:rPr>
          <w:sz w:val="22"/>
          <w:szCs w:val="22"/>
          <w:u w:val="none"/>
          <w:lang w:val="pt-BR"/>
        </w:rPr>
        <w:t xml:space="preserve">, </w:t>
      </w:r>
      <w:r w:rsidRPr="007A444D">
        <w:rPr>
          <w:rStyle w:val="PageNumber1"/>
          <w:sz w:val="22"/>
          <w:szCs w:val="22"/>
          <w:u w:val="none"/>
          <w:lang w:val="pt-BR"/>
        </w:rPr>
        <w:t>na Décima Nona Reunião Ordinária da Comissão Consultiva da CIFTA</w:t>
      </w:r>
      <w:r w:rsidRPr="007A444D">
        <w:rPr>
          <w:sz w:val="22"/>
          <w:szCs w:val="22"/>
          <w:u w:val="none"/>
          <w:lang w:val="pt-BR"/>
        </w:rPr>
        <w:t>, em conformidade com o artigo 5</w:t>
      </w:r>
      <w:r w:rsidRPr="007A444D">
        <w:rPr>
          <w:sz w:val="22"/>
          <w:szCs w:val="22"/>
          <w:u w:val="none"/>
          <w:vertAlign w:val="superscript"/>
          <w:lang w:val="pt-BR"/>
        </w:rPr>
        <w:t>o</w:t>
      </w:r>
      <w:r w:rsidRPr="007A444D">
        <w:rPr>
          <w:sz w:val="22"/>
          <w:szCs w:val="22"/>
          <w:u w:val="none"/>
          <w:lang w:val="pt-BR"/>
        </w:rPr>
        <w:t xml:space="preserve"> do Regulamento Interno da Comissão Consultiva, tomando como referência o “Curso de Ação 2018–2022 para o Funcionamento e a Aplicação da CIFTA”, bem como as decisões e mandatos adotados pelos Ministros das Relações Exteriores do Hemisfério, constantes da </w:t>
      </w:r>
      <w:bookmarkStart w:id="0" w:name="_Toc398801941"/>
      <w:bookmarkStart w:id="1" w:name="_Toc366684259"/>
      <w:r w:rsidRPr="007A444D">
        <w:rPr>
          <w:sz w:val="22"/>
          <w:szCs w:val="22"/>
          <w:u w:val="none"/>
          <w:lang w:val="pt-BR"/>
        </w:rPr>
        <w:t>resolução AG/RES. 2950 (L-O/20)</w:t>
      </w:r>
      <w:bookmarkEnd w:id="0"/>
      <w:r w:rsidRPr="007A444D">
        <w:rPr>
          <w:sz w:val="22"/>
          <w:szCs w:val="22"/>
          <w:u w:val="none"/>
          <w:lang w:val="pt-BR"/>
        </w:rPr>
        <w:t>, “Promoção da segurança hemisférica: Um enfoque multidimensional</w:t>
      </w:r>
      <w:bookmarkEnd w:id="1"/>
      <w:r w:rsidRPr="007A444D">
        <w:rPr>
          <w:sz w:val="22"/>
          <w:szCs w:val="22"/>
          <w:u w:val="none"/>
          <w:lang w:val="pt-BR"/>
        </w:rPr>
        <w:t xml:space="preserve">”. </w:t>
      </w:r>
    </w:p>
    <w:p w14:paraId="53DBB3CB" w14:textId="77777777" w:rsidR="007A444D" w:rsidRPr="007A444D" w:rsidRDefault="007A444D" w:rsidP="007A444D">
      <w:pPr>
        <w:tabs>
          <w:tab w:val="left" w:pos="720"/>
          <w:tab w:val="left" w:pos="6840"/>
        </w:tabs>
        <w:jc w:val="both"/>
        <w:rPr>
          <w:sz w:val="22"/>
          <w:szCs w:val="22"/>
          <w:lang w:val="pt-BR"/>
        </w:rPr>
      </w:pPr>
    </w:p>
    <w:p w14:paraId="2E8D4877" w14:textId="77777777" w:rsidR="007A444D" w:rsidRPr="007A444D" w:rsidRDefault="007A444D" w:rsidP="007A444D">
      <w:pPr>
        <w:tabs>
          <w:tab w:val="left" w:pos="720"/>
          <w:tab w:val="left" w:pos="6840"/>
        </w:tabs>
        <w:jc w:val="both"/>
        <w:rPr>
          <w:b/>
          <w:bCs/>
          <w:sz w:val="22"/>
          <w:szCs w:val="22"/>
          <w:lang w:val="pt-BR"/>
        </w:rPr>
      </w:pPr>
      <w:r w:rsidRPr="007A444D">
        <w:rPr>
          <w:b/>
          <w:sz w:val="22"/>
          <w:szCs w:val="22"/>
          <w:lang w:val="pt-BR"/>
        </w:rPr>
        <w:t xml:space="preserve">Situação de assinaturas e ratificações da Convenção CIFTA </w:t>
      </w:r>
    </w:p>
    <w:p w14:paraId="7D21CF46" w14:textId="77777777" w:rsidR="007A444D" w:rsidRPr="007A444D" w:rsidRDefault="007A444D" w:rsidP="007A444D">
      <w:pPr>
        <w:tabs>
          <w:tab w:val="left" w:pos="720"/>
          <w:tab w:val="left" w:pos="6840"/>
        </w:tabs>
        <w:jc w:val="both"/>
        <w:rPr>
          <w:sz w:val="22"/>
          <w:szCs w:val="22"/>
          <w:u w:val="single"/>
          <w:lang w:val="pt-BR"/>
        </w:rPr>
      </w:pPr>
    </w:p>
    <w:p w14:paraId="1519ACAA" w14:textId="77777777" w:rsidR="007A444D" w:rsidRPr="007A444D" w:rsidRDefault="007A444D" w:rsidP="007A444D">
      <w:pPr>
        <w:ind w:firstLine="720"/>
        <w:jc w:val="both"/>
        <w:rPr>
          <w:rStyle w:val="PageNumber1"/>
          <w:lang w:val="pt-BR"/>
        </w:rPr>
      </w:pPr>
      <w:r w:rsidRPr="007A444D">
        <w:rPr>
          <w:rStyle w:val="PageNumber1"/>
          <w:sz w:val="22"/>
          <w:szCs w:val="22"/>
          <w:lang w:val="pt-BR"/>
        </w:rPr>
        <w:t>Até esta data, são 31 os Estados que ratificaram a Convenção Interamericana contra a Fabricação e o Tráfico Ilícitos de Armas de Fogo, Munições, Explosivos e Outros Materiais Correlatos, ou a ela aderiram.</w:t>
      </w:r>
    </w:p>
    <w:p w14:paraId="1501AF88" w14:textId="77777777" w:rsidR="007A444D" w:rsidRPr="007A444D" w:rsidRDefault="007A444D" w:rsidP="007A444D">
      <w:pPr>
        <w:tabs>
          <w:tab w:val="left" w:pos="720"/>
          <w:tab w:val="left" w:pos="6840"/>
        </w:tabs>
        <w:jc w:val="both"/>
        <w:rPr>
          <w:lang w:val="pt-BR"/>
        </w:rPr>
      </w:pPr>
    </w:p>
    <w:p w14:paraId="7CB7A99A" w14:textId="77777777" w:rsidR="007A444D" w:rsidRPr="007A444D" w:rsidRDefault="007A444D" w:rsidP="007A444D">
      <w:pPr>
        <w:tabs>
          <w:tab w:val="left" w:pos="720"/>
          <w:tab w:val="left" w:pos="6840"/>
        </w:tabs>
        <w:ind w:firstLine="720"/>
        <w:jc w:val="both"/>
        <w:rPr>
          <w:rStyle w:val="PageNumber1"/>
          <w:lang w:val="pt-BR"/>
        </w:rPr>
      </w:pPr>
      <w:r w:rsidRPr="007A444D">
        <w:rPr>
          <w:rStyle w:val="PageNumber1"/>
          <w:sz w:val="22"/>
          <w:szCs w:val="22"/>
          <w:lang w:val="pt-BR"/>
        </w:rPr>
        <w:t xml:space="preserve">Em cartas dirigidas aos Representantes Permanentes junto à OEA, em 3 de dezembro de 2020, a Secretaria </w:t>
      </w:r>
      <w:r w:rsidRPr="007A444D">
        <w:rPr>
          <w:rStyle w:val="PageNumber1"/>
          <w:i/>
          <w:sz w:val="22"/>
          <w:szCs w:val="22"/>
          <w:lang w:val="pt-BR"/>
        </w:rPr>
        <w:t>Pro Tempore</w:t>
      </w:r>
      <w:r w:rsidRPr="007A444D">
        <w:rPr>
          <w:rStyle w:val="PageNumber1"/>
          <w:sz w:val="22"/>
          <w:szCs w:val="22"/>
          <w:lang w:val="pt-BR"/>
        </w:rPr>
        <w:t xml:space="preserve"> realizou gestões para instar os Estados signatários que ainda não ratificaram a Convenção — Canadá, Jamaica e Estados Unidos — a considerarem sua ratificação o mais rápido possível. Foi-lhes também solicitado que informassem sobre as medidas tomadas pelos seus Governos nesse sentido.</w:t>
      </w:r>
    </w:p>
    <w:p w14:paraId="2CF277CD" w14:textId="77777777" w:rsidR="007A444D" w:rsidRPr="007A444D" w:rsidRDefault="007A444D" w:rsidP="007A444D">
      <w:pPr>
        <w:tabs>
          <w:tab w:val="left" w:pos="720"/>
          <w:tab w:val="left" w:pos="6840"/>
        </w:tabs>
        <w:jc w:val="both"/>
        <w:rPr>
          <w:b/>
          <w:bCs/>
          <w:lang w:val="pt-BR"/>
        </w:rPr>
      </w:pPr>
    </w:p>
    <w:p w14:paraId="6CEABAE0" w14:textId="77777777" w:rsidR="007A444D" w:rsidRPr="007A444D" w:rsidRDefault="007A444D" w:rsidP="007A444D">
      <w:pPr>
        <w:tabs>
          <w:tab w:val="left" w:pos="720"/>
          <w:tab w:val="left" w:pos="6840"/>
        </w:tabs>
        <w:jc w:val="both"/>
        <w:rPr>
          <w:rStyle w:val="PageNumber1"/>
          <w:lang w:val="pt-BR"/>
        </w:rPr>
      </w:pPr>
      <w:r w:rsidRPr="007A444D">
        <w:rPr>
          <w:rStyle w:val="PageNumber1"/>
          <w:b/>
          <w:sz w:val="22"/>
          <w:szCs w:val="22"/>
          <w:lang w:val="pt-BR"/>
        </w:rPr>
        <w:t>Questionário sobre o nível de implementação e a efetividade da CIFTA</w:t>
      </w:r>
    </w:p>
    <w:p w14:paraId="0410278D" w14:textId="77777777" w:rsidR="007A444D" w:rsidRPr="007A444D" w:rsidRDefault="007A444D" w:rsidP="007A444D">
      <w:pPr>
        <w:tabs>
          <w:tab w:val="left" w:pos="720"/>
        </w:tabs>
        <w:jc w:val="both"/>
        <w:rPr>
          <w:lang w:val="pt-BR"/>
        </w:rPr>
      </w:pPr>
    </w:p>
    <w:p w14:paraId="7ACA0F94" w14:textId="77777777" w:rsidR="007A444D" w:rsidRPr="007A444D" w:rsidRDefault="007A444D" w:rsidP="007A444D">
      <w:pPr>
        <w:tabs>
          <w:tab w:val="left" w:pos="720"/>
        </w:tabs>
        <w:jc w:val="both"/>
        <w:rPr>
          <w:rStyle w:val="PageNumber1"/>
          <w:lang w:val="pt-BR"/>
        </w:rPr>
      </w:pPr>
      <w:r w:rsidRPr="007A444D">
        <w:rPr>
          <w:rStyle w:val="PageNumber1"/>
          <w:sz w:val="22"/>
          <w:szCs w:val="22"/>
          <w:lang w:val="pt-BR"/>
        </w:rPr>
        <w:tab/>
        <w:t xml:space="preserve">Como pano de fundo, convém recordar que, a fim de conhecer a situação atual dos Estados Partes e Não Partes na Convenção em relação à sua aplicação, o “Questionário sobre a Implementação e Eficácia da CIFTA” lhes é enviado desde 2011. Essa solicitação de informações tem sido reiterada anualmente a todos os Estados membros da Organização dos Estados Americanos. </w:t>
      </w:r>
    </w:p>
    <w:p w14:paraId="34C4AC48" w14:textId="77777777" w:rsidR="007A444D" w:rsidRPr="007A444D" w:rsidRDefault="007A444D" w:rsidP="007A444D">
      <w:pPr>
        <w:tabs>
          <w:tab w:val="left" w:pos="720"/>
        </w:tabs>
        <w:jc w:val="both"/>
        <w:rPr>
          <w:lang w:val="pt-BR"/>
        </w:rPr>
      </w:pPr>
    </w:p>
    <w:p w14:paraId="78122862" w14:textId="77777777" w:rsidR="007A444D" w:rsidRPr="007A444D" w:rsidRDefault="007A444D" w:rsidP="007A444D">
      <w:pPr>
        <w:tabs>
          <w:tab w:val="left" w:pos="720"/>
        </w:tabs>
        <w:jc w:val="both"/>
        <w:rPr>
          <w:rStyle w:val="PageNumber1"/>
          <w:lang w:val="pt-BR"/>
        </w:rPr>
      </w:pPr>
      <w:r w:rsidRPr="007A444D">
        <w:rPr>
          <w:rStyle w:val="PageNumber1"/>
          <w:sz w:val="22"/>
          <w:szCs w:val="22"/>
          <w:lang w:val="pt-BR"/>
        </w:rPr>
        <w:tab/>
        <w:t xml:space="preserve">No período 2019–2020, receberam-se cinco questionários atualizados por Chile, Costa Rica, México, Panamá e Peru. A Secretaria Técnica exortou os Estados membros que ainda não o fizeram a que enviem os seus questionários devidamente atualizados. </w:t>
      </w:r>
    </w:p>
    <w:p w14:paraId="6BA43CD2" w14:textId="77777777" w:rsidR="007A444D" w:rsidRPr="007A444D" w:rsidRDefault="007A444D" w:rsidP="007A444D">
      <w:pPr>
        <w:tabs>
          <w:tab w:val="left" w:pos="720"/>
          <w:tab w:val="left" w:pos="6840"/>
        </w:tabs>
        <w:jc w:val="both"/>
        <w:rPr>
          <w:rStyle w:val="PageNumber1"/>
          <w:b/>
          <w:bCs/>
          <w:sz w:val="22"/>
          <w:szCs w:val="22"/>
          <w:lang w:val="pt-BR"/>
        </w:rPr>
      </w:pPr>
    </w:p>
    <w:p w14:paraId="16BE42FF" w14:textId="77777777" w:rsidR="007A444D" w:rsidRPr="007A444D" w:rsidRDefault="007A444D" w:rsidP="007A444D">
      <w:pPr>
        <w:tabs>
          <w:tab w:val="left" w:pos="720"/>
          <w:tab w:val="left" w:pos="6840"/>
        </w:tabs>
        <w:jc w:val="both"/>
        <w:rPr>
          <w:rStyle w:val="PageNumber1"/>
          <w:b/>
          <w:sz w:val="22"/>
          <w:szCs w:val="22"/>
          <w:lang w:val="pt-BR"/>
        </w:rPr>
      </w:pPr>
      <w:r w:rsidRPr="007A444D">
        <w:rPr>
          <w:rStyle w:val="PageNumber1"/>
          <w:b/>
          <w:sz w:val="22"/>
          <w:szCs w:val="22"/>
          <w:lang w:val="pt-BR"/>
        </w:rPr>
        <w:br w:type="page"/>
      </w:r>
    </w:p>
    <w:p w14:paraId="1C1CEA1C" w14:textId="77777777" w:rsidR="007A444D" w:rsidRPr="007A444D" w:rsidRDefault="007A444D" w:rsidP="007A444D">
      <w:pPr>
        <w:tabs>
          <w:tab w:val="left" w:pos="720"/>
          <w:tab w:val="left" w:pos="6840"/>
        </w:tabs>
        <w:jc w:val="both"/>
        <w:rPr>
          <w:rStyle w:val="PageNumber1"/>
          <w:b/>
          <w:bCs/>
          <w:sz w:val="22"/>
          <w:szCs w:val="22"/>
          <w:lang w:val="pt-BR"/>
        </w:rPr>
      </w:pPr>
      <w:r w:rsidRPr="007A444D">
        <w:rPr>
          <w:rStyle w:val="PageNumber1"/>
          <w:b/>
          <w:sz w:val="22"/>
          <w:szCs w:val="22"/>
          <w:lang w:val="pt-BR"/>
        </w:rPr>
        <w:lastRenderedPageBreak/>
        <w:t>Cooperação e coordenação regional e internacional</w:t>
      </w:r>
    </w:p>
    <w:p w14:paraId="1C4DF3DD" w14:textId="77777777" w:rsidR="007A444D" w:rsidRPr="007A444D" w:rsidRDefault="007A444D" w:rsidP="007A444D">
      <w:pPr>
        <w:tabs>
          <w:tab w:val="left" w:pos="720"/>
        </w:tabs>
        <w:jc w:val="both"/>
        <w:rPr>
          <w:rStyle w:val="PageNumber1"/>
          <w:sz w:val="22"/>
          <w:szCs w:val="22"/>
          <w:lang w:val="pt-BR"/>
        </w:rPr>
      </w:pPr>
    </w:p>
    <w:p w14:paraId="759127E5" w14:textId="77777777" w:rsidR="007A444D" w:rsidRPr="007A444D" w:rsidRDefault="007A444D" w:rsidP="007A444D">
      <w:pPr>
        <w:tabs>
          <w:tab w:val="left" w:pos="720"/>
        </w:tabs>
        <w:jc w:val="both"/>
        <w:rPr>
          <w:rStyle w:val="PageNumber1"/>
          <w:sz w:val="22"/>
          <w:szCs w:val="22"/>
          <w:lang w:val="pt-BR"/>
        </w:rPr>
      </w:pPr>
      <w:r w:rsidRPr="007A444D">
        <w:rPr>
          <w:rStyle w:val="PageNumber1"/>
          <w:sz w:val="22"/>
          <w:szCs w:val="22"/>
          <w:lang w:val="pt-BR"/>
        </w:rPr>
        <w:tab/>
        <w:t xml:space="preserve">Guiado pelo mandato constante do parágrafo 92 da resolução AG/RES. 2907, de 2017, de promover e fortalecer as sinergias entre os Estados membros da OEA e outros organismos e mecanismos internacionais e regionais que tratam do tema do tráfico ilícito de armas de fogo, o México, na qualidade Secretaria </w:t>
      </w:r>
      <w:r w:rsidRPr="007A444D">
        <w:rPr>
          <w:rStyle w:val="PageNumber1"/>
          <w:i/>
          <w:iCs/>
          <w:sz w:val="22"/>
          <w:szCs w:val="22"/>
          <w:lang w:val="pt-BR"/>
        </w:rPr>
        <w:t>Pro Tempore</w:t>
      </w:r>
      <w:r w:rsidRPr="007A444D">
        <w:rPr>
          <w:rStyle w:val="PageNumber1"/>
          <w:sz w:val="22"/>
          <w:szCs w:val="22"/>
          <w:lang w:val="pt-BR"/>
        </w:rPr>
        <w:t>, foi sede de duas edições sucessivas</w:t>
      </w:r>
      <w:r>
        <w:rPr>
          <w:rStyle w:val="PageNumber1"/>
          <w:sz w:val="22"/>
          <w:szCs w:val="22"/>
          <w:u w:val="single"/>
          <w:vertAlign w:val="superscript"/>
        </w:rPr>
        <w:footnoteReference w:id="1"/>
      </w:r>
      <w:r w:rsidRPr="007A444D">
        <w:rPr>
          <w:rStyle w:val="PageNumber1"/>
          <w:sz w:val="22"/>
          <w:szCs w:val="22"/>
          <w:vertAlign w:val="superscript"/>
          <w:lang w:val="pt-BR"/>
        </w:rPr>
        <w:t>/</w:t>
      </w:r>
      <w:r w:rsidRPr="007A444D">
        <w:rPr>
          <w:rStyle w:val="PageNumber1"/>
          <w:sz w:val="22"/>
          <w:szCs w:val="22"/>
          <w:lang w:val="pt-BR"/>
        </w:rPr>
        <w:t xml:space="preserve"> da reunião “Fortalecimento da cooperação regional na América para prevenir e combater o tráfico ilícito de armas de fogo e crimes correlatos”, organizada conjuntamente com o Programa Global de Armas de Fogo do Escritório das Nações Unidas contra Drogas e Crime. </w:t>
      </w:r>
    </w:p>
    <w:p w14:paraId="5CB46863" w14:textId="77777777" w:rsidR="007A444D" w:rsidRPr="007A444D" w:rsidRDefault="007A444D" w:rsidP="007A444D">
      <w:pPr>
        <w:tabs>
          <w:tab w:val="left" w:pos="720"/>
        </w:tabs>
        <w:jc w:val="both"/>
        <w:rPr>
          <w:rStyle w:val="PageNumber1"/>
          <w:sz w:val="22"/>
          <w:szCs w:val="22"/>
          <w:lang w:val="pt-BR"/>
        </w:rPr>
      </w:pPr>
    </w:p>
    <w:p w14:paraId="101582E6" w14:textId="77777777" w:rsidR="007A444D" w:rsidRPr="007A444D" w:rsidRDefault="007A444D" w:rsidP="007A444D">
      <w:pPr>
        <w:tabs>
          <w:tab w:val="left" w:pos="720"/>
        </w:tabs>
        <w:jc w:val="both"/>
        <w:rPr>
          <w:rStyle w:val="PageNumber1"/>
          <w:sz w:val="22"/>
          <w:szCs w:val="22"/>
          <w:lang w:val="pt-BR"/>
        </w:rPr>
      </w:pPr>
      <w:r w:rsidRPr="007A444D">
        <w:rPr>
          <w:rStyle w:val="PageNumber1"/>
          <w:sz w:val="22"/>
          <w:szCs w:val="22"/>
          <w:lang w:val="pt-BR"/>
        </w:rPr>
        <w:t>Entre as conclusões que emergiram de ambas as edições, destacam-se as seguintes:</w:t>
      </w:r>
    </w:p>
    <w:p w14:paraId="244B585F" w14:textId="77777777" w:rsidR="007A444D" w:rsidRPr="007A444D" w:rsidRDefault="007A444D" w:rsidP="007A444D">
      <w:pPr>
        <w:tabs>
          <w:tab w:val="left" w:pos="720"/>
        </w:tabs>
        <w:jc w:val="both"/>
        <w:rPr>
          <w:rStyle w:val="PageNumber1"/>
          <w:sz w:val="22"/>
          <w:szCs w:val="22"/>
          <w:lang w:val="pt-BR"/>
        </w:rPr>
      </w:pPr>
    </w:p>
    <w:p w14:paraId="7989EB6E" w14:textId="77777777" w:rsidR="007A444D" w:rsidRPr="007A444D" w:rsidRDefault="007A444D" w:rsidP="007A444D">
      <w:pPr>
        <w:pStyle w:val="ListParagraph"/>
        <w:numPr>
          <w:ilvl w:val="0"/>
          <w:numId w:val="31"/>
        </w:numPr>
        <w:tabs>
          <w:tab w:val="left" w:pos="720"/>
        </w:tabs>
        <w:ind w:left="1440"/>
        <w:jc w:val="both"/>
        <w:rPr>
          <w:rStyle w:val="PageNumber1"/>
          <w:sz w:val="22"/>
          <w:szCs w:val="22"/>
          <w:lang w:val="pt-BR"/>
        </w:rPr>
      </w:pPr>
      <w:r w:rsidRPr="007A444D">
        <w:rPr>
          <w:rStyle w:val="PageNumber1"/>
          <w:sz w:val="22"/>
          <w:szCs w:val="22"/>
          <w:lang w:val="pt-BR"/>
        </w:rPr>
        <w:t>A maioria dos países da América são membros da Convenção de Palermo, do Protocolo contra a Fabricação e o Tráfico Ilícitos de Armas de Fogo, suas Partes e Componentes e Munições, e da CIFTA, pelo que não precisam firmar acordo adicional para cooperar, mas simplesmente estabelecer mecanismos funcionais em matéria de combate ao tráfico de armas.</w:t>
      </w:r>
    </w:p>
    <w:p w14:paraId="3B19E0A2" w14:textId="77777777" w:rsidR="007A444D" w:rsidRPr="007A444D" w:rsidRDefault="007A444D" w:rsidP="007A444D">
      <w:pPr>
        <w:pStyle w:val="ListParagraph"/>
        <w:numPr>
          <w:ilvl w:val="0"/>
          <w:numId w:val="31"/>
        </w:numPr>
        <w:tabs>
          <w:tab w:val="left" w:pos="720"/>
        </w:tabs>
        <w:ind w:left="1440"/>
        <w:jc w:val="both"/>
        <w:rPr>
          <w:rStyle w:val="PageNumber1"/>
          <w:sz w:val="22"/>
          <w:szCs w:val="22"/>
          <w:lang w:val="pt-BR"/>
        </w:rPr>
      </w:pPr>
      <w:r w:rsidRPr="007A444D">
        <w:rPr>
          <w:rStyle w:val="PageNumber1"/>
          <w:sz w:val="22"/>
          <w:szCs w:val="22"/>
          <w:lang w:val="pt-BR"/>
        </w:rPr>
        <w:t>Padronizar internacionalmente os sistemas de impressões digitais balísticas para a troca de informações, buscando alternativas mais econômicas do que as existentes.</w:t>
      </w:r>
    </w:p>
    <w:p w14:paraId="6ACB827D" w14:textId="77777777" w:rsidR="007A444D" w:rsidRPr="007A444D" w:rsidRDefault="007A444D" w:rsidP="007A444D">
      <w:pPr>
        <w:pStyle w:val="ListParagraph"/>
        <w:numPr>
          <w:ilvl w:val="0"/>
          <w:numId w:val="31"/>
        </w:numPr>
        <w:tabs>
          <w:tab w:val="left" w:pos="720"/>
        </w:tabs>
        <w:ind w:left="1440"/>
        <w:jc w:val="both"/>
        <w:rPr>
          <w:rStyle w:val="PageNumber1"/>
          <w:sz w:val="22"/>
          <w:szCs w:val="22"/>
          <w:lang w:val="pt-BR"/>
        </w:rPr>
      </w:pPr>
      <w:r w:rsidRPr="007A444D">
        <w:rPr>
          <w:rStyle w:val="PageNumber1"/>
          <w:sz w:val="22"/>
          <w:szCs w:val="22"/>
          <w:lang w:val="pt-BR"/>
        </w:rPr>
        <w:t>Reformar as legislações nacionais sobre armas de fogo, componentes e munições, uma vez que não estão atualizadas e impedem o combate ao crime de tráfico ilícito de armas.</w:t>
      </w:r>
    </w:p>
    <w:p w14:paraId="1C59D4DF" w14:textId="77777777" w:rsidR="007A444D" w:rsidRPr="007A444D" w:rsidRDefault="007A444D" w:rsidP="007A444D">
      <w:pPr>
        <w:tabs>
          <w:tab w:val="left" w:pos="720"/>
        </w:tabs>
        <w:jc w:val="both"/>
        <w:rPr>
          <w:rStyle w:val="PageNumber1"/>
          <w:sz w:val="22"/>
          <w:szCs w:val="22"/>
          <w:lang w:val="pt-BR"/>
        </w:rPr>
      </w:pPr>
    </w:p>
    <w:p w14:paraId="3D48325F" w14:textId="77777777" w:rsidR="007A444D" w:rsidRPr="007A444D" w:rsidRDefault="007A444D" w:rsidP="007A444D">
      <w:pPr>
        <w:tabs>
          <w:tab w:val="left" w:pos="720"/>
        </w:tabs>
        <w:jc w:val="both"/>
        <w:rPr>
          <w:rStyle w:val="PageNumber1"/>
          <w:sz w:val="22"/>
          <w:szCs w:val="22"/>
          <w:lang w:val="pt-BR"/>
        </w:rPr>
      </w:pPr>
      <w:r w:rsidRPr="007A444D">
        <w:rPr>
          <w:rStyle w:val="PageNumber1"/>
          <w:sz w:val="22"/>
          <w:szCs w:val="22"/>
          <w:lang w:val="pt-BR"/>
        </w:rPr>
        <w:tab/>
        <w:t xml:space="preserve">Em 16 e 17 de julho de 2020, o México presidiu o Grupo de Trabalho sobre Armas de Fogo da Convenção de Palermo. Durante sua presidência, o México promoveu a troca de informações sobre as tendências atuais do tráfico ilícito de armas de fogo. Além disso, indicou a importância de desenvolver as capacidades das unidades especializadas em nível nacional, regional e internacional para que contribuam para a resolução de casos, bem como para a coleta de dados sobre o assunto. Finalmente, encorajou a cooperação multilateral para o cumprimento da meta 16.4 dos Objetivos de Desenvolvimento Sustentável, que estabelece a redução dos fluxos ilícitos financeiros e de armas. </w:t>
      </w:r>
    </w:p>
    <w:p w14:paraId="15C14BAB" w14:textId="77777777" w:rsidR="007A444D" w:rsidRPr="007A444D" w:rsidRDefault="007A444D" w:rsidP="007A444D">
      <w:pPr>
        <w:tabs>
          <w:tab w:val="left" w:pos="720"/>
        </w:tabs>
        <w:jc w:val="both"/>
        <w:rPr>
          <w:rStyle w:val="PageNumber1"/>
          <w:sz w:val="22"/>
          <w:szCs w:val="22"/>
          <w:lang w:val="pt-BR"/>
        </w:rPr>
      </w:pPr>
    </w:p>
    <w:p w14:paraId="33809AD7" w14:textId="77777777" w:rsidR="007A444D" w:rsidRPr="007A444D" w:rsidRDefault="007A444D" w:rsidP="007A444D">
      <w:pPr>
        <w:tabs>
          <w:tab w:val="left" w:pos="720"/>
        </w:tabs>
        <w:jc w:val="both"/>
        <w:rPr>
          <w:rStyle w:val="PageNumber1"/>
          <w:sz w:val="22"/>
          <w:szCs w:val="22"/>
          <w:lang w:val="pt-BR"/>
        </w:rPr>
      </w:pPr>
    </w:p>
    <w:p w14:paraId="67C0FB07" w14:textId="77777777" w:rsidR="007A444D" w:rsidRPr="007A444D" w:rsidRDefault="007A444D" w:rsidP="007A444D">
      <w:pPr>
        <w:tabs>
          <w:tab w:val="left" w:pos="720"/>
        </w:tabs>
        <w:jc w:val="both"/>
        <w:rPr>
          <w:rStyle w:val="PageNumber1"/>
          <w:sz w:val="22"/>
          <w:szCs w:val="22"/>
          <w:lang w:val="pt-BR"/>
        </w:rPr>
      </w:pPr>
      <w:r w:rsidRPr="007A444D">
        <w:rPr>
          <w:rStyle w:val="PageNumber1"/>
          <w:sz w:val="22"/>
          <w:szCs w:val="22"/>
          <w:lang w:val="pt-BR"/>
        </w:rPr>
        <w:tab/>
        <w:t>A Secretaria Técnica da CIFTA fez uma intervenção na reunião a fim de salientar o pioneirismo e o protagonismo da Convenção, destacando os progressos realizados, como a legislação modelo e os Cursos de Ação aprovados, e o apoio prestado pelos Departamentos contra a Criminalidade Organizada Transnacional e de Segurança Pública para que os Estados Membros cumpram com as obrigações da Convenção.</w:t>
      </w:r>
    </w:p>
    <w:p w14:paraId="716B1BF9" w14:textId="77777777" w:rsidR="007A444D" w:rsidRPr="007A444D" w:rsidRDefault="007A444D" w:rsidP="007A444D">
      <w:pPr>
        <w:tabs>
          <w:tab w:val="left" w:pos="720"/>
        </w:tabs>
        <w:jc w:val="both"/>
        <w:rPr>
          <w:rStyle w:val="PageNumber1"/>
          <w:sz w:val="22"/>
          <w:szCs w:val="22"/>
          <w:lang w:val="pt-BR"/>
        </w:rPr>
      </w:pPr>
    </w:p>
    <w:p w14:paraId="351D16E5" w14:textId="77777777" w:rsidR="007A444D" w:rsidRPr="007A444D" w:rsidRDefault="007A444D" w:rsidP="007A444D">
      <w:pPr>
        <w:tabs>
          <w:tab w:val="left" w:pos="720"/>
        </w:tabs>
        <w:jc w:val="both"/>
        <w:rPr>
          <w:rStyle w:val="PageNumber1"/>
          <w:sz w:val="22"/>
          <w:szCs w:val="22"/>
          <w:lang w:val="pt-BR"/>
        </w:rPr>
      </w:pPr>
      <w:r w:rsidRPr="007A444D">
        <w:rPr>
          <w:rStyle w:val="PageNumber1"/>
          <w:sz w:val="22"/>
          <w:szCs w:val="22"/>
          <w:lang w:val="pt-BR"/>
        </w:rPr>
        <w:tab/>
        <w:t>Cabe mencionar que, no âmbito do processo preparatório da próxima Conferência dos Estados Partes no Tratado sobre o Comércio de Armas (TCA), o México, juntamente com a Bélgica, está facilitando o Grupo de Trabalho sobre Transparência e Apresentação de Relatórios.</w:t>
      </w:r>
    </w:p>
    <w:p w14:paraId="38041759" w14:textId="77777777" w:rsidR="007A444D" w:rsidRPr="007A444D" w:rsidRDefault="007A444D" w:rsidP="007A444D">
      <w:pPr>
        <w:tabs>
          <w:tab w:val="left" w:pos="720"/>
        </w:tabs>
        <w:jc w:val="both"/>
        <w:rPr>
          <w:rStyle w:val="PageNumber1"/>
          <w:sz w:val="22"/>
          <w:szCs w:val="22"/>
          <w:lang w:val="pt-BR"/>
        </w:rPr>
      </w:pPr>
    </w:p>
    <w:p w14:paraId="1000881A" w14:textId="77777777" w:rsidR="007A444D" w:rsidRPr="007A444D" w:rsidRDefault="007A444D" w:rsidP="007A444D">
      <w:pPr>
        <w:tabs>
          <w:tab w:val="left" w:pos="720"/>
        </w:tabs>
        <w:jc w:val="both"/>
        <w:rPr>
          <w:rStyle w:val="PageNumber1"/>
          <w:sz w:val="22"/>
          <w:szCs w:val="22"/>
          <w:lang w:val="pt-BR"/>
        </w:rPr>
      </w:pPr>
      <w:r w:rsidRPr="007A444D">
        <w:rPr>
          <w:rStyle w:val="PageNumber1"/>
          <w:sz w:val="22"/>
          <w:szCs w:val="22"/>
          <w:lang w:val="pt-BR"/>
        </w:rPr>
        <w:tab/>
        <w:t xml:space="preserve">Além disso, em conformidade com o mandato constante do parágrafo 109 da resolução AG/RES. 2950, de 2020, de convidar os Estados membros a que colaborem na execução do estudo </w:t>
      </w:r>
      <w:r w:rsidRPr="007A444D">
        <w:rPr>
          <w:rStyle w:val="PageNumber1"/>
          <w:sz w:val="22"/>
          <w:szCs w:val="22"/>
          <w:lang w:val="pt-BR"/>
        </w:rPr>
        <w:lastRenderedPageBreak/>
        <w:t xml:space="preserve">hemisférico sobre o tráfico ilícito de armas pequenas, armamento leve e munições no Hemisfério, o México, em conjunto com os Departamentos contra a Criminalidade Organizada Transnacional e de Segurança Pública, promoveu e está atualmente analisando a elaboração de um roteiro para o início da preparação do estudo, bem como para buscar fontes de financiamento. </w:t>
      </w:r>
    </w:p>
    <w:p w14:paraId="7F720DF4" w14:textId="77777777" w:rsidR="007A444D" w:rsidRPr="007A444D" w:rsidRDefault="007A444D" w:rsidP="007A444D">
      <w:pPr>
        <w:tabs>
          <w:tab w:val="left" w:pos="720"/>
        </w:tabs>
        <w:jc w:val="both"/>
        <w:rPr>
          <w:rStyle w:val="PageNumber1"/>
          <w:sz w:val="22"/>
          <w:szCs w:val="22"/>
          <w:lang w:val="pt-BR"/>
        </w:rPr>
      </w:pPr>
    </w:p>
    <w:p w14:paraId="558E58E7" w14:textId="77777777" w:rsidR="007A444D" w:rsidRPr="007A444D" w:rsidRDefault="007A444D" w:rsidP="007A444D">
      <w:pPr>
        <w:tabs>
          <w:tab w:val="left" w:pos="720"/>
        </w:tabs>
        <w:jc w:val="both"/>
        <w:rPr>
          <w:rStyle w:val="PageNumber1"/>
          <w:sz w:val="22"/>
          <w:szCs w:val="22"/>
          <w:lang w:val="pt-BR"/>
        </w:rPr>
      </w:pPr>
      <w:r w:rsidRPr="007A444D">
        <w:rPr>
          <w:rStyle w:val="PageNumber1"/>
          <w:sz w:val="22"/>
          <w:szCs w:val="22"/>
          <w:lang w:val="pt-BR"/>
        </w:rPr>
        <w:tab/>
        <w:t xml:space="preserve">Finalmente, a Secretaria </w:t>
      </w:r>
      <w:r w:rsidRPr="007A444D">
        <w:rPr>
          <w:rStyle w:val="PageNumber1"/>
          <w:i/>
          <w:iCs/>
          <w:sz w:val="22"/>
          <w:szCs w:val="22"/>
          <w:lang w:val="pt-BR"/>
        </w:rPr>
        <w:t>Pro Tempore</w:t>
      </w:r>
      <w:r w:rsidRPr="007A444D">
        <w:rPr>
          <w:rStyle w:val="PageNumber1"/>
          <w:sz w:val="22"/>
          <w:szCs w:val="22"/>
          <w:lang w:val="pt-BR"/>
        </w:rPr>
        <w:t xml:space="preserve"> gostaria de referir-se ao parágrafo 18 da declaração feita por ocasião do Vigésimo Aniversário da CIFTA, “Cooperação Hemisférica para Prevenir, Combater e Erradicar a Fabricação e o Tráfico Ilícitos de Armas de Fogo, Munições, Explosivos e Outros Materiais Correlatos”, a fim de fazer um respeitoso apelo aos Estados, organizações internacionais e demais parceiros a que contribuam financeiramente para o fundo fiduciário estabelecido para melhorar as operações e as funções da CIFTA.</w:t>
      </w:r>
    </w:p>
    <w:p w14:paraId="50F57B25" w14:textId="77777777" w:rsidR="007A444D" w:rsidRPr="007A444D" w:rsidRDefault="007A444D" w:rsidP="007A444D">
      <w:pPr>
        <w:tabs>
          <w:tab w:val="left" w:pos="720"/>
        </w:tabs>
        <w:jc w:val="both"/>
        <w:rPr>
          <w:rStyle w:val="PageNumber1"/>
          <w:sz w:val="22"/>
          <w:szCs w:val="22"/>
          <w:lang w:val="pt-BR"/>
        </w:rPr>
      </w:pPr>
    </w:p>
    <w:p w14:paraId="7482237D" w14:textId="77777777" w:rsidR="007A444D" w:rsidRPr="007A444D" w:rsidRDefault="007A444D" w:rsidP="007A444D">
      <w:pPr>
        <w:pStyle w:val="Heading31"/>
        <w:tabs>
          <w:tab w:val="left" w:pos="6300"/>
        </w:tabs>
        <w:spacing w:before="0" w:after="0"/>
        <w:rPr>
          <w:rStyle w:val="PageNumber1"/>
          <w:rFonts w:ascii="Times New Roman" w:hAnsi="Times New Roman" w:cs="Times New Roman"/>
          <w:sz w:val="22"/>
          <w:szCs w:val="22"/>
          <w:lang w:val="pt-BR"/>
        </w:rPr>
      </w:pPr>
      <w:r w:rsidRPr="007A444D">
        <w:rPr>
          <w:rStyle w:val="PageNumber1"/>
          <w:rFonts w:ascii="Times New Roman" w:hAnsi="Times New Roman" w:cs="Times New Roman"/>
          <w:sz w:val="22"/>
          <w:szCs w:val="22"/>
          <w:lang w:val="pt-BR"/>
        </w:rPr>
        <w:t>Preparativos para a Vigésima Reunião Ordinária da Comissão Consultiva</w:t>
      </w:r>
    </w:p>
    <w:p w14:paraId="3F986593" w14:textId="77777777" w:rsidR="007A444D" w:rsidRPr="007A444D" w:rsidRDefault="007A444D" w:rsidP="007A444D">
      <w:pPr>
        <w:pStyle w:val="NormalWeb"/>
        <w:shd w:val="clear" w:color="auto" w:fill="FFFFFF"/>
        <w:ind w:right="75" w:firstLine="720"/>
        <w:jc w:val="both"/>
        <w:rPr>
          <w:rStyle w:val="PageNumber1"/>
          <w:rFonts w:ascii="Times New Roman" w:hAnsi="Times New Roman"/>
          <w:sz w:val="22"/>
          <w:szCs w:val="22"/>
          <w:lang w:val="pt-BR"/>
        </w:rPr>
      </w:pPr>
      <w:r w:rsidRPr="007A444D">
        <w:rPr>
          <w:rStyle w:val="PageNumber1"/>
          <w:rFonts w:ascii="Times New Roman" w:hAnsi="Times New Roman"/>
          <w:sz w:val="22"/>
          <w:szCs w:val="22"/>
          <w:lang w:val="pt-BR"/>
        </w:rPr>
        <w:t xml:space="preserve">Embora fosse intenção desta Secretaria </w:t>
      </w:r>
      <w:r w:rsidRPr="007A444D">
        <w:rPr>
          <w:rStyle w:val="PageNumber1"/>
          <w:rFonts w:ascii="Times New Roman" w:hAnsi="Times New Roman"/>
          <w:i/>
          <w:iCs/>
          <w:sz w:val="22"/>
          <w:szCs w:val="22"/>
          <w:lang w:val="pt-BR"/>
        </w:rPr>
        <w:t>Pro Tempore</w:t>
      </w:r>
      <w:r w:rsidRPr="007A444D">
        <w:rPr>
          <w:rStyle w:val="PageNumber1"/>
          <w:rFonts w:ascii="Times New Roman" w:hAnsi="Times New Roman"/>
          <w:sz w:val="22"/>
          <w:szCs w:val="22"/>
          <w:lang w:val="pt-BR"/>
        </w:rPr>
        <w:t xml:space="preserve"> realizar a Vigésima Reunião Ordinária da Comissão Consultiva em 5 de abril ou em data próxima, em observância do Dia Interamericano contra o Tráfico Ilícito de Armas de Fogo, devido às contramedidas em vigor diante da covid-19 naquele momento, a Secretaria </w:t>
      </w:r>
      <w:r w:rsidRPr="007A444D">
        <w:rPr>
          <w:rStyle w:val="PageNumber1"/>
          <w:rFonts w:ascii="Times New Roman" w:hAnsi="Times New Roman"/>
          <w:i/>
          <w:iCs/>
          <w:sz w:val="22"/>
          <w:szCs w:val="22"/>
          <w:lang w:val="pt-BR"/>
        </w:rPr>
        <w:t>Pro Tempore</w:t>
      </w:r>
      <w:r w:rsidRPr="007A444D">
        <w:rPr>
          <w:rStyle w:val="PageNumber1"/>
          <w:rFonts w:ascii="Times New Roman" w:hAnsi="Times New Roman"/>
          <w:sz w:val="22"/>
          <w:szCs w:val="22"/>
          <w:lang w:val="pt-BR"/>
        </w:rPr>
        <w:t xml:space="preserve"> solicitou ao Conselho Permanente da Organização o adiamento da reunião. O pedido foi deferido com a aprovação da resolução</w:t>
      </w:r>
      <w:r w:rsidRPr="007A444D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7A444D">
        <w:rPr>
          <w:rStyle w:val="PageNumber1"/>
          <w:rFonts w:ascii="Times New Roman" w:hAnsi="Times New Roman"/>
          <w:sz w:val="22"/>
          <w:szCs w:val="22"/>
          <w:lang w:val="pt-BR"/>
        </w:rPr>
        <w:t xml:space="preserve">CP/RES. 1152 (2282/20). </w:t>
      </w:r>
    </w:p>
    <w:p w14:paraId="547D9949" w14:textId="77777777" w:rsidR="007A444D" w:rsidRPr="007A444D" w:rsidRDefault="007A444D" w:rsidP="007A444D">
      <w:pPr>
        <w:pStyle w:val="NormalWeb"/>
        <w:shd w:val="clear" w:color="auto" w:fill="FFFFFF"/>
        <w:ind w:right="75" w:firstLine="720"/>
        <w:jc w:val="both"/>
        <w:rPr>
          <w:rStyle w:val="PageNumber1"/>
          <w:rFonts w:ascii="Times New Roman" w:hAnsi="Times New Roman"/>
          <w:sz w:val="22"/>
          <w:szCs w:val="22"/>
          <w:lang w:val="pt-BR"/>
        </w:rPr>
      </w:pPr>
      <w:r w:rsidRPr="007A444D">
        <w:rPr>
          <w:rStyle w:val="PageNumber1"/>
          <w:rFonts w:ascii="Times New Roman" w:hAnsi="Times New Roman"/>
          <w:sz w:val="22"/>
          <w:szCs w:val="22"/>
          <w:lang w:val="pt-BR"/>
        </w:rPr>
        <w:t xml:space="preserve">Meses depois, uma vez estabelecidos os protocolos adequados, e em acompanhamento das decisões adotadas na resolução AG/RES. 2950 (L-O/20), de 2020, a Secretaria </w:t>
      </w:r>
      <w:r w:rsidRPr="007A444D">
        <w:rPr>
          <w:rStyle w:val="PageNumber1"/>
          <w:rFonts w:ascii="Times New Roman" w:hAnsi="Times New Roman"/>
          <w:i/>
          <w:iCs/>
          <w:sz w:val="22"/>
          <w:szCs w:val="22"/>
          <w:lang w:val="pt-BR"/>
        </w:rPr>
        <w:t>Pro Tempore</w:t>
      </w:r>
      <w:r w:rsidRPr="007A444D">
        <w:rPr>
          <w:rStyle w:val="PageNumber1"/>
          <w:rFonts w:ascii="Times New Roman" w:hAnsi="Times New Roman"/>
          <w:sz w:val="22"/>
          <w:szCs w:val="22"/>
          <w:lang w:val="pt-BR"/>
        </w:rPr>
        <w:t xml:space="preserve"> solicitou novamente ao Conselho Permanente a aprovação de uma resolução estabelecendo a data e o local da referida reunião ordinária. O pedido foi deferido mediante a resolução CP/RES 1162, de 18 de novembro de 2020, que estabeleceu o dia 17 de dezembro de 2020 como data da Vigésima Reunião Ordinária da Comissão Consultiva da CIFTA, a realizar-se por meio virtual a partir da sede da OEA.</w:t>
      </w:r>
    </w:p>
    <w:p w14:paraId="716E5A09" w14:textId="77777777" w:rsidR="007A444D" w:rsidRPr="007A444D" w:rsidRDefault="007A444D" w:rsidP="007A444D">
      <w:pPr>
        <w:pStyle w:val="NormalWeb"/>
        <w:shd w:val="clear" w:color="auto" w:fill="FFFFFF"/>
        <w:ind w:right="75" w:firstLine="720"/>
        <w:jc w:val="both"/>
        <w:rPr>
          <w:rStyle w:val="PageNumber1"/>
          <w:rFonts w:ascii="Times New Roman" w:hAnsi="Times New Roman"/>
          <w:sz w:val="22"/>
          <w:szCs w:val="22"/>
          <w:lang w:val="pt-BR"/>
        </w:rPr>
      </w:pPr>
      <w:r w:rsidRPr="007A444D">
        <w:rPr>
          <w:rStyle w:val="PageNumber1"/>
          <w:rFonts w:ascii="Times New Roman" w:hAnsi="Times New Roman"/>
          <w:sz w:val="22"/>
          <w:szCs w:val="22"/>
          <w:lang w:val="pt-BR"/>
        </w:rPr>
        <w:t xml:space="preserve">A Secretaria </w:t>
      </w:r>
      <w:r w:rsidRPr="007A444D">
        <w:rPr>
          <w:rStyle w:val="PageNumber1"/>
          <w:rFonts w:ascii="Times New Roman" w:hAnsi="Times New Roman"/>
          <w:i/>
          <w:iCs/>
          <w:sz w:val="22"/>
          <w:szCs w:val="22"/>
          <w:lang w:val="pt-BR"/>
        </w:rPr>
        <w:t>Pro Tempore</w:t>
      </w:r>
      <w:r w:rsidRPr="007A444D">
        <w:rPr>
          <w:rStyle w:val="PageNumber1"/>
          <w:rFonts w:ascii="Times New Roman" w:hAnsi="Times New Roman"/>
          <w:sz w:val="22"/>
          <w:szCs w:val="22"/>
          <w:lang w:val="pt-BR"/>
        </w:rPr>
        <w:t>, em conformidade com o disposto no artigo XXI, parágrafo 6</w:t>
      </w:r>
      <w:r w:rsidRPr="007A444D">
        <w:rPr>
          <w:rStyle w:val="PageNumber1"/>
          <w:rFonts w:ascii="Times New Roman" w:hAnsi="Times New Roman"/>
          <w:sz w:val="22"/>
          <w:szCs w:val="22"/>
          <w:vertAlign w:val="superscript"/>
          <w:lang w:val="pt-BR"/>
        </w:rPr>
        <w:t>o</w:t>
      </w:r>
      <w:r w:rsidRPr="007A444D">
        <w:rPr>
          <w:rStyle w:val="PageNumber1"/>
          <w:rFonts w:ascii="Times New Roman" w:hAnsi="Times New Roman"/>
          <w:sz w:val="22"/>
          <w:szCs w:val="22"/>
          <w:lang w:val="pt-BR"/>
        </w:rPr>
        <w:t xml:space="preserve"> da Convenção,</w:t>
      </w:r>
      <w:bookmarkStart w:id="2" w:name="_GoBack"/>
      <w:bookmarkEnd w:id="2"/>
      <w:r w:rsidRPr="007A444D">
        <w:rPr>
          <w:rStyle w:val="PageNumber1"/>
          <w:rFonts w:ascii="Times New Roman" w:hAnsi="Times New Roman"/>
          <w:sz w:val="22"/>
          <w:szCs w:val="22"/>
          <w:lang w:val="pt-BR"/>
        </w:rPr>
        <w:t xml:space="preserve"> convocou a Vigésima Reunião Ordinária da Comissão Consultiva mediante o documento CIFTA/CC-XX/doc.1/20 e procedeu à elaboração dos projetos de agenda, calendário e da lista de convidados. Esses documentos foram distribuídos e submetidos à consideração dos Estados membros da Organização mediante um processo virtual, adotado em vista das medidas preventivas tomadas em resposta à pandemia da covid-19.</w:t>
      </w:r>
    </w:p>
    <w:p w14:paraId="31810747" w14:textId="77777777" w:rsidR="007A444D" w:rsidRPr="007A444D" w:rsidRDefault="007A444D" w:rsidP="007A444D">
      <w:pPr>
        <w:tabs>
          <w:tab w:val="left" w:pos="6840"/>
        </w:tabs>
        <w:jc w:val="both"/>
        <w:rPr>
          <w:lang w:val="pt-BR"/>
        </w:rPr>
      </w:pPr>
    </w:p>
    <w:p w14:paraId="3E00F9F2" w14:textId="77777777" w:rsidR="007A444D" w:rsidRPr="007A444D" w:rsidRDefault="007A444D" w:rsidP="007A444D">
      <w:pPr>
        <w:tabs>
          <w:tab w:val="left" w:pos="720"/>
          <w:tab w:val="center" w:pos="5760"/>
          <w:tab w:val="left" w:pos="6840"/>
        </w:tabs>
        <w:rPr>
          <w:sz w:val="22"/>
          <w:szCs w:val="22"/>
          <w:lang w:val="pt-BR"/>
        </w:rPr>
      </w:pPr>
    </w:p>
    <w:p w14:paraId="468199DF" w14:textId="77777777" w:rsidR="007A444D" w:rsidRPr="007A444D" w:rsidRDefault="007A444D" w:rsidP="007A444D">
      <w:pPr>
        <w:tabs>
          <w:tab w:val="left" w:pos="720"/>
          <w:tab w:val="center" w:pos="5760"/>
          <w:tab w:val="left" w:pos="6840"/>
        </w:tabs>
        <w:jc w:val="center"/>
        <w:rPr>
          <w:rStyle w:val="PageNumber1"/>
          <w:lang w:val="pt-BR"/>
        </w:rPr>
      </w:pPr>
      <w:r w:rsidRPr="007A444D">
        <w:rPr>
          <w:rStyle w:val="PageNumber1"/>
          <w:sz w:val="22"/>
          <w:szCs w:val="22"/>
          <w:lang w:val="pt-BR"/>
        </w:rPr>
        <w:t>Luz Elena Baños Rivas</w:t>
      </w:r>
    </w:p>
    <w:p w14:paraId="74F8DB7F" w14:textId="77777777" w:rsidR="007A444D" w:rsidRPr="007A444D" w:rsidRDefault="007A444D" w:rsidP="007A444D">
      <w:pPr>
        <w:tabs>
          <w:tab w:val="left" w:pos="720"/>
          <w:tab w:val="center" w:pos="5760"/>
          <w:tab w:val="left" w:pos="6840"/>
        </w:tabs>
        <w:jc w:val="center"/>
        <w:rPr>
          <w:rStyle w:val="PageNumber1"/>
          <w:sz w:val="22"/>
          <w:szCs w:val="22"/>
          <w:lang w:val="pt-BR"/>
        </w:rPr>
      </w:pPr>
      <w:r w:rsidRPr="007A444D">
        <w:rPr>
          <w:rStyle w:val="PageNumber1"/>
          <w:sz w:val="22"/>
          <w:szCs w:val="22"/>
          <w:lang w:val="pt-BR"/>
        </w:rPr>
        <w:t>Embaixadora Representante Permanente do México junto à OEA</w:t>
      </w:r>
    </w:p>
    <w:p w14:paraId="0A098F07" w14:textId="07ED2E9A" w:rsidR="007A444D" w:rsidRPr="007A444D" w:rsidRDefault="007A444D" w:rsidP="007A444D">
      <w:pPr>
        <w:tabs>
          <w:tab w:val="left" w:pos="720"/>
          <w:tab w:val="center" w:pos="5760"/>
          <w:tab w:val="left" w:pos="6840"/>
        </w:tabs>
        <w:jc w:val="center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9EA184A" wp14:editId="432BF1E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4B2AC51" w14:textId="4B3AA77D" w:rsidR="007A444D" w:rsidRDefault="007A444D" w:rsidP="007A444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CIFTA00885P01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A18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BkePKP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14:paraId="54B2AC51" w14:textId="4B3AA77D" w:rsidR="007A444D" w:rsidRDefault="007A444D" w:rsidP="007A444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CIFTA00885P01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7A444D">
        <w:rPr>
          <w:rStyle w:val="PageNumber1"/>
          <w:sz w:val="22"/>
          <w:szCs w:val="22"/>
          <w:lang w:val="pt-BR"/>
        </w:rPr>
        <w:t xml:space="preserve">Secretaria </w:t>
      </w:r>
      <w:r w:rsidRPr="007A444D">
        <w:rPr>
          <w:rStyle w:val="PageNumber1"/>
          <w:i/>
          <w:iCs/>
          <w:sz w:val="22"/>
          <w:szCs w:val="22"/>
          <w:lang w:val="pt-BR"/>
        </w:rPr>
        <w:t>Pro Tempore</w:t>
      </w:r>
      <w:r w:rsidRPr="007A444D">
        <w:rPr>
          <w:rStyle w:val="PageNumber1"/>
          <w:sz w:val="22"/>
          <w:szCs w:val="22"/>
          <w:lang w:val="pt-BR"/>
        </w:rPr>
        <w:t xml:space="preserve"> da Comissão Consultiva da CIFTA </w:t>
      </w:r>
    </w:p>
    <w:p w14:paraId="0B6544A9" w14:textId="3571CD9F" w:rsidR="00430525" w:rsidRPr="007A444D" w:rsidRDefault="00430525" w:rsidP="007A444D">
      <w:pPr>
        <w:rPr>
          <w:lang w:val="pt-BR"/>
        </w:rPr>
      </w:pPr>
    </w:p>
    <w:sectPr w:rsidR="00430525" w:rsidRPr="007A444D" w:rsidSect="007742FC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800" w:bottom="126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EE2B1" w14:textId="77777777" w:rsidR="00103B12" w:rsidRDefault="00103B12">
      <w:r>
        <w:separator/>
      </w:r>
    </w:p>
  </w:endnote>
  <w:endnote w:type="continuationSeparator" w:id="0">
    <w:p w14:paraId="21292754" w14:textId="77777777" w:rsidR="00103B12" w:rsidRDefault="0010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A398F" w14:textId="77777777" w:rsidR="00743927" w:rsidRDefault="00743927" w:rsidP="007742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EEE64F" w14:textId="77777777" w:rsidR="00743927" w:rsidRDefault="00743927" w:rsidP="007742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C126D" w14:textId="40FDC16C" w:rsidR="00743927" w:rsidRDefault="00743927" w:rsidP="007742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444D">
      <w:rPr>
        <w:rStyle w:val="PageNumber"/>
        <w:noProof/>
      </w:rPr>
      <w:t>3</w:t>
    </w:r>
    <w:r>
      <w:rPr>
        <w:rStyle w:val="PageNumber"/>
      </w:rPr>
      <w:fldChar w:fldCharType="end"/>
    </w:r>
  </w:p>
  <w:p w14:paraId="1C6BBE76" w14:textId="77777777" w:rsidR="00743927" w:rsidRDefault="00743927" w:rsidP="007742FC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6C7666B1" w14:textId="77777777" w:rsidR="00743927" w:rsidRDefault="00743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6F6B2" w14:textId="77777777" w:rsidR="00103B12" w:rsidRDefault="00103B12">
      <w:r>
        <w:separator/>
      </w:r>
    </w:p>
  </w:footnote>
  <w:footnote w:type="continuationSeparator" w:id="0">
    <w:p w14:paraId="1F56F675" w14:textId="77777777" w:rsidR="00103B12" w:rsidRDefault="00103B12">
      <w:r>
        <w:continuationSeparator/>
      </w:r>
    </w:p>
  </w:footnote>
  <w:footnote w:id="1">
    <w:p w14:paraId="2BC0A4A2" w14:textId="77777777" w:rsidR="007A444D" w:rsidRPr="007A444D" w:rsidRDefault="007A444D" w:rsidP="007A444D">
      <w:pPr>
        <w:pStyle w:val="FootnoteText"/>
        <w:tabs>
          <w:tab w:val="left" w:pos="360"/>
          <w:tab w:val="left" w:pos="720"/>
        </w:tabs>
        <w:ind w:left="720" w:hanging="360"/>
        <w:jc w:val="both"/>
        <w:rPr>
          <w:lang w:val="pt-BR"/>
        </w:rPr>
      </w:pPr>
      <w:r>
        <w:rPr>
          <w:rStyle w:val="FootnoteReference"/>
        </w:rPr>
        <w:footnoteRef/>
      </w:r>
      <w:r w:rsidRPr="007A444D">
        <w:rPr>
          <w:lang w:val="pt-BR"/>
        </w:rPr>
        <w:t>.</w:t>
      </w:r>
      <w:r w:rsidRPr="007A444D">
        <w:rPr>
          <w:lang w:val="pt-BR"/>
        </w:rPr>
        <w:tab/>
        <w:t>A primeira edição foi realizada de 5 a 7 de novembro de 2019, na Secretaria das Relações Exteriores, com a participação de representantes de Belize, Costa Rica, Cuba, El Salvador, Estados Unidos, Guatemala, Honduras, México, Nicarágua, Panamá e República Dominicana. Posteriormente, ocorreu a segunda edição, de 13 a 15 de novembro de 2020, no Hotel Fiesta Americana Reforma, que contou com a presença de representantes de Argentina, Brasil, Chile, Colômbia, Equador, Guiana, México, Peru, Paraguai, Uruguai e Venezuela.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D1233" w14:textId="77777777" w:rsidR="00743927" w:rsidRPr="005079FE" w:rsidRDefault="00743927" w:rsidP="003652E9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5079FE">
      <w:rPr>
        <w:rStyle w:val="PageNumber"/>
        <w:sz w:val="22"/>
        <w:szCs w:val="22"/>
      </w:rPr>
      <w:fldChar w:fldCharType="begin"/>
    </w:r>
    <w:r w:rsidRPr="005079FE">
      <w:rPr>
        <w:rStyle w:val="PageNumber"/>
        <w:sz w:val="22"/>
        <w:szCs w:val="22"/>
      </w:rPr>
      <w:instrText xml:space="preserve">PAGE  </w:instrText>
    </w:r>
    <w:r w:rsidRPr="005079FE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- 4 -</w:t>
    </w:r>
    <w:r w:rsidRPr="005079FE">
      <w:rPr>
        <w:rStyle w:val="PageNumber"/>
        <w:sz w:val="22"/>
        <w:szCs w:val="22"/>
      </w:rPr>
      <w:fldChar w:fldCharType="end"/>
    </w:r>
  </w:p>
  <w:p w14:paraId="77B00777" w14:textId="77777777" w:rsidR="00743927" w:rsidRDefault="007439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D8E24" w14:textId="77777777" w:rsidR="00743927" w:rsidRPr="0094193A" w:rsidRDefault="00743927" w:rsidP="003652E9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</w:p>
  <w:p w14:paraId="5912D2BE" w14:textId="77777777" w:rsidR="00743927" w:rsidRDefault="00743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526A"/>
    <w:multiLevelType w:val="multilevel"/>
    <w:tmpl w:val="5A34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A528A"/>
    <w:multiLevelType w:val="multilevel"/>
    <w:tmpl w:val="12C22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8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Roman"/>
      <w:lvlText w:val="%7.)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31466"/>
    <w:multiLevelType w:val="hybridMultilevel"/>
    <w:tmpl w:val="91CA96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74C8D"/>
    <w:multiLevelType w:val="hybridMultilevel"/>
    <w:tmpl w:val="14960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138E1"/>
    <w:multiLevelType w:val="hybridMultilevel"/>
    <w:tmpl w:val="5A3AD338"/>
    <w:lvl w:ilvl="0" w:tplc="A8DECE2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24E82"/>
    <w:multiLevelType w:val="hybridMultilevel"/>
    <w:tmpl w:val="0E66A2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A4371"/>
    <w:multiLevelType w:val="hybridMultilevel"/>
    <w:tmpl w:val="19CAAE0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2B472D2"/>
    <w:multiLevelType w:val="hybridMultilevel"/>
    <w:tmpl w:val="79A2B52E"/>
    <w:lvl w:ilvl="0" w:tplc="4AB6B35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03A44"/>
    <w:multiLevelType w:val="hybridMultilevel"/>
    <w:tmpl w:val="EA3E1416"/>
    <w:lvl w:ilvl="0" w:tplc="4CDAA3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252BFA"/>
    <w:multiLevelType w:val="hybridMultilevel"/>
    <w:tmpl w:val="76AE70D8"/>
    <w:lvl w:ilvl="0" w:tplc="705CE442">
      <w:start w:val="2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E0F1F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5C283C">
      <w:start w:val="2"/>
      <w:numFmt w:val="lowerLetter"/>
      <w:lvlText w:val="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BF2B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9C622A8"/>
    <w:multiLevelType w:val="hybridMultilevel"/>
    <w:tmpl w:val="8B7814BE"/>
    <w:lvl w:ilvl="0" w:tplc="290E5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E6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C1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E4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01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2D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42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E8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4C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CBE0651"/>
    <w:multiLevelType w:val="hybridMultilevel"/>
    <w:tmpl w:val="755CBD00"/>
    <w:lvl w:ilvl="0" w:tplc="1922A5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B64A7"/>
    <w:multiLevelType w:val="multilevel"/>
    <w:tmpl w:val="5A34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240351"/>
    <w:multiLevelType w:val="hybridMultilevel"/>
    <w:tmpl w:val="45CE86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48425C"/>
    <w:multiLevelType w:val="hybridMultilevel"/>
    <w:tmpl w:val="DC648C2A"/>
    <w:lvl w:ilvl="0" w:tplc="4CDAA3F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4CDAA3F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6" w15:restartNumberingAfterBreak="0">
    <w:nsid w:val="4FF64BE1"/>
    <w:multiLevelType w:val="hybridMultilevel"/>
    <w:tmpl w:val="6B1233F4"/>
    <w:lvl w:ilvl="0" w:tplc="27F085FA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268BD"/>
    <w:multiLevelType w:val="hybridMultilevel"/>
    <w:tmpl w:val="B1524184"/>
    <w:styleLink w:val="ImportedStyle2"/>
    <w:lvl w:ilvl="0" w:tplc="AEF0A6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22AB5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E8BFE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DC5FE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8EDDF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C8C24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D29938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4CAEB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B409E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A2F7AF4"/>
    <w:multiLevelType w:val="hybridMultilevel"/>
    <w:tmpl w:val="E3CA5098"/>
    <w:lvl w:ilvl="0" w:tplc="E1C4DD14">
      <w:start w:val="2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757F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F737BC4"/>
    <w:multiLevelType w:val="hybridMultilevel"/>
    <w:tmpl w:val="EC10D7DA"/>
    <w:lvl w:ilvl="0" w:tplc="0652E840">
      <w:start w:val="1"/>
      <w:numFmt w:val="decimal"/>
      <w:lvlText w:val="%1."/>
      <w:lvlJc w:val="left"/>
      <w:pPr>
        <w:tabs>
          <w:tab w:val="num" w:pos="1995"/>
        </w:tabs>
        <w:ind w:left="1995" w:hanging="915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4F02E6"/>
    <w:multiLevelType w:val="hybridMultilevel"/>
    <w:tmpl w:val="3004725C"/>
    <w:lvl w:ilvl="0" w:tplc="F71A6D28">
      <w:start w:val="9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60C53C0C"/>
    <w:multiLevelType w:val="hybridMultilevel"/>
    <w:tmpl w:val="B1524184"/>
    <w:numStyleLink w:val="ImportedStyle2"/>
  </w:abstractNum>
  <w:abstractNum w:abstractNumId="23" w15:restartNumberingAfterBreak="0">
    <w:nsid w:val="63032F5A"/>
    <w:multiLevelType w:val="hybridMultilevel"/>
    <w:tmpl w:val="7A0ECC2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5872859"/>
    <w:multiLevelType w:val="hybridMultilevel"/>
    <w:tmpl w:val="991C581E"/>
    <w:lvl w:ilvl="0" w:tplc="7F20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 w:tplc="C9D8F6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/>
      </w:rPr>
    </w:lvl>
    <w:lvl w:ilvl="2" w:tplc="C62ABE2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lang w:val="es-AR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2E303E">
      <w:start w:val="1"/>
      <w:numFmt w:val="lowerRoman"/>
      <w:lvlText w:val="%7.)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EE32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77054CFA"/>
    <w:multiLevelType w:val="hybridMultilevel"/>
    <w:tmpl w:val="4D90065A"/>
    <w:lvl w:ilvl="0" w:tplc="8B16616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2F7191"/>
    <w:multiLevelType w:val="hybridMultilevel"/>
    <w:tmpl w:val="2DDEEBF0"/>
    <w:lvl w:ilvl="0" w:tplc="E41C8F2E">
      <w:start w:val="2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7C3E3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0"/>
  </w:num>
  <w:num w:numId="2">
    <w:abstractNumId w:val="19"/>
  </w:num>
  <w:num w:numId="3">
    <w:abstractNumId w:val="28"/>
  </w:num>
  <w:num w:numId="4">
    <w:abstractNumId w:val="25"/>
  </w:num>
  <w:num w:numId="5">
    <w:abstractNumId w:val="14"/>
  </w:num>
  <w:num w:numId="6">
    <w:abstractNumId w:val="24"/>
  </w:num>
  <w:num w:numId="7">
    <w:abstractNumId w:val="20"/>
  </w:num>
  <w:num w:numId="8">
    <w:abstractNumId w:val="2"/>
  </w:num>
  <w:num w:numId="9">
    <w:abstractNumId w:val="23"/>
  </w:num>
  <w:num w:numId="10">
    <w:abstractNumId w:val="12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1"/>
  </w:num>
  <w:num w:numId="15">
    <w:abstractNumId w:val="6"/>
  </w:num>
  <w:num w:numId="16">
    <w:abstractNumId w:val="15"/>
  </w:num>
  <w:num w:numId="17">
    <w:abstractNumId w:val="8"/>
  </w:num>
  <w:num w:numId="18">
    <w:abstractNumId w:val="7"/>
  </w:num>
  <w:num w:numId="19">
    <w:abstractNumId w:val="26"/>
  </w:num>
  <w:num w:numId="20">
    <w:abstractNumId w:val="1"/>
  </w:num>
  <w:num w:numId="21">
    <w:abstractNumId w:val="18"/>
  </w:num>
  <w:num w:numId="22">
    <w:abstractNumId w:val="11"/>
  </w:num>
  <w:num w:numId="23">
    <w:abstractNumId w:val="9"/>
  </w:num>
  <w:num w:numId="24">
    <w:abstractNumId w:val="27"/>
  </w:num>
  <w:num w:numId="25">
    <w:abstractNumId w:val="3"/>
  </w:num>
  <w:num w:numId="26">
    <w:abstractNumId w:val="4"/>
  </w:num>
  <w:num w:numId="27">
    <w:abstractNumId w:val="17"/>
  </w:num>
  <w:num w:numId="28">
    <w:abstractNumId w:val="22"/>
  </w:num>
  <w:num w:numId="29">
    <w:abstractNumId w:val="5"/>
  </w:num>
  <w:num w:numId="30">
    <w:abstractNumId w:val="16"/>
  </w:num>
  <w:num w:numId="3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06"/>
    <w:rsid w:val="00021985"/>
    <w:rsid w:val="0004548E"/>
    <w:rsid w:val="0006778D"/>
    <w:rsid w:val="00074CBB"/>
    <w:rsid w:val="00087E44"/>
    <w:rsid w:val="000975A2"/>
    <w:rsid w:val="000A1274"/>
    <w:rsid w:val="000A2095"/>
    <w:rsid w:val="000A5B49"/>
    <w:rsid w:val="000B357D"/>
    <w:rsid w:val="000D1B4D"/>
    <w:rsid w:val="000D263C"/>
    <w:rsid w:val="000D2643"/>
    <w:rsid w:val="000D3F08"/>
    <w:rsid w:val="000F0C87"/>
    <w:rsid w:val="000F797A"/>
    <w:rsid w:val="00102AC2"/>
    <w:rsid w:val="00103B12"/>
    <w:rsid w:val="00147000"/>
    <w:rsid w:val="0018748E"/>
    <w:rsid w:val="0019104A"/>
    <w:rsid w:val="001B0551"/>
    <w:rsid w:val="001B74D7"/>
    <w:rsid w:val="001D1222"/>
    <w:rsid w:val="001D2D91"/>
    <w:rsid w:val="001D467F"/>
    <w:rsid w:val="001F7975"/>
    <w:rsid w:val="00204277"/>
    <w:rsid w:val="00207709"/>
    <w:rsid w:val="00232256"/>
    <w:rsid w:val="00234770"/>
    <w:rsid w:val="00280F06"/>
    <w:rsid w:val="002819B4"/>
    <w:rsid w:val="002B0450"/>
    <w:rsid w:val="002B614C"/>
    <w:rsid w:val="002C1519"/>
    <w:rsid w:val="002C5C19"/>
    <w:rsid w:val="002C6E73"/>
    <w:rsid w:val="002F18DF"/>
    <w:rsid w:val="002F2EDB"/>
    <w:rsid w:val="00313B46"/>
    <w:rsid w:val="0031650C"/>
    <w:rsid w:val="003178AA"/>
    <w:rsid w:val="003238D2"/>
    <w:rsid w:val="003251EC"/>
    <w:rsid w:val="00327A93"/>
    <w:rsid w:val="00331570"/>
    <w:rsid w:val="00331844"/>
    <w:rsid w:val="003334F8"/>
    <w:rsid w:val="003342AC"/>
    <w:rsid w:val="00346F5C"/>
    <w:rsid w:val="00351912"/>
    <w:rsid w:val="00352D93"/>
    <w:rsid w:val="0035383F"/>
    <w:rsid w:val="00354D20"/>
    <w:rsid w:val="0035780A"/>
    <w:rsid w:val="003601F3"/>
    <w:rsid w:val="0036042E"/>
    <w:rsid w:val="003652E9"/>
    <w:rsid w:val="00365545"/>
    <w:rsid w:val="003667B4"/>
    <w:rsid w:val="003827F8"/>
    <w:rsid w:val="00383AD7"/>
    <w:rsid w:val="00391A8F"/>
    <w:rsid w:val="00394BA4"/>
    <w:rsid w:val="003A6F03"/>
    <w:rsid w:val="003B0684"/>
    <w:rsid w:val="003B72DD"/>
    <w:rsid w:val="003D2CDD"/>
    <w:rsid w:val="003D3F36"/>
    <w:rsid w:val="003D5812"/>
    <w:rsid w:val="003E0421"/>
    <w:rsid w:val="003E21FF"/>
    <w:rsid w:val="003E5BFB"/>
    <w:rsid w:val="003E6E67"/>
    <w:rsid w:val="0041133A"/>
    <w:rsid w:val="00411C77"/>
    <w:rsid w:val="00417320"/>
    <w:rsid w:val="00430525"/>
    <w:rsid w:val="00430B70"/>
    <w:rsid w:val="004472EF"/>
    <w:rsid w:val="004504CF"/>
    <w:rsid w:val="00460B5A"/>
    <w:rsid w:val="00464A88"/>
    <w:rsid w:val="0048561F"/>
    <w:rsid w:val="00485629"/>
    <w:rsid w:val="00496450"/>
    <w:rsid w:val="004A149B"/>
    <w:rsid w:val="004C071E"/>
    <w:rsid w:val="004C16D1"/>
    <w:rsid w:val="004D3DC2"/>
    <w:rsid w:val="004F01F7"/>
    <w:rsid w:val="004F0855"/>
    <w:rsid w:val="00500C26"/>
    <w:rsid w:val="00536EE3"/>
    <w:rsid w:val="00545ABF"/>
    <w:rsid w:val="0057084D"/>
    <w:rsid w:val="00571ECC"/>
    <w:rsid w:val="00574C4A"/>
    <w:rsid w:val="00580E86"/>
    <w:rsid w:val="00584E96"/>
    <w:rsid w:val="00592A49"/>
    <w:rsid w:val="00592FEC"/>
    <w:rsid w:val="005938B5"/>
    <w:rsid w:val="005C0CC7"/>
    <w:rsid w:val="00623FB2"/>
    <w:rsid w:val="00624704"/>
    <w:rsid w:val="00626804"/>
    <w:rsid w:val="00656C4C"/>
    <w:rsid w:val="00692DE7"/>
    <w:rsid w:val="006A65A2"/>
    <w:rsid w:val="006B2BCA"/>
    <w:rsid w:val="007011DD"/>
    <w:rsid w:val="00702106"/>
    <w:rsid w:val="00710E7D"/>
    <w:rsid w:val="00722DB6"/>
    <w:rsid w:val="00727508"/>
    <w:rsid w:val="00743927"/>
    <w:rsid w:val="007634E5"/>
    <w:rsid w:val="007742FC"/>
    <w:rsid w:val="007757EF"/>
    <w:rsid w:val="0078715A"/>
    <w:rsid w:val="007A3DB3"/>
    <w:rsid w:val="007A444D"/>
    <w:rsid w:val="007A59E9"/>
    <w:rsid w:val="007B0F96"/>
    <w:rsid w:val="007C42DA"/>
    <w:rsid w:val="007E02CE"/>
    <w:rsid w:val="007F0775"/>
    <w:rsid w:val="007F1EFF"/>
    <w:rsid w:val="008000F7"/>
    <w:rsid w:val="00800C2E"/>
    <w:rsid w:val="0080620E"/>
    <w:rsid w:val="0081323F"/>
    <w:rsid w:val="0083032D"/>
    <w:rsid w:val="0083051F"/>
    <w:rsid w:val="0084221F"/>
    <w:rsid w:val="00847546"/>
    <w:rsid w:val="0086674D"/>
    <w:rsid w:val="00875371"/>
    <w:rsid w:val="0087762A"/>
    <w:rsid w:val="008D1406"/>
    <w:rsid w:val="008D5935"/>
    <w:rsid w:val="008D6FCA"/>
    <w:rsid w:val="008F0D9F"/>
    <w:rsid w:val="00900297"/>
    <w:rsid w:val="009143CA"/>
    <w:rsid w:val="00922C91"/>
    <w:rsid w:val="009547F1"/>
    <w:rsid w:val="00961F83"/>
    <w:rsid w:val="00985345"/>
    <w:rsid w:val="00990A33"/>
    <w:rsid w:val="009938ED"/>
    <w:rsid w:val="00995CB7"/>
    <w:rsid w:val="009A4040"/>
    <w:rsid w:val="009B3764"/>
    <w:rsid w:val="009C289A"/>
    <w:rsid w:val="009F455B"/>
    <w:rsid w:val="00A02D2B"/>
    <w:rsid w:val="00A02DD0"/>
    <w:rsid w:val="00A1462C"/>
    <w:rsid w:val="00A16468"/>
    <w:rsid w:val="00A24D5B"/>
    <w:rsid w:val="00A4118A"/>
    <w:rsid w:val="00A41698"/>
    <w:rsid w:val="00A4417C"/>
    <w:rsid w:val="00A81571"/>
    <w:rsid w:val="00A82BBC"/>
    <w:rsid w:val="00A872D0"/>
    <w:rsid w:val="00A87EDD"/>
    <w:rsid w:val="00AA3E78"/>
    <w:rsid w:val="00AD02D9"/>
    <w:rsid w:val="00AD29BA"/>
    <w:rsid w:val="00B10299"/>
    <w:rsid w:val="00B332CD"/>
    <w:rsid w:val="00B33734"/>
    <w:rsid w:val="00B53A5C"/>
    <w:rsid w:val="00B60981"/>
    <w:rsid w:val="00B66AE1"/>
    <w:rsid w:val="00B6701E"/>
    <w:rsid w:val="00B674AB"/>
    <w:rsid w:val="00B84E8F"/>
    <w:rsid w:val="00B85B24"/>
    <w:rsid w:val="00B933B2"/>
    <w:rsid w:val="00BC1211"/>
    <w:rsid w:val="00BE234D"/>
    <w:rsid w:val="00BE7DB2"/>
    <w:rsid w:val="00C019E9"/>
    <w:rsid w:val="00C101D3"/>
    <w:rsid w:val="00C5067C"/>
    <w:rsid w:val="00C50FF6"/>
    <w:rsid w:val="00C73153"/>
    <w:rsid w:val="00C926D1"/>
    <w:rsid w:val="00CA6902"/>
    <w:rsid w:val="00CB3504"/>
    <w:rsid w:val="00CB6214"/>
    <w:rsid w:val="00CC6E49"/>
    <w:rsid w:val="00CE271D"/>
    <w:rsid w:val="00D01A92"/>
    <w:rsid w:val="00D06542"/>
    <w:rsid w:val="00D20712"/>
    <w:rsid w:val="00D57059"/>
    <w:rsid w:val="00D57E94"/>
    <w:rsid w:val="00D670F9"/>
    <w:rsid w:val="00D7557E"/>
    <w:rsid w:val="00D82B07"/>
    <w:rsid w:val="00DA2603"/>
    <w:rsid w:val="00DB7D33"/>
    <w:rsid w:val="00DC7D8C"/>
    <w:rsid w:val="00DD087B"/>
    <w:rsid w:val="00DE7ABF"/>
    <w:rsid w:val="00DF4098"/>
    <w:rsid w:val="00E04ACD"/>
    <w:rsid w:val="00E0532A"/>
    <w:rsid w:val="00E05AE7"/>
    <w:rsid w:val="00E2436F"/>
    <w:rsid w:val="00E512DF"/>
    <w:rsid w:val="00E801BF"/>
    <w:rsid w:val="00E910B3"/>
    <w:rsid w:val="00E91D83"/>
    <w:rsid w:val="00E9653B"/>
    <w:rsid w:val="00EA50B1"/>
    <w:rsid w:val="00EA786D"/>
    <w:rsid w:val="00EB2A2C"/>
    <w:rsid w:val="00EC35DD"/>
    <w:rsid w:val="00F072DF"/>
    <w:rsid w:val="00F1256B"/>
    <w:rsid w:val="00F22AEC"/>
    <w:rsid w:val="00F26772"/>
    <w:rsid w:val="00F52FF3"/>
    <w:rsid w:val="00F86451"/>
    <w:rsid w:val="00FA28E8"/>
    <w:rsid w:val="00FA3E90"/>
    <w:rsid w:val="00FC193C"/>
    <w:rsid w:val="00FC1CEC"/>
    <w:rsid w:val="00FE4573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1340C7D"/>
  <w15:chartTrackingRefBased/>
  <w15:docId w15:val="{4EBAEBE4-2D51-4E3C-A88F-932CC374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F06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80F06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80F06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280F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80F06"/>
    <w:pPr>
      <w:jc w:val="center"/>
    </w:pPr>
    <w:rPr>
      <w:sz w:val="24"/>
    </w:rPr>
  </w:style>
  <w:style w:type="paragraph" w:styleId="BodyText">
    <w:name w:val="Body Text"/>
    <w:basedOn w:val="Normal"/>
    <w:link w:val="BodyTextChar"/>
    <w:uiPriority w:val="99"/>
    <w:rsid w:val="00280F06"/>
    <w:pPr>
      <w:jc w:val="center"/>
    </w:pPr>
    <w:rPr>
      <w:b/>
      <w:sz w:val="24"/>
    </w:rPr>
  </w:style>
  <w:style w:type="character" w:styleId="Hyperlink">
    <w:name w:val="Hyperlink"/>
    <w:rsid w:val="00280F0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80F06"/>
  </w:style>
  <w:style w:type="paragraph" w:styleId="Footer">
    <w:name w:val="footer"/>
    <w:basedOn w:val="Normal"/>
    <w:rsid w:val="00280F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0F06"/>
  </w:style>
  <w:style w:type="paragraph" w:styleId="Header">
    <w:name w:val="header"/>
    <w:basedOn w:val="Normal"/>
    <w:rsid w:val="00280F0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80F06"/>
    <w:pPr>
      <w:spacing w:after="120"/>
      <w:ind w:left="360"/>
    </w:pPr>
  </w:style>
  <w:style w:type="paragraph" w:customStyle="1" w:styleId="CharCharCarCharCharChar">
    <w:name w:val="Char Char Car Char Char Char"/>
    <w:basedOn w:val="Normal"/>
    <w:next w:val="Normal"/>
    <w:rsid w:val="00280F06"/>
    <w:pPr>
      <w:spacing w:after="160" w:line="240" w:lineRule="exact"/>
    </w:pPr>
    <w:rPr>
      <w:rFonts w:ascii="Tahoma" w:hAnsi="Tahoma"/>
      <w:sz w:val="24"/>
    </w:rPr>
  </w:style>
  <w:style w:type="paragraph" w:customStyle="1" w:styleId="CharCharCar">
    <w:name w:val="Char Char Car"/>
    <w:basedOn w:val="Normal"/>
    <w:next w:val="Normal"/>
    <w:rsid w:val="00280F06"/>
    <w:pPr>
      <w:spacing w:after="160" w:line="240" w:lineRule="exact"/>
    </w:pPr>
    <w:rPr>
      <w:rFonts w:ascii="Tahoma" w:hAnsi="Tahoma"/>
      <w:sz w:val="24"/>
    </w:rPr>
  </w:style>
  <w:style w:type="character" w:styleId="CommentReference">
    <w:name w:val="annotation reference"/>
    <w:rsid w:val="00280F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0F06"/>
  </w:style>
  <w:style w:type="character" w:customStyle="1" w:styleId="CommentTextChar">
    <w:name w:val="Comment Text Char"/>
    <w:link w:val="CommentText"/>
    <w:rsid w:val="00280F06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280F06"/>
    <w:rPr>
      <w:b/>
      <w:bCs/>
    </w:rPr>
  </w:style>
  <w:style w:type="character" w:customStyle="1" w:styleId="CommentSubjectChar">
    <w:name w:val="Comment Subject Char"/>
    <w:link w:val="CommentSubject"/>
    <w:rsid w:val="00280F06"/>
    <w:rPr>
      <w:b/>
      <w:bCs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280F06"/>
    <w:pPr>
      <w:ind w:left="720"/>
    </w:pPr>
  </w:style>
  <w:style w:type="paragraph" w:styleId="NormalWeb">
    <w:name w:val="Normal (Web)"/>
    <w:basedOn w:val="Normal"/>
    <w:uiPriority w:val="99"/>
    <w:unhideWhenUsed/>
    <w:rsid w:val="00280F06"/>
    <w:pPr>
      <w:spacing w:before="100" w:beforeAutospacing="1" w:after="100" w:afterAutospacing="1"/>
    </w:pPr>
    <w:rPr>
      <w:rFonts w:ascii="Times" w:hAnsi="Times"/>
    </w:rPr>
  </w:style>
  <w:style w:type="character" w:styleId="FollowedHyperlink">
    <w:name w:val="FollowedHyperlink"/>
    <w:rsid w:val="00280F06"/>
    <w:rPr>
      <w:color w:val="800080"/>
      <w:u w:val="single"/>
    </w:rPr>
  </w:style>
  <w:style w:type="character" w:customStyle="1" w:styleId="contenido1">
    <w:name w:val="contenido1"/>
    <w:rsid w:val="00990A33"/>
    <w:rPr>
      <w:rFonts w:ascii="Verdana" w:hAnsi="Verdana" w:hint="default"/>
      <w:color w:val="333333"/>
      <w:sz w:val="17"/>
      <w:szCs w:val="17"/>
    </w:rPr>
  </w:style>
  <w:style w:type="character" w:customStyle="1" w:styleId="Heading3Char">
    <w:name w:val="Heading 3 Char"/>
    <w:link w:val="Heading3"/>
    <w:semiHidden/>
    <w:locked/>
    <w:rsid w:val="0041133A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PageNumber1">
    <w:name w:val="Page Number1"/>
    <w:rsid w:val="0035780A"/>
  </w:style>
  <w:style w:type="paragraph" w:customStyle="1" w:styleId="Heading31">
    <w:name w:val="Heading 31"/>
    <w:next w:val="Normal"/>
    <w:uiPriority w:val="99"/>
    <w:rsid w:val="0035780A"/>
    <w:pPr>
      <w:keepNext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before="240" w:after="60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lang w:val="en-US" w:eastAsia="en-US"/>
    </w:rPr>
  </w:style>
  <w:style w:type="numbering" w:customStyle="1" w:styleId="ImportedStyle2">
    <w:name w:val="Imported Style 2"/>
    <w:rsid w:val="0035780A"/>
    <w:pPr>
      <w:numPr>
        <w:numId w:val="27"/>
      </w:numPr>
    </w:pPr>
  </w:style>
  <w:style w:type="paragraph" w:styleId="BalloonText">
    <w:name w:val="Balloon Text"/>
    <w:basedOn w:val="Normal"/>
    <w:link w:val="BalloonTextChar"/>
    <w:rsid w:val="00E05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05AE7"/>
    <w:rPr>
      <w:rFonts w:ascii="Segoe UI" w:hAnsi="Segoe UI" w:cs="Segoe UI"/>
      <w:sz w:val="18"/>
      <w:szCs w:val="18"/>
    </w:rPr>
  </w:style>
  <w:style w:type="character" w:styleId="FootnoteReference">
    <w:name w:val="footnote reference"/>
    <w:uiPriority w:val="99"/>
    <w:rsid w:val="003601F3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7A444D"/>
    <w:rPr>
      <w:sz w:val="24"/>
      <w:u w:val="single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444D"/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A444D"/>
    <w:rPr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28E6FC-7FC7-4B2A-A914-A7982BF7F3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FBA5BF-735A-4AF9-90E0-52A0FF20E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9D7955-425E-4CF3-8297-0BD54C815051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89f4cd83-a2d3-4405-9b45-6aff5241ff81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1229</Words>
  <Characters>6892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CONVENCIÓN INTERAMERICANA CONTRA</vt:lpstr>
      <vt:lpstr>CONVENCIÓN INTERAMERICANA CONTRA</vt:lpstr>
    </vt:vector>
  </TitlesOfParts>
  <Company>OAS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CONVENCIÓN INTERAMERICANA CONTRA</dc:title>
  <dc:subject/>
  <dc:creator>Michael Bejos</dc:creator>
  <cp:keywords/>
  <dc:description/>
  <cp:lastModifiedBy>Lobaton, Ursula</cp:lastModifiedBy>
  <cp:revision>4</cp:revision>
  <cp:lastPrinted>2016-05-17T15:56:00Z</cp:lastPrinted>
  <dcterms:created xsi:type="dcterms:W3CDTF">2021-01-13T20:45:00Z</dcterms:created>
  <dcterms:modified xsi:type="dcterms:W3CDTF">2021-01-28T17:00:00Z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