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DCFE8" w14:textId="77777777" w:rsidR="000A3E59" w:rsidRDefault="000A3E59" w:rsidP="000A3E59">
      <w:pPr>
        <w:tabs>
          <w:tab w:val="clear" w:pos="6480"/>
        </w:tabs>
        <w:suppressAutoHyphens/>
        <w:ind w:right="-720"/>
        <w:rPr>
          <w:rFonts w:cs="Times New Roman"/>
          <w:spacing w:val="-2"/>
          <w:lang w:val="pt-BR"/>
        </w:rPr>
      </w:pPr>
      <w:r>
        <w:rPr>
          <w:rFonts w:cs="Times New Roman"/>
          <w:caps/>
          <w:lang w:val="pt-BR"/>
        </w:rPr>
        <w:t>CONVENÇÃO INTERAMERICANA CONTRA</w:t>
      </w:r>
      <w:r>
        <w:rPr>
          <w:rFonts w:cs="Times New Roman"/>
          <w:spacing w:val="-2"/>
          <w:lang w:val="pt-BR"/>
        </w:rPr>
        <w:tab/>
      </w:r>
      <w:r>
        <w:rPr>
          <w:rFonts w:cs="Times New Roman"/>
          <w:spacing w:val="-2"/>
          <w:lang w:val="pt-BR"/>
        </w:rPr>
        <w:tab/>
        <w:t>OEA/Ser.L/</w:t>
      </w:r>
      <w:r>
        <w:rPr>
          <w:rFonts w:cs="Times New Roman"/>
          <w:lang w:val="pt-BR"/>
        </w:rPr>
        <w:t xml:space="preserve"> </w:t>
      </w:r>
      <w:r>
        <w:rPr>
          <w:rFonts w:cs="Times New Roman"/>
          <w:spacing w:val="-2"/>
          <w:lang w:val="pt-BR"/>
        </w:rPr>
        <w:t>XXII.2.20</w:t>
      </w:r>
    </w:p>
    <w:p w14:paraId="1EADA849" w14:textId="1710B8B0" w:rsidR="000A3E59" w:rsidRDefault="000A3E59" w:rsidP="000A3E59">
      <w:pPr>
        <w:tabs>
          <w:tab w:val="clear" w:pos="6480"/>
        </w:tabs>
        <w:suppressAutoHyphens/>
        <w:ind w:right="-929"/>
        <w:rPr>
          <w:rFonts w:cs="Times New Roman"/>
          <w:lang w:val="pt-BR"/>
        </w:rPr>
      </w:pPr>
      <w:r>
        <w:rPr>
          <w:rFonts w:cs="Times New Roman"/>
          <w:spacing w:val="-2"/>
          <w:lang w:val="pt-BR"/>
        </w:rPr>
        <w:t xml:space="preserve">A </w:t>
      </w:r>
      <w:r>
        <w:rPr>
          <w:rFonts w:cs="Times New Roman"/>
          <w:caps/>
          <w:lang w:val="pt-BR"/>
        </w:rPr>
        <w:t>FABRICAÇÃO E O TRÁFICO ILÍCITOS</w:t>
      </w:r>
      <w:r>
        <w:rPr>
          <w:rFonts w:cs="Times New Roman"/>
          <w:caps/>
          <w:lang w:val="pt-BR"/>
        </w:rPr>
        <w:tab/>
      </w:r>
      <w:r>
        <w:rPr>
          <w:rFonts w:cs="Times New Roman"/>
          <w:caps/>
          <w:lang w:val="pt-BR"/>
        </w:rPr>
        <w:tab/>
      </w:r>
      <w:r>
        <w:rPr>
          <w:rFonts w:cs="Times New Roman"/>
          <w:caps/>
          <w:lang w:val="pt-BR"/>
        </w:rPr>
        <w:tab/>
      </w:r>
      <w:r>
        <w:rPr>
          <w:rFonts w:cs="Times New Roman"/>
          <w:spacing w:val="-2"/>
          <w:lang w:val="pt-BR"/>
        </w:rPr>
        <w:t>CIFTA/CC-XX/</w:t>
      </w:r>
      <w:r w:rsidR="0096732B">
        <w:rPr>
          <w:rFonts w:cs="Times New Roman"/>
          <w:spacing w:val="-2"/>
          <w:lang w:val="pt-BR"/>
        </w:rPr>
        <w:t>doc</w:t>
      </w:r>
      <w:r>
        <w:rPr>
          <w:rFonts w:cs="Times New Roman"/>
          <w:spacing w:val="-2"/>
          <w:lang w:val="pt-BR"/>
        </w:rPr>
        <w:t>.</w:t>
      </w:r>
      <w:r w:rsidR="0096732B">
        <w:rPr>
          <w:rFonts w:cs="Times New Roman"/>
          <w:spacing w:val="-2"/>
          <w:lang w:val="pt-BR"/>
        </w:rPr>
        <w:t>13</w:t>
      </w:r>
      <w:r>
        <w:rPr>
          <w:rFonts w:cs="Times New Roman"/>
          <w:spacing w:val="-2"/>
          <w:lang w:val="pt-BR"/>
        </w:rPr>
        <w:t>/2</w:t>
      </w:r>
      <w:r w:rsidR="0096732B">
        <w:rPr>
          <w:rFonts w:cs="Times New Roman"/>
          <w:spacing w:val="-2"/>
          <w:lang w:val="pt-BR"/>
        </w:rPr>
        <w:t>1</w:t>
      </w:r>
      <w:r w:rsidR="0096732B" w:rsidRPr="0096732B">
        <w:rPr>
          <w:rFonts w:cs="Times New Roman"/>
          <w:spacing w:val="-2"/>
          <w:vertAlign w:val="superscript"/>
          <w:lang w:val="pt-BR"/>
        </w:rPr>
        <w:t>1/</w:t>
      </w:r>
    </w:p>
    <w:p w14:paraId="071DCA6C" w14:textId="52A389F7" w:rsidR="000A3E59" w:rsidRDefault="000A3E59" w:rsidP="000A3E59">
      <w:pPr>
        <w:tabs>
          <w:tab w:val="clear" w:pos="6480"/>
        </w:tabs>
        <w:suppressAutoHyphens/>
        <w:ind w:right="-720"/>
        <w:rPr>
          <w:rFonts w:cs="Times New Roman"/>
          <w:lang w:val="pt-BR"/>
        </w:rPr>
      </w:pPr>
      <w:r>
        <w:rPr>
          <w:rFonts w:cs="Times New Roman"/>
          <w:caps/>
          <w:lang w:val="pt-BR"/>
        </w:rPr>
        <w:t>DE ARMAS DE FOGO, munições, explosivos</w:t>
      </w:r>
      <w:r>
        <w:rPr>
          <w:rFonts w:cs="Times New Roman"/>
          <w:spacing w:val="-2"/>
          <w:lang w:val="pt-BR"/>
        </w:rPr>
        <w:tab/>
      </w:r>
      <w:r>
        <w:rPr>
          <w:rFonts w:cs="Times New Roman"/>
          <w:spacing w:val="-2"/>
          <w:lang w:val="pt-BR"/>
        </w:rPr>
        <w:tab/>
        <w:t>1</w:t>
      </w:r>
      <w:r w:rsidR="0096732B">
        <w:rPr>
          <w:rFonts w:cs="Times New Roman"/>
          <w:spacing w:val="-2"/>
          <w:lang w:val="pt-BR"/>
        </w:rPr>
        <w:t>5</w:t>
      </w:r>
      <w:r>
        <w:rPr>
          <w:rFonts w:cs="Times New Roman"/>
          <w:spacing w:val="-2"/>
          <w:lang w:val="pt-BR"/>
        </w:rPr>
        <w:t xml:space="preserve"> </w:t>
      </w:r>
      <w:r w:rsidR="0096732B">
        <w:rPr>
          <w:rFonts w:cs="Times New Roman"/>
          <w:spacing w:val="-2"/>
          <w:lang w:val="pt-BR"/>
        </w:rPr>
        <w:t>janeiro</w:t>
      </w:r>
      <w:r>
        <w:rPr>
          <w:rFonts w:cs="Times New Roman"/>
          <w:spacing w:val="-2"/>
          <w:lang w:val="pt-BR"/>
        </w:rPr>
        <w:t xml:space="preserve"> 202</w:t>
      </w:r>
      <w:r w:rsidR="0096732B">
        <w:rPr>
          <w:rFonts w:cs="Times New Roman"/>
          <w:spacing w:val="-2"/>
          <w:lang w:val="pt-BR"/>
        </w:rPr>
        <w:t>1</w:t>
      </w:r>
    </w:p>
    <w:p w14:paraId="1CEB32CE" w14:textId="77777777" w:rsidR="000A3E59" w:rsidRDefault="000A3E59" w:rsidP="000A3E59">
      <w:pPr>
        <w:tabs>
          <w:tab w:val="clear" w:pos="6480"/>
        </w:tabs>
        <w:ind w:right="-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 </w:t>
      </w:r>
      <w:r>
        <w:rPr>
          <w:rFonts w:cs="Times New Roman"/>
          <w:caps/>
          <w:lang w:val="pt-BR"/>
        </w:rPr>
        <w:t>outros MATERIAIS CORRELATOS (CIFTA)</w:t>
      </w:r>
      <w:r>
        <w:rPr>
          <w:rFonts w:cs="Times New Roman"/>
          <w:caps/>
          <w:lang w:val="pt-BR"/>
        </w:rPr>
        <w:tab/>
      </w:r>
      <w:r>
        <w:rPr>
          <w:rFonts w:cs="Times New Roman"/>
          <w:caps/>
          <w:lang w:val="pt-BR"/>
        </w:rPr>
        <w:tab/>
      </w:r>
      <w:r>
        <w:rPr>
          <w:rFonts w:cs="Times New Roman"/>
          <w:lang w:val="pt-BR"/>
        </w:rPr>
        <w:t>Original: espanhol</w:t>
      </w:r>
    </w:p>
    <w:p w14:paraId="0608CAB4" w14:textId="77777777" w:rsidR="000A3E59" w:rsidRDefault="000A3E59" w:rsidP="000A3E59">
      <w:pPr>
        <w:tabs>
          <w:tab w:val="left" w:pos="6840"/>
          <w:tab w:val="left" w:pos="7020"/>
        </w:tabs>
        <w:ind w:right="-720"/>
        <w:rPr>
          <w:rFonts w:cs="Times New Roman"/>
          <w:lang w:val="pt-BR"/>
        </w:rPr>
      </w:pPr>
      <w:r>
        <w:rPr>
          <w:rFonts w:cs="Times New Roman"/>
          <w:u w:val="single"/>
          <w:lang w:val="pt-BR"/>
        </w:rPr>
        <w:t>Comissão Consultiva</w:t>
      </w:r>
    </w:p>
    <w:p w14:paraId="1A5501E8" w14:textId="77777777" w:rsidR="000A3E59" w:rsidRDefault="000A3E59" w:rsidP="000A3E59">
      <w:pPr>
        <w:tabs>
          <w:tab w:val="left" w:pos="6840"/>
        </w:tabs>
        <w:suppressAutoHyphens/>
        <w:ind w:right="-720"/>
        <w:rPr>
          <w:rFonts w:cs="Times New Roman"/>
          <w:spacing w:val="-2"/>
          <w:lang w:val="pt-BR"/>
        </w:rPr>
      </w:pPr>
      <w:r>
        <w:rPr>
          <w:rFonts w:cs="Times New Roman"/>
          <w:u w:val="single"/>
          <w:lang w:val="pt-BR"/>
        </w:rPr>
        <w:t>Vigésima Reunião Ordinária</w:t>
      </w:r>
    </w:p>
    <w:p w14:paraId="4A36E2B1" w14:textId="77777777" w:rsidR="000A3E59" w:rsidRDefault="000A3E59" w:rsidP="000A3E59">
      <w:pPr>
        <w:tabs>
          <w:tab w:val="left" w:pos="6840"/>
        </w:tabs>
        <w:suppressAutoHyphens/>
        <w:ind w:right="-720"/>
        <w:rPr>
          <w:rFonts w:cs="Times New Roman"/>
          <w:lang w:val="pt-BR"/>
        </w:rPr>
      </w:pPr>
      <w:r>
        <w:rPr>
          <w:rFonts w:cs="Times New Roman"/>
          <w:spacing w:val="-2"/>
          <w:lang w:val="pt-BR"/>
        </w:rPr>
        <w:t>17 de dezembro de 2020</w:t>
      </w:r>
    </w:p>
    <w:p w14:paraId="36A39018" w14:textId="77777777" w:rsidR="000A3E59" w:rsidRDefault="000A3E59" w:rsidP="000A3E59">
      <w:pPr>
        <w:tabs>
          <w:tab w:val="left" w:pos="6840"/>
        </w:tabs>
        <w:suppressAutoHyphens/>
        <w:ind w:right="-720"/>
        <w:rPr>
          <w:rFonts w:cs="Times New Roman"/>
          <w:lang w:val="pt-BR"/>
        </w:rPr>
      </w:pPr>
      <w:r>
        <w:rPr>
          <w:rFonts w:cs="Times New Roman"/>
          <w:spacing w:val="-2"/>
          <w:lang w:val="pt-BR"/>
        </w:rPr>
        <w:t>Washington, D.C.</w:t>
      </w:r>
    </w:p>
    <w:p w14:paraId="3BDBC2DC" w14:textId="77777777" w:rsidR="000A3E59" w:rsidRDefault="000A3E59" w:rsidP="000A3E59">
      <w:pPr>
        <w:pStyle w:val="BodyText"/>
        <w:jc w:val="left"/>
        <w:rPr>
          <w:b w:val="0"/>
          <w:bCs w:val="0"/>
          <w:sz w:val="22"/>
          <w:szCs w:val="22"/>
          <w:lang w:val="pt-BR"/>
        </w:rPr>
      </w:pPr>
    </w:p>
    <w:p w14:paraId="78CF391A" w14:textId="77777777" w:rsidR="000A3E59" w:rsidRDefault="000A3E59" w:rsidP="000A3E59">
      <w:pPr>
        <w:pStyle w:val="BodyText"/>
        <w:jc w:val="left"/>
        <w:rPr>
          <w:b w:val="0"/>
          <w:bCs w:val="0"/>
          <w:sz w:val="22"/>
          <w:szCs w:val="22"/>
          <w:lang w:val="pt-BR"/>
        </w:rPr>
      </w:pPr>
    </w:p>
    <w:p w14:paraId="40CE89B7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4E860147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05EBEBCB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46C18CE8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0A478909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7560CF32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1DF9A275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0CDA2E8F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2938E570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06C6CA17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13438403" w14:textId="77777777" w:rsidR="000A3E59" w:rsidRDefault="000A3E59" w:rsidP="000A3E59">
      <w:pPr>
        <w:keepLines/>
        <w:jc w:val="center"/>
        <w:rPr>
          <w:rFonts w:cs="Times New Roman"/>
          <w:lang w:val="pt-BR"/>
        </w:rPr>
      </w:pPr>
    </w:p>
    <w:p w14:paraId="202C2EA6" w14:textId="77777777" w:rsidR="000A3E59" w:rsidRDefault="000A3E59" w:rsidP="000A3E59">
      <w:pPr>
        <w:widowControl/>
        <w:jc w:val="center"/>
        <w:rPr>
          <w:rFonts w:cs="Times New Roman"/>
          <w:b/>
          <w:bCs/>
          <w:caps/>
          <w:lang w:val="pt-BR"/>
        </w:rPr>
      </w:pPr>
    </w:p>
    <w:p w14:paraId="5A065BB0" w14:textId="77777777" w:rsidR="000A3E59" w:rsidRDefault="000A3E59" w:rsidP="000A3E59">
      <w:pPr>
        <w:widowControl/>
        <w:jc w:val="center"/>
        <w:rPr>
          <w:rFonts w:cs="Times New Roman"/>
          <w:b/>
          <w:bCs/>
          <w:caps/>
          <w:lang w:val="pt-BR"/>
        </w:rPr>
      </w:pPr>
    </w:p>
    <w:p w14:paraId="40F8506B" w14:textId="77777777" w:rsidR="000A3E59" w:rsidRDefault="000A3E59" w:rsidP="000A3E59">
      <w:pPr>
        <w:widowControl/>
        <w:jc w:val="center"/>
        <w:rPr>
          <w:rFonts w:cs="Times New Roman"/>
          <w:b/>
          <w:bCs/>
          <w:caps/>
          <w:lang w:val="pt-BR"/>
        </w:rPr>
      </w:pPr>
    </w:p>
    <w:p w14:paraId="1131FEC7" w14:textId="77777777" w:rsidR="000A3E59" w:rsidRDefault="000A3E59" w:rsidP="000A3E59">
      <w:pPr>
        <w:widowControl/>
        <w:jc w:val="center"/>
        <w:rPr>
          <w:rFonts w:cs="Times New Roman"/>
          <w:b/>
          <w:bCs/>
          <w:caps/>
          <w:lang w:val="pt-BR"/>
        </w:rPr>
      </w:pPr>
    </w:p>
    <w:p w14:paraId="4607CCF8" w14:textId="77777777" w:rsidR="000A3E59" w:rsidRDefault="000A3E59" w:rsidP="000A3E59">
      <w:pPr>
        <w:widowControl/>
        <w:jc w:val="center"/>
        <w:rPr>
          <w:rFonts w:cs="Times New Roman"/>
          <w:b/>
          <w:bCs/>
          <w:caps/>
          <w:lang w:val="pt-BR"/>
        </w:rPr>
      </w:pPr>
      <w:r>
        <w:rPr>
          <w:rFonts w:cs="Times New Roman"/>
          <w:lang w:val="pt-BR"/>
        </w:rPr>
        <w:t>RELATÓRIO SOBRE AS AÇÕES REALIZADAS PELA SECRETARIA TÉCNICA NA IMPLEMENTAÇÃO DA CONVENÇÃO INTERAMERICANA CONTRA A FABRICAÇÃO E O TRÁFICO ILÍCITOS DE ARMAS DE FOGO, MUNIÇÕES, EXPLOSIVOS E OUTROS MATERIAIS CORRELATOS (CIFTA)</w:t>
      </w:r>
    </w:p>
    <w:p w14:paraId="344F142C" w14:textId="77777777" w:rsidR="000A3E59" w:rsidRDefault="000A3E59" w:rsidP="000A3E59">
      <w:pPr>
        <w:widowControl/>
        <w:jc w:val="center"/>
        <w:rPr>
          <w:rFonts w:cs="Times New Roman"/>
          <w:caps/>
          <w:lang w:val="pt-BR"/>
        </w:rPr>
      </w:pPr>
    </w:p>
    <w:p w14:paraId="58C599CD" w14:textId="77777777" w:rsidR="000A3E59" w:rsidRDefault="000A3E59" w:rsidP="000A3E5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cs="Times New Roman"/>
          <w:b/>
          <w:bCs/>
          <w:caps/>
          <w:lang w:val="pt-BR"/>
        </w:rPr>
        <w:sectPr w:rsidR="000A3E59" w:rsidSect="00C675A6">
          <w:footerReference w:type="default" r:id="rId10"/>
          <w:footerReference w:type="first" r:id="rId11"/>
          <w:pgSz w:w="12240" w:h="15840"/>
          <w:pgMar w:top="2160" w:right="1570" w:bottom="1296" w:left="1699" w:header="1296" w:footer="1296" w:gutter="0"/>
          <w:pgNumType w:start="1"/>
          <w:cols w:space="720"/>
          <w:titlePg/>
          <w:docGrid w:linePitch="299"/>
        </w:sectPr>
      </w:pPr>
    </w:p>
    <w:p w14:paraId="2FAA21B2" w14:textId="77777777" w:rsidR="000A3E59" w:rsidRDefault="000A3E59" w:rsidP="000A3E59">
      <w:pPr>
        <w:widowControl/>
        <w:jc w:val="center"/>
        <w:rPr>
          <w:rFonts w:cs="Times New Roman"/>
          <w:lang w:val="pt-BR"/>
        </w:rPr>
      </w:pPr>
      <w:r>
        <w:rPr>
          <w:rFonts w:cs="Times New Roman"/>
          <w:b/>
          <w:bCs/>
          <w:caps/>
          <w:lang w:val="pt-BR"/>
        </w:rPr>
        <w:lastRenderedPageBreak/>
        <w:t>A</w:t>
      </w:r>
      <w:r>
        <w:rPr>
          <w:rFonts w:cs="Times New Roman"/>
          <w:lang w:val="pt-BR"/>
        </w:rPr>
        <w:t>ÇÕES REALIZADAS PELA SECRETARIA TÉCNICA NA</w:t>
      </w:r>
    </w:p>
    <w:p w14:paraId="2CDB636F" w14:textId="77777777" w:rsidR="000A3E59" w:rsidRDefault="000A3E59" w:rsidP="000A3E59">
      <w:pPr>
        <w:widowControl/>
        <w:jc w:val="center"/>
        <w:rPr>
          <w:rFonts w:cs="Times New Roman"/>
          <w:b/>
          <w:bCs/>
          <w:caps/>
          <w:lang w:val="pt-BR"/>
        </w:rPr>
      </w:pPr>
      <w:r>
        <w:rPr>
          <w:rFonts w:cs="Times New Roman"/>
          <w:lang w:val="pt-BR"/>
        </w:rPr>
        <w:t>IMPLEMENTAÇÃO DA CIFTA</w:t>
      </w:r>
    </w:p>
    <w:p w14:paraId="778274E2" w14:textId="77777777" w:rsidR="000A3E59" w:rsidRDefault="000A3E59" w:rsidP="000A3E59">
      <w:pPr>
        <w:widowControl/>
        <w:rPr>
          <w:rFonts w:cs="Times New Roman"/>
          <w:lang w:val="pt-BR"/>
        </w:rPr>
      </w:pPr>
    </w:p>
    <w:p w14:paraId="62CB00F4" w14:textId="77777777" w:rsidR="000A3E59" w:rsidRDefault="000A3E59" w:rsidP="000A3E59">
      <w:pPr>
        <w:widowControl/>
        <w:rPr>
          <w:rFonts w:cs="Times New Roman"/>
          <w:lang w:val="pt-BR"/>
        </w:rPr>
      </w:pPr>
    </w:p>
    <w:p w14:paraId="20F07E6A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>A Secretaria Técnica da Convenção Interamericana contra a Fabricação e o Tráfico Ilícitos de Armas de Fogo, Munições, Explosivos e Outros Materiais Correlatos (CIFTA), integrada pelo Departamento de Segurança Pública e pelo Departamento contra a Criminalidade Organizada Transnacional da Secretaria de Segurança Multidimensional da Organização dos Estados Americanos, tem a satisfação de apresentar este relatório sobre as atividades realizadas em 2020 relativas ao Curso de Ação vigente para o funcionamento e a implementação da CIFTA.</w:t>
      </w:r>
    </w:p>
    <w:p w14:paraId="452E5FF4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Conscientes da necessidade de continuar apoiando os Estados Partes no fortalecimento das suas capacidades para o cumprimento do Curso de Ação e das obrigações da CIFTA, a Secretaria Técnica formulou e implementou estratégias para: (i) melhorar as capacidades operacionais dos Estados Partes em temas de marcação, rastreamento, destruição e armazenamento de armas pequenas e armamento leve, munições e materiais correlatos; (ii) prestar assistência aos países na revisão legislativa das suas estruturas normativas sobre armas de fogo, considerando as obrigações e as normas da CIFTA; e (iii) aumentar as capacidades dos países na investigação dos delitos vinculados ao tráfico e à proliferação ilícitos de armas de fogo. </w:t>
      </w:r>
    </w:p>
    <w:p w14:paraId="1F23FD5E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Devido à pandemia da covid-19 e à gravidade da crise sanitária que afetou os países da região, a Secretaria Técnica enfrentou diversos desafios logísticos e operacionais para levar a cabo essas atividades em 2020. As medidas restritivas adotadas pelos países, entre as quais as limitações nas viagens, os fechamentos de fronteira e os </w:t>
      </w:r>
      <w:r>
        <w:rPr>
          <w:rFonts w:cs="Times New Roman"/>
          <w:i/>
          <w:iCs/>
          <w:lang w:val="pt-BR"/>
        </w:rPr>
        <w:t>lockdowns</w:t>
      </w:r>
      <w:r>
        <w:rPr>
          <w:rFonts w:cs="Times New Roman"/>
          <w:lang w:val="pt-BR"/>
        </w:rPr>
        <w:t>, dificultaram a execução de atividades operacionais no terreno. No entanto, a adoção de estratégias criativas nos nossos programas nos tornou possível impedir a interrupção completa das atividades e fazer avanços valiosos, como detalharemos abaixo, nos seguintes aspectos:</w:t>
      </w:r>
    </w:p>
    <w:p w14:paraId="42BBBDF0" w14:textId="77777777" w:rsidR="000A3E59" w:rsidRDefault="000A3E59" w:rsidP="000A3E59">
      <w:pPr>
        <w:pStyle w:val="ListParagraph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hanging="720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Projeto “Neutralizando a Proliferação e o Tráfico Ilícitos de Armas Pequenas e Armamento Leve e das Suas Munições e o Seu Impacto na América Latina e no Caribe”</w:t>
      </w:r>
    </w:p>
    <w:p w14:paraId="37728245" w14:textId="77777777" w:rsidR="000A3E59" w:rsidRDefault="000A3E59" w:rsidP="000A3E59">
      <w:pPr>
        <w:pStyle w:val="ListParagraph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hanging="720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Plano de Homicídios</w:t>
      </w:r>
    </w:p>
    <w:p w14:paraId="3EFC61FD" w14:textId="77777777" w:rsidR="000A3E59" w:rsidRDefault="000A3E59" w:rsidP="000A3E59">
      <w:pPr>
        <w:pStyle w:val="ListParagraph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hanging="720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Estudo hemisférico sobre o tráfico ilícito de armas de fogo pequenas e leves e de munições</w:t>
      </w:r>
    </w:p>
    <w:p w14:paraId="73480757" w14:textId="77777777" w:rsidR="000A3E59" w:rsidRDefault="000A3E59" w:rsidP="000A3E59">
      <w:pPr>
        <w:pStyle w:val="ListParagraph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hanging="720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Cooperação com outras organizações</w:t>
      </w:r>
    </w:p>
    <w:p w14:paraId="2D4E8C0B" w14:textId="77777777" w:rsidR="000A3E59" w:rsidRDefault="000A3E59" w:rsidP="000A3E59">
      <w:pPr>
        <w:pStyle w:val="ListParagraph"/>
        <w:widowControl/>
        <w:spacing w:after="120" w:line="360" w:lineRule="auto"/>
        <w:ind w:left="1440"/>
        <w:rPr>
          <w:rFonts w:cs="Times New Roman"/>
          <w:lang w:val="pt-BR"/>
        </w:rPr>
      </w:pPr>
    </w:p>
    <w:p w14:paraId="395F4A27" w14:textId="77777777" w:rsidR="000A3E59" w:rsidRDefault="000A3E59" w:rsidP="000A3E59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hanging="720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lastRenderedPageBreak/>
        <w:t>Projeto “Neutralizando a Proliferação e o Tráfico Ilícitos de Armas Pequenas e Armamento Leve e das Suas Munições e o Seu Impacto na América Latina e no Caribe”</w:t>
      </w:r>
    </w:p>
    <w:p w14:paraId="17AC90F0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</w:p>
    <w:p w14:paraId="524107B3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Em 2019, o Departamento de Segurança Pública, com o apoio financeiro da União Europeia, deu início à implementação do projeto “Neutralizando a Proliferação e o Tráfico Ilícitos de Armas Pequenas e Armamento Leve e das Suas Munições e o seu Impacto na América Latina e no Caribe”, que terminará em 2021. Esse programa integrado em matéria de controle de armas leva em conta as lições aprendidas nas iniciativas anteriores e aproveita os bons resultados do Programa de Assistência para o Controle de Armas e Munições, concluído em 2014, para continuar avançando na implementação da CIFTA. </w:t>
      </w:r>
    </w:p>
    <w:p w14:paraId="23D146EE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O projeto é integrado por cinco componentes: </w:t>
      </w:r>
    </w:p>
    <w:p w14:paraId="2E9AD754" w14:textId="77777777" w:rsidR="000A3E59" w:rsidRDefault="000A3E59" w:rsidP="000A3E59">
      <w:pPr>
        <w:pStyle w:val="ListParagraph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40" w:hanging="720"/>
        <w:rPr>
          <w:rFonts w:cs="Times New Roman"/>
          <w:lang w:val="pt-BR"/>
        </w:rPr>
      </w:pPr>
      <w:r>
        <w:rPr>
          <w:rFonts w:cs="Times New Roman"/>
          <w:lang w:val="pt-BR"/>
        </w:rPr>
        <w:t>Segurança física e gestão de arsenais</w:t>
      </w:r>
    </w:p>
    <w:p w14:paraId="05437435" w14:textId="77777777" w:rsidR="000A3E59" w:rsidRDefault="000A3E59" w:rsidP="000A3E59">
      <w:pPr>
        <w:pStyle w:val="ListParagraph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40" w:hanging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Marcação e rastreamento de armas pequenas e armamento leve </w:t>
      </w:r>
    </w:p>
    <w:p w14:paraId="07CDBBB2" w14:textId="77777777" w:rsidR="000A3E59" w:rsidRDefault="000A3E59" w:rsidP="000A3E59">
      <w:pPr>
        <w:pStyle w:val="ListParagraph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40" w:hanging="720"/>
        <w:rPr>
          <w:rFonts w:cs="Times New Roman"/>
          <w:lang w:val="pt-BR"/>
        </w:rPr>
      </w:pPr>
      <w:r>
        <w:rPr>
          <w:rFonts w:cs="Times New Roman"/>
          <w:lang w:val="pt-BR"/>
        </w:rPr>
        <w:t>Destruição de armas pequenas e armamento leve e munições</w:t>
      </w:r>
    </w:p>
    <w:p w14:paraId="7AA6561B" w14:textId="77777777" w:rsidR="000A3E59" w:rsidRDefault="000A3E59" w:rsidP="000A3E59">
      <w:pPr>
        <w:pStyle w:val="ListParagraph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40" w:hanging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Mecanismos de transferência e cooperação </w:t>
      </w:r>
    </w:p>
    <w:p w14:paraId="5A423DB9" w14:textId="77777777" w:rsidR="000A3E59" w:rsidRDefault="000A3E59" w:rsidP="000A3E59">
      <w:pPr>
        <w:pStyle w:val="ListParagraph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360" w:lineRule="auto"/>
        <w:ind w:left="1440" w:hanging="720"/>
        <w:rPr>
          <w:rFonts w:cs="Times New Roman"/>
          <w:lang w:val="pt-BR"/>
        </w:rPr>
      </w:pPr>
      <w:r>
        <w:rPr>
          <w:rFonts w:cs="Times New Roman"/>
          <w:lang w:val="pt-BR"/>
        </w:rPr>
        <w:t>Prevenção da violência armada</w:t>
      </w:r>
    </w:p>
    <w:p w14:paraId="3A46BC0C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Temos a satisfação de apresentar a seguir os principais resultados alcançados até esta data para cada um desses componentes que apoiam concreta e significativamente os países da região no cumprimento dos compromissos contraídos no âmbito da Convenção. </w:t>
      </w:r>
    </w:p>
    <w:p w14:paraId="46A8EA08" w14:textId="77777777" w:rsidR="000A3E59" w:rsidRDefault="000A3E59" w:rsidP="000A3E59">
      <w:pPr>
        <w:widowControl/>
        <w:spacing w:before="240" w:after="120" w:line="360" w:lineRule="auto"/>
        <w:ind w:firstLine="720"/>
        <w:rPr>
          <w:rFonts w:cs="Times New Roman"/>
          <w:i/>
          <w:iCs/>
          <w:lang w:val="pt-BR"/>
        </w:rPr>
      </w:pPr>
      <w:r>
        <w:rPr>
          <w:rFonts w:cs="Times New Roman"/>
          <w:i/>
          <w:iCs/>
          <w:lang w:val="pt-BR"/>
        </w:rPr>
        <w:t>Segurança física e gestão de arsenais (SFGA)</w:t>
      </w:r>
    </w:p>
    <w:p w14:paraId="59270E4B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Esse componente tem por objetivo fortalecer a capacidade dos países na manutenção dos arsenais nacionais de acordo com as normas internacionais, a fim de se evitar desvios e acidentes, como a terrível explosão que vimos no Líbano neste ano. Para essa finalidade, realizamos dois seminários regionais sobre boas práticas em segurança física e gestão de arsenais: um na Guatemala em dezembro de 2019, focado nos países da América Latina, e outro virtual em novembro de 2020, o qual priorizou os países do Caribe e foi implementado em cooperação com a CARICOM-IMPACS. </w:t>
      </w:r>
    </w:p>
    <w:p w14:paraId="4A5C47D6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Os seminários foram ministrados por peritos de seis organizações, os quais, com amplo conhecimento na área, abordaram diferentes temas e normas internacionais na matéria. As autoridades dos países participantes tiveram a oportunidade de apresentar a situação nacional mais atualizada e trocar informações sobre os desafios enfrentados. No total, capacitamos 125 funcionários de 18 países. </w:t>
      </w:r>
    </w:p>
    <w:p w14:paraId="513CA87E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Além dos seminários regionais, </w:t>
      </w:r>
      <w:r>
        <w:rPr>
          <w:rFonts w:eastAsia="Times New Roman" w:cs="Times New Roman"/>
          <w:lang w:val="pt-BR"/>
        </w:rPr>
        <w:t xml:space="preserve">55 funcionários do Peru, do Equador e de El Salvador receberam capacitação em áreas específicas de segurança física e gestão de arsenais. No âmbito dessas </w:t>
      </w:r>
      <w:r>
        <w:rPr>
          <w:rFonts w:eastAsia="Times New Roman" w:cs="Times New Roman"/>
          <w:lang w:val="pt-BR"/>
        </w:rPr>
        <w:lastRenderedPageBreak/>
        <w:t>capacitações nacionais, foram realizadas avaliações técnicas sobre a situação de depósitos de armas em cada um desses países com vistas a melhorias em conformidade com as normas internacionais.</w:t>
      </w:r>
    </w:p>
    <w:p w14:paraId="1F18DC1E" w14:textId="77777777" w:rsidR="000A3E59" w:rsidRDefault="000A3E59" w:rsidP="000A3E59">
      <w:pPr>
        <w:widowControl/>
        <w:spacing w:before="240" w:after="120" w:line="360" w:lineRule="auto"/>
        <w:ind w:firstLine="720"/>
        <w:rPr>
          <w:rFonts w:cs="Times New Roman"/>
          <w:i/>
          <w:iCs/>
          <w:lang w:val="pt-BR"/>
        </w:rPr>
      </w:pPr>
      <w:r>
        <w:rPr>
          <w:rFonts w:cs="Times New Roman"/>
          <w:i/>
          <w:iCs/>
          <w:lang w:val="pt-BR"/>
        </w:rPr>
        <w:t>Marcação e rastreamento de armas pequenas e armamento leve (APAL)</w:t>
      </w:r>
    </w:p>
    <w:p w14:paraId="17C1256C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Esse componente visa a melhorar a capacidade nacional em marcação e rastreamento de APAL e fomentar a cooperação regional nesse tema. </w:t>
      </w:r>
    </w:p>
    <w:p w14:paraId="67C54E63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Apesar do impacto das medidas restritivas de combate à covid-19 nas atividades desse componente, que são sumamente operacionais e requerem visitas e trabalho </w:t>
      </w:r>
      <w:r>
        <w:rPr>
          <w:rFonts w:cs="Times New Roman"/>
          <w:i/>
          <w:iCs/>
          <w:lang w:val="pt-BR"/>
        </w:rPr>
        <w:t>in situ</w:t>
      </w:r>
      <w:r>
        <w:rPr>
          <w:rFonts w:cs="Times New Roman"/>
          <w:lang w:val="pt-BR"/>
        </w:rPr>
        <w:t xml:space="preserve">, conseguiu-se oferecer capacitação e assistência técnica a seis países da região. Foram capacitados no tema 84 funcionários nacionais de Guatemala, El Salvador, Honduras, Guiana, Bolívia e Peru. Também foram identificadas e obtidas máquinas de marcação, as quais serão oportunamente doadas aos países que delas necessitarem em 2021, quando as viagens forem restabelecidas. </w:t>
      </w:r>
    </w:p>
    <w:p w14:paraId="175D27F9" w14:textId="77777777" w:rsidR="000A3E59" w:rsidRDefault="000A3E59" w:rsidP="000A3E59">
      <w:pPr>
        <w:widowControl/>
        <w:spacing w:before="240" w:after="120" w:line="360" w:lineRule="auto"/>
        <w:ind w:firstLine="720"/>
        <w:rPr>
          <w:rFonts w:cs="Times New Roman"/>
          <w:i/>
          <w:iCs/>
          <w:lang w:val="pt-BR"/>
        </w:rPr>
      </w:pPr>
      <w:r>
        <w:rPr>
          <w:rFonts w:cs="Times New Roman"/>
          <w:i/>
          <w:iCs/>
          <w:lang w:val="pt-BR"/>
        </w:rPr>
        <w:t xml:space="preserve">Destruição de APAL e munições </w:t>
      </w:r>
    </w:p>
    <w:p w14:paraId="6BD34688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Esse componente, que tem por objetivo reforçar as capacidades nacionais para a destruição de APAL apreendidas, inseguras ou em excesso, também teve a sua implementação particularmente afetada pela pandemia da covid-19. </w:t>
      </w:r>
    </w:p>
    <w:p w14:paraId="2345CFC3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>No entanto, desde o início do projeto 77 funcionários foram capacitados em destruição de armas e munições no Peru e na Costa Rica. O projeto apoiou a destruição e a certificação de 13.363 APAL e 341.186 munições, em conformidade com as boas práticas internacionais.</w:t>
      </w:r>
    </w:p>
    <w:p w14:paraId="48402529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>Além disso, no âmbito do Acordo assinado com o Ministério da Defesa da Espanha, 30 participantes entre militares, policiais e civis de 12 países da América Latina e do Caribe (Brasil, Colômbia, Equador, El Salvador, Guatemala, Honduras, Peru, República Dominicana, México, Costa Rica, Uruguai e Panamá) foram certificados em nível EOD 3 no Centro Internacional de Remoção Humanitária de Minas de Hoyo de Manzanares.</w:t>
      </w:r>
    </w:p>
    <w:p w14:paraId="5FDE6E02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</w:p>
    <w:p w14:paraId="732F33F1" w14:textId="77777777" w:rsidR="000A3E59" w:rsidRDefault="000A3E59" w:rsidP="000A3E59">
      <w:pPr>
        <w:widowControl/>
        <w:spacing w:before="240" w:after="120" w:line="360" w:lineRule="auto"/>
        <w:ind w:firstLine="720"/>
        <w:rPr>
          <w:rFonts w:cs="Times New Roman"/>
          <w:i/>
          <w:iCs/>
          <w:lang w:val="pt-BR"/>
        </w:rPr>
      </w:pPr>
      <w:r>
        <w:rPr>
          <w:rFonts w:cs="Times New Roman"/>
          <w:i/>
          <w:iCs/>
          <w:lang w:val="pt-BR"/>
        </w:rPr>
        <w:t>Mecanismos de transferência e cooperação</w:t>
      </w:r>
    </w:p>
    <w:p w14:paraId="74E88FFF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Esse componente visa a promover a cooperação regional e o intercâmbio de informações mediante a melhoria dos mecanismos de transferência e do assessoramento jurídico aos países para harmonizar a legislação doméstica com as normas internacionais. </w:t>
      </w:r>
    </w:p>
    <w:p w14:paraId="18E915C3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lastRenderedPageBreak/>
        <w:t xml:space="preserve">Com o propósito de oferecer uma ferramenta </w:t>
      </w:r>
      <w:r>
        <w:rPr>
          <w:rFonts w:eastAsia="MS Mincho" w:cs="Times New Roman"/>
          <w:spacing w:val="-3"/>
          <w:lang w:val="pt-BR"/>
        </w:rPr>
        <w:t>de apoio para dar acesso às informações sobre diversos temas relacionados ao controle de armas e munições e fomentar o seu intercâmbio, estabeleceu-se a Comunidade Virtual. F</w:t>
      </w:r>
      <w:r>
        <w:rPr>
          <w:rFonts w:cs="Times New Roman"/>
          <w:lang w:val="pt-BR"/>
        </w:rPr>
        <w:t>oram registrados 11 países e 16 pontos de contato nacionais.</w:t>
      </w:r>
    </w:p>
    <w:p w14:paraId="40F49183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Também foram elaboradas as diretrizes de um mecanismo de comunicação transfronteiriço e regional para troca de informações sobre transações lícitas de importação e exportação de armas de fogo. O objetivo é permitir que os Estados Partes na CIFTA possam intercambiar informações expeditas sobre a exportação, a importação e o trânsito de APAL e de seus componentes e munições e identificar rapidamente possíveis vulnerabilidades e riscos de desvio para o mercado ilícito nesses processos. Essa proposta de mecanismo será apresentada aos Estados Partes na CIFTA para a sua revisão e validação no primeiro semestre de 2021. </w:t>
      </w:r>
    </w:p>
    <w:p w14:paraId="017F26DC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Além disso, no âmbito da assistência jurídica, proporcionamos apoio técnico ao fortalecimento e aperfeiçoamento das estruturas normativas de armas de fogo de três países: Peru, Equador e Jamaica. Prestou-se assistência ao Peru na elaboração de uma diretiva relacionada à regulamentação das condições e medidas de segurança das instalações de armazenamento de explosivos e materiais correlatos. Oferecemos contribuições e comentários ao Equador para harmonizar a sua Lei de Armas com os mandatos assumidos na CIFTA. Também analisamos o Projeto de Emenda à Lei de Armas da Jamaica levando em consideração as obrigações da CIFTA com vistas a uma possível ratificação da Convenção pelo país. </w:t>
      </w:r>
    </w:p>
    <w:p w14:paraId="0602785A" w14:textId="77777777" w:rsidR="000A3E59" w:rsidRDefault="000A3E59" w:rsidP="000A3E59">
      <w:pPr>
        <w:widowControl/>
        <w:spacing w:before="240" w:after="120" w:line="360" w:lineRule="auto"/>
        <w:ind w:firstLine="720"/>
        <w:rPr>
          <w:rFonts w:cs="Times New Roman"/>
          <w:i/>
          <w:iCs/>
          <w:lang w:val="pt-BR"/>
        </w:rPr>
      </w:pPr>
      <w:r>
        <w:rPr>
          <w:rFonts w:cs="Times New Roman"/>
          <w:i/>
          <w:iCs/>
          <w:lang w:val="pt-BR"/>
        </w:rPr>
        <w:t xml:space="preserve">Prevenção da violência armada </w:t>
      </w:r>
    </w:p>
    <w:p w14:paraId="27CFD18A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Esse componente inovador foi incorporado ao projeto ao se reconhecer a ineficiência das ações repressivas e de controle do ciclo de armas de fogo quando estas não são acompanhadas por atividades para impedir o uso de armas de fogo na resolução de conflitos e o envolvimento de grupos em situação de vulnerabilidade em violência armada. Para isso, esse componente piloto tem o objetivo de construir capacidades no nível comunitário e promover condutas de responsabilidade social mediante a capacitação de atores locais e o desenvolvimento de habilidades para a vida de crianças em situação de vulnerabilidade por meio de atividades extracurriculares diárias do programa OASIS – Música para a Prevenção da Violência. O componente é implementado em comunidades de dois países: Honduras e El Salvador. </w:t>
      </w:r>
    </w:p>
    <w:p w14:paraId="6AA66CFC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Em 2020, elaborou-se a metodologia OASIS de ensino para aulas virtuais de orquestra e coro, dada a impossibilidade de se realizar aulas presenciais. Também estão sendo elaborados módulos de capacitação em temas de prevenção da violência juvenil e intrafamiliar na ONG Parceria para a Paz e no Portal Educativo da OEA, a serem ministrados virtualmente a docentes do OASIS, famílias de alunos, líderes comunitários e representantes do setor público local a partir de fevereiro 2021. </w:t>
      </w:r>
    </w:p>
    <w:p w14:paraId="0DAFF5E6" w14:textId="77777777" w:rsidR="000A3E59" w:rsidRDefault="000A3E59" w:rsidP="000A3E59">
      <w:pPr>
        <w:widowControl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lastRenderedPageBreak/>
        <w:t xml:space="preserve">Em Honduras, levantou-se um diagnóstico situacional dos padrões de violência juvenil e intrafamiliar e dos serviços de assistência existentes no município de Tela. Foram selecionados 80 jovens, recuperados 50 instrumentos musicais e distribuídos 80 tablets às famílias beneficiárias com que se assinaram acordos de participação. As aulas virtuais começaram em outubro de 2020. Em El Salvador, foram desenvolvidas parcerias locais para a implementação do OASIS, para o que se assinou um Acordo de Cooperação com o Ministério da Justiça e da Segurança Pública. As aulas começarão em 2021. </w:t>
      </w:r>
    </w:p>
    <w:p w14:paraId="32793B64" w14:textId="77777777" w:rsidR="000A3E59" w:rsidRDefault="000A3E59" w:rsidP="000A3E59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360" w:lineRule="auto"/>
        <w:ind w:hanging="720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Plano de homicídios</w:t>
      </w:r>
    </w:p>
    <w:p w14:paraId="6FE84610" w14:textId="77777777" w:rsidR="000A3E59" w:rsidRDefault="000A3E59" w:rsidP="000A3E59">
      <w:pPr>
        <w:widowControl/>
        <w:spacing w:before="120" w:line="360" w:lineRule="auto"/>
        <w:ind w:firstLine="709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Reconhecendo-se o impacto da violência armada na região, a qual, como sabemos, é perpetrada sobretudo com o uso de armas de fogo, desenvolveu-se o Primeiro Plano de Ação Hemisférico para Orientar a Formulação de Políticas Públicas de Prevenção e Redução do Homicídio Intencional nas Américas, que foi aprovado pela Assembleia Geral de 2019. </w:t>
      </w:r>
    </w:p>
    <w:p w14:paraId="3CD4D2BE" w14:textId="77777777" w:rsidR="000A3E59" w:rsidRDefault="000A3E59" w:rsidP="000A3E59">
      <w:pPr>
        <w:widowControl/>
        <w:spacing w:before="120" w:line="360" w:lineRule="auto"/>
        <w:ind w:firstLine="709"/>
        <w:rPr>
          <w:rFonts w:cs="Times New Roman"/>
          <w:lang w:val="pt-BR"/>
        </w:rPr>
      </w:pPr>
      <w:r>
        <w:rPr>
          <w:rFonts w:cs="Times New Roman"/>
          <w:lang w:val="pt-BR"/>
        </w:rPr>
        <w:t>Naturalmente, o Plano inclui, como um dos seus eixos centrais, a prevenção e o combate ao tráfico de armas e contém 28 recomendações agrupadas em três eixos:</w:t>
      </w:r>
    </w:p>
    <w:p w14:paraId="4BA59179" w14:textId="77777777" w:rsidR="000A3E59" w:rsidRDefault="000A3E59" w:rsidP="000A3E59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before="120" w:after="200" w:line="360" w:lineRule="auto"/>
        <w:ind w:left="1440" w:hanging="720"/>
        <w:contextualSpacing/>
        <w:rPr>
          <w:rFonts w:cs="Times New Roman"/>
          <w:lang w:val="pt-BR"/>
        </w:rPr>
      </w:pPr>
      <w:r>
        <w:rPr>
          <w:rFonts w:cs="Times New Roman"/>
          <w:lang w:val="pt-BR"/>
        </w:rPr>
        <w:t>Eixo 1: Produção, divulgação e uso de informações e evidências científicas (oito recomendações)</w:t>
      </w:r>
    </w:p>
    <w:p w14:paraId="29CAAF9E" w14:textId="77777777" w:rsidR="000A3E59" w:rsidRDefault="000A3E59" w:rsidP="000A3E59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before="120" w:after="200" w:line="360" w:lineRule="auto"/>
        <w:ind w:left="1440" w:hanging="720"/>
        <w:contextualSpacing/>
        <w:rPr>
          <w:rFonts w:cs="Times New Roman"/>
          <w:lang w:val="pt-BR"/>
        </w:rPr>
      </w:pPr>
      <w:r>
        <w:rPr>
          <w:rFonts w:cs="Times New Roman"/>
          <w:lang w:val="pt-BR"/>
        </w:rPr>
        <w:t>Eixo 2: Formulação e implementação de políticas e ações de prevenção (13 recomendações)</w:t>
      </w:r>
    </w:p>
    <w:p w14:paraId="5FC00003" w14:textId="77777777" w:rsidR="000A3E59" w:rsidRDefault="000A3E59" w:rsidP="000A3E59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before="120" w:after="200" w:line="360" w:lineRule="auto"/>
        <w:ind w:left="1440" w:hanging="720"/>
        <w:contextualSpacing/>
        <w:rPr>
          <w:rFonts w:cs="Times New Roman"/>
          <w:lang w:val="pt-BR"/>
        </w:rPr>
      </w:pPr>
      <w:r>
        <w:rPr>
          <w:rFonts w:cs="Times New Roman"/>
          <w:lang w:val="pt-BR"/>
        </w:rPr>
        <w:t>Eixo 3: Aplicação ou funcionamento da justiça penal (sete recomendações)</w:t>
      </w:r>
    </w:p>
    <w:p w14:paraId="63CD5518" w14:textId="77777777" w:rsidR="000A3E59" w:rsidRDefault="000A3E59" w:rsidP="000A3E59">
      <w:pPr>
        <w:widowControl/>
        <w:spacing w:before="120" w:after="200" w:line="360" w:lineRule="auto"/>
        <w:ind w:firstLine="709"/>
        <w:contextualSpacing/>
        <w:jc w:val="left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Três projetos foram implementados no âmbito do plano. Além disso, foi criada a Plataforma de Conhecimento sobre os Homicídios no site da Rede Interamericana de Prevenção da Violência e do Crime, onde está acessível ao público. </w:t>
      </w:r>
    </w:p>
    <w:p w14:paraId="57466A09" w14:textId="77777777" w:rsidR="000A3E59" w:rsidRDefault="000A3E59" w:rsidP="000A3E59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360" w:lineRule="auto"/>
        <w:ind w:hanging="720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Estudo hemisférico sobre o tráfico ilícito de armas de fogo pequenas e leves e de munições</w:t>
      </w:r>
    </w:p>
    <w:p w14:paraId="435EBFD3" w14:textId="77777777" w:rsidR="000A3E59" w:rsidRDefault="000A3E59" w:rsidP="000A3E59">
      <w:pPr>
        <w:widowControl/>
        <w:spacing w:after="120" w:line="360" w:lineRule="auto"/>
        <w:ind w:firstLine="709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Em cumprimento do mandato injungido pela AG/RES. 2945 (XLIX-O/19), que determina a realização de um estudo hemisférico sobre o tema do tráfico ilícito de armas de fogo pequenas e leves e de munições no continente, com vistas a identificar ameaças e desafios em 2020 a Secretaria Técnica formulou uma proposta de desenvolvimento de uma metodologia do estudo que permite a sua realização periódica para acompanhamento das tendências no hemisfério. Essa proposta está sendo testada com o México, na sua condição de Secretaria </w:t>
      </w:r>
      <w:r>
        <w:rPr>
          <w:rFonts w:cs="Times New Roman"/>
          <w:i/>
          <w:iCs/>
          <w:lang w:val="pt-BR"/>
        </w:rPr>
        <w:t>Pro Tempore</w:t>
      </w:r>
      <w:r>
        <w:rPr>
          <w:rFonts w:cs="Times New Roman"/>
          <w:lang w:val="pt-BR"/>
        </w:rPr>
        <w:t xml:space="preserve"> da CIFTA, e a expectativa é que em 2021 possam ser identificados os recursos financeiros necessários para a realização do estudo. </w:t>
      </w:r>
    </w:p>
    <w:p w14:paraId="24F1D25A" w14:textId="77777777" w:rsidR="000A3E59" w:rsidRDefault="000A3E59" w:rsidP="000A3E59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360" w:lineRule="auto"/>
        <w:ind w:hanging="720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lastRenderedPageBreak/>
        <w:t>Cooperação com outras organizações</w:t>
      </w:r>
    </w:p>
    <w:p w14:paraId="6C1F9238" w14:textId="77777777" w:rsidR="000A3E59" w:rsidRDefault="000A3E59" w:rsidP="000A3E59">
      <w:pPr>
        <w:widowControl/>
        <w:suppressAutoHyphens/>
        <w:spacing w:after="120" w:line="360" w:lineRule="auto"/>
        <w:ind w:firstLine="720"/>
        <w:rPr>
          <w:rFonts w:eastAsia="Times New Roman" w:cs="Times New Roman"/>
          <w:color w:val="auto"/>
          <w:bdr w:val="none" w:sz="0" w:space="0" w:color="auto" w:frame="1"/>
          <w:lang w:val="pt-BR" w:eastAsia="en-US"/>
        </w:rPr>
      </w:pPr>
      <w:r>
        <w:rPr>
          <w:rFonts w:cs="Times New Roman"/>
          <w:lang w:val="pt-BR"/>
        </w:rPr>
        <w:t xml:space="preserve">A Secretaria Técnica da CIFTA busca ativamente sinergias com outras organizações para reforçar a cooperação e potencializar as ações de prevenção do Tráfico de Armas. Neste sentido, cabe destacar que, em 2020, a Secretaria Técnica da CIFTA cooperou com, e participou de, diversos eventos e reuniões para analisar os avanços no tema e identificar possíveis áreas de cooperação mediante palestras dos nossos especialistas. São destaques: a nossa colaboração com contribuições para a Rota de Ação para o Caribe no tema de armas de fogo, desenvolvida pelo UNLIREC; a nossa intervenção sobre o papel dos organismos regionais no combate ao tráfico ilícito de armas pequenas no fórum virtual realizado pela Small Arms Survey; a nossa participação na Sétima Reunião do Grupo de Trabalho de Armas de Fogo da Convenção das Nações Unidas contra a Criminalidade Organizada; e a nossa exposição sobre os processos de destruição na região na Conferência sobre Processos de Gestão e Destruição de Armas e Munições e Explosivos, da Junta Interamericana de Defesa. </w:t>
      </w:r>
    </w:p>
    <w:p w14:paraId="12397225" w14:textId="77777777" w:rsidR="000A3E59" w:rsidRDefault="000A3E59" w:rsidP="000A3E59">
      <w:pPr>
        <w:widowControl/>
        <w:suppressAutoHyphens/>
        <w:spacing w:after="120" w:line="360" w:lineRule="auto"/>
        <w:ind w:firstLine="720"/>
        <w:rPr>
          <w:rFonts w:cs="Times New Roman"/>
          <w:bdr w:val="none" w:sz="0" w:space="0" w:color="auto"/>
          <w:lang w:val="pt-BR"/>
        </w:rPr>
      </w:pPr>
      <w:r>
        <w:rPr>
          <w:rFonts w:cs="Times New Roman"/>
          <w:lang w:val="pt-BR"/>
        </w:rPr>
        <w:t>Além disso, incorporamos as organizações que trabalham com o tema de armas de fogo nas nossas atividades, procurando tirar o máximo proveito das capacidades e experiências que elas oferecem. Como dissemos acima, nos seminários regionais sobre segurança física e gestão de arsenais, contamos com o apoio da CARICOM IMPACS, da Equipe Assessora em Gestão de Munições do Centro Internacional de Remoção Humanitária de Minas de Genebra (GICHD-AMAT), da Golden West Foundation, do Centro de Treinamento em Remoção Humanitária de Minas (HDTC) e do Comando Sul dos Estados Unidos.</w:t>
      </w:r>
    </w:p>
    <w:p w14:paraId="40DCBC66" w14:textId="617E06ED" w:rsidR="000A3E59" w:rsidRDefault="000A3E59" w:rsidP="000A3E59">
      <w:pPr>
        <w:widowControl/>
        <w:suppressAutoHyphens/>
        <w:spacing w:after="120" w:line="360" w:lineRule="auto"/>
        <w:ind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Posto isso, concluímos a apresentação do relatório da Secretaria Técnica sobre os avanços obtidos no cumprimento do Curso de Ação 2018-2022 da CIFTA. Muito obrigado. </w:t>
      </w:r>
    </w:p>
    <w:p w14:paraId="5F4162F9" w14:textId="7D107D7A" w:rsidR="00BE4A43" w:rsidRDefault="00BE4A43" w:rsidP="000A3E59"/>
    <w:p w14:paraId="7CAABA10" w14:textId="3CB0E4AF" w:rsidR="007C126C" w:rsidRDefault="007C126C" w:rsidP="000A3E59"/>
    <w:p w14:paraId="6941E490" w14:textId="1FEA6419" w:rsidR="007C126C" w:rsidRDefault="007C126C" w:rsidP="000A3E59"/>
    <w:p w14:paraId="7E0EC940" w14:textId="184BA8F8" w:rsidR="007C126C" w:rsidRDefault="007C126C" w:rsidP="000A3E59"/>
    <w:p w14:paraId="299DEA5E" w14:textId="2A34DB70" w:rsidR="007C126C" w:rsidRDefault="007C126C" w:rsidP="000A3E59"/>
    <w:p w14:paraId="48D30F82" w14:textId="6406D46D" w:rsidR="007C126C" w:rsidRDefault="007C126C" w:rsidP="000A3E59"/>
    <w:p w14:paraId="75105082" w14:textId="0DED6F2F" w:rsidR="007C126C" w:rsidRDefault="007C126C" w:rsidP="000A3E59"/>
    <w:p w14:paraId="68CF1D89" w14:textId="6CAD0B33" w:rsidR="007C126C" w:rsidRDefault="007C126C" w:rsidP="000A3E59"/>
    <w:p w14:paraId="45939C16" w14:textId="4AD7DBDF" w:rsidR="007C126C" w:rsidRDefault="007C126C" w:rsidP="000A3E59"/>
    <w:p w14:paraId="561AD8B8" w14:textId="5EF8FB76" w:rsidR="007C126C" w:rsidRDefault="007C126C" w:rsidP="000A3E59"/>
    <w:p w14:paraId="10D3B7EF" w14:textId="25440C0A" w:rsidR="007C126C" w:rsidRDefault="007C126C" w:rsidP="000A3E59"/>
    <w:p w14:paraId="3E8EA8A9" w14:textId="01E92ABF" w:rsidR="007C126C" w:rsidRDefault="007C126C" w:rsidP="000A3E59"/>
    <w:p w14:paraId="6919A292" w14:textId="177EBC4C" w:rsidR="007C126C" w:rsidRDefault="007C126C" w:rsidP="000A3E59"/>
    <w:p w14:paraId="740A6063" w14:textId="4D209952" w:rsidR="007C126C" w:rsidRDefault="007C126C" w:rsidP="000A3E59"/>
    <w:p w14:paraId="76A6B33B" w14:textId="7436D378" w:rsidR="007C126C" w:rsidRDefault="007C126C" w:rsidP="000A3E59"/>
    <w:p w14:paraId="765B984E" w14:textId="32EECFF7" w:rsidR="007C126C" w:rsidRDefault="007C126C" w:rsidP="000A3E59"/>
    <w:p w14:paraId="0EACF24D" w14:textId="1BD836F6" w:rsidR="007C126C" w:rsidRDefault="007C126C" w:rsidP="000A3E59"/>
    <w:p w14:paraId="50C13DAE" w14:textId="20680C89" w:rsidR="007C126C" w:rsidRDefault="007C126C" w:rsidP="000A3E59"/>
    <w:p w14:paraId="52B5B2D1" w14:textId="1F99EDF8" w:rsidR="007C126C" w:rsidRDefault="007C126C" w:rsidP="000A3E59"/>
    <w:p w14:paraId="6F4B081A" w14:textId="2C82B273" w:rsidR="007C126C" w:rsidRDefault="007C126C" w:rsidP="000A3E59"/>
    <w:p w14:paraId="2D04B9EC" w14:textId="7FAF2077" w:rsidR="007C126C" w:rsidRDefault="007C126C" w:rsidP="000A3E59">
      <w:r>
        <w:rPr>
          <w:lang w:val="pt-BR"/>
        </w:rPr>
        <w:lastRenderedPageBreak/>
        <w:t>Apresenta</w:t>
      </w:r>
      <w:r>
        <w:rPr>
          <w:rFonts w:cs="Times New Roman"/>
          <w:lang w:val="pt-BR"/>
        </w:rPr>
        <w:t>çã</w:t>
      </w:r>
      <w:r w:rsidRPr="007C126C">
        <w:rPr>
          <w:lang w:val="pt-BR"/>
        </w:rPr>
        <w:t>o</w:t>
      </w:r>
      <w:r>
        <w:rPr>
          <w:lang w:val="pt-BR"/>
        </w:rPr>
        <w:t>:</w:t>
      </w:r>
      <w:r>
        <w:t xml:space="preserve"> </w:t>
      </w:r>
      <w:hyperlink r:id="rId12" w:history="1">
        <w:r w:rsidRPr="007C126C">
          <w:rPr>
            <w:rStyle w:val="Hyperlink"/>
            <w:color w:val="00B0F0"/>
          </w:rPr>
          <w:t>Link</w:t>
        </w:r>
      </w:hyperlink>
    </w:p>
    <w:p w14:paraId="7C7D6ED6" w14:textId="5F634642" w:rsidR="004A6613" w:rsidRDefault="004A6613" w:rsidP="000A3E59"/>
    <w:p w14:paraId="51BD6882" w14:textId="77777777" w:rsidR="004A6613" w:rsidRPr="004A6613" w:rsidRDefault="004A6613" w:rsidP="004A6613"/>
    <w:p w14:paraId="5CD41364" w14:textId="77777777" w:rsidR="004A6613" w:rsidRPr="004A6613" w:rsidRDefault="004A6613" w:rsidP="004A6613"/>
    <w:p w14:paraId="39D6B144" w14:textId="77777777" w:rsidR="004A6613" w:rsidRPr="004A6613" w:rsidRDefault="004A6613" w:rsidP="004A6613"/>
    <w:p w14:paraId="5490FFD1" w14:textId="77777777" w:rsidR="004A6613" w:rsidRPr="004A6613" w:rsidRDefault="004A6613" w:rsidP="004A6613"/>
    <w:p w14:paraId="3E482921" w14:textId="77777777" w:rsidR="004A6613" w:rsidRPr="004A6613" w:rsidRDefault="004A6613" w:rsidP="004A6613"/>
    <w:p w14:paraId="5A507410" w14:textId="77777777" w:rsidR="004A6613" w:rsidRPr="004A6613" w:rsidRDefault="004A6613" w:rsidP="004A6613"/>
    <w:p w14:paraId="10DB2CAF" w14:textId="77777777" w:rsidR="004A6613" w:rsidRPr="004A6613" w:rsidRDefault="004A6613" w:rsidP="004A6613"/>
    <w:p w14:paraId="20179C35" w14:textId="77777777" w:rsidR="004A6613" w:rsidRPr="004A6613" w:rsidRDefault="004A6613" w:rsidP="004A6613"/>
    <w:p w14:paraId="06E3E58A" w14:textId="77777777" w:rsidR="004A6613" w:rsidRPr="004A6613" w:rsidRDefault="004A6613" w:rsidP="004A6613"/>
    <w:p w14:paraId="7036EA7E" w14:textId="77777777" w:rsidR="004A6613" w:rsidRPr="004A6613" w:rsidRDefault="004A6613" w:rsidP="004A6613"/>
    <w:p w14:paraId="6DFE34B4" w14:textId="77777777" w:rsidR="004A6613" w:rsidRPr="004A6613" w:rsidRDefault="004A6613" w:rsidP="004A6613"/>
    <w:p w14:paraId="37B1BA8F" w14:textId="77777777" w:rsidR="004A6613" w:rsidRPr="004A6613" w:rsidRDefault="004A6613" w:rsidP="004A6613"/>
    <w:p w14:paraId="3FF83ABE" w14:textId="77777777" w:rsidR="004A6613" w:rsidRPr="004A6613" w:rsidRDefault="004A6613" w:rsidP="004A6613"/>
    <w:p w14:paraId="5CBE3358" w14:textId="77777777" w:rsidR="004A6613" w:rsidRPr="004A6613" w:rsidRDefault="004A6613" w:rsidP="004A6613"/>
    <w:p w14:paraId="1F6393CA" w14:textId="77777777" w:rsidR="004A6613" w:rsidRPr="004A6613" w:rsidRDefault="004A6613" w:rsidP="004A6613"/>
    <w:p w14:paraId="7E8B345B" w14:textId="4A297536" w:rsidR="004A6613" w:rsidRDefault="004A6613" w:rsidP="004A6613"/>
    <w:p w14:paraId="338287BD" w14:textId="319E1F73" w:rsidR="004A6613" w:rsidRDefault="004A6613" w:rsidP="004A6613"/>
    <w:p w14:paraId="1A2944B0" w14:textId="3040F3B6" w:rsidR="004A6613" w:rsidRDefault="004A6613" w:rsidP="004A661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2610C0" wp14:editId="15A37DE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06386D2" w14:textId="0D4BCE95" w:rsidR="004A6613" w:rsidRPr="004A6613" w:rsidRDefault="004A6613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  <w:noProof/>
                                <w:sz w:val="18"/>
                              </w:rPr>
                              <w:t>CIFTA00887P01</w: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10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IVzAIAAAUGAAAOAAAAZHJzL2Uyb0RvYy54bWysVFtP2zAUfp+0/2D5faQXYKUiRR2MaVIF&#10;aDDx7DpOE83x8Wy3Tfn1++z0JraHMe0lOba/c//OubxqG81WyvmaTM77Jz3OlJFU1GaR8+9Ptx9G&#10;nPkgTCE0GZXzjfL8avL+3eXajtWAKtKFcgxGjB+vbc6rEOw4y7ysVCP8CVll8FiSa0TA0S2ywok1&#10;rDc6G/R659maXGEdSeU9bm+6Rz5J9stSyXBfll4FpnOO2EL6uvSdx282uRTjhRO2quU2DPEPUTSi&#10;NnC6N3UjgmBLV/9mqqmlI09lOJHUZFSWtVQpB2TT773K5rESVqVcUBxv92Xy/8+svFs9OFYX6B1n&#10;RjRo0ZNqA/tELevH6qytHwP0aAELLa4jMmbq7YzkDw9IdoTpFDzQEdOWrol/5MmgiAZs9kWPXiQu&#10;h8PRcDDCk8TbYDA676WuZAdt63z4oqhhUci5Q1NTBGI18yH6F+MdJDozdFtrnRqrDVvn/OJscAbz&#10;AvQqtQgQG4uEvVlwJvQCvJXBJYtHqtHijfAVWwlQx5Oui44sjpamSNYrJYrPpmBhY1E2A37z6K5R&#10;BWdawWyUEjKIWv8NEploE3NQibpderHUw+gx1bkrbay4DxutIlibb6pED1OF44WXbjG/1o51RMck&#10;orw7uicfUIjAEoV6o+5W5RDkG/W7zHb+yYS9firgPs0uuZhnaOctrqM4p2IDHjrq5thbeVujTzPh&#10;w4NwGFyQGMso3ONTakIzaCtxVpF7+dN9xGOe8IruYRGg2T+XwqGX+qvBpF30T0/j5kiH07OPAxzc&#10;8cv8+MUsm2sCYRAIokvicNQHpZkLOh0hlo6aZ+ytafSMszAS/nMOanbideg6h70n1XSaQNgXVoSZ&#10;ebRyN4KRo0/ts3B2OxoBQ3VHu7Uhxq8mpMPG1hmaLgOVdRqfQ2W3HMOuSVO13YtxmR2fE+qwvSe/&#10;AA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Dy4zIVzAIAAAU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p w14:paraId="606386D2" w14:textId="0D4BCE95" w:rsidR="004A6613" w:rsidRPr="004A6613" w:rsidRDefault="004A6613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cs="Times New Roman"/>
                          <w:noProof/>
                          <w:sz w:val="18"/>
                        </w:rPr>
                        <w:t>CIFTA00887P01</w: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4C0B943" w14:textId="77777777" w:rsidR="004A6613" w:rsidRPr="004A6613" w:rsidRDefault="004A6613" w:rsidP="004A6613"/>
    <w:p w14:paraId="46D1A0F7" w14:textId="77777777" w:rsidR="004A6613" w:rsidRPr="004A6613" w:rsidRDefault="004A6613" w:rsidP="004A6613"/>
    <w:p w14:paraId="1F5A6C02" w14:textId="77777777" w:rsidR="004A6613" w:rsidRPr="004A6613" w:rsidRDefault="004A6613" w:rsidP="004A6613"/>
    <w:p w14:paraId="538AC5E7" w14:textId="77777777" w:rsidR="004A6613" w:rsidRPr="004A6613" w:rsidRDefault="004A6613" w:rsidP="004A6613"/>
    <w:p w14:paraId="0EA2BEB4" w14:textId="77777777" w:rsidR="004A6613" w:rsidRPr="004A6613" w:rsidRDefault="004A6613" w:rsidP="004A6613"/>
    <w:p w14:paraId="411E8C7A" w14:textId="77777777" w:rsidR="004A6613" w:rsidRPr="004A6613" w:rsidRDefault="004A6613" w:rsidP="004A6613"/>
    <w:p w14:paraId="3744B6E0" w14:textId="77777777" w:rsidR="004A6613" w:rsidRPr="004A6613" w:rsidRDefault="004A6613" w:rsidP="004A6613"/>
    <w:p w14:paraId="49A60353" w14:textId="77777777" w:rsidR="004A6613" w:rsidRPr="004A6613" w:rsidRDefault="004A6613" w:rsidP="004A6613"/>
    <w:p w14:paraId="5271DCD8" w14:textId="77777777" w:rsidR="004A6613" w:rsidRPr="004A6613" w:rsidRDefault="004A6613" w:rsidP="004A6613"/>
    <w:p w14:paraId="219071DA" w14:textId="77777777" w:rsidR="004A6613" w:rsidRPr="004A6613" w:rsidRDefault="004A6613" w:rsidP="004A6613"/>
    <w:p w14:paraId="066814C2" w14:textId="77777777" w:rsidR="004A6613" w:rsidRPr="004A6613" w:rsidRDefault="004A6613" w:rsidP="004A6613"/>
    <w:p w14:paraId="46D24ED4" w14:textId="61F119D6" w:rsidR="004A6613" w:rsidRDefault="004A6613" w:rsidP="004A6613"/>
    <w:p w14:paraId="79790BE4" w14:textId="33CA3246" w:rsidR="004A6613" w:rsidRDefault="004A6613" w:rsidP="004A6613"/>
    <w:p w14:paraId="6EF7786D" w14:textId="279F2DF4" w:rsidR="007C126C" w:rsidRPr="004A6613" w:rsidRDefault="004A6613" w:rsidP="004A661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</w:pPr>
      <w:r>
        <w:tab/>
      </w:r>
      <w:r>
        <w:tab/>
      </w:r>
      <w:bookmarkStart w:id="0" w:name="_GoBack"/>
      <w:bookmarkEnd w:id="0"/>
    </w:p>
    <w:sectPr w:rsidR="007C126C" w:rsidRPr="004A6613" w:rsidSect="00C675A6">
      <w:headerReference w:type="default" r:id="rId13"/>
      <w:footerReference w:type="default" r:id="rId14"/>
      <w:footerReference w:type="first" r:id="rId15"/>
      <w:pgSz w:w="12240" w:h="15840"/>
      <w:pgMar w:top="990" w:right="1570" w:bottom="1296" w:left="1699" w:header="1296" w:footer="129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4A00" w14:textId="77777777" w:rsidR="00DB2D23" w:rsidRDefault="00DB2D23">
      <w:r>
        <w:separator/>
      </w:r>
    </w:p>
  </w:endnote>
  <w:endnote w:type="continuationSeparator" w:id="0">
    <w:p w14:paraId="5C0F1092" w14:textId="77777777" w:rsidR="00DB2D23" w:rsidRDefault="00DB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5AC7" w14:textId="23EE7689" w:rsidR="0096732B" w:rsidRPr="00993CC4" w:rsidRDefault="00993CC4" w:rsidP="0096732B">
    <w:pPr>
      <w:pStyle w:val="Footer"/>
      <w:rPr>
        <w:lang w:val="pt-BR"/>
      </w:rPr>
    </w:pPr>
    <w:r>
      <w:rPr>
        <w:lang w:val="pt-BR"/>
      </w:rPr>
      <w:t>1</w:t>
    </w:r>
    <w:r w:rsidRPr="00993CC4">
      <w:rPr>
        <w:lang w:val="pt-BR"/>
      </w:rPr>
      <w:t xml:space="preserve"> Este documento foi</w:t>
    </w:r>
    <w:r>
      <w:rPr>
        <w:lang w:val="pt-BR"/>
      </w:rPr>
      <w:t xml:space="preserve"> distribuí</w:t>
    </w:r>
    <w:r w:rsidRPr="00993CC4">
      <w:rPr>
        <w:lang w:val="pt-BR"/>
      </w:rPr>
      <w:t xml:space="preserve">do inadvertidamente como </w:t>
    </w:r>
    <w:r w:rsidRPr="00993CC4">
      <w:rPr>
        <w:spacing w:val="-2"/>
        <w:lang w:val="pt-BR"/>
      </w:rPr>
      <w:t>CIFTA/CC-XX/INF.5/20</w:t>
    </w:r>
  </w:p>
  <w:p w14:paraId="645BE9E8" w14:textId="0A491C88" w:rsidR="0096732B" w:rsidRPr="0096732B" w:rsidRDefault="0096732B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CDD4" w14:textId="6B62E472" w:rsidR="00C675A6" w:rsidRPr="00C675A6" w:rsidRDefault="00C675A6" w:rsidP="00C675A6">
    <w:pPr>
      <w:pStyle w:val="Footer"/>
      <w:rPr>
        <w:lang w:val="pt-BR"/>
      </w:rPr>
    </w:pPr>
    <w:r w:rsidRPr="00C675A6">
      <w:rPr>
        <w:lang w:val="pt-BR"/>
      </w:rPr>
      <w:t>1 Este documento foi distribu</w:t>
    </w:r>
    <w:r>
      <w:rPr>
        <w:lang w:val="pt-BR"/>
      </w:rPr>
      <w:t>í</w:t>
    </w:r>
    <w:r w:rsidRPr="00C675A6">
      <w:rPr>
        <w:lang w:val="pt-BR"/>
      </w:rPr>
      <w:t xml:space="preserve">do inadvertidamente como </w:t>
    </w:r>
    <w:r w:rsidRPr="00C675A6">
      <w:rPr>
        <w:spacing w:val="-2"/>
        <w:lang w:val="pt-BR"/>
      </w:rPr>
      <w:t>CIFTA/CC-XX/INF.5/20</w:t>
    </w:r>
  </w:p>
  <w:p w14:paraId="4B92DAE0" w14:textId="77777777" w:rsidR="00C675A6" w:rsidRPr="00C675A6" w:rsidRDefault="00C675A6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4532" w14:textId="6BD9D2F1" w:rsidR="00C675A6" w:rsidRPr="00993CC4" w:rsidRDefault="00C675A6" w:rsidP="0096732B">
    <w:pPr>
      <w:pStyle w:val="Footer"/>
      <w:rPr>
        <w:lang w:val="pt-BR"/>
      </w:rPr>
    </w:pPr>
  </w:p>
  <w:p w14:paraId="501B6661" w14:textId="77777777" w:rsidR="00C675A6" w:rsidRPr="0096732B" w:rsidRDefault="00C675A6">
    <w:pPr>
      <w:pStyle w:val="Footer"/>
      <w:rPr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9B14" w14:textId="3D86C372" w:rsidR="00DB2D23" w:rsidRDefault="00DB2D23">
    <w:pPr>
      <w:pStyle w:val="Footer"/>
    </w:pPr>
  </w:p>
  <w:p w14:paraId="06D04751" w14:textId="77777777" w:rsidR="00DB2D23" w:rsidRDefault="00DB2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F866" w14:textId="77777777" w:rsidR="00DB2D23" w:rsidRDefault="00DB2D23">
      <w:r>
        <w:separator/>
      </w:r>
    </w:p>
  </w:footnote>
  <w:footnote w:type="continuationSeparator" w:id="0">
    <w:p w14:paraId="2D54DDBB" w14:textId="77777777" w:rsidR="00DB2D23" w:rsidRDefault="00DB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397D" w14:textId="77777777" w:rsidR="00DB2D23" w:rsidRDefault="00DB2D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47C"/>
    <w:multiLevelType w:val="hybridMultilevel"/>
    <w:tmpl w:val="05A0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54E"/>
    <w:multiLevelType w:val="hybridMultilevel"/>
    <w:tmpl w:val="C5B2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4903"/>
    <w:multiLevelType w:val="hybridMultilevel"/>
    <w:tmpl w:val="948C6B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E1450"/>
    <w:multiLevelType w:val="hybridMultilevel"/>
    <w:tmpl w:val="F3C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72C8"/>
    <w:multiLevelType w:val="hybridMultilevel"/>
    <w:tmpl w:val="1F00A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39E0"/>
    <w:multiLevelType w:val="hybridMultilevel"/>
    <w:tmpl w:val="7BC47D5E"/>
    <w:lvl w:ilvl="0" w:tplc="7B6C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061"/>
    <w:multiLevelType w:val="hybridMultilevel"/>
    <w:tmpl w:val="C3B0C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1A3295"/>
    <w:multiLevelType w:val="hybridMultilevel"/>
    <w:tmpl w:val="52342D58"/>
    <w:lvl w:ilvl="0" w:tplc="D1BEFC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C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82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5A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60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C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A8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A7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F6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DA1Mzc1Njc1MDBS0lEKTi0uzszPAykwrAUA3dsERywAAAA="/>
  </w:docVars>
  <w:rsids>
    <w:rsidRoot w:val="00BE4A43"/>
    <w:rsid w:val="00003DA4"/>
    <w:rsid w:val="00027982"/>
    <w:rsid w:val="000302B5"/>
    <w:rsid w:val="00052DE1"/>
    <w:rsid w:val="0007064A"/>
    <w:rsid w:val="000A3E59"/>
    <w:rsid w:val="000B5E0D"/>
    <w:rsid w:val="000C76A7"/>
    <w:rsid w:val="000D70F3"/>
    <w:rsid w:val="001603FD"/>
    <w:rsid w:val="001A342B"/>
    <w:rsid w:val="001C714F"/>
    <w:rsid w:val="00204B31"/>
    <w:rsid w:val="002353EA"/>
    <w:rsid w:val="00302CAB"/>
    <w:rsid w:val="00340AEC"/>
    <w:rsid w:val="00346B19"/>
    <w:rsid w:val="0036160F"/>
    <w:rsid w:val="003F01DF"/>
    <w:rsid w:val="00460F28"/>
    <w:rsid w:val="004A6613"/>
    <w:rsid w:val="004C64D9"/>
    <w:rsid w:val="00533614"/>
    <w:rsid w:val="005623F3"/>
    <w:rsid w:val="005D0A34"/>
    <w:rsid w:val="005F48A2"/>
    <w:rsid w:val="00690C67"/>
    <w:rsid w:val="006A4CA8"/>
    <w:rsid w:val="006B543D"/>
    <w:rsid w:val="006C1AA8"/>
    <w:rsid w:val="006E0413"/>
    <w:rsid w:val="0077163E"/>
    <w:rsid w:val="007C126C"/>
    <w:rsid w:val="007C36B7"/>
    <w:rsid w:val="00856B83"/>
    <w:rsid w:val="008629D7"/>
    <w:rsid w:val="00864040"/>
    <w:rsid w:val="00884A20"/>
    <w:rsid w:val="008C0373"/>
    <w:rsid w:val="008E5B12"/>
    <w:rsid w:val="008E6EC8"/>
    <w:rsid w:val="009608EE"/>
    <w:rsid w:val="0096732B"/>
    <w:rsid w:val="00993CC4"/>
    <w:rsid w:val="009A0DA6"/>
    <w:rsid w:val="009C6E6F"/>
    <w:rsid w:val="00A073FB"/>
    <w:rsid w:val="00A1601E"/>
    <w:rsid w:val="00A25B97"/>
    <w:rsid w:val="00A619BC"/>
    <w:rsid w:val="00AA7619"/>
    <w:rsid w:val="00AD7130"/>
    <w:rsid w:val="00AE0D37"/>
    <w:rsid w:val="00B03F90"/>
    <w:rsid w:val="00B66B8D"/>
    <w:rsid w:val="00BC2594"/>
    <w:rsid w:val="00BD4C6F"/>
    <w:rsid w:val="00BE4A43"/>
    <w:rsid w:val="00C07BF2"/>
    <w:rsid w:val="00C16D21"/>
    <w:rsid w:val="00C608AD"/>
    <w:rsid w:val="00C675A6"/>
    <w:rsid w:val="00C84E65"/>
    <w:rsid w:val="00C87A0A"/>
    <w:rsid w:val="00D21D8E"/>
    <w:rsid w:val="00D74A1B"/>
    <w:rsid w:val="00D81CFB"/>
    <w:rsid w:val="00D9759C"/>
    <w:rsid w:val="00DB2D23"/>
    <w:rsid w:val="00DB75F5"/>
    <w:rsid w:val="00E94DEA"/>
    <w:rsid w:val="00EB4199"/>
    <w:rsid w:val="00EF4C0B"/>
    <w:rsid w:val="00F25FFA"/>
    <w:rsid w:val="00FB314C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9E0F15"/>
  <w15:docId w15:val="{D0AB4B74-1304-451C-8313-09FEB03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608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3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eastAsiaTheme="minorHAnsi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34"/>
    <w:rPr>
      <w:rFonts w:eastAsiaTheme="minorHAnsi"/>
      <w:bdr w:val="none" w:sz="0" w:space="0" w:color="auto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34"/>
    <w:rPr>
      <w:vertAlign w:val="superscript"/>
    </w:rPr>
  </w:style>
  <w:style w:type="paragraph" w:styleId="NoSpacing">
    <w:name w:val="No Spacing"/>
    <w:uiPriority w:val="99"/>
    <w:qFormat/>
    <w:rsid w:val="00D21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SimSun" w:hAnsi="Calibri"/>
      <w:sz w:val="22"/>
      <w:szCs w:val="22"/>
      <w:bdr w:val="none" w:sz="0" w:space="0" w:color="auto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60F2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28"/>
    <w:rPr>
      <w:rFonts w:cs="Arial Unicode MS"/>
      <w:color w:val="000000"/>
      <w:sz w:val="22"/>
      <w:szCs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C64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Pdfs/2020/CC20-CIFTA_InformeSMS_SPA1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7991D-750B-4F61-AF3F-FFA1A2DA001A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9f4cd83-a2d3-4405-9b45-6aff5241ff8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ED083D-DFEA-4705-B2A6-891B477F0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BD9E-BBB1-4637-B568-046AF144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CCase</dc:creator>
  <cp:lastModifiedBy>Lobaton, Ursula</cp:lastModifiedBy>
  <cp:revision>11</cp:revision>
  <dcterms:created xsi:type="dcterms:W3CDTF">2021-01-15T21:05:00Z</dcterms:created>
  <dcterms:modified xsi:type="dcterms:W3CDTF">2021-01-16T01:20:00Z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