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E501" w14:textId="77777777" w:rsidR="00280F06" w:rsidRPr="00CE271D" w:rsidRDefault="00280F06" w:rsidP="00280F06">
      <w:pPr>
        <w:tabs>
          <w:tab w:val="left" w:pos="6300"/>
        </w:tabs>
        <w:suppressAutoHyphens/>
        <w:ind w:right="-209"/>
        <w:jc w:val="both"/>
        <w:rPr>
          <w:sz w:val="24"/>
          <w:szCs w:val="24"/>
          <w:lang w:val="es-ES_tradnl"/>
        </w:rPr>
      </w:pPr>
      <w:r w:rsidRPr="00CE271D">
        <w:rPr>
          <w:caps/>
          <w:sz w:val="24"/>
          <w:szCs w:val="24"/>
          <w:lang w:val="es-ES_tradnl"/>
        </w:rPr>
        <w:t xml:space="preserve">Convención Interamericana contra </w:t>
      </w:r>
      <w:r w:rsidRPr="00CE271D">
        <w:rPr>
          <w:sz w:val="24"/>
          <w:szCs w:val="24"/>
          <w:lang w:val="es-ES_tradnl"/>
        </w:rPr>
        <w:tab/>
        <w:t>OEA/</w:t>
      </w:r>
      <w:proofErr w:type="spellStart"/>
      <w:r w:rsidRPr="00CE271D">
        <w:rPr>
          <w:sz w:val="24"/>
          <w:szCs w:val="24"/>
          <w:lang w:val="es-ES_tradnl"/>
        </w:rPr>
        <w:t>Ser.L</w:t>
      </w:r>
      <w:proofErr w:type="spellEnd"/>
      <w:r w:rsidRPr="00CE271D">
        <w:rPr>
          <w:sz w:val="24"/>
          <w:szCs w:val="24"/>
          <w:lang w:val="es-ES_tradnl"/>
        </w:rPr>
        <w:t>/XXII.2.</w:t>
      </w:r>
      <w:r w:rsidR="00743927" w:rsidRPr="00CE271D">
        <w:rPr>
          <w:sz w:val="24"/>
          <w:szCs w:val="24"/>
          <w:lang w:val="es-ES_tradnl"/>
        </w:rPr>
        <w:t>20</w:t>
      </w:r>
    </w:p>
    <w:p w14:paraId="02512106" w14:textId="268984B9" w:rsidR="00280F06" w:rsidRPr="00CE271D" w:rsidRDefault="00280F06" w:rsidP="00C926D1">
      <w:pPr>
        <w:tabs>
          <w:tab w:val="left" w:pos="6300"/>
        </w:tabs>
        <w:suppressAutoHyphens/>
        <w:ind w:right="-1170"/>
        <w:jc w:val="both"/>
        <w:rPr>
          <w:sz w:val="24"/>
          <w:szCs w:val="24"/>
          <w:lang w:val="es-ES_tradnl"/>
        </w:rPr>
      </w:pPr>
      <w:r w:rsidRPr="00CE271D">
        <w:rPr>
          <w:caps/>
          <w:sz w:val="24"/>
          <w:szCs w:val="24"/>
          <w:lang w:val="es-ES_tradnl"/>
        </w:rPr>
        <w:t xml:space="preserve">la Fabricación y el Tráfico Ilícitos </w:t>
      </w:r>
      <w:r w:rsidRPr="00CE271D">
        <w:rPr>
          <w:caps/>
          <w:sz w:val="24"/>
          <w:szCs w:val="24"/>
          <w:lang w:val="es-ES_tradnl"/>
        </w:rPr>
        <w:tab/>
      </w:r>
      <w:r w:rsidRPr="00CE271D">
        <w:rPr>
          <w:sz w:val="24"/>
          <w:szCs w:val="24"/>
          <w:lang w:val="es-ES_tradnl"/>
        </w:rPr>
        <w:t>CIFTA/CC-X</w:t>
      </w:r>
      <w:r w:rsidR="00A02DD0" w:rsidRPr="00CE271D">
        <w:rPr>
          <w:sz w:val="24"/>
          <w:szCs w:val="24"/>
          <w:lang w:val="es-ES_tradnl"/>
        </w:rPr>
        <w:t>X</w:t>
      </w:r>
      <w:r w:rsidRPr="00CE271D">
        <w:rPr>
          <w:sz w:val="24"/>
          <w:szCs w:val="24"/>
          <w:lang w:val="es-ES_tradnl"/>
        </w:rPr>
        <w:t>/</w:t>
      </w:r>
      <w:r w:rsidR="009A4040">
        <w:rPr>
          <w:sz w:val="24"/>
          <w:szCs w:val="24"/>
          <w:lang w:val="es-ES_tradnl"/>
        </w:rPr>
        <w:t>doc</w:t>
      </w:r>
      <w:r w:rsidRPr="00CE271D">
        <w:rPr>
          <w:sz w:val="24"/>
          <w:szCs w:val="24"/>
          <w:lang w:val="es-ES_tradnl"/>
        </w:rPr>
        <w:t>.</w:t>
      </w:r>
      <w:r w:rsidR="009A4040">
        <w:rPr>
          <w:sz w:val="24"/>
          <w:szCs w:val="24"/>
          <w:lang w:val="es-ES_tradnl"/>
        </w:rPr>
        <w:t>11</w:t>
      </w:r>
      <w:r w:rsidRPr="00CE271D">
        <w:rPr>
          <w:sz w:val="24"/>
          <w:szCs w:val="24"/>
          <w:lang w:val="es-ES_tradnl"/>
        </w:rPr>
        <w:t>/</w:t>
      </w:r>
      <w:r w:rsidR="00743927" w:rsidRPr="00CE271D">
        <w:rPr>
          <w:sz w:val="24"/>
          <w:szCs w:val="24"/>
          <w:lang w:val="es-ES_tradnl"/>
        </w:rPr>
        <w:t>2</w:t>
      </w:r>
      <w:r w:rsidR="009607E2">
        <w:rPr>
          <w:sz w:val="24"/>
          <w:szCs w:val="24"/>
          <w:lang w:val="es-ES_tradnl"/>
        </w:rPr>
        <w:t>1</w:t>
      </w:r>
      <w:r w:rsidR="00743927" w:rsidRPr="00CE271D">
        <w:rPr>
          <w:sz w:val="24"/>
          <w:szCs w:val="24"/>
          <w:lang w:val="es-ES_tradnl"/>
        </w:rPr>
        <w:t xml:space="preserve"> </w:t>
      </w:r>
    </w:p>
    <w:p w14:paraId="7D6C857E" w14:textId="3073D98A" w:rsidR="00280F06" w:rsidRPr="00CE271D" w:rsidRDefault="00280F06" w:rsidP="00280F06">
      <w:pPr>
        <w:tabs>
          <w:tab w:val="left" w:pos="6300"/>
        </w:tabs>
        <w:suppressAutoHyphens/>
        <w:ind w:right="-705"/>
        <w:jc w:val="both"/>
        <w:rPr>
          <w:sz w:val="24"/>
          <w:szCs w:val="24"/>
          <w:lang w:val="es-ES_tradnl"/>
        </w:rPr>
      </w:pPr>
      <w:r w:rsidRPr="00CE271D">
        <w:rPr>
          <w:caps/>
          <w:sz w:val="24"/>
          <w:szCs w:val="24"/>
          <w:lang w:val="es-ES_tradnl"/>
        </w:rPr>
        <w:t>de Armas de Fuego, MUNICIONES, EXPLOSIVOS</w:t>
      </w:r>
      <w:r w:rsidRPr="00CE271D">
        <w:rPr>
          <w:sz w:val="24"/>
          <w:szCs w:val="24"/>
          <w:lang w:val="es-ES_tradnl"/>
        </w:rPr>
        <w:tab/>
      </w:r>
      <w:r w:rsidR="007A59E9">
        <w:rPr>
          <w:sz w:val="24"/>
          <w:szCs w:val="24"/>
          <w:lang w:val="es-ES_tradnl"/>
        </w:rPr>
        <w:t>13</w:t>
      </w:r>
      <w:r w:rsidR="00743927" w:rsidRPr="00CE271D">
        <w:rPr>
          <w:sz w:val="24"/>
          <w:szCs w:val="24"/>
          <w:lang w:val="es-ES_tradnl"/>
        </w:rPr>
        <w:t xml:space="preserve"> </w:t>
      </w:r>
      <w:r w:rsidR="007A59E9">
        <w:rPr>
          <w:sz w:val="24"/>
          <w:szCs w:val="24"/>
          <w:lang w:val="es-ES_tradnl"/>
        </w:rPr>
        <w:t>enero</w:t>
      </w:r>
      <w:r w:rsidR="00743927" w:rsidRPr="00CE271D">
        <w:rPr>
          <w:sz w:val="24"/>
          <w:szCs w:val="24"/>
          <w:lang w:val="es-ES_tradnl"/>
        </w:rPr>
        <w:t xml:space="preserve"> 202</w:t>
      </w:r>
      <w:r w:rsidR="007A59E9">
        <w:rPr>
          <w:sz w:val="24"/>
          <w:szCs w:val="24"/>
          <w:lang w:val="es-ES_tradnl"/>
        </w:rPr>
        <w:t>1</w:t>
      </w:r>
      <w:r w:rsidR="00743927" w:rsidRPr="00CE271D">
        <w:rPr>
          <w:sz w:val="24"/>
          <w:szCs w:val="24"/>
          <w:lang w:val="es-ES_tradnl"/>
        </w:rPr>
        <w:t xml:space="preserve"> </w:t>
      </w:r>
    </w:p>
    <w:p w14:paraId="474A3A52" w14:textId="77777777" w:rsidR="00280F06" w:rsidRPr="00CE271D" w:rsidRDefault="00280F06" w:rsidP="00280F06">
      <w:pPr>
        <w:tabs>
          <w:tab w:val="left" w:pos="6300"/>
        </w:tabs>
        <w:ind w:right="-389"/>
        <w:jc w:val="both"/>
        <w:rPr>
          <w:sz w:val="24"/>
          <w:szCs w:val="24"/>
          <w:lang w:val="es-ES_tradnl"/>
        </w:rPr>
      </w:pPr>
      <w:r w:rsidRPr="00CE271D">
        <w:rPr>
          <w:sz w:val="24"/>
          <w:szCs w:val="24"/>
          <w:lang w:val="es-ES_tradnl"/>
        </w:rPr>
        <w:t>Y OTROS MATERIALES RELACIONADOS (CIFTA)</w:t>
      </w:r>
      <w:r w:rsidRPr="00CE271D">
        <w:rPr>
          <w:caps/>
          <w:sz w:val="24"/>
          <w:szCs w:val="24"/>
          <w:lang w:val="es-ES_tradnl"/>
        </w:rPr>
        <w:tab/>
      </w:r>
      <w:r w:rsidRPr="00CE271D">
        <w:rPr>
          <w:sz w:val="24"/>
          <w:szCs w:val="24"/>
          <w:lang w:val="es-ES_tradnl"/>
        </w:rPr>
        <w:t>Original: español</w:t>
      </w:r>
    </w:p>
    <w:p w14:paraId="05AC3CD3" w14:textId="77777777" w:rsidR="00280F06" w:rsidRPr="00CE271D" w:rsidRDefault="00280F06" w:rsidP="00280F06">
      <w:pPr>
        <w:pStyle w:val="Heading3"/>
        <w:tabs>
          <w:tab w:val="left" w:pos="6300"/>
        </w:tabs>
        <w:spacing w:before="0" w:after="0"/>
        <w:rPr>
          <w:rFonts w:ascii="Times New Roman" w:hAnsi="Times New Roman" w:cs="Times New Roman"/>
          <w:b w:val="0"/>
          <w:sz w:val="24"/>
          <w:szCs w:val="24"/>
          <w:u w:val="single"/>
          <w:lang w:val="es-ES_tradnl"/>
        </w:rPr>
      </w:pPr>
      <w:r w:rsidRPr="00CE271D">
        <w:rPr>
          <w:rFonts w:ascii="Times New Roman" w:hAnsi="Times New Roman" w:cs="Times New Roman"/>
          <w:b w:val="0"/>
          <w:sz w:val="24"/>
          <w:szCs w:val="24"/>
          <w:u w:val="single"/>
          <w:lang w:val="es-ES_tradnl"/>
        </w:rPr>
        <w:t>Comité Consultivo</w:t>
      </w:r>
    </w:p>
    <w:p w14:paraId="3BA626BF" w14:textId="77777777" w:rsidR="00280F06" w:rsidRPr="00CE271D" w:rsidRDefault="00743927" w:rsidP="00280F06">
      <w:pPr>
        <w:tabs>
          <w:tab w:val="left" w:pos="6300"/>
        </w:tabs>
        <w:suppressAutoHyphens/>
        <w:jc w:val="both"/>
        <w:rPr>
          <w:sz w:val="24"/>
          <w:szCs w:val="24"/>
          <w:lang w:val="es-ES_tradnl"/>
        </w:rPr>
      </w:pPr>
      <w:r w:rsidRPr="00CE271D">
        <w:rPr>
          <w:sz w:val="24"/>
          <w:szCs w:val="24"/>
          <w:u w:val="single"/>
          <w:lang w:val="es-ES_tradnl"/>
        </w:rPr>
        <w:t>Vigésima</w:t>
      </w:r>
      <w:r w:rsidR="00A02DD0" w:rsidRPr="00CE271D">
        <w:rPr>
          <w:sz w:val="24"/>
          <w:szCs w:val="24"/>
          <w:u w:val="single"/>
          <w:lang w:val="es-ES_tradnl"/>
        </w:rPr>
        <w:t xml:space="preserve"> </w:t>
      </w:r>
      <w:r w:rsidR="00280F06" w:rsidRPr="00CE271D">
        <w:rPr>
          <w:sz w:val="24"/>
          <w:szCs w:val="24"/>
          <w:u w:val="single"/>
          <w:lang w:val="es-ES_tradnl"/>
        </w:rPr>
        <w:t>Reunión Ordinaria</w:t>
      </w:r>
    </w:p>
    <w:p w14:paraId="70293AC9" w14:textId="77777777" w:rsidR="00280F06" w:rsidRPr="00CE271D" w:rsidRDefault="00743927" w:rsidP="00280F06">
      <w:pPr>
        <w:tabs>
          <w:tab w:val="left" w:pos="6300"/>
        </w:tabs>
        <w:suppressAutoHyphens/>
        <w:jc w:val="both"/>
        <w:rPr>
          <w:sz w:val="24"/>
          <w:szCs w:val="24"/>
          <w:lang w:val="es-ES_tradnl"/>
        </w:rPr>
      </w:pPr>
      <w:r w:rsidRPr="00CE271D">
        <w:rPr>
          <w:sz w:val="24"/>
          <w:szCs w:val="24"/>
          <w:lang w:val="es-ES_tradnl"/>
        </w:rPr>
        <w:t xml:space="preserve">17 </w:t>
      </w:r>
      <w:r w:rsidR="00280F06" w:rsidRPr="00CE271D">
        <w:rPr>
          <w:sz w:val="24"/>
          <w:szCs w:val="24"/>
          <w:lang w:val="es-ES_tradnl"/>
        </w:rPr>
        <w:t xml:space="preserve">de </w:t>
      </w:r>
      <w:r w:rsidRPr="00CE271D">
        <w:rPr>
          <w:sz w:val="24"/>
          <w:szCs w:val="24"/>
          <w:lang w:val="es-ES_tradnl"/>
        </w:rPr>
        <w:t xml:space="preserve">diciembre </w:t>
      </w:r>
      <w:r w:rsidR="00280F06" w:rsidRPr="00CE271D">
        <w:rPr>
          <w:sz w:val="24"/>
          <w:szCs w:val="24"/>
          <w:lang w:val="es-ES_tradnl"/>
        </w:rPr>
        <w:t xml:space="preserve">de </w:t>
      </w:r>
      <w:r w:rsidRPr="00CE271D">
        <w:rPr>
          <w:sz w:val="24"/>
          <w:szCs w:val="24"/>
          <w:lang w:val="es-ES_tradnl"/>
        </w:rPr>
        <w:t>2020</w:t>
      </w:r>
    </w:p>
    <w:p w14:paraId="78C12335" w14:textId="77777777" w:rsidR="00280F06" w:rsidRPr="00CE271D" w:rsidRDefault="00280F06" w:rsidP="00280F06">
      <w:pPr>
        <w:tabs>
          <w:tab w:val="left" w:pos="6300"/>
        </w:tabs>
        <w:suppressAutoHyphens/>
        <w:jc w:val="both"/>
        <w:rPr>
          <w:sz w:val="24"/>
          <w:szCs w:val="24"/>
          <w:lang w:val="es-ES_tradnl"/>
        </w:rPr>
      </w:pPr>
      <w:r w:rsidRPr="00CE271D">
        <w:rPr>
          <w:sz w:val="24"/>
          <w:szCs w:val="24"/>
          <w:lang w:val="es-ES_tradnl"/>
        </w:rPr>
        <w:t>Washington, D.C.</w:t>
      </w:r>
    </w:p>
    <w:p w14:paraId="2470A191" w14:textId="77777777" w:rsidR="00280F06" w:rsidRPr="00CE271D" w:rsidRDefault="00280F06" w:rsidP="00280F06">
      <w:pPr>
        <w:pStyle w:val="BodyText"/>
        <w:jc w:val="left"/>
        <w:rPr>
          <w:b w:val="0"/>
          <w:szCs w:val="24"/>
          <w:lang w:val="es-ES_tradnl"/>
        </w:rPr>
      </w:pPr>
    </w:p>
    <w:p w14:paraId="23448520" w14:textId="77777777" w:rsidR="007742FC" w:rsidRPr="00CE271D" w:rsidRDefault="007742FC" w:rsidP="0041133A">
      <w:pPr>
        <w:tabs>
          <w:tab w:val="left" w:pos="720"/>
          <w:tab w:val="left" w:pos="6840"/>
        </w:tabs>
        <w:jc w:val="center"/>
        <w:rPr>
          <w:sz w:val="24"/>
          <w:szCs w:val="24"/>
          <w:lang w:val="es-ES_tradnl"/>
        </w:rPr>
      </w:pPr>
    </w:p>
    <w:p w14:paraId="16B3D38D" w14:textId="77777777" w:rsidR="0041133A" w:rsidRPr="00CE271D" w:rsidRDefault="0041133A" w:rsidP="0041133A">
      <w:pPr>
        <w:tabs>
          <w:tab w:val="left" w:pos="720"/>
          <w:tab w:val="left" w:pos="6840"/>
        </w:tabs>
        <w:jc w:val="center"/>
        <w:rPr>
          <w:sz w:val="24"/>
          <w:szCs w:val="24"/>
          <w:lang w:val="es-ES_tradnl"/>
        </w:rPr>
      </w:pPr>
      <w:r w:rsidRPr="00CE271D">
        <w:rPr>
          <w:sz w:val="24"/>
          <w:szCs w:val="24"/>
          <w:lang w:val="es-ES_tradnl"/>
        </w:rPr>
        <w:t xml:space="preserve">INFORME DE LA SECRETARÍA PRO TÉMPORE DEL COMITÉ CONSULTIVO DE LA CIFTA SOBRE LAS ACTIVIDADES REALIZADAS DURANTE EL PERÍODO </w:t>
      </w:r>
      <w:r w:rsidR="00743927" w:rsidRPr="00CE271D">
        <w:rPr>
          <w:sz w:val="24"/>
          <w:szCs w:val="24"/>
          <w:lang w:val="es-ES_tradnl"/>
        </w:rPr>
        <w:t>2019</w:t>
      </w:r>
      <w:r w:rsidRPr="00CE271D">
        <w:rPr>
          <w:sz w:val="24"/>
          <w:szCs w:val="24"/>
          <w:lang w:val="es-ES_tradnl"/>
        </w:rPr>
        <w:t>-</w:t>
      </w:r>
      <w:r w:rsidR="00743927" w:rsidRPr="00CE271D">
        <w:rPr>
          <w:sz w:val="24"/>
          <w:szCs w:val="24"/>
          <w:lang w:val="es-ES_tradnl"/>
        </w:rPr>
        <w:t>2020</w:t>
      </w:r>
    </w:p>
    <w:p w14:paraId="0BC7812C" w14:textId="77777777" w:rsidR="007742FC" w:rsidRPr="00CE271D" w:rsidRDefault="007742FC" w:rsidP="0041133A">
      <w:pPr>
        <w:tabs>
          <w:tab w:val="left" w:pos="720"/>
          <w:tab w:val="left" w:pos="6840"/>
        </w:tabs>
        <w:jc w:val="center"/>
        <w:rPr>
          <w:sz w:val="24"/>
          <w:szCs w:val="24"/>
          <w:lang w:val="es-ES_tradnl"/>
        </w:rPr>
      </w:pPr>
    </w:p>
    <w:p w14:paraId="7FB32A41" w14:textId="77777777" w:rsidR="0041133A" w:rsidRPr="00CE271D" w:rsidRDefault="0041133A" w:rsidP="0041133A">
      <w:pPr>
        <w:pStyle w:val="BodyText"/>
        <w:keepLines/>
        <w:tabs>
          <w:tab w:val="left" w:pos="720"/>
          <w:tab w:val="left" w:pos="6840"/>
        </w:tabs>
        <w:jc w:val="both"/>
        <w:rPr>
          <w:szCs w:val="24"/>
          <w:lang w:val="es-ES_tradnl"/>
        </w:rPr>
      </w:pPr>
    </w:p>
    <w:p w14:paraId="17690570" w14:textId="77777777" w:rsidR="0041133A" w:rsidRPr="00CE271D" w:rsidRDefault="0041133A" w:rsidP="0041133A">
      <w:pPr>
        <w:pStyle w:val="Heading1"/>
        <w:jc w:val="both"/>
        <w:rPr>
          <w:szCs w:val="24"/>
          <w:u w:val="none"/>
          <w:lang w:val="es-ES_tradnl"/>
        </w:rPr>
      </w:pPr>
      <w:r w:rsidRPr="00CE271D">
        <w:rPr>
          <w:szCs w:val="24"/>
          <w:u w:val="none"/>
          <w:lang w:val="es-ES_tradnl"/>
        </w:rPr>
        <w:tab/>
        <w:t xml:space="preserve">La Secretaría </w:t>
      </w:r>
      <w:r w:rsidRPr="00CE271D">
        <w:rPr>
          <w:i/>
          <w:szCs w:val="24"/>
          <w:u w:val="none"/>
          <w:lang w:val="es-ES_tradnl"/>
        </w:rPr>
        <w:t>Pro Témpore</w:t>
      </w:r>
      <w:r w:rsidRPr="00CE271D">
        <w:rPr>
          <w:szCs w:val="24"/>
          <w:u w:val="none"/>
          <w:lang w:val="es-ES_tradnl"/>
        </w:rPr>
        <w:t xml:space="preserve"> del Comité Consultivo de la Convención Interamericana contra la Fabricación y el Tráfico Ilícitos de Armas de Fuego, Municiones, Explosivos y otros Materiales Relacionados (CIFTA) tiene el honor de presentar el informe sobre las actividades desarrolladas </w:t>
      </w:r>
      <w:r w:rsidR="00A02DD0" w:rsidRPr="00CE271D">
        <w:rPr>
          <w:rStyle w:val="PageNumber1"/>
          <w:szCs w:val="24"/>
          <w:u w:val="none"/>
          <w:lang w:val="es-ES_tradnl"/>
        </w:rPr>
        <w:t xml:space="preserve">a partir de su elección el </w:t>
      </w:r>
      <w:r w:rsidR="00743927" w:rsidRPr="00CE271D">
        <w:rPr>
          <w:rStyle w:val="PageNumber1"/>
          <w:szCs w:val="24"/>
          <w:u w:val="none"/>
          <w:lang w:val="es-ES_tradnl"/>
        </w:rPr>
        <w:t xml:space="preserve">5 </w:t>
      </w:r>
      <w:r w:rsidR="00A02DD0" w:rsidRPr="00CE271D">
        <w:rPr>
          <w:rStyle w:val="PageNumber1"/>
          <w:szCs w:val="24"/>
          <w:u w:val="none"/>
          <w:lang w:val="es-ES_tradnl"/>
        </w:rPr>
        <w:t xml:space="preserve">de </w:t>
      </w:r>
      <w:r w:rsidR="00743927" w:rsidRPr="00CE271D">
        <w:rPr>
          <w:rStyle w:val="PageNumber1"/>
          <w:szCs w:val="24"/>
          <w:u w:val="none"/>
          <w:lang w:val="es-ES_tradnl"/>
        </w:rPr>
        <w:t xml:space="preserve">abril </w:t>
      </w:r>
      <w:r w:rsidR="00A02DD0" w:rsidRPr="00CE271D">
        <w:rPr>
          <w:rStyle w:val="PageNumber1"/>
          <w:szCs w:val="24"/>
          <w:u w:val="none"/>
          <w:lang w:val="es-ES_tradnl"/>
        </w:rPr>
        <w:t xml:space="preserve">de </w:t>
      </w:r>
      <w:r w:rsidR="00743927" w:rsidRPr="00CE271D">
        <w:rPr>
          <w:rStyle w:val="PageNumber1"/>
          <w:szCs w:val="24"/>
          <w:u w:val="none"/>
          <w:lang w:val="es-ES_tradnl"/>
        </w:rPr>
        <w:t>2019</w:t>
      </w:r>
      <w:r w:rsidR="00A02DD0" w:rsidRPr="00CE271D">
        <w:rPr>
          <w:rStyle w:val="PageNumber1"/>
          <w:szCs w:val="24"/>
          <w:u w:val="none"/>
          <w:lang w:val="es-ES_tradnl"/>
        </w:rPr>
        <w:t>,</w:t>
      </w:r>
      <w:r w:rsidR="00A02DD0" w:rsidRPr="00CE271D">
        <w:rPr>
          <w:szCs w:val="24"/>
          <w:u w:val="none"/>
          <w:lang w:val="es-ES_tradnl"/>
        </w:rPr>
        <w:t xml:space="preserve"> </w:t>
      </w:r>
      <w:r w:rsidR="00A02DD0" w:rsidRPr="00CE271D">
        <w:rPr>
          <w:rStyle w:val="PageNumber1"/>
          <w:szCs w:val="24"/>
          <w:u w:val="none"/>
          <w:lang w:val="es-ES_tradnl"/>
        </w:rPr>
        <w:t xml:space="preserve">durante la Décimo </w:t>
      </w:r>
      <w:r w:rsidR="00743927" w:rsidRPr="00CE271D">
        <w:rPr>
          <w:rStyle w:val="PageNumber1"/>
          <w:szCs w:val="24"/>
          <w:u w:val="none"/>
          <w:lang w:val="es-ES_tradnl"/>
        </w:rPr>
        <w:t xml:space="preserve">Novena </w:t>
      </w:r>
      <w:r w:rsidR="00A02DD0" w:rsidRPr="00CE271D">
        <w:rPr>
          <w:rStyle w:val="PageNumber1"/>
          <w:szCs w:val="24"/>
          <w:u w:val="none"/>
          <w:lang w:val="es-ES_tradnl"/>
        </w:rPr>
        <w:t>Reunión Ordinaria del Comité Consultivo de la CIFTA</w:t>
      </w:r>
      <w:r w:rsidRPr="00CE271D">
        <w:rPr>
          <w:szCs w:val="24"/>
          <w:u w:val="none"/>
          <w:lang w:val="es-ES_tradnl"/>
        </w:rPr>
        <w:t xml:space="preserve">, de conformidad con el Artículo </w:t>
      </w:r>
      <w:r w:rsidR="00A02DD0" w:rsidRPr="00CE271D">
        <w:rPr>
          <w:szCs w:val="24"/>
          <w:u w:val="none"/>
          <w:lang w:val="es-ES_tradnl"/>
        </w:rPr>
        <w:t>5</w:t>
      </w:r>
      <w:r w:rsidRPr="00CE271D">
        <w:rPr>
          <w:szCs w:val="24"/>
          <w:u w:val="none"/>
          <w:lang w:val="es-ES_tradnl"/>
        </w:rPr>
        <w:t xml:space="preserve"> del Reglamento Interno del Comité Consultivo, tomando como marco de referencia el “Curso de Acción 201</w:t>
      </w:r>
      <w:r w:rsidR="00E05AE7" w:rsidRPr="00CE271D">
        <w:rPr>
          <w:szCs w:val="24"/>
          <w:u w:val="none"/>
          <w:lang w:val="es-ES_tradnl"/>
        </w:rPr>
        <w:t>8</w:t>
      </w:r>
      <w:r w:rsidRPr="00CE271D">
        <w:rPr>
          <w:szCs w:val="24"/>
          <w:u w:val="none"/>
          <w:lang w:val="es-ES_tradnl"/>
        </w:rPr>
        <w:t>-20</w:t>
      </w:r>
      <w:r w:rsidR="00E05AE7" w:rsidRPr="00CE271D">
        <w:rPr>
          <w:szCs w:val="24"/>
          <w:u w:val="none"/>
          <w:lang w:val="es-ES_tradnl"/>
        </w:rPr>
        <w:t>22</w:t>
      </w:r>
      <w:r w:rsidRPr="00CE271D">
        <w:rPr>
          <w:szCs w:val="24"/>
          <w:u w:val="none"/>
          <w:lang w:val="es-ES_tradnl"/>
        </w:rPr>
        <w:t xml:space="preserve"> para el Funcionamiento y Aplicación de la CIFTA”, así como las decisiones y mandatos adoptados por los y las Cancilleres del Hemisferio, contenidos en </w:t>
      </w:r>
      <w:bookmarkStart w:id="0" w:name="_Toc398801941"/>
      <w:bookmarkStart w:id="1" w:name="_Toc366684259"/>
      <w:r w:rsidRPr="00CE271D">
        <w:rPr>
          <w:szCs w:val="24"/>
          <w:u w:val="none"/>
          <w:lang w:val="es-ES_tradnl"/>
        </w:rPr>
        <w:t>la Resolución AG/RES. </w:t>
      </w:r>
      <w:r w:rsidR="00536EE3" w:rsidRPr="00CE271D">
        <w:rPr>
          <w:szCs w:val="24"/>
          <w:u w:val="none"/>
          <w:lang w:val="es-ES_tradnl"/>
        </w:rPr>
        <w:t xml:space="preserve">2950 </w:t>
      </w:r>
      <w:r w:rsidRPr="00CE271D">
        <w:rPr>
          <w:szCs w:val="24"/>
          <w:u w:val="none"/>
          <w:lang w:val="es-ES_tradnl"/>
        </w:rPr>
        <w:t>(</w:t>
      </w:r>
      <w:r w:rsidR="00536EE3" w:rsidRPr="00CE271D">
        <w:rPr>
          <w:szCs w:val="24"/>
          <w:u w:val="none"/>
          <w:lang w:val="es-ES_tradnl"/>
        </w:rPr>
        <w:t>L</w:t>
      </w:r>
      <w:r w:rsidRPr="00CE271D">
        <w:rPr>
          <w:szCs w:val="24"/>
          <w:u w:val="none"/>
          <w:lang w:val="es-ES_tradnl"/>
        </w:rPr>
        <w:t>-O/</w:t>
      </w:r>
      <w:r w:rsidR="00536EE3" w:rsidRPr="00CE271D">
        <w:rPr>
          <w:szCs w:val="24"/>
          <w:u w:val="none"/>
          <w:lang w:val="es-ES_tradnl"/>
        </w:rPr>
        <w:t>20</w:t>
      </w:r>
      <w:r w:rsidRPr="00CE271D">
        <w:rPr>
          <w:szCs w:val="24"/>
          <w:u w:val="none"/>
          <w:lang w:val="es-ES_tradnl"/>
        </w:rPr>
        <w:t>)</w:t>
      </w:r>
      <w:bookmarkEnd w:id="0"/>
      <w:r w:rsidRPr="00CE271D">
        <w:rPr>
          <w:szCs w:val="24"/>
          <w:u w:val="none"/>
          <w:lang w:val="es-ES_tradnl"/>
        </w:rPr>
        <w:t>, titulada “Promoción de la Seguridad Hemisférica: Un Enfoque Multidimensiona</w:t>
      </w:r>
      <w:bookmarkEnd w:id="1"/>
      <w:r w:rsidRPr="00CE271D">
        <w:rPr>
          <w:szCs w:val="24"/>
          <w:u w:val="none"/>
          <w:lang w:val="es-ES_tradnl"/>
        </w:rPr>
        <w:t xml:space="preserve">l”. </w:t>
      </w:r>
    </w:p>
    <w:p w14:paraId="33025D0D" w14:textId="77777777" w:rsidR="0041133A" w:rsidRPr="00CE271D" w:rsidRDefault="0041133A" w:rsidP="0041133A">
      <w:pPr>
        <w:tabs>
          <w:tab w:val="left" w:pos="720"/>
          <w:tab w:val="left" w:pos="6840"/>
        </w:tabs>
        <w:jc w:val="both"/>
        <w:rPr>
          <w:sz w:val="24"/>
          <w:szCs w:val="24"/>
          <w:lang w:val="es-ES_tradnl"/>
        </w:rPr>
      </w:pPr>
    </w:p>
    <w:p w14:paraId="7CB87A82" w14:textId="77777777" w:rsidR="0041133A" w:rsidRPr="00CE271D" w:rsidRDefault="0041133A" w:rsidP="0041133A">
      <w:pPr>
        <w:tabs>
          <w:tab w:val="left" w:pos="720"/>
          <w:tab w:val="left" w:pos="6840"/>
        </w:tabs>
        <w:jc w:val="both"/>
        <w:rPr>
          <w:b/>
          <w:bCs/>
          <w:sz w:val="24"/>
          <w:szCs w:val="24"/>
          <w:lang w:val="es-ES_tradnl"/>
        </w:rPr>
      </w:pPr>
      <w:r w:rsidRPr="00CE271D">
        <w:rPr>
          <w:b/>
          <w:bCs/>
          <w:sz w:val="24"/>
          <w:szCs w:val="24"/>
          <w:lang w:val="es-ES_tradnl"/>
        </w:rPr>
        <w:t xml:space="preserve">Estado de firmas y ratificaciones de la Convención CIFTA </w:t>
      </w:r>
    </w:p>
    <w:p w14:paraId="4C40D5AC" w14:textId="77777777" w:rsidR="0041133A" w:rsidRPr="00CE271D" w:rsidRDefault="0041133A" w:rsidP="0041133A">
      <w:pPr>
        <w:tabs>
          <w:tab w:val="left" w:pos="720"/>
          <w:tab w:val="left" w:pos="6840"/>
        </w:tabs>
        <w:jc w:val="both"/>
        <w:rPr>
          <w:sz w:val="24"/>
          <w:szCs w:val="24"/>
          <w:u w:val="single"/>
          <w:lang w:val="es-ES_tradnl"/>
        </w:rPr>
      </w:pPr>
    </w:p>
    <w:p w14:paraId="6E51F87B" w14:textId="77777777" w:rsidR="0035780A" w:rsidRPr="00CE271D" w:rsidRDefault="0035780A" w:rsidP="0035780A">
      <w:pPr>
        <w:ind w:firstLine="720"/>
        <w:jc w:val="both"/>
        <w:rPr>
          <w:rStyle w:val="PageNumber1"/>
          <w:sz w:val="24"/>
          <w:szCs w:val="24"/>
          <w:lang w:val="es-ES_tradnl"/>
        </w:rPr>
      </w:pPr>
      <w:r w:rsidRPr="00CE271D">
        <w:rPr>
          <w:rStyle w:val="PageNumber1"/>
          <w:sz w:val="24"/>
          <w:szCs w:val="24"/>
          <w:lang w:val="es-ES_tradnl"/>
        </w:rPr>
        <w:t>A la fecha, son 31 Estados los que han ratificado o se han adherido a la Convención Interamericana contra la Fabricación y el Tráfico Ilícitos de Armas de Fuego, Municiones, Explosivos y otros Materiales Relacionados.</w:t>
      </w:r>
    </w:p>
    <w:p w14:paraId="59B66E15" w14:textId="77777777" w:rsidR="0035780A" w:rsidRPr="00CE271D" w:rsidRDefault="0035780A" w:rsidP="0035780A">
      <w:pPr>
        <w:tabs>
          <w:tab w:val="left" w:pos="720"/>
          <w:tab w:val="left" w:pos="6840"/>
        </w:tabs>
        <w:jc w:val="both"/>
        <w:rPr>
          <w:sz w:val="24"/>
          <w:szCs w:val="24"/>
          <w:lang w:val="es-ES_tradnl"/>
        </w:rPr>
      </w:pPr>
    </w:p>
    <w:p w14:paraId="46AA0EF2" w14:textId="225A8AB0" w:rsidR="0035780A" w:rsidRPr="00CE271D" w:rsidRDefault="0035780A" w:rsidP="0035780A">
      <w:pPr>
        <w:tabs>
          <w:tab w:val="left" w:pos="720"/>
          <w:tab w:val="left" w:pos="6840"/>
        </w:tabs>
        <w:ind w:firstLine="720"/>
        <w:jc w:val="both"/>
        <w:rPr>
          <w:rStyle w:val="PageNumber1"/>
          <w:sz w:val="24"/>
          <w:szCs w:val="24"/>
          <w:lang w:val="es-ES_tradnl"/>
        </w:rPr>
      </w:pPr>
      <w:r w:rsidRPr="00CE271D">
        <w:rPr>
          <w:rStyle w:val="PageNumber1"/>
          <w:sz w:val="24"/>
          <w:szCs w:val="24"/>
          <w:lang w:val="es-ES_tradnl"/>
        </w:rPr>
        <w:t xml:space="preserve">Por medio de cartas dirigidas a los Representantes Permanentes ante la OEA, el </w:t>
      </w:r>
      <w:r w:rsidR="004D3DC2" w:rsidRPr="00CE271D">
        <w:rPr>
          <w:rStyle w:val="PageNumber1"/>
          <w:sz w:val="24"/>
          <w:szCs w:val="24"/>
          <w:lang w:val="es-ES_tradnl"/>
        </w:rPr>
        <w:t xml:space="preserve">3 </w:t>
      </w:r>
      <w:r w:rsidRPr="00CE271D">
        <w:rPr>
          <w:rStyle w:val="PageNumber1"/>
          <w:sz w:val="24"/>
          <w:szCs w:val="24"/>
          <w:lang w:val="es-ES_tradnl"/>
        </w:rPr>
        <w:t xml:space="preserve">de </w:t>
      </w:r>
      <w:r w:rsidR="004D3DC2" w:rsidRPr="00CE271D">
        <w:rPr>
          <w:rStyle w:val="PageNumber1"/>
          <w:sz w:val="24"/>
          <w:szCs w:val="24"/>
          <w:lang w:val="es-ES_tradnl"/>
        </w:rPr>
        <w:t xml:space="preserve">diciembre </w:t>
      </w:r>
      <w:r w:rsidRPr="00CE271D">
        <w:rPr>
          <w:rStyle w:val="PageNumber1"/>
          <w:sz w:val="24"/>
          <w:szCs w:val="24"/>
          <w:lang w:val="es-ES_tradnl"/>
        </w:rPr>
        <w:t xml:space="preserve">de </w:t>
      </w:r>
      <w:r w:rsidR="004D3DC2" w:rsidRPr="00CE271D">
        <w:rPr>
          <w:rStyle w:val="PageNumber1"/>
          <w:sz w:val="24"/>
          <w:szCs w:val="24"/>
          <w:lang w:val="es-ES_tradnl"/>
        </w:rPr>
        <w:t>2020</w:t>
      </w:r>
      <w:r w:rsidRPr="00CE271D">
        <w:rPr>
          <w:rStyle w:val="PageNumber1"/>
          <w:sz w:val="24"/>
          <w:szCs w:val="24"/>
          <w:lang w:val="es-ES_tradnl"/>
        </w:rPr>
        <w:t xml:space="preserve">, la Secretaría </w:t>
      </w:r>
      <w:r w:rsidRPr="00CE271D">
        <w:rPr>
          <w:rStyle w:val="PageNumber1"/>
          <w:i/>
          <w:iCs/>
          <w:sz w:val="24"/>
          <w:szCs w:val="24"/>
          <w:lang w:val="es-ES_tradnl"/>
        </w:rPr>
        <w:t>Pro Témpore</w:t>
      </w:r>
      <w:r w:rsidRPr="00CE271D">
        <w:rPr>
          <w:rStyle w:val="PageNumber1"/>
          <w:sz w:val="24"/>
          <w:szCs w:val="24"/>
          <w:lang w:val="es-ES_tradnl"/>
        </w:rPr>
        <w:t xml:space="preserve"> realizó gestiones a fin de instar a los Estados signatarios que aún no han ratificado la Convención --Canadá, Estados Unidos y Jamaica -- a que consideren, a la breveda</w:t>
      </w:r>
      <w:r w:rsidR="00C5067C" w:rsidRPr="00CE271D">
        <w:rPr>
          <w:rStyle w:val="PageNumber1"/>
          <w:sz w:val="24"/>
          <w:szCs w:val="24"/>
          <w:lang w:val="es-ES_tradnl"/>
        </w:rPr>
        <w:t xml:space="preserve">d posible, su ratificación. </w:t>
      </w:r>
      <w:r w:rsidR="00A3788F" w:rsidRPr="00CE271D">
        <w:rPr>
          <w:rStyle w:val="PageNumber1"/>
          <w:sz w:val="24"/>
          <w:szCs w:val="24"/>
          <w:lang w:val="es-ES_tradnl"/>
        </w:rPr>
        <w:t>Así</w:t>
      </w:r>
      <w:r w:rsidR="00A3788F">
        <w:rPr>
          <w:rStyle w:val="PageNumber1"/>
          <w:sz w:val="24"/>
          <w:szCs w:val="24"/>
          <w:lang w:val="es-ES_tradnl"/>
        </w:rPr>
        <w:t xml:space="preserve"> </w:t>
      </w:r>
      <w:r w:rsidRPr="00CE271D">
        <w:rPr>
          <w:rStyle w:val="PageNumber1"/>
          <w:sz w:val="24"/>
          <w:szCs w:val="24"/>
          <w:lang w:val="es-ES_tradnl"/>
        </w:rPr>
        <w:t>mismo</w:t>
      </w:r>
      <w:r w:rsidR="00A3788F">
        <w:rPr>
          <w:rStyle w:val="PageNumber1"/>
          <w:sz w:val="24"/>
          <w:szCs w:val="24"/>
          <w:lang w:val="es-ES_tradnl"/>
        </w:rPr>
        <w:t>,</w:t>
      </w:r>
      <w:r w:rsidRPr="00CE271D">
        <w:rPr>
          <w:rStyle w:val="PageNumber1"/>
          <w:sz w:val="24"/>
          <w:szCs w:val="24"/>
          <w:lang w:val="es-ES_tradnl"/>
        </w:rPr>
        <w:t xml:space="preserve"> se les solicitó se informe sobre las acciones que sus Gobiernos hayan realizado en ese sentido.</w:t>
      </w:r>
    </w:p>
    <w:p w14:paraId="050C224C" w14:textId="77777777" w:rsidR="0035780A" w:rsidRPr="00CE271D" w:rsidRDefault="0035780A" w:rsidP="0035780A">
      <w:pPr>
        <w:tabs>
          <w:tab w:val="left" w:pos="720"/>
          <w:tab w:val="left" w:pos="6840"/>
        </w:tabs>
        <w:jc w:val="both"/>
        <w:rPr>
          <w:b/>
          <w:bCs/>
          <w:sz w:val="24"/>
          <w:szCs w:val="24"/>
          <w:lang w:val="es-ES_tradnl"/>
        </w:rPr>
      </w:pPr>
    </w:p>
    <w:p w14:paraId="3D8C82EB" w14:textId="77777777" w:rsidR="0035780A" w:rsidRPr="00CE271D" w:rsidRDefault="0035780A" w:rsidP="0035780A">
      <w:pPr>
        <w:tabs>
          <w:tab w:val="left" w:pos="720"/>
          <w:tab w:val="left" w:pos="6840"/>
        </w:tabs>
        <w:jc w:val="both"/>
        <w:rPr>
          <w:rStyle w:val="PageNumber1"/>
          <w:b/>
          <w:bCs/>
          <w:sz w:val="24"/>
          <w:szCs w:val="24"/>
          <w:lang w:val="es-ES_tradnl"/>
        </w:rPr>
      </w:pPr>
      <w:r w:rsidRPr="00CE271D">
        <w:rPr>
          <w:rStyle w:val="PageNumber1"/>
          <w:b/>
          <w:bCs/>
          <w:sz w:val="24"/>
          <w:szCs w:val="24"/>
          <w:lang w:val="es-ES_tradnl"/>
        </w:rPr>
        <w:t>Cuestionario sobre el Nivel de Implementación y Efectividad de la CIFTA</w:t>
      </w:r>
    </w:p>
    <w:p w14:paraId="52874BE2" w14:textId="77777777" w:rsidR="0035780A" w:rsidRPr="00CE271D" w:rsidRDefault="0035780A" w:rsidP="0035780A">
      <w:pPr>
        <w:tabs>
          <w:tab w:val="left" w:pos="720"/>
        </w:tabs>
        <w:jc w:val="both"/>
        <w:rPr>
          <w:b/>
          <w:bCs/>
          <w:sz w:val="24"/>
          <w:szCs w:val="24"/>
          <w:lang w:val="es-ES_tradnl"/>
        </w:rPr>
      </w:pPr>
    </w:p>
    <w:p w14:paraId="2B770720" w14:textId="2715E11E" w:rsidR="0035780A" w:rsidRPr="00CE271D" w:rsidRDefault="0035780A" w:rsidP="0035780A">
      <w:pPr>
        <w:tabs>
          <w:tab w:val="left" w:pos="720"/>
        </w:tabs>
        <w:jc w:val="both"/>
        <w:rPr>
          <w:rStyle w:val="PageNumber1"/>
          <w:sz w:val="24"/>
          <w:szCs w:val="24"/>
          <w:lang w:val="es-ES_tradnl"/>
        </w:rPr>
      </w:pPr>
      <w:r w:rsidRPr="00CE271D">
        <w:rPr>
          <w:rStyle w:val="PageNumber1"/>
          <w:sz w:val="24"/>
          <w:szCs w:val="24"/>
          <w:lang w:val="es-ES_tradnl"/>
        </w:rPr>
        <w:tab/>
        <w:t xml:space="preserve">Como antecedente, se debe recordar que, con el fin de conocer la situación actual de los Estados Parte y No Parte de la Convención, en relación con la aplicación de la misma, se ha remitido a los </w:t>
      </w:r>
      <w:r w:rsidR="00C5067C" w:rsidRPr="00CE271D">
        <w:rPr>
          <w:rStyle w:val="PageNumber1"/>
          <w:sz w:val="24"/>
          <w:szCs w:val="24"/>
          <w:lang w:val="es-ES_tradnl"/>
        </w:rPr>
        <w:t xml:space="preserve">mismos, y desde </w:t>
      </w:r>
      <w:r w:rsidRPr="00CE271D">
        <w:rPr>
          <w:rStyle w:val="PageNumber1"/>
          <w:sz w:val="24"/>
          <w:szCs w:val="24"/>
          <w:lang w:val="es-ES_tradnl"/>
        </w:rPr>
        <w:t>el año 2011, el “Cuestionario sobre la Implementación y Efectividad de la CIFTA”. Esta solicitud de información ha sido reiterada de forma anual a todos los Estados miembros de la Organización de los Esta</w:t>
      </w:r>
      <w:r w:rsidR="004504CF" w:rsidRPr="00CE271D">
        <w:rPr>
          <w:rStyle w:val="PageNumber1"/>
          <w:sz w:val="24"/>
          <w:szCs w:val="24"/>
          <w:lang w:val="es-ES_tradnl"/>
        </w:rPr>
        <w:t>d</w:t>
      </w:r>
      <w:r w:rsidRPr="00CE271D">
        <w:rPr>
          <w:rStyle w:val="PageNumber1"/>
          <w:sz w:val="24"/>
          <w:szCs w:val="24"/>
          <w:lang w:val="es-ES_tradnl"/>
        </w:rPr>
        <w:t xml:space="preserve">os Americanos. </w:t>
      </w:r>
    </w:p>
    <w:p w14:paraId="1059314B" w14:textId="77777777" w:rsidR="00922C91" w:rsidRPr="00CE271D" w:rsidRDefault="00922C91" w:rsidP="0035780A">
      <w:pPr>
        <w:tabs>
          <w:tab w:val="left" w:pos="720"/>
        </w:tabs>
        <w:jc w:val="both"/>
        <w:rPr>
          <w:sz w:val="24"/>
          <w:szCs w:val="24"/>
          <w:lang w:val="es-ES_tradnl"/>
        </w:rPr>
      </w:pPr>
    </w:p>
    <w:p w14:paraId="48C4B57B" w14:textId="2247477F" w:rsidR="0035780A" w:rsidRPr="00CE271D" w:rsidRDefault="0035780A" w:rsidP="0035780A">
      <w:pPr>
        <w:tabs>
          <w:tab w:val="left" w:pos="720"/>
        </w:tabs>
        <w:jc w:val="both"/>
        <w:rPr>
          <w:rStyle w:val="PageNumber1"/>
          <w:sz w:val="24"/>
          <w:szCs w:val="24"/>
          <w:lang w:val="es-ES_tradnl"/>
        </w:rPr>
      </w:pPr>
      <w:r w:rsidRPr="00CE271D">
        <w:rPr>
          <w:rStyle w:val="PageNumber1"/>
          <w:sz w:val="24"/>
          <w:szCs w:val="24"/>
          <w:lang w:val="es-ES_tradnl"/>
        </w:rPr>
        <w:lastRenderedPageBreak/>
        <w:tab/>
        <w:t xml:space="preserve">Durante el periodo </w:t>
      </w:r>
      <w:r w:rsidR="004D3DC2" w:rsidRPr="00CE271D">
        <w:rPr>
          <w:rStyle w:val="PageNumber1"/>
          <w:sz w:val="24"/>
          <w:szCs w:val="24"/>
          <w:lang w:val="es-ES_tradnl"/>
        </w:rPr>
        <w:t>2019</w:t>
      </w:r>
      <w:r w:rsidRPr="00CE271D">
        <w:rPr>
          <w:rStyle w:val="PageNumber1"/>
          <w:sz w:val="24"/>
          <w:szCs w:val="24"/>
          <w:lang w:val="es-ES_tradnl"/>
        </w:rPr>
        <w:t>-</w:t>
      </w:r>
      <w:r w:rsidR="004D3DC2" w:rsidRPr="00CE271D">
        <w:rPr>
          <w:rStyle w:val="PageNumber1"/>
          <w:sz w:val="24"/>
          <w:szCs w:val="24"/>
          <w:lang w:val="es-ES_tradnl"/>
        </w:rPr>
        <w:t xml:space="preserve">2020 </w:t>
      </w:r>
      <w:r w:rsidRPr="00CE271D">
        <w:rPr>
          <w:rStyle w:val="PageNumber1"/>
          <w:sz w:val="24"/>
          <w:szCs w:val="24"/>
          <w:lang w:val="es-ES_tradnl"/>
        </w:rPr>
        <w:t xml:space="preserve">se recibieron </w:t>
      </w:r>
      <w:r w:rsidR="003A6F03">
        <w:rPr>
          <w:rStyle w:val="PageNumber1"/>
          <w:sz w:val="24"/>
          <w:szCs w:val="24"/>
          <w:lang w:val="es-ES_tradnl"/>
        </w:rPr>
        <w:t>cinco</w:t>
      </w:r>
      <w:r w:rsidR="00743927" w:rsidRPr="00CE271D">
        <w:rPr>
          <w:rStyle w:val="PageNumber1"/>
          <w:sz w:val="24"/>
          <w:szCs w:val="24"/>
          <w:lang w:val="es-ES_tradnl"/>
        </w:rPr>
        <w:t xml:space="preserve"> </w:t>
      </w:r>
      <w:r w:rsidRPr="00CE271D">
        <w:rPr>
          <w:rStyle w:val="PageNumber1"/>
          <w:sz w:val="24"/>
          <w:szCs w:val="24"/>
          <w:lang w:val="es-ES_tradnl"/>
        </w:rPr>
        <w:t xml:space="preserve">cuestionarios actualizados, por parte de </w:t>
      </w:r>
      <w:r w:rsidR="004D3DC2" w:rsidRPr="00CE271D">
        <w:rPr>
          <w:rStyle w:val="PageNumber1"/>
          <w:sz w:val="24"/>
          <w:szCs w:val="24"/>
          <w:lang w:val="es-ES_tradnl"/>
        </w:rPr>
        <w:t>Chile</w:t>
      </w:r>
      <w:r w:rsidR="00C5067C" w:rsidRPr="00CE271D">
        <w:rPr>
          <w:rStyle w:val="PageNumber1"/>
          <w:sz w:val="24"/>
          <w:szCs w:val="24"/>
          <w:lang w:val="es-ES_tradnl"/>
        </w:rPr>
        <w:t>, Costa Rica, México</w:t>
      </w:r>
      <w:r w:rsidR="003A6F03">
        <w:rPr>
          <w:rStyle w:val="PageNumber1"/>
          <w:sz w:val="24"/>
          <w:szCs w:val="24"/>
          <w:lang w:val="es-ES_tradnl"/>
        </w:rPr>
        <w:t>, Panamá</w:t>
      </w:r>
      <w:r w:rsidR="00C5067C" w:rsidRPr="00CE271D">
        <w:rPr>
          <w:rStyle w:val="PageNumber1"/>
          <w:sz w:val="24"/>
          <w:szCs w:val="24"/>
          <w:lang w:val="es-ES_tradnl"/>
        </w:rPr>
        <w:t xml:space="preserve"> </w:t>
      </w:r>
      <w:r w:rsidR="004D3DC2" w:rsidRPr="00CE271D">
        <w:rPr>
          <w:rStyle w:val="PageNumber1"/>
          <w:sz w:val="24"/>
          <w:szCs w:val="24"/>
          <w:lang w:val="es-ES_tradnl"/>
        </w:rPr>
        <w:t xml:space="preserve">y </w:t>
      </w:r>
      <w:r w:rsidRPr="00CE271D">
        <w:rPr>
          <w:rStyle w:val="PageNumber1"/>
          <w:sz w:val="24"/>
          <w:szCs w:val="24"/>
          <w:lang w:val="es-ES_tradnl"/>
        </w:rPr>
        <w:t xml:space="preserve">Perú. La Secretaría Técnica instó a los Estados Miembros que aún no lo hubieran hecho, a que remitan sus cuestionarios debidamente actualizados. </w:t>
      </w:r>
    </w:p>
    <w:p w14:paraId="00249829" w14:textId="77777777" w:rsidR="00571ECC" w:rsidRPr="00CE271D" w:rsidRDefault="00571ECC" w:rsidP="0035780A">
      <w:pPr>
        <w:tabs>
          <w:tab w:val="left" w:pos="720"/>
          <w:tab w:val="left" w:pos="6840"/>
        </w:tabs>
        <w:jc w:val="both"/>
        <w:rPr>
          <w:rStyle w:val="PageNumber1"/>
          <w:b/>
          <w:bCs/>
          <w:sz w:val="24"/>
          <w:szCs w:val="24"/>
          <w:lang w:val="es-ES_tradnl"/>
        </w:rPr>
      </w:pPr>
    </w:p>
    <w:p w14:paraId="16EE01E9" w14:textId="77777777" w:rsidR="0035780A" w:rsidRPr="00CE271D" w:rsidRDefault="0035780A" w:rsidP="0035780A">
      <w:pPr>
        <w:tabs>
          <w:tab w:val="left" w:pos="720"/>
          <w:tab w:val="left" w:pos="6840"/>
        </w:tabs>
        <w:jc w:val="both"/>
        <w:rPr>
          <w:rStyle w:val="PageNumber1"/>
          <w:b/>
          <w:bCs/>
          <w:sz w:val="24"/>
          <w:szCs w:val="24"/>
          <w:lang w:val="es-ES_tradnl"/>
        </w:rPr>
      </w:pPr>
      <w:r w:rsidRPr="00CE271D">
        <w:rPr>
          <w:rStyle w:val="PageNumber1"/>
          <w:b/>
          <w:bCs/>
          <w:sz w:val="24"/>
          <w:szCs w:val="24"/>
          <w:lang w:val="es-ES_tradnl"/>
        </w:rPr>
        <w:t>Cooperación y coordinación regional e internacional</w:t>
      </w:r>
    </w:p>
    <w:p w14:paraId="43CC1725" w14:textId="77777777" w:rsidR="0035780A" w:rsidRPr="00CE271D" w:rsidRDefault="0035780A" w:rsidP="00C5067C">
      <w:pPr>
        <w:tabs>
          <w:tab w:val="left" w:pos="720"/>
        </w:tabs>
        <w:jc w:val="both"/>
        <w:rPr>
          <w:rStyle w:val="PageNumber1"/>
          <w:sz w:val="24"/>
          <w:szCs w:val="24"/>
          <w:lang w:val="es-ES"/>
        </w:rPr>
      </w:pPr>
    </w:p>
    <w:p w14:paraId="07A0C3F0" w14:textId="35D0E6ED" w:rsidR="00E05AE7" w:rsidRPr="00CE271D" w:rsidRDefault="00CE271D" w:rsidP="00C5067C">
      <w:pPr>
        <w:tabs>
          <w:tab w:val="left" w:pos="720"/>
        </w:tabs>
        <w:jc w:val="both"/>
        <w:rPr>
          <w:rStyle w:val="PageNumber1"/>
          <w:sz w:val="24"/>
          <w:szCs w:val="24"/>
          <w:lang w:val="es-ES_tradnl"/>
        </w:rPr>
      </w:pPr>
      <w:r>
        <w:rPr>
          <w:rStyle w:val="PageNumber1"/>
          <w:sz w:val="24"/>
          <w:szCs w:val="24"/>
          <w:lang w:val="es-ES_tradnl"/>
        </w:rPr>
        <w:tab/>
      </w:r>
      <w:r w:rsidR="00E05AE7" w:rsidRPr="00CE271D">
        <w:rPr>
          <w:rStyle w:val="PageNumber1"/>
          <w:sz w:val="24"/>
          <w:szCs w:val="24"/>
          <w:lang w:val="es-ES_tradnl"/>
        </w:rPr>
        <w:t xml:space="preserve">Guiado por el mandato contenido en el párrafo 92 de la Resolución AG/RES 2907 del 2017 de promover y fortalecer las sinergias entre los estados miembros de la OEA, y otros organismos y mecanismos internaciones y regionales que abordan el tema del tráfico ilícito de armas de fuego, </w:t>
      </w:r>
      <w:r w:rsidR="003601F3" w:rsidRPr="00CE271D">
        <w:rPr>
          <w:rStyle w:val="PageNumber1"/>
          <w:sz w:val="24"/>
          <w:szCs w:val="24"/>
          <w:lang w:val="es-ES_tradnl"/>
        </w:rPr>
        <w:t>México, como</w:t>
      </w:r>
      <w:r w:rsidR="00E05AE7" w:rsidRPr="00CE271D">
        <w:rPr>
          <w:rStyle w:val="PageNumber1"/>
          <w:sz w:val="24"/>
          <w:szCs w:val="24"/>
          <w:lang w:val="es-ES_tradnl"/>
        </w:rPr>
        <w:t xml:space="preserve"> Secretaría Pro Tempore </w:t>
      </w:r>
      <w:r w:rsidR="003601F3" w:rsidRPr="00CE271D">
        <w:rPr>
          <w:rStyle w:val="PageNumber1"/>
          <w:sz w:val="24"/>
          <w:szCs w:val="24"/>
          <w:lang w:val="es-ES_tradnl"/>
        </w:rPr>
        <w:t>fue sede de dos ediciones sucesivas</w:t>
      </w:r>
      <w:r w:rsidR="003601F3" w:rsidRPr="00CE271D">
        <w:rPr>
          <w:rStyle w:val="PageNumber1"/>
          <w:sz w:val="24"/>
          <w:szCs w:val="24"/>
          <w:vertAlign w:val="superscript"/>
          <w:lang w:val="es-ES_tradnl"/>
        </w:rPr>
        <w:footnoteReference w:id="1"/>
      </w:r>
      <w:r w:rsidR="003601F3" w:rsidRPr="00CE271D">
        <w:rPr>
          <w:rStyle w:val="PageNumber1"/>
          <w:sz w:val="24"/>
          <w:szCs w:val="24"/>
          <w:lang w:val="es-ES_tradnl"/>
        </w:rPr>
        <w:t xml:space="preserve"> de la reunión “Fortalecimiento de la cooperación regional en América para prevenir y combatir el tráfico ilícito de armas de fuego y delitos conexos”, organizada conjuntamente por el Programa Global de Armas de Fuego de la Oficina de las Naciones Unidas contra la Droga y el Delito. </w:t>
      </w:r>
    </w:p>
    <w:p w14:paraId="3D897D8B" w14:textId="77777777" w:rsidR="003601F3" w:rsidRPr="00CE271D" w:rsidRDefault="003601F3" w:rsidP="00C5067C">
      <w:pPr>
        <w:tabs>
          <w:tab w:val="left" w:pos="720"/>
        </w:tabs>
        <w:jc w:val="both"/>
        <w:rPr>
          <w:rStyle w:val="PageNumber1"/>
          <w:sz w:val="24"/>
          <w:szCs w:val="24"/>
          <w:lang w:val="es-ES_tradnl"/>
        </w:rPr>
      </w:pPr>
    </w:p>
    <w:p w14:paraId="5EA20F8B" w14:textId="77777777" w:rsidR="003601F3" w:rsidRPr="00CE271D" w:rsidRDefault="003601F3" w:rsidP="00C5067C">
      <w:pPr>
        <w:tabs>
          <w:tab w:val="left" w:pos="720"/>
        </w:tabs>
        <w:jc w:val="both"/>
        <w:rPr>
          <w:rStyle w:val="PageNumber1"/>
          <w:sz w:val="24"/>
          <w:szCs w:val="24"/>
          <w:lang w:val="es-ES_tradnl"/>
        </w:rPr>
      </w:pPr>
      <w:r w:rsidRPr="00CE271D">
        <w:rPr>
          <w:rStyle w:val="PageNumber1"/>
          <w:sz w:val="24"/>
          <w:szCs w:val="24"/>
          <w:lang w:val="es-ES_tradnl"/>
        </w:rPr>
        <w:t>Entre las conclusiones surgidas de ambas ediciones destacaron las siguientes:</w:t>
      </w:r>
    </w:p>
    <w:p w14:paraId="0A3B1D5E" w14:textId="77777777" w:rsidR="003601F3" w:rsidRPr="00CE271D" w:rsidRDefault="003601F3" w:rsidP="00C5067C">
      <w:pPr>
        <w:tabs>
          <w:tab w:val="left" w:pos="720"/>
        </w:tabs>
        <w:jc w:val="both"/>
        <w:rPr>
          <w:rStyle w:val="PageNumber1"/>
          <w:sz w:val="24"/>
          <w:szCs w:val="24"/>
          <w:lang w:val="es-ES_tradnl"/>
        </w:rPr>
      </w:pPr>
    </w:p>
    <w:p w14:paraId="18E258C5" w14:textId="2CA1A2FF" w:rsidR="003601F3" w:rsidRPr="00CE271D" w:rsidRDefault="003601F3" w:rsidP="00C5067C">
      <w:pPr>
        <w:pStyle w:val="ListParagraph"/>
        <w:numPr>
          <w:ilvl w:val="0"/>
          <w:numId w:val="30"/>
        </w:numPr>
        <w:tabs>
          <w:tab w:val="left" w:pos="720"/>
        </w:tabs>
        <w:ind w:left="709"/>
        <w:jc w:val="both"/>
        <w:rPr>
          <w:rStyle w:val="PageNumber1"/>
          <w:sz w:val="24"/>
          <w:szCs w:val="24"/>
          <w:lang w:val="es-ES_tradnl"/>
        </w:rPr>
      </w:pPr>
      <w:r w:rsidRPr="00CE271D">
        <w:rPr>
          <w:rStyle w:val="PageNumber1"/>
          <w:sz w:val="24"/>
          <w:szCs w:val="24"/>
          <w:lang w:val="es-ES_tradnl"/>
        </w:rPr>
        <w:t>La mayoría de los países de América son miembros de la Convención de Palermo, del Protocolo contra la fabricación y el tráfico ilícitos de armas de fuego, sus piezas y componentes y municiones, y de la CIFTA, por lo que no necesitan un acuerdo adicional para cooperar, sino simplemente requieren establecer mecanismos que funcionen en materia de combate al tráfico de armas.</w:t>
      </w:r>
    </w:p>
    <w:p w14:paraId="3E744B31" w14:textId="6AC9657C" w:rsidR="003601F3" w:rsidRPr="00CE271D" w:rsidRDefault="003601F3" w:rsidP="00C5067C">
      <w:pPr>
        <w:pStyle w:val="ListParagraph"/>
        <w:numPr>
          <w:ilvl w:val="0"/>
          <w:numId w:val="30"/>
        </w:numPr>
        <w:tabs>
          <w:tab w:val="left" w:pos="720"/>
        </w:tabs>
        <w:ind w:left="709"/>
        <w:jc w:val="both"/>
        <w:rPr>
          <w:rStyle w:val="PageNumber1"/>
          <w:sz w:val="24"/>
          <w:szCs w:val="24"/>
          <w:lang w:val="es-ES_tradnl"/>
        </w:rPr>
      </w:pPr>
      <w:r w:rsidRPr="00CE271D">
        <w:rPr>
          <w:rStyle w:val="PageNumber1"/>
          <w:sz w:val="24"/>
          <w:szCs w:val="24"/>
          <w:lang w:val="es-ES_tradnl"/>
        </w:rPr>
        <w:t>Normalizar internacionalmente los sistemas de huella balística para el intercambio de información, buscando alternativas más económicas a las existentes.</w:t>
      </w:r>
    </w:p>
    <w:p w14:paraId="0E757789" w14:textId="3C36A7D2" w:rsidR="003601F3" w:rsidRPr="00CE271D" w:rsidRDefault="003601F3" w:rsidP="00C5067C">
      <w:pPr>
        <w:pStyle w:val="ListParagraph"/>
        <w:numPr>
          <w:ilvl w:val="0"/>
          <w:numId w:val="30"/>
        </w:numPr>
        <w:tabs>
          <w:tab w:val="left" w:pos="720"/>
        </w:tabs>
        <w:ind w:left="709"/>
        <w:jc w:val="both"/>
        <w:rPr>
          <w:rStyle w:val="PageNumber1"/>
          <w:sz w:val="24"/>
          <w:szCs w:val="24"/>
          <w:lang w:val="es-ES_tradnl"/>
        </w:rPr>
      </w:pPr>
      <w:r w:rsidRPr="00CE271D">
        <w:rPr>
          <w:rStyle w:val="PageNumber1"/>
          <w:sz w:val="24"/>
          <w:szCs w:val="24"/>
          <w:lang w:val="es-ES_tradnl"/>
        </w:rPr>
        <w:t>Reformar las legislaciones nacionales sobre armas de fuego, componentes y municiones, ya que no están actualizadas e impiden hacer frente al delito del tráfico ilícito de armas.</w:t>
      </w:r>
    </w:p>
    <w:p w14:paraId="4B77895A" w14:textId="77777777" w:rsidR="003601F3" w:rsidRPr="00CE271D" w:rsidRDefault="003601F3" w:rsidP="00C5067C">
      <w:pPr>
        <w:tabs>
          <w:tab w:val="left" w:pos="720"/>
        </w:tabs>
        <w:jc w:val="both"/>
        <w:rPr>
          <w:rStyle w:val="PageNumber1"/>
          <w:sz w:val="24"/>
          <w:szCs w:val="24"/>
          <w:lang w:val="es-ES_tradnl"/>
        </w:rPr>
      </w:pPr>
    </w:p>
    <w:p w14:paraId="43DD1F95" w14:textId="2A37E0C6" w:rsidR="00E05AE7" w:rsidRPr="00CE271D" w:rsidRDefault="00CE271D" w:rsidP="00C5067C">
      <w:pPr>
        <w:tabs>
          <w:tab w:val="left" w:pos="720"/>
        </w:tabs>
        <w:jc w:val="both"/>
        <w:rPr>
          <w:rStyle w:val="PageNumber1"/>
          <w:sz w:val="24"/>
          <w:szCs w:val="24"/>
          <w:lang w:val="es-ES_tradnl"/>
        </w:rPr>
      </w:pPr>
      <w:r>
        <w:rPr>
          <w:rStyle w:val="PageNumber1"/>
          <w:sz w:val="24"/>
          <w:szCs w:val="24"/>
          <w:lang w:val="es-ES_tradnl"/>
        </w:rPr>
        <w:tab/>
      </w:r>
      <w:r w:rsidR="003601F3" w:rsidRPr="00CE271D">
        <w:rPr>
          <w:rStyle w:val="PageNumber1"/>
          <w:sz w:val="24"/>
          <w:szCs w:val="24"/>
          <w:lang w:val="es-ES_tradnl"/>
        </w:rPr>
        <w:t xml:space="preserve">El 16 y 17 de julio de 2020, México presidió el Grupo de Trabajo sobre Armas de Fuego de la Convención de Palermo. Durante su presidencia, México promovió el intercambio de información para conocer las tendencias actuales del tráfico ilícito de armas de fuego. Asimismo, indicó la importancia de desarrollar las capacidades de las unidades especializadas a nivel nacional, regional e internacional para que contribuyan a la resolución de casos, así como a la recolección de datos en la materia. Finalmente, impulsó la cooperación multilateral para el cumplimento de la meta 16.4 de los Objetivos de Desarrollo Sostenible que establece la reducción de las corrientes financieras y de armas ilícitas. </w:t>
      </w:r>
    </w:p>
    <w:p w14:paraId="15116176" w14:textId="77777777" w:rsidR="003601F3" w:rsidRPr="00CE271D" w:rsidRDefault="003601F3" w:rsidP="00C5067C">
      <w:pPr>
        <w:tabs>
          <w:tab w:val="left" w:pos="720"/>
        </w:tabs>
        <w:jc w:val="both"/>
        <w:rPr>
          <w:rStyle w:val="PageNumber1"/>
          <w:sz w:val="24"/>
          <w:szCs w:val="24"/>
          <w:lang w:val="es-ES_tradnl"/>
        </w:rPr>
      </w:pPr>
    </w:p>
    <w:p w14:paraId="56D4A689" w14:textId="3CB6E698" w:rsidR="003601F3" w:rsidRPr="00CE271D" w:rsidRDefault="00CE271D" w:rsidP="00C5067C">
      <w:pPr>
        <w:tabs>
          <w:tab w:val="left" w:pos="720"/>
        </w:tabs>
        <w:jc w:val="both"/>
        <w:rPr>
          <w:rStyle w:val="PageNumber1"/>
          <w:sz w:val="24"/>
          <w:szCs w:val="24"/>
          <w:lang w:val="es-ES_tradnl"/>
        </w:rPr>
      </w:pPr>
      <w:r>
        <w:rPr>
          <w:rStyle w:val="PageNumber1"/>
          <w:sz w:val="24"/>
          <w:szCs w:val="24"/>
          <w:lang w:val="es-ES_tradnl"/>
        </w:rPr>
        <w:lastRenderedPageBreak/>
        <w:tab/>
      </w:r>
      <w:r w:rsidR="003601F3" w:rsidRPr="00CE271D">
        <w:rPr>
          <w:rStyle w:val="PageNumber1"/>
          <w:sz w:val="24"/>
          <w:szCs w:val="24"/>
          <w:lang w:val="es-ES_tradnl"/>
        </w:rPr>
        <w:t>La Secretaría Técnica de CIFTA tuvo una intervención durante la reunión para destacar el pionerismo y protagonismo de la Convención, destacando los avances realizados como la legislación modelo y los Cursos de Acción aprobados, y el apoyo que los Departamentos contra la Delincuencia Organizada Transnacional y de Seguridad Pública brindan para que los Estados Miembros cumplan con las obligaciones de la Convención</w:t>
      </w:r>
      <w:r w:rsidR="0048561F" w:rsidRPr="00CE271D">
        <w:rPr>
          <w:rStyle w:val="PageNumber1"/>
          <w:sz w:val="24"/>
          <w:szCs w:val="24"/>
          <w:lang w:val="es-ES_tradnl"/>
        </w:rPr>
        <w:t>.</w:t>
      </w:r>
    </w:p>
    <w:p w14:paraId="3705B83A" w14:textId="77777777" w:rsidR="00E05AE7" w:rsidRPr="00CE271D" w:rsidRDefault="00E05AE7" w:rsidP="00C5067C">
      <w:pPr>
        <w:tabs>
          <w:tab w:val="left" w:pos="720"/>
        </w:tabs>
        <w:jc w:val="both"/>
        <w:rPr>
          <w:rStyle w:val="PageNumber1"/>
          <w:sz w:val="24"/>
          <w:szCs w:val="24"/>
          <w:lang w:val="es-ES_tradnl"/>
        </w:rPr>
      </w:pPr>
    </w:p>
    <w:p w14:paraId="71795678" w14:textId="4FB926D1" w:rsidR="00E05AE7" w:rsidRPr="00CE271D" w:rsidRDefault="00CE271D" w:rsidP="00C5067C">
      <w:pPr>
        <w:tabs>
          <w:tab w:val="left" w:pos="720"/>
        </w:tabs>
        <w:jc w:val="both"/>
        <w:rPr>
          <w:rStyle w:val="PageNumber1"/>
          <w:sz w:val="24"/>
          <w:szCs w:val="24"/>
          <w:lang w:val="es-ES_tradnl"/>
        </w:rPr>
      </w:pPr>
      <w:r>
        <w:rPr>
          <w:rStyle w:val="PageNumber1"/>
          <w:sz w:val="24"/>
          <w:szCs w:val="24"/>
          <w:lang w:val="es-ES_tradnl"/>
        </w:rPr>
        <w:tab/>
      </w:r>
      <w:r w:rsidR="00E05AE7" w:rsidRPr="00CE271D">
        <w:rPr>
          <w:rStyle w:val="PageNumber1"/>
          <w:sz w:val="24"/>
          <w:szCs w:val="24"/>
          <w:lang w:val="es-ES_tradnl"/>
        </w:rPr>
        <w:t>Cabe mencionar que en el marco del proceso preparatorio para la próxima Conferencia de los Estados Parte del Tratado sobre Comercio de Armas (ATT), México facilita junto con Bélgica el Grupo de Trabajo sobre Transparencia y Presentación de Informes.</w:t>
      </w:r>
    </w:p>
    <w:p w14:paraId="56F72BC9" w14:textId="77777777" w:rsidR="00383AD7" w:rsidRPr="00CE271D" w:rsidRDefault="00383AD7" w:rsidP="00C5067C">
      <w:pPr>
        <w:tabs>
          <w:tab w:val="left" w:pos="720"/>
        </w:tabs>
        <w:jc w:val="both"/>
        <w:rPr>
          <w:rStyle w:val="PageNumber1"/>
          <w:sz w:val="24"/>
          <w:szCs w:val="24"/>
          <w:lang w:val="es-ES_tradnl"/>
        </w:rPr>
      </w:pPr>
    </w:p>
    <w:p w14:paraId="635790F7" w14:textId="0D12F25A" w:rsidR="00383AD7" w:rsidRPr="00CE271D" w:rsidRDefault="00CE271D" w:rsidP="00C5067C">
      <w:pPr>
        <w:tabs>
          <w:tab w:val="left" w:pos="720"/>
        </w:tabs>
        <w:jc w:val="both"/>
        <w:rPr>
          <w:rStyle w:val="PageNumber1"/>
          <w:sz w:val="24"/>
          <w:szCs w:val="24"/>
          <w:lang w:val="es-ES_tradnl"/>
        </w:rPr>
      </w:pPr>
      <w:r>
        <w:rPr>
          <w:rStyle w:val="PageNumber1"/>
          <w:sz w:val="24"/>
          <w:szCs w:val="24"/>
          <w:lang w:val="es-ES_tradnl"/>
        </w:rPr>
        <w:tab/>
      </w:r>
      <w:r w:rsidR="00383AD7" w:rsidRPr="00CE271D">
        <w:rPr>
          <w:rStyle w:val="PageNumber1"/>
          <w:sz w:val="24"/>
          <w:szCs w:val="24"/>
          <w:lang w:val="es-ES_tradnl"/>
        </w:rPr>
        <w:t xml:space="preserve">Asimismo, y en línea con el mandato contenido en el párrafo 109 de la Resolución AG/RES 2950 del 2020 de invitar a los Estados Miembros a que colaboren con la ejecución del estudio hemisférico sobre tráfico ilícito de armas pequeñas, armas ligeras y municiones en el Hemisferio, México ha impulsado en conjunto con los Departamentos contra la Delincuencia Organizada Transnacional y de Seguridad Pública, y actualmente se realiza un análisis para delinear una hoja de ruta para el comienzo de la preparación del estudio, así como para explorar fuentes de financiamiento. </w:t>
      </w:r>
    </w:p>
    <w:p w14:paraId="3161307E" w14:textId="77777777" w:rsidR="00383AD7" w:rsidRPr="00CE271D" w:rsidRDefault="00383AD7" w:rsidP="00C5067C">
      <w:pPr>
        <w:tabs>
          <w:tab w:val="left" w:pos="720"/>
        </w:tabs>
        <w:jc w:val="both"/>
        <w:rPr>
          <w:rStyle w:val="PageNumber1"/>
          <w:sz w:val="24"/>
          <w:szCs w:val="24"/>
          <w:lang w:val="es-ES_tradnl"/>
        </w:rPr>
      </w:pPr>
    </w:p>
    <w:p w14:paraId="788E26AA" w14:textId="2AE812AE" w:rsidR="003667B4" w:rsidRPr="00CE271D" w:rsidRDefault="00CE271D" w:rsidP="00C5067C">
      <w:pPr>
        <w:tabs>
          <w:tab w:val="left" w:pos="720"/>
        </w:tabs>
        <w:jc w:val="both"/>
        <w:rPr>
          <w:rStyle w:val="PageNumber1"/>
          <w:sz w:val="24"/>
          <w:szCs w:val="24"/>
          <w:lang w:val="es-ES"/>
        </w:rPr>
      </w:pPr>
      <w:r>
        <w:rPr>
          <w:rStyle w:val="PageNumber1"/>
          <w:sz w:val="24"/>
          <w:szCs w:val="24"/>
          <w:lang w:val="es-ES_tradnl"/>
        </w:rPr>
        <w:tab/>
      </w:r>
      <w:r w:rsidR="00383AD7" w:rsidRPr="00CE271D">
        <w:rPr>
          <w:rStyle w:val="PageNumber1"/>
          <w:sz w:val="24"/>
          <w:szCs w:val="24"/>
          <w:lang w:val="es-ES_tradnl"/>
        </w:rPr>
        <w:t xml:space="preserve">Finalmente, </w:t>
      </w:r>
      <w:r w:rsidR="003667B4" w:rsidRPr="00CE271D">
        <w:rPr>
          <w:rStyle w:val="PageNumber1"/>
          <w:sz w:val="24"/>
          <w:szCs w:val="24"/>
          <w:lang w:val="es-ES_tradnl"/>
        </w:rPr>
        <w:t xml:space="preserve">la Secretaría Pro Tempore quisiera </w:t>
      </w:r>
      <w:r w:rsidR="00331844" w:rsidRPr="00CE271D">
        <w:rPr>
          <w:rStyle w:val="PageNumber1"/>
          <w:sz w:val="24"/>
          <w:szCs w:val="24"/>
          <w:lang w:val="es-ES_tradnl"/>
        </w:rPr>
        <w:t>hacer referencia a</w:t>
      </w:r>
      <w:r w:rsidR="003667B4" w:rsidRPr="00CE271D">
        <w:rPr>
          <w:rStyle w:val="PageNumber1"/>
          <w:sz w:val="24"/>
          <w:szCs w:val="24"/>
          <w:lang w:val="es-ES_tradnl"/>
        </w:rPr>
        <w:t xml:space="preserve">l párrafo 18 de la </w:t>
      </w:r>
      <w:r w:rsidR="003667B4" w:rsidRPr="00CE271D">
        <w:rPr>
          <w:rStyle w:val="PageNumber1"/>
          <w:sz w:val="24"/>
          <w:szCs w:val="24"/>
          <w:lang w:val="es-ES"/>
        </w:rPr>
        <w:t>Declaración en Ocasión del Vigésimo Aniversario de la CIFTA</w:t>
      </w:r>
      <w:r w:rsidR="00571ECC" w:rsidRPr="00CE271D">
        <w:rPr>
          <w:rStyle w:val="PageNumber1"/>
          <w:sz w:val="24"/>
          <w:szCs w:val="24"/>
          <w:lang w:val="es-ES"/>
        </w:rPr>
        <w:t>,</w:t>
      </w:r>
      <w:r w:rsidR="003667B4" w:rsidRPr="00CE271D">
        <w:rPr>
          <w:rStyle w:val="PageNumber1"/>
          <w:sz w:val="24"/>
          <w:szCs w:val="24"/>
          <w:lang w:val="es-ES"/>
        </w:rPr>
        <w:t xml:space="preserve"> “Cooperación Hemisférica para Prevenir, Combatir y Erradicar la Fabricación y el Tráfico Ilícitos de Armas de Fuego, Municiones, Explosivos y otros Materiales Relacionados”</w:t>
      </w:r>
      <w:r w:rsidR="00571ECC" w:rsidRPr="00CE271D">
        <w:rPr>
          <w:rStyle w:val="PageNumber1"/>
          <w:sz w:val="24"/>
          <w:szCs w:val="24"/>
          <w:lang w:val="es-ES"/>
        </w:rPr>
        <w:t>,</w:t>
      </w:r>
      <w:r w:rsidR="003667B4" w:rsidRPr="00CE271D">
        <w:rPr>
          <w:rStyle w:val="PageNumber1"/>
          <w:sz w:val="24"/>
          <w:szCs w:val="24"/>
          <w:lang w:val="es-ES"/>
        </w:rPr>
        <w:t xml:space="preserve"> para hacer un respetuoso exhorto a los Estados, organizaciones internacionales y demás aliados a contribuir financieramente al fondo fiduciario establecido para mejorar las operaciones y funciones de la CIFTA.</w:t>
      </w:r>
    </w:p>
    <w:p w14:paraId="006E403F" w14:textId="77777777" w:rsidR="00383AD7" w:rsidRPr="00CE271D" w:rsidRDefault="00383AD7" w:rsidP="00C5067C">
      <w:pPr>
        <w:tabs>
          <w:tab w:val="left" w:pos="720"/>
        </w:tabs>
        <w:jc w:val="both"/>
        <w:rPr>
          <w:rStyle w:val="PageNumber1"/>
          <w:sz w:val="24"/>
          <w:szCs w:val="24"/>
          <w:lang w:val="es-ES_tradnl"/>
        </w:rPr>
      </w:pPr>
    </w:p>
    <w:p w14:paraId="37C11049" w14:textId="77777777" w:rsidR="0035780A" w:rsidRPr="00CE271D" w:rsidRDefault="0035780A" w:rsidP="0035780A">
      <w:pPr>
        <w:pStyle w:val="Heading31"/>
        <w:pBdr>
          <w:top w:val="none" w:sz="0" w:space="0" w:color="auto"/>
          <w:left w:val="none" w:sz="0" w:space="0" w:color="auto"/>
          <w:bottom w:val="none" w:sz="0" w:space="0" w:color="auto"/>
          <w:right w:val="none" w:sz="0" w:space="0" w:color="auto"/>
          <w:bar w:val="none" w:sz="0" w:color="auto"/>
        </w:pBdr>
        <w:tabs>
          <w:tab w:val="left" w:pos="6300"/>
        </w:tabs>
        <w:spacing w:before="0" w:after="0"/>
        <w:rPr>
          <w:rStyle w:val="PageNumber1"/>
          <w:rFonts w:ascii="Times New Roman" w:hAnsi="Times New Roman" w:cs="Times New Roman"/>
          <w:sz w:val="24"/>
          <w:szCs w:val="24"/>
          <w:lang w:val="es-ES_tradnl"/>
        </w:rPr>
      </w:pPr>
      <w:r w:rsidRPr="00CE271D">
        <w:rPr>
          <w:rStyle w:val="PageNumber1"/>
          <w:rFonts w:ascii="Times New Roman" w:hAnsi="Times New Roman" w:cs="Times New Roman"/>
          <w:sz w:val="24"/>
          <w:szCs w:val="24"/>
          <w:lang w:val="es-ES_tradnl"/>
        </w:rPr>
        <w:t xml:space="preserve">Preparativos para </w:t>
      </w:r>
      <w:r w:rsidR="00B66AE1" w:rsidRPr="00CE271D">
        <w:rPr>
          <w:rStyle w:val="PageNumber1"/>
          <w:rFonts w:ascii="Times New Roman" w:hAnsi="Times New Roman" w:cs="Times New Roman"/>
          <w:sz w:val="24"/>
          <w:szCs w:val="24"/>
          <w:lang w:val="es-ES_tradnl"/>
        </w:rPr>
        <w:t xml:space="preserve">la </w:t>
      </w:r>
      <w:r w:rsidR="004D3DC2" w:rsidRPr="00CE271D">
        <w:rPr>
          <w:rStyle w:val="PageNumber1"/>
          <w:rFonts w:ascii="Times New Roman" w:hAnsi="Times New Roman" w:cs="Times New Roman"/>
          <w:sz w:val="24"/>
          <w:szCs w:val="24"/>
          <w:lang w:val="es-ES_tradnl"/>
        </w:rPr>
        <w:t>Vigésima</w:t>
      </w:r>
      <w:r w:rsidR="00B66AE1" w:rsidRPr="00CE271D">
        <w:rPr>
          <w:rStyle w:val="PageNumber1"/>
          <w:rFonts w:ascii="Times New Roman" w:hAnsi="Times New Roman" w:cs="Times New Roman"/>
          <w:sz w:val="24"/>
          <w:szCs w:val="24"/>
          <w:lang w:val="es-ES_tradnl"/>
        </w:rPr>
        <w:t xml:space="preserve"> </w:t>
      </w:r>
      <w:r w:rsidRPr="00CE271D">
        <w:rPr>
          <w:rStyle w:val="PageNumber1"/>
          <w:rFonts w:ascii="Times New Roman" w:hAnsi="Times New Roman" w:cs="Times New Roman"/>
          <w:sz w:val="24"/>
          <w:szCs w:val="24"/>
          <w:lang w:val="es-ES_tradnl"/>
        </w:rPr>
        <w:t>Reunión Ordinaria del Comité Consultivo</w:t>
      </w:r>
    </w:p>
    <w:p w14:paraId="049A9A06" w14:textId="5CF65542" w:rsidR="00102AC2" w:rsidRPr="00CE271D" w:rsidRDefault="004C071E" w:rsidP="00B66AE1">
      <w:pPr>
        <w:pStyle w:val="NormalWeb"/>
        <w:shd w:val="clear" w:color="auto" w:fill="FFFFFF"/>
        <w:spacing w:before="90" w:after="45"/>
        <w:ind w:right="75" w:firstLine="720"/>
        <w:jc w:val="both"/>
        <w:rPr>
          <w:rStyle w:val="PageNumber1"/>
          <w:rFonts w:ascii="Times New Roman" w:hAnsi="Times New Roman"/>
          <w:sz w:val="24"/>
          <w:szCs w:val="24"/>
          <w:lang w:val="es-EC"/>
        </w:rPr>
      </w:pPr>
      <w:r w:rsidRPr="00CE271D">
        <w:rPr>
          <w:rStyle w:val="PageNumber1"/>
          <w:rFonts w:ascii="Times New Roman" w:hAnsi="Times New Roman"/>
          <w:sz w:val="24"/>
          <w:szCs w:val="24"/>
          <w:lang w:val="es-EC"/>
        </w:rPr>
        <w:t xml:space="preserve">Si bien fue intención de esta Secretaría Pro Témpore realizar la Vigésima Reunión Ordinaria del Comité Consultivo en o cerca de la fecha del 5 de abril en observancia del Día Interamericano para Contrarrestar el Tráfico Ilícito de Armas de Fuego, debido a las contramedidas vigentes ante el COVID-19 en ese momento, la Secretaría Pro Témpore solicitó al Consejo Permanente </w:t>
      </w:r>
      <w:r w:rsidR="00102AC2" w:rsidRPr="00CE271D">
        <w:rPr>
          <w:rStyle w:val="PageNumber1"/>
          <w:rFonts w:ascii="Times New Roman" w:hAnsi="Times New Roman"/>
          <w:sz w:val="24"/>
          <w:szCs w:val="24"/>
          <w:lang w:val="es-EC"/>
        </w:rPr>
        <w:t xml:space="preserve">de la Organización </w:t>
      </w:r>
      <w:r w:rsidR="003D2CDD" w:rsidRPr="00CE271D">
        <w:rPr>
          <w:rStyle w:val="PageNumber1"/>
          <w:rFonts w:ascii="Times New Roman" w:hAnsi="Times New Roman"/>
          <w:sz w:val="24"/>
          <w:szCs w:val="24"/>
          <w:lang w:val="es-EC"/>
        </w:rPr>
        <w:t>el</w:t>
      </w:r>
      <w:r w:rsidRPr="00CE271D">
        <w:rPr>
          <w:rStyle w:val="PageNumber1"/>
          <w:rFonts w:ascii="Times New Roman" w:hAnsi="Times New Roman"/>
          <w:sz w:val="24"/>
          <w:szCs w:val="24"/>
          <w:lang w:val="es-EC"/>
        </w:rPr>
        <w:t xml:space="preserve"> aplazamiento de dicha reunión. Dicha solicitud fue concedida con la aprobación de la Resolución</w:t>
      </w:r>
      <w:r w:rsidRPr="00CE271D">
        <w:rPr>
          <w:rFonts w:ascii="Times New Roman" w:hAnsi="Times New Roman"/>
          <w:sz w:val="24"/>
          <w:szCs w:val="24"/>
          <w:lang w:val="es-ES"/>
        </w:rPr>
        <w:t xml:space="preserve"> </w:t>
      </w:r>
      <w:r w:rsidRPr="00CE271D">
        <w:rPr>
          <w:rStyle w:val="PageNumber1"/>
          <w:rFonts w:ascii="Times New Roman" w:hAnsi="Times New Roman"/>
          <w:sz w:val="24"/>
          <w:szCs w:val="24"/>
          <w:lang w:val="es-EC"/>
        </w:rPr>
        <w:t xml:space="preserve">CP/RES. 1152 (2282/20). </w:t>
      </w:r>
    </w:p>
    <w:p w14:paraId="3A139DB7" w14:textId="37EC3847" w:rsidR="00B66AE1" w:rsidRPr="00CE271D" w:rsidRDefault="00102AC2" w:rsidP="00B66AE1">
      <w:pPr>
        <w:pStyle w:val="NormalWeb"/>
        <w:shd w:val="clear" w:color="auto" w:fill="FFFFFF"/>
        <w:spacing w:before="90" w:after="45"/>
        <w:ind w:right="75" w:firstLine="720"/>
        <w:jc w:val="both"/>
        <w:rPr>
          <w:rStyle w:val="PageNumber1"/>
          <w:rFonts w:ascii="Times New Roman" w:hAnsi="Times New Roman"/>
          <w:sz w:val="24"/>
          <w:szCs w:val="24"/>
          <w:lang w:val="es-EC"/>
        </w:rPr>
      </w:pPr>
      <w:r w:rsidRPr="00CE271D">
        <w:rPr>
          <w:rStyle w:val="PageNumber1"/>
          <w:rFonts w:ascii="Times New Roman" w:hAnsi="Times New Roman"/>
          <w:sz w:val="24"/>
          <w:szCs w:val="24"/>
          <w:lang w:val="es-EC"/>
        </w:rPr>
        <w:t>Meses después, una vez establecidos los protocolos adecuados, y e</w:t>
      </w:r>
      <w:r w:rsidR="00B66AE1" w:rsidRPr="00CE271D">
        <w:rPr>
          <w:rStyle w:val="PageNumber1"/>
          <w:rFonts w:ascii="Times New Roman" w:hAnsi="Times New Roman"/>
          <w:sz w:val="24"/>
          <w:szCs w:val="24"/>
          <w:lang w:val="es-EC"/>
        </w:rPr>
        <w:t>n seguimiento a la</w:t>
      </w:r>
      <w:r w:rsidR="000D263C" w:rsidRPr="00CE271D">
        <w:rPr>
          <w:rStyle w:val="PageNumber1"/>
          <w:rFonts w:ascii="Times New Roman" w:hAnsi="Times New Roman"/>
          <w:sz w:val="24"/>
          <w:szCs w:val="24"/>
          <w:lang w:val="es-EC"/>
        </w:rPr>
        <w:t xml:space="preserve">s </w:t>
      </w:r>
      <w:r w:rsidR="00B66AE1" w:rsidRPr="00CE271D">
        <w:rPr>
          <w:rStyle w:val="PageNumber1"/>
          <w:rFonts w:ascii="Times New Roman" w:hAnsi="Times New Roman"/>
          <w:sz w:val="24"/>
          <w:szCs w:val="24"/>
          <w:lang w:val="es-EC"/>
        </w:rPr>
        <w:t xml:space="preserve">decisiones adoptadas en la Resolución AG/RES </w:t>
      </w:r>
      <w:r w:rsidR="0080620E" w:rsidRPr="00CE271D">
        <w:rPr>
          <w:rStyle w:val="PageNumber1"/>
          <w:rFonts w:ascii="Times New Roman" w:hAnsi="Times New Roman"/>
          <w:sz w:val="24"/>
          <w:szCs w:val="24"/>
          <w:lang w:val="es-EC"/>
        </w:rPr>
        <w:t xml:space="preserve">2950 L-O/20) </w:t>
      </w:r>
      <w:r w:rsidR="00B66AE1" w:rsidRPr="00CE271D">
        <w:rPr>
          <w:rStyle w:val="PageNumber1"/>
          <w:rFonts w:ascii="Times New Roman" w:hAnsi="Times New Roman"/>
          <w:sz w:val="24"/>
          <w:szCs w:val="24"/>
          <w:lang w:val="es-EC"/>
        </w:rPr>
        <w:t xml:space="preserve">de </w:t>
      </w:r>
      <w:r w:rsidR="0080620E" w:rsidRPr="00CE271D">
        <w:rPr>
          <w:rStyle w:val="PageNumber1"/>
          <w:rFonts w:ascii="Times New Roman" w:hAnsi="Times New Roman"/>
          <w:sz w:val="24"/>
          <w:szCs w:val="24"/>
          <w:lang w:val="es-EC"/>
        </w:rPr>
        <w:t>2020</w:t>
      </w:r>
      <w:r w:rsidR="00B66AE1" w:rsidRPr="00CE271D">
        <w:rPr>
          <w:rStyle w:val="PageNumber1"/>
          <w:rFonts w:ascii="Times New Roman" w:hAnsi="Times New Roman"/>
          <w:sz w:val="24"/>
          <w:szCs w:val="24"/>
          <w:lang w:val="es-EC"/>
        </w:rPr>
        <w:t xml:space="preserve">, la Secretaría </w:t>
      </w:r>
      <w:r w:rsidR="00B66AE1" w:rsidRPr="00CE271D">
        <w:rPr>
          <w:rStyle w:val="PageNumber1"/>
          <w:rFonts w:ascii="Times New Roman" w:hAnsi="Times New Roman"/>
          <w:iCs/>
          <w:sz w:val="24"/>
          <w:szCs w:val="24"/>
          <w:lang w:val="es-ES_tradnl"/>
        </w:rPr>
        <w:t>Pro Témpore</w:t>
      </w:r>
      <w:r w:rsidRPr="00CE271D">
        <w:rPr>
          <w:rStyle w:val="PageNumber1"/>
          <w:rFonts w:ascii="Times New Roman" w:hAnsi="Times New Roman"/>
          <w:iCs/>
          <w:sz w:val="24"/>
          <w:szCs w:val="24"/>
          <w:lang w:val="es-ES_tradnl"/>
        </w:rPr>
        <w:t xml:space="preserve"> solicitó nuevamente al</w:t>
      </w:r>
      <w:r w:rsidR="00B66AE1" w:rsidRPr="00CE271D">
        <w:rPr>
          <w:rStyle w:val="PageNumber1"/>
          <w:rFonts w:ascii="Times New Roman" w:hAnsi="Times New Roman"/>
          <w:sz w:val="24"/>
          <w:szCs w:val="24"/>
          <w:lang w:val="es-EC"/>
        </w:rPr>
        <w:t xml:space="preserve"> Consejo Permanente</w:t>
      </w:r>
      <w:r w:rsidRPr="00CE271D">
        <w:rPr>
          <w:rStyle w:val="PageNumber1"/>
          <w:rFonts w:ascii="Times New Roman" w:hAnsi="Times New Roman"/>
          <w:sz w:val="24"/>
          <w:szCs w:val="24"/>
          <w:lang w:val="es-EC"/>
        </w:rPr>
        <w:t xml:space="preserve"> la aprobación de </w:t>
      </w:r>
      <w:r w:rsidR="00DE7ABF" w:rsidRPr="00CE271D">
        <w:rPr>
          <w:rStyle w:val="PageNumber1"/>
          <w:rFonts w:ascii="Times New Roman" w:hAnsi="Times New Roman"/>
          <w:sz w:val="24"/>
          <w:szCs w:val="24"/>
          <w:lang w:val="es-EC"/>
        </w:rPr>
        <w:t>una</w:t>
      </w:r>
      <w:r w:rsidRPr="00CE271D">
        <w:rPr>
          <w:rStyle w:val="PageNumber1"/>
          <w:rFonts w:ascii="Times New Roman" w:hAnsi="Times New Roman"/>
          <w:sz w:val="24"/>
          <w:szCs w:val="24"/>
          <w:lang w:val="es-EC"/>
        </w:rPr>
        <w:t xml:space="preserve"> resolución </w:t>
      </w:r>
      <w:r w:rsidR="00DE7ABF" w:rsidRPr="00CE271D">
        <w:rPr>
          <w:rStyle w:val="PageNumber1"/>
          <w:rFonts w:ascii="Times New Roman" w:hAnsi="Times New Roman"/>
          <w:sz w:val="24"/>
          <w:szCs w:val="24"/>
          <w:lang w:val="es-EC"/>
        </w:rPr>
        <w:t xml:space="preserve">estableciendo el lugar y fecha de dicha reunión ordinaria. </w:t>
      </w:r>
      <w:r w:rsidR="003D2CDD" w:rsidRPr="00CE271D">
        <w:rPr>
          <w:rStyle w:val="PageNumber1"/>
          <w:rFonts w:ascii="Times New Roman" w:hAnsi="Times New Roman"/>
          <w:sz w:val="24"/>
          <w:szCs w:val="24"/>
          <w:lang w:val="es-EC"/>
        </w:rPr>
        <w:t>Esa s</w:t>
      </w:r>
      <w:r w:rsidR="00DE7ABF" w:rsidRPr="00CE271D">
        <w:rPr>
          <w:rStyle w:val="PageNumber1"/>
          <w:rFonts w:ascii="Times New Roman" w:hAnsi="Times New Roman"/>
          <w:sz w:val="24"/>
          <w:szCs w:val="24"/>
          <w:lang w:val="es-EC"/>
        </w:rPr>
        <w:t xml:space="preserve">olicitud fue concedida </w:t>
      </w:r>
      <w:r w:rsidR="00B66AE1" w:rsidRPr="00CE271D">
        <w:rPr>
          <w:rStyle w:val="PageNumber1"/>
          <w:rFonts w:ascii="Times New Roman" w:hAnsi="Times New Roman"/>
          <w:sz w:val="24"/>
          <w:szCs w:val="24"/>
          <w:lang w:val="es-EC"/>
        </w:rPr>
        <w:t xml:space="preserve">mediante CP/RES </w:t>
      </w:r>
      <w:r w:rsidR="0080620E" w:rsidRPr="00CE271D">
        <w:rPr>
          <w:rStyle w:val="PageNumber1"/>
          <w:rFonts w:ascii="Times New Roman" w:hAnsi="Times New Roman"/>
          <w:sz w:val="24"/>
          <w:szCs w:val="24"/>
          <w:lang w:val="es-EC"/>
        </w:rPr>
        <w:t xml:space="preserve">1162 </w:t>
      </w:r>
      <w:r w:rsidR="00B66AE1" w:rsidRPr="00CE271D">
        <w:rPr>
          <w:rStyle w:val="PageNumber1"/>
          <w:rFonts w:ascii="Times New Roman" w:hAnsi="Times New Roman"/>
          <w:sz w:val="24"/>
          <w:szCs w:val="24"/>
          <w:lang w:val="es-EC"/>
        </w:rPr>
        <w:t xml:space="preserve">del </w:t>
      </w:r>
      <w:r w:rsidR="0080620E" w:rsidRPr="00CE271D">
        <w:rPr>
          <w:rStyle w:val="PageNumber1"/>
          <w:rFonts w:ascii="Times New Roman" w:hAnsi="Times New Roman"/>
          <w:sz w:val="24"/>
          <w:szCs w:val="24"/>
          <w:lang w:val="es-EC"/>
        </w:rPr>
        <w:t xml:space="preserve">18 </w:t>
      </w:r>
      <w:r w:rsidR="00B66AE1" w:rsidRPr="00CE271D">
        <w:rPr>
          <w:rStyle w:val="PageNumber1"/>
          <w:rFonts w:ascii="Times New Roman" w:hAnsi="Times New Roman"/>
          <w:sz w:val="24"/>
          <w:szCs w:val="24"/>
          <w:lang w:val="es-EC"/>
        </w:rPr>
        <w:t xml:space="preserve">de </w:t>
      </w:r>
      <w:r w:rsidR="0080620E" w:rsidRPr="00CE271D">
        <w:rPr>
          <w:rStyle w:val="PageNumber1"/>
          <w:rFonts w:ascii="Times New Roman" w:hAnsi="Times New Roman"/>
          <w:sz w:val="24"/>
          <w:szCs w:val="24"/>
          <w:lang w:val="es-EC"/>
        </w:rPr>
        <w:t xml:space="preserve">noviembre </w:t>
      </w:r>
      <w:proofErr w:type="gramStart"/>
      <w:r w:rsidR="00B66AE1" w:rsidRPr="00CE271D">
        <w:rPr>
          <w:rStyle w:val="PageNumber1"/>
          <w:rFonts w:ascii="Times New Roman" w:hAnsi="Times New Roman"/>
          <w:sz w:val="24"/>
          <w:szCs w:val="24"/>
          <w:lang w:val="es-EC"/>
        </w:rPr>
        <w:t xml:space="preserve">del  </w:t>
      </w:r>
      <w:r w:rsidR="0080620E" w:rsidRPr="00CE271D">
        <w:rPr>
          <w:rStyle w:val="PageNumber1"/>
          <w:rFonts w:ascii="Times New Roman" w:hAnsi="Times New Roman"/>
          <w:sz w:val="24"/>
          <w:szCs w:val="24"/>
          <w:lang w:val="es-EC"/>
        </w:rPr>
        <w:t>2020</w:t>
      </w:r>
      <w:proofErr w:type="gramEnd"/>
      <w:r w:rsidR="00B66AE1" w:rsidRPr="00CE271D">
        <w:rPr>
          <w:rStyle w:val="PageNumber1"/>
          <w:rFonts w:ascii="Times New Roman" w:hAnsi="Times New Roman"/>
          <w:sz w:val="24"/>
          <w:szCs w:val="24"/>
          <w:lang w:val="es-EC"/>
        </w:rPr>
        <w:t xml:space="preserve">, </w:t>
      </w:r>
      <w:r w:rsidR="00DE7ABF" w:rsidRPr="00CE271D">
        <w:rPr>
          <w:rStyle w:val="PageNumber1"/>
          <w:rFonts w:ascii="Times New Roman" w:hAnsi="Times New Roman"/>
          <w:sz w:val="24"/>
          <w:szCs w:val="24"/>
          <w:lang w:val="es-EC"/>
        </w:rPr>
        <w:t xml:space="preserve">que </w:t>
      </w:r>
      <w:r w:rsidR="00B66AE1" w:rsidRPr="00CE271D">
        <w:rPr>
          <w:rStyle w:val="PageNumber1"/>
          <w:rFonts w:ascii="Times New Roman" w:hAnsi="Times New Roman"/>
          <w:sz w:val="24"/>
          <w:szCs w:val="24"/>
          <w:lang w:val="es-EC"/>
        </w:rPr>
        <w:t xml:space="preserve">estableció el </w:t>
      </w:r>
      <w:r w:rsidR="0080620E" w:rsidRPr="00CE271D">
        <w:rPr>
          <w:rStyle w:val="PageNumber1"/>
          <w:rFonts w:ascii="Times New Roman" w:hAnsi="Times New Roman"/>
          <w:sz w:val="24"/>
          <w:szCs w:val="24"/>
          <w:lang w:val="es-EC"/>
        </w:rPr>
        <w:t xml:space="preserve">17 </w:t>
      </w:r>
      <w:r w:rsidR="00B66AE1" w:rsidRPr="00CE271D">
        <w:rPr>
          <w:rStyle w:val="PageNumber1"/>
          <w:rFonts w:ascii="Times New Roman" w:hAnsi="Times New Roman"/>
          <w:sz w:val="24"/>
          <w:szCs w:val="24"/>
          <w:lang w:val="es-EC"/>
        </w:rPr>
        <w:t xml:space="preserve">de </w:t>
      </w:r>
      <w:r w:rsidR="0080620E" w:rsidRPr="00CE271D">
        <w:rPr>
          <w:rStyle w:val="PageNumber1"/>
          <w:rFonts w:ascii="Times New Roman" w:hAnsi="Times New Roman"/>
          <w:sz w:val="24"/>
          <w:szCs w:val="24"/>
          <w:lang w:val="es-EC"/>
        </w:rPr>
        <w:t xml:space="preserve">diciembre </w:t>
      </w:r>
      <w:r w:rsidR="00B66AE1" w:rsidRPr="00CE271D">
        <w:rPr>
          <w:rStyle w:val="PageNumber1"/>
          <w:rFonts w:ascii="Times New Roman" w:hAnsi="Times New Roman"/>
          <w:sz w:val="24"/>
          <w:szCs w:val="24"/>
          <w:lang w:val="es-EC"/>
        </w:rPr>
        <w:t xml:space="preserve">de </w:t>
      </w:r>
      <w:r w:rsidR="0080620E" w:rsidRPr="00CE271D">
        <w:rPr>
          <w:rStyle w:val="PageNumber1"/>
          <w:rFonts w:ascii="Times New Roman" w:hAnsi="Times New Roman"/>
          <w:sz w:val="24"/>
          <w:szCs w:val="24"/>
          <w:lang w:val="es-EC"/>
        </w:rPr>
        <w:t xml:space="preserve">2020 </w:t>
      </w:r>
      <w:r w:rsidR="00B66AE1" w:rsidRPr="00CE271D">
        <w:rPr>
          <w:rStyle w:val="PageNumber1"/>
          <w:rFonts w:ascii="Times New Roman" w:hAnsi="Times New Roman"/>
          <w:sz w:val="24"/>
          <w:szCs w:val="24"/>
          <w:lang w:val="es-EC"/>
        </w:rPr>
        <w:t xml:space="preserve">como fecha de la </w:t>
      </w:r>
      <w:r w:rsidR="00536EE3" w:rsidRPr="00CE271D">
        <w:rPr>
          <w:rStyle w:val="PageNumber1"/>
          <w:rFonts w:ascii="Times New Roman" w:hAnsi="Times New Roman"/>
          <w:sz w:val="24"/>
          <w:szCs w:val="24"/>
          <w:lang w:val="es-EC"/>
        </w:rPr>
        <w:t>Vigésima</w:t>
      </w:r>
      <w:r w:rsidR="00B66AE1" w:rsidRPr="00CE271D">
        <w:rPr>
          <w:rStyle w:val="PageNumber1"/>
          <w:rFonts w:ascii="Times New Roman" w:hAnsi="Times New Roman"/>
          <w:sz w:val="24"/>
          <w:szCs w:val="24"/>
          <w:lang w:val="es-EC"/>
        </w:rPr>
        <w:t xml:space="preserve"> Reunión Ordinaria del Comité Consultivo de la CIFTA, a celebrarse en </w:t>
      </w:r>
      <w:r w:rsidR="00536EE3" w:rsidRPr="00CE271D">
        <w:rPr>
          <w:rStyle w:val="PageNumber1"/>
          <w:rFonts w:ascii="Times New Roman" w:hAnsi="Times New Roman"/>
          <w:sz w:val="24"/>
          <w:szCs w:val="24"/>
          <w:lang w:val="es-EC"/>
        </w:rPr>
        <w:t xml:space="preserve">forma virtual desde </w:t>
      </w:r>
      <w:r w:rsidR="00B66AE1" w:rsidRPr="00CE271D">
        <w:rPr>
          <w:rStyle w:val="PageNumber1"/>
          <w:rFonts w:ascii="Times New Roman" w:hAnsi="Times New Roman"/>
          <w:sz w:val="24"/>
          <w:szCs w:val="24"/>
          <w:lang w:val="es-EC"/>
        </w:rPr>
        <w:t>la Sede de la OEA.</w:t>
      </w:r>
    </w:p>
    <w:p w14:paraId="1D963E8A" w14:textId="51758C43" w:rsidR="00B66AE1" w:rsidRPr="00CE271D" w:rsidRDefault="00B66AE1" w:rsidP="00B66AE1">
      <w:pPr>
        <w:pStyle w:val="NormalWeb"/>
        <w:shd w:val="clear" w:color="auto" w:fill="FFFFFF"/>
        <w:spacing w:before="90" w:after="45"/>
        <w:ind w:right="75" w:firstLine="720"/>
        <w:jc w:val="both"/>
        <w:rPr>
          <w:rStyle w:val="PageNumber1"/>
          <w:rFonts w:ascii="Times New Roman" w:hAnsi="Times New Roman"/>
          <w:sz w:val="24"/>
          <w:szCs w:val="24"/>
          <w:lang w:val="es-ES_tradnl"/>
        </w:rPr>
      </w:pPr>
      <w:r w:rsidRPr="00CE271D">
        <w:rPr>
          <w:rStyle w:val="PageNumber1"/>
          <w:rFonts w:ascii="Times New Roman" w:hAnsi="Times New Roman"/>
          <w:sz w:val="24"/>
          <w:szCs w:val="24"/>
          <w:lang w:val="es-ES_tradnl"/>
        </w:rPr>
        <w:lastRenderedPageBreak/>
        <w:t xml:space="preserve">La Secretaría </w:t>
      </w:r>
      <w:r w:rsidRPr="00CE271D">
        <w:rPr>
          <w:rStyle w:val="PageNumber1"/>
          <w:rFonts w:ascii="Times New Roman" w:hAnsi="Times New Roman"/>
          <w:iCs/>
          <w:sz w:val="24"/>
          <w:szCs w:val="24"/>
          <w:lang w:val="es-ES_tradnl"/>
        </w:rPr>
        <w:t>Pro Témpore</w:t>
      </w:r>
      <w:r w:rsidRPr="00CE271D">
        <w:rPr>
          <w:rStyle w:val="PageNumber1"/>
          <w:rFonts w:ascii="Times New Roman" w:hAnsi="Times New Roman"/>
          <w:sz w:val="24"/>
          <w:szCs w:val="24"/>
          <w:lang w:val="es-ES_tradnl"/>
        </w:rPr>
        <w:t>, conforme a lo establecido en el Artículo XXI inciso sexto de la Convención, convocó a la XX Reunión Ordinaria del Comité Consultivo, mediante documento CIFTA/CC-XX/doc.1/</w:t>
      </w:r>
      <w:r w:rsidR="0080620E" w:rsidRPr="00CE271D">
        <w:rPr>
          <w:rStyle w:val="PageNumber1"/>
          <w:rFonts w:ascii="Times New Roman" w:hAnsi="Times New Roman"/>
          <w:sz w:val="24"/>
          <w:szCs w:val="24"/>
          <w:lang w:val="es-ES_tradnl"/>
        </w:rPr>
        <w:t xml:space="preserve">20 </w:t>
      </w:r>
      <w:r w:rsidRPr="00CE271D">
        <w:rPr>
          <w:rStyle w:val="PageNumber1"/>
          <w:rFonts w:ascii="Times New Roman" w:hAnsi="Times New Roman"/>
          <w:sz w:val="24"/>
          <w:szCs w:val="24"/>
          <w:lang w:val="es-ES_tradnl"/>
        </w:rPr>
        <w:t>procediendo a elaborar los proyectos de temario, calendario</w:t>
      </w:r>
      <w:r w:rsidR="0080620E" w:rsidRPr="00CE271D">
        <w:rPr>
          <w:rStyle w:val="PageNumber1"/>
          <w:rFonts w:ascii="Times New Roman" w:hAnsi="Times New Roman"/>
          <w:sz w:val="24"/>
          <w:szCs w:val="24"/>
          <w:lang w:val="es-ES_tradnl"/>
        </w:rPr>
        <w:t xml:space="preserve"> y</w:t>
      </w:r>
      <w:r w:rsidRPr="00CE271D">
        <w:rPr>
          <w:rStyle w:val="PageNumber1"/>
          <w:rFonts w:ascii="Times New Roman" w:hAnsi="Times New Roman"/>
          <w:sz w:val="24"/>
          <w:szCs w:val="24"/>
          <w:lang w:val="es-ES_tradnl"/>
        </w:rPr>
        <w:t xml:space="preserve"> la </w:t>
      </w:r>
      <w:r w:rsidR="00C5067C" w:rsidRPr="00CE271D">
        <w:rPr>
          <w:rStyle w:val="PageNumber1"/>
          <w:rFonts w:ascii="Times New Roman" w:hAnsi="Times New Roman"/>
          <w:sz w:val="24"/>
          <w:szCs w:val="24"/>
          <w:lang w:val="es-ES_tradnl"/>
        </w:rPr>
        <w:t>l</w:t>
      </w:r>
      <w:r w:rsidRPr="00CE271D">
        <w:rPr>
          <w:rStyle w:val="PageNumber1"/>
          <w:rFonts w:ascii="Times New Roman" w:hAnsi="Times New Roman"/>
          <w:sz w:val="24"/>
          <w:szCs w:val="24"/>
          <w:lang w:val="es-ES_tradnl"/>
        </w:rPr>
        <w:t>ista de Invitados; documentos que fueron distribuidos y presentados a consideración de los Estados Miembros de la Organización</w:t>
      </w:r>
      <w:r w:rsidR="004D3DC2" w:rsidRPr="00CE271D">
        <w:rPr>
          <w:rStyle w:val="PageNumber1"/>
          <w:rFonts w:ascii="Times New Roman" w:hAnsi="Times New Roman"/>
          <w:sz w:val="24"/>
          <w:szCs w:val="24"/>
          <w:lang w:val="es-ES_tradnl"/>
        </w:rPr>
        <w:t xml:space="preserve"> mediante un proceso virtual, adoptado en vista de </w:t>
      </w:r>
      <w:r w:rsidR="0080620E" w:rsidRPr="00CE271D">
        <w:rPr>
          <w:rStyle w:val="PageNumber1"/>
          <w:rFonts w:ascii="Times New Roman" w:hAnsi="Times New Roman"/>
          <w:sz w:val="24"/>
          <w:szCs w:val="24"/>
          <w:lang w:val="es-ES_tradnl"/>
        </w:rPr>
        <w:t>las medidas preventivas tomadas en respuesta a la pandemia del COVID-19</w:t>
      </w:r>
      <w:r w:rsidR="004D3DC2" w:rsidRPr="00CE271D">
        <w:rPr>
          <w:rStyle w:val="PageNumber1"/>
          <w:rFonts w:ascii="Times New Roman" w:hAnsi="Times New Roman"/>
          <w:sz w:val="24"/>
          <w:szCs w:val="24"/>
          <w:lang w:val="es-ES_tradnl"/>
        </w:rPr>
        <w:t>.</w:t>
      </w:r>
    </w:p>
    <w:p w14:paraId="27E9EB6F" w14:textId="77777777" w:rsidR="0035780A" w:rsidRPr="00CE271D" w:rsidRDefault="0035780A" w:rsidP="0035780A">
      <w:pPr>
        <w:pStyle w:val="NormalWeb"/>
        <w:ind w:firstLine="720"/>
        <w:jc w:val="both"/>
        <w:rPr>
          <w:rStyle w:val="PageNumber1"/>
          <w:rFonts w:ascii="Times New Roman" w:hAnsi="Times New Roman"/>
          <w:sz w:val="24"/>
          <w:szCs w:val="24"/>
          <w:lang w:val="es-ES_tradnl"/>
        </w:rPr>
      </w:pPr>
      <w:r w:rsidRPr="00CE271D">
        <w:rPr>
          <w:rStyle w:val="PageNumber1"/>
          <w:rFonts w:ascii="Times New Roman" w:hAnsi="Times New Roman"/>
          <w:sz w:val="24"/>
          <w:szCs w:val="24"/>
          <w:lang w:val="es-ES_tradnl"/>
        </w:rPr>
        <w:t xml:space="preserve"> </w:t>
      </w:r>
    </w:p>
    <w:p w14:paraId="53F9B6BF" w14:textId="77777777" w:rsidR="0035780A" w:rsidRPr="00CE271D" w:rsidRDefault="0035780A" w:rsidP="0035780A">
      <w:pPr>
        <w:tabs>
          <w:tab w:val="left" w:pos="6840"/>
        </w:tabs>
        <w:jc w:val="both"/>
        <w:rPr>
          <w:sz w:val="24"/>
          <w:szCs w:val="24"/>
          <w:lang w:val="es-ES_tradnl"/>
        </w:rPr>
      </w:pPr>
    </w:p>
    <w:p w14:paraId="2DE4AAC9" w14:textId="77777777" w:rsidR="0035780A" w:rsidRPr="00CE271D" w:rsidRDefault="0035780A" w:rsidP="0035780A">
      <w:pPr>
        <w:tabs>
          <w:tab w:val="left" w:pos="720"/>
          <w:tab w:val="center" w:pos="5760"/>
          <w:tab w:val="left" w:pos="6840"/>
        </w:tabs>
        <w:jc w:val="center"/>
        <w:rPr>
          <w:sz w:val="24"/>
          <w:szCs w:val="24"/>
          <w:lang w:val="es-ES_tradnl"/>
        </w:rPr>
      </w:pPr>
    </w:p>
    <w:p w14:paraId="38789BFD" w14:textId="77777777" w:rsidR="0035780A" w:rsidRPr="00CE271D" w:rsidRDefault="002C6E73" w:rsidP="0035780A">
      <w:pPr>
        <w:tabs>
          <w:tab w:val="left" w:pos="720"/>
          <w:tab w:val="center" w:pos="5760"/>
          <w:tab w:val="left" w:pos="6840"/>
        </w:tabs>
        <w:jc w:val="center"/>
        <w:rPr>
          <w:rStyle w:val="PageNumber1"/>
          <w:sz w:val="24"/>
          <w:szCs w:val="24"/>
          <w:lang w:val="es-ES_tradnl"/>
        </w:rPr>
      </w:pPr>
      <w:r w:rsidRPr="00CE271D">
        <w:rPr>
          <w:rStyle w:val="PageNumber1"/>
          <w:sz w:val="24"/>
          <w:szCs w:val="24"/>
          <w:lang w:val="es-ES_tradnl"/>
        </w:rPr>
        <w:t>Luz Elena Baños Rivas</w:t>
      </w:r>
    </w:p>
    <w:p w14:paraId="060510E1" w14:textId="77777777" w:rsidR="0035780A" w:rsidRPr="00CE271D" w:rsidRDefault="0035780A" w:rsidP="0035780A">
      <w:pPr>
        <w:tabs>
          <w:tab w:val="left" w:pos="720"/>
          <w:tab w:val="center" w:pos="5760"/>
          <w:tab w:val="left" w:pos="6840"/>
        </w:tabs>
        <w:jc w:val="center"/>
        <w:rPr>
          <w:rStyle w:val="PageNumber1"/>
          <w:sz w:val="24"/>
          <w:szCs w:val="24"/>
          <w:lang w:val="es-ES_tradnl"/>
        </w:rPr>
      </w:pPr>
      <w:r w:rsidRPr="00CE271D">
        <w:rPr>
          <w:rStyle w:val="PageNumber1"/>
          <w:sz w:val="24"/>
          <w:szCs w:val="24"/>
          <w:lang w:val="es-ES_tradnl"/>
        </w:rPr>
        <w:t>Embajador</w:t>
      </w:r>
      <w:r w:rsidR="002C6E73" w:rsidRPr="00CE271D">
        <w:rPr>
          <w:rStyle w:val="PageNumber1"/>
          <w:sz w:val="24"/>
          <w:szCs w:val="24"/>
          <w:lang w:val="es-ES_tradnl"/>
        </w:rPr>
        <w:t>a</w:t>
      </w:r>
      <w:r w:rsidRPr="00CE271D">
        <w:rPr>
          <w:rStyle w:val="PageNumber1"/>
          <w:sz w:val="24"/>
          <w:szCs w:val="24"/>
          <w:lang w:val="es-ES_tradnl"/>
        </w:rPr>
        <w:t xml:space="preserve"> y Representante Permanente del </w:t>
      </w:r>
      <w:r w:rsidR="00B66AE1" w:rsidRPr="00CE271D">
        <w:rPr>
          <w:rStyle w:val="PageNumber1"/>
          <w:sz w:val="24"/>
          <w:szCs w:val="24"/>
          <w:lang w:val="es-ES_tradnl"/>
        </w:rPr>
        <w:t xml:space="preserve">México </w:t>
      </w:r>
      <w:r w:rsidRPr="00CE271D">
        <w:rPr>
          <w:rStyle w:val="PageNumber1"/>
          <w:sz w:val="24"/>
          <w:szCs w:val="24"/>
          <w:lang w:val="es-ES_tradnl"/>
        </w:rPr>
        <w:t>ante la OEA</w:t>
      </w:r>
    </w:p>
    <w:p w14:paraId="0B6544A9" w14:textId="3D86D4A7" w:rsidR="00430525" w:rsidRPr="00CE271D" w:rsidRDefault="003827F8" w:rsidP="000D263C">
      <w:pPr>
        <w:tabs>
          <w:tab w:val="left" w:pos="720"/>
          <w:tab w:val="center" w:pos="5760"/>
          <w:tab w:val="left" w:pos="6840"/>
        </w:tabs>
        <w:jc w:val="center"/>
        <w:rPr>
          <w:sz w:val="24"/>
          <w:szCs w:val="24"/>
          <w:lang w:val="es-EC"/>
        </w:rPr>
      </w:pPr>
      <w:r>
        <w:rPr>
          <w:noProof/>
          <w:sz w:val="24"/>
          <w:szCs w:val="24"/>
        </w:rPr>
        <mc:AlternateContent>
          <mc:Choice Requires="wps">
            <w:drawing>
              <wp:anchor distT="0" distB="0" distL="114300" distR="114300" simplePos="0" relativeHeight="251659264" behindDoc="0" locked="1" layoutInCell="1" allowOverlap="1" wp14:anchorId="7898D3F2" wp14:editId="6ACFFD2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FC3A82C" w14:textId="38863A72" w:rsidR="003827F8" w:rsidRPr="003827F8" w:rsidRDefault="003827F8">
                            <w:pPr>
                              <w:rPr>
                                <w:sz w:val="18"/>
                              </w:rPr>
                            </w:pPr>
                            <w:r>
                              <w:rPr>
                                <w:sz w:val="18"/>
                              </w:rPr>
                              <w:fldChar w:fldCharType="begin"/>
                            </w:r>
                            <w:r>
                              <w:rPr>
                                <w:sz w:val="18"/>
                              </w:rPr>
                              <w:instrText xml:space="preserve"> FILENAME  \* MERGEFORMAT </w:instrText>
                            </w:r>
                            <w:r>
                              <w:rPr>
                                <w:sz w:val="18"/>
                              </w:rPr>
                              <w:fldChar w:fldCharType="separate"/>
                            </w:r>
                            <w:r w:rsidR="00E53D86">
                              <w:rPr>
                                <w:noProof/>
                                <w:sz w:val="18"/>
                              </w:rPr>
                              <w:t>CIFTA00885S03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8D3F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4FC3A82C" w14:textId="38863A72" w:rsidR="003827F8" w:rsidRPr="003827F8" w:rsidRDefault="003827F8">
                      <w:pPr>
                        <w:rPr>
                          <w:sz w:val="18"/>
                        </w:rPr>
                      </w:pPr>
                      <w:r>
                        <w:rPr>
                          <w:sz w:val="18"/>
                        </w:rPr>
                        <w:fldChar w:fldCharType="begin"/>
                      </w:r>
                      <w:r>
                        <w:rPr>
                          <w:sz w:val="18"/>
                        </w:rPr>
                        <w:instrText xml:space="preserve"> FILENAME  \* MERGEFORMAT </w:instrText>
                      </w:r>
                      <w:r>
                        <w:rPr>
                          <w:sz w:val="18"/>
                        </w:rPr>
                        <w:fldChar w:fldCharType="separate"/>
                      </w:r>
                      <w:r w:rsidR="00E53D86">
                        <w:rPr>
                          <w:noProof/>
                          <w:sz w:val="18"/>
                        </w:rPr>
                        <w:t>CIFTA00885S03</w:t>
                      </w:r>
                      <w:r>
                        <w:rPr>
                          <w:sz w:val="18"/>
                        </w:rPr>
                        <w:fldChar w:fldCharType="end"/>
                      </w:r>
                    </w:p>
                  </w:txbxContent>
                </v:textbox>
                <w10:wrap anchory="page"/>
                <w10:anchorlock/>
              </v:shape>
            </w:pict>
          </mc:Fallback>
        </mc:AlternateContent>
      </w:r>
      <w:r w:rsidR="0035780A" w:rsidRPr="00CE271D">
        <w:rPr>
          <w:rStyle w:val="PageNumber1"/>
          <w:sz w:val="24"/>
          <w:szCs w:val="24"/>
          <w:lang w:val="es-ES_tradnl"/>
        </w:rPr>
        <w:t xml:space="preserve">Secretaría </w:t>
      </w:r>
      <w:r w:rsidR="0035780A" w:rsidRPr="00CE271D">
        <w:rPr>
          <w:rStyle w:val="PageNumber1"/>
          <w:iCs/>
          <w:sz w:val="24"/>
          <w:szCs w:val="24"/>
          <w:lang w:val="es-ES_tradnl"/>
        </w:rPr>
        <w:t>Pro Témpore</w:t>
      </w:r>
      <w:r w:rsidR="0035780A" w:rsidRPr="00CE271D">
        <w:rPr>
          <w:rStyle w:val="PageNumber1"/>
          <w:sz w:val="24"/>
          <w:szCs w:val="24"/>
          <w:lang w:val="es-ES_tradnl"/>
        </w:rPr>
        <w:t xml:space="preserve"> del C</w:t>
      </w:r>
      <w:bookmarkStart w:id="2" w:name="_GoBack"/>
      <w:bookmarkEnd w:id="2"/>
      <w:r w:rsidR="0035780A" w:rsidRPr="00CE271D">
        <w:rPr>
          <w:rStyle w:val="PageNumber1"/>
          <w:sz w:val="24"/>
          <w:szCs w:val="24"/>
          <w:lang w:val="es-ES_tradnl"/>
        </w:rPr>
        <w:t>omité Consultivo de la CIFTA</w:t>
      </w:r>
      <w:r w:rsidR="000D263C" w:rsidRPr="00CE271D">
        <w:rPr>
          <w:rStyle w:val="PageNumber1"/>
          <w:sz w:val="24"/>
          <w:szCs w:val="24"/>
          <w:lang w:val="es-ES_tradnl"/>
        </w:rPr>
        <w:t xml:space="preserve"> </w:t>
      </w:r>
    </w:p>
    <w:sectPr w:rsidR="00430525" w:rsidRPr="00CE271D" w:rsidSect="007742FC">
      <w:headerReference w:type="even" r:id="rId10"/>
      <w:headerReference w:type="default" r:id="rId11"/>
      <w:footerReference w:type="even" r:id="rId12"/>
      <w:footerReference w:type="default" r:id="rId13"/>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E2B1" w14:textId="77777777" w:rsidR="00103B12" w:rsidRDefault="00103B12">
      <w:r>
        <w:separator/>
      </w:r>
    </w:p>
  </w:endnote>
  <w:endnote w:type="continuationSeparator" w:id="0">
    <w:p w14:paraId="21292754" w14:textId="77777777" w:rsidR="00103B12" w:rsidRDefault="0010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398F" w14:textId="77777777"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E64F" w14:textId="77777777" w:rsidR="00743927" w:rsidRDefault="00743927" w:rsidP="00774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126D" w14:textId="4DEB1D01" w:rsidR="00743927" w:rsidRDefault="00743927" w:rsidP="00774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D86">
      <w:rPr>
        <w:rStyle w:val="PageNumber"/>
        <w:noProof/>
      </w:rPr>
      <w:t>4</w:t>
    </w:r>
    <w:r>
      <w:rPr>
        <w:rStyle w:val="PageNumber"/>
      </w:rPr>
      <w:fldChar w:fldCharType="end"/>
    </w:r>
  </w:p>
  <w:p w14:paraId="1C6BBE76" w14:textId="77777777" w:rsidR="00743927" w:rsidRDefault="00743927" w:rsidP="007742FC">
    <w:pPr>
      <w:pStyle w:val="Footer"/>
      <w:framePr w:wrap="around" w:vAnchor="text" w:hAnchor="margin" w:xAlign="center" w:y="1"/>
      <w:ind w:right="360"/>
      <w:rPr>
        <w:rStyle w:val="PageNumber"/>
      </w:rPr>
    </w:pPr>
  </w:p>
  <w:p w14:paraId="6C7666B1" w14:textId="77777777" w:rsidR="00743927" w:rsidRDefault="00743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F6B2" w14:textId="77777777" w:rsidR="00103B12" w:rsidRDefault="00103B12">
      <w:r>
        <w:separator/>
      </w:r>
    </w:p>
  </w:footnote>
  <w:footnote w:type="continuationSeparator" w:id="0">
    <w:p w14:paraId="1F56F675" w14:textId="77777777" w:rsidR="00103B12" w:rsidRDefault="00103B12">
      <w:r>
        <w:continuationSeparator/>
      </w:r>
    </w:p>
  </w:footnote>
  <w:footnote w:id="1">
    <w:p w14:paraId="4DFB20DC" w14:textId="77777777" w:rsidR="003601F3" w:rsidRPr="00023716" w:rsidRDefault="003601F3" w:rsidP="003601F3">
      <w:pPr>
        <w:pStyle w:val="FootnoteText"/>
        <w:jc w:val="both"/>
        <w:rPr>
          <w:lang w:val="es-ES"/>
        </w:rPr>
      </w:pPr>
      <w:r w:rsidRPr="00023716">
        <w:rPr>
          <w:rStyle w:val="FootnoteReference"/>
        </w:rPr>
        <w:footnoteRef/>
      </w:r>
      <w:r w:rsidRPr="00023716">
        <w:rPr>
          <w:lang w:val="es-MX"/>
        </w:rPr>
        <w:t xml:space="preserve"> </w:t>
      </w:r>
      <w:r w:rsidRPr="00023716">
        <w:rPr>
          <w:lang w:val="es-ES"/>
        </w:rPr>
        <w:t>La primera edición se realizó del 5 al 7 de noviembre de 2019 en la Secretaría de Relaciones Exteriores, en la cual participaron representantes de Belice, Costa Rica, Cuba, El Salvador, Estados Unidos, Guatemala, Honduras, México, Nicaragua, Panamá y República Dominicana. Posteriormente, tuvo lugar la segunda edición del 13 al 15 de noviembre del presente en el Hotel Fiesta Americana Reforma y participaron representantes de Argentina, Brasil, Chile, Colombia, Ecuador, Guyana, México, Perú, Paraguay, Uruguay y Venezuela.</w:t>
      </w:r>
    </w:p>
    <w:p w14:paraId="3628646D" w14:textId="77777777" w:rsidR="003601F3" w:rsidRPr="0025675B" w:rsidRDefault="003601F3" w:rsidP="003601F3">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D1233" w14:textId="77777777" w:rsidR="00743927" w:rsidRPr="005079FE" w:rsidRDefault="00743927" w:rsidP="003652E9">
    <w:pPr>
      <w:pStyle w:val="Header"/>
      <w:framePr w:wrap="around" w:vAnchor="text" w:hAnchor="margin" w:xAlign="center" w:y="1"/>
      <w:rPr>
        <w:rStyle w:val="PageNumber"/>
        <w:sz w:val="22"/>
        <w:szCs w:val="22"/>
      </w:rPr>
    </w:pPr>
    <w:r w:rsidRPr="005079FE">
      <w:rPr>
        <w:rStyle w:val="PageNumber"/>
        <w:sz w:val="22"/>
        <w:szCs w:val="22"/>
      </w:rPr>
      <w:fldChar w:fldCharType="begin"/>
    </w:r>
    <w:r w:rsidRPr="005079FE">
      <w:rPr>
        <w:rStyle w:val="PageNumber"/>
        <w:sz w:val="22"/>
        <w:szCs w:val="22"/>
      </w:rPr>
      <w:instrText xml:space="preserve">PAGE  </w:instrText>
    </w:r>
    <w:r w:rsidRPr="005079FE">
      <w:rPr>
        <w:rStyle w:val="PageNumber"/>
        <w:sz w:val="22"/>
        <w:szCs w:val="22"/>
      </w:rPr>
      <w:fldChar w:fldCharType="separate"/>
    </w:r>
    <w:r>
      <w:rPr>
        <w:rStyle w:val="PageNumber"/>
        <w:noProof/>
        <w:sz w:val="22"/>
        <w:szCs w:val="22"/>
      </w:rPr>
      <w:t>- 4 -</w:t>
    </w:r>
    <w:r w:rsidRPr="005079FE">
      <w:rPr>
        <w:rStyle w:val="PageNumber"/>
        <w:sz w:val="22"/>
        <w:szCs w:val="22"/>
      </w:rPr>
      <w:fldChar w:fldCharType="end"/>
    </w:r>
  </w:p>
  <w:p w14:paraId="77B00777" w14:textId="77777777" w:rsidR="00743927" w:rsidRDefault="00743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8E24" w14:textId="77777777" w:rsidR="00743927" w:rsidRPr="0094193A" w:rsidRDefault="00743927" w:rsidP="003652E9">
    <w:pPr>
      <w:pStyle w:val="Header"/>
      <w:framePr w:wrap="around" w:vAnchor="text" w:hAnchor="margin" w:xAlign="center" w:y="1"/>
      <w:rPr>
        <w:rStyle w:val="PageNumber"/>
        <w:sz w:val="22"/>
        <w:szCs w:val="22"/>
      </w:rPr>
    </w:pPr>
  </w:p>
  <w:p w14:paraId="5912D2BE" w14:textId="77777777" w:rsidR="00743927" w:rsidRDefault="00743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6A"/>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DA528A"/>
    <w:multiLevelType w:val="multilevel"/>
    <w:tmpl w:val="12C22026"/>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rPr>
        <w:b/>
        <w:color w:val="000080"/>
      </w:r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1800"/>
        </w:tabs>
        <w:ind w:left="1800" w:hanging="360"/>
      </w:pPr>
      <w:rPr>
        <w:lang w:val="es-AR"/>
      </w:rPr>
    </w:lvl>
    <w:lvl w:ilvl="5">
      <w:start w:val="1"/>
      <w:numFmt w:val="lowerRoman"/>
      <w:lvlText w:val="%6."/>
      <w:lvlJc w:val="right"/>
      <w:pPr>
        <w:tabs>
          <w:tab w:val="num" w:pos="4320"/>
        </w:tabs>
        <w:ind w:left="4320" w:hanging="180"/>
      </w:pPr>
    </w:lvl>
    <w:lvl w:ilvl="6">
      <w:start w:val="1"/>
      <w:numFmt w:val="lowerRoman"/>
      <w:lvlText w:val="%7.)"/>
      <w:lvlJc w:val="left"/>
      <w:pPr>
        <w:tabs>
          <w:tab w:val="num" w:pos="5400"/>
        </w:tabs>
        <w:ind w:left="5400" w:hanging="72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31466"/>
    <w:multiLevelType w:val="hybridMultilevel"/>
    <w:tmpl w:val="91CA9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C8D"/>
    <w:multiLevelType w:val="hybridMultilevel"/>
    <w:tmpl w:val="1496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138E1"/>
    <w:multiLevelType w:val="hybridMultilevel"/>
    <w:tmpl w:val="5A3AD338"/>
    <w:lvl w:ilvl="0" w:tplc="A8DECE2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4E82"/>
    <w:multiLevelType w:val="hybridMultilevel"/>
    <w:tmpl w:val="0E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A4371"/>
    <w:multiLevelType w:val="hybridMultilevel"/>
    <w:tmpl w:val="19CAAE0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32B472D2"/>
    <w:multiLevelType w:val="hybridMultilevel"/>
    <w:tmpl w:val="79A2B52E"/>
    <w:lvl w:ilvl="0" w:tplc="4AB6B3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F03A44"/>
    <w:multiLevelType w:val="hybridMultilevel"/>
    <w:tmpl w:val="EA3E1416"/>
    <w:lvl w:ilvl="0" w:tplc="4CDAA3F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4252BFA"/>
    <w:multiLevelType w:val="hybridMultilevel"/>
    <w:tmpl w:val="76AE70D8"/>
    <w:lvl w:ilvl="0" w:tplc="705CE442">
      <w:start w:val="2"/>
      <w:numFmt w:val="lowerLetter"/>
      <w:lvlText w:val="%1.)"/>
      <w:lvlJc w:val="left"/>
      <w:pPr>
        <w:tabs>
          <w:tab w:val="num" w:pos="720"/>
        </w:tabs>
        <w:ind w:left="720" w:hanging="360"/>
      </w:pPr>
      <w:rPr>
        <w:rFonts w:hint="default"/>
      </w:rPr>
    </w:lvl>
    <w:lvl w:ilvl="1" w:tplc="89E0F1F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735C283C">
      <w:start w:val="2"/>
      <w:numFmt w:val="lowerLetter"/>
      <w:lvlText w:val="%4."/>
      <w:lvlJc w:val="left"/>
      <w:pPr>
        <w:tabs>
          <w:tab w:val="num" w:pos="3420"/>
        </w:tabs>
        <w:ind w:left="34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9C622A8"/>
    <w:multiLevelType w:val="hybridMultilevel"/>
    <w:tmpl w:val="8B7814BE"/>
    <w:lvl w:ilvl="0" w:tplc="290E5512">
      <w:start w:val="1"/>
      <w:numFmt w:val="bullet"/>
      <w:lvlText w:val="•"/>
      <w:lvlJc w:val="left"/>
      <w:pPr>
        <w:tabs>
          <w:tab w:val="num" w:pos="720"/>
        </w:tabs>
        <w:ind w:left="720" w:hanging="360"/>
      </w:pPr>
      <w:rPr>
        <w:rFonts w:ascii="Arial" w:hAnsi="Arial" w:hint="default"/>
      </w:rPr>
    </w:lvl>
    <w:lvl w:ilvl="1" w:tplc="F5EE69E6" w:tentative="1">
      <w:start w:val="1"/>
      <w:numFmt w:val="bullet"/>
      <w:lvlText w:val="•"/>
      <w:lvlJc w:val="left"/>
      <w:pPr>
        <w:tabs>
          <w:tab w:val="num" w:pos="1440"/>
        </w:tabs>
        <w:ind w:left="1440" w:hanging="360"/>
      </w:pPr>
      <w:rPr>
        <w:rFonts w:ascii="Arial" w:hAnsi="Arial" w:hint="default"/>
      </w:rPr>
    </w:lvl>
    <w:lvl w:ilvl="2" w:tplc="160C1D78" w:tentative="1">
      <w:start w:val="1"/>
      <w:numFmt w:val="bullet"/>
      <w:lvlText w:val="•"/>
      <w:lvlJc w:val="left"/>
      <w:pPr>
        <w:tabs>
          <w:tab w:val="num" w:pos="2160"/>
        </w:tabs>
        <w:ind w:left="2160" w:hanging="360"/>
      </w:pPr>
      <w:rPr>
        <w:rFonts w:ascii="Arial" w:hAnsi="Arial" w:hint="default"/>
      </w:rPr>
    </w:lvl>
    <w:lvl w:ilvl="3" w:tplc="094E4634" w:tentative="1">
      <w:start w:val="1"/>
      <w:numFmt w:val="bullet"/>
      <w:lvlText w:val="•"/>
      <w:lvlJc w:val="left"/>
      <w:pPr>
        <w:tabs>
          <w:tab w:val="num" w:pos="2880"/>
        </w:tabs>
        <w:ind w:left="2880" w:hanging="360"/>
      </w:pPr>
      <w:rPr>
        <w:rFonts w:ascii="Arial" w:hAnsi="Arial" w:hint="default"/>
      </w:rPr>
    </w:lvl>
    <w:lvl w:ilvl="4" w:tplc="85B01E12" w:tentative="1">
      <w:start w:val="1"/>
      <w:numFmt w:val="bullet"/>
      <w:lvlText w:val="•"/>
      <w:lvlJc w:val="left"/>
      <w:pPr>
        <w:tabs>
          <w:tab w:val="num" w:pos="3600"/>
        </w:tabs>
        <w:ind w:left="3600" w:hanging="360"/>
      </w:pPr>
      <w:rPr>
        <w:rFonts w:ascii="Arial" w:hAnsi="Arial" w:hint="default"/>
      </w:rPr>
    </w:lvl>
    <w:lvl w:ilvl="5" w:tplc="EA22D380" w:tentative="1">
      <w:start w:val="1"/>
      <w:numFmt w:val="bullet"/>
      <w:lvlText w:val="•"/>
      <w:lvlJc w:val="left"/>
      <w:pPr>
        <w:tabs>
          <w:tab w:val="num" w:pos="4320"/>
        </w:tabs>
        <w:ind w:left="4320" w:hanging="360"/>
      </w:pPr>
      <w:rPr>
        <w:rFonts w:ascii="Arial" w:hAnsi="Arial" w:hint="default"/>
      </w:rPr>
    </w:lvl>
    <w:lvl w:ilvl="6" w:tplc="89342B04" w:tentative="1">
      <w:start w:val="1"/>
      <w:numFmt w:val="bullet"/>
      <w:lvlText w:val="•"/>
      <w:lvlJc w:val="left"/>
      <w:pPr>
        <w:tabs>
          <w:tab w:val="num" w:pos="5040"/>
        </w:tabs>
        <w:ind w:left="5040" w:hanging="360"/>
      </w:pPr>
      <w:rPr>
        <w:rFonts w:ascii="Arial" w:hAnsi="Arial" w:hint="default"/>
      </w:rPr>
    </w:lvl>
    <w:lvl w:ilvl="7" w:tplc="BC4E8A26" w:tentative="1">
      <w:start w:val="1"/>
      <w:numFmt w:val="bullet"/>
      <w:lvlText w:val="•"/>
      <w:lvlJc w:val="left"/>
      <w:pPr>
        <w:tabs>
          <w:tab w:val="num" w:pos="5760"/>
        </w:tabs>
        <w:ind w:left="5760" w:hanging="360"/>
      </w:pPr>
      <w:rPr>
        <w:rFonts w:ascii="Arial" w:hAnsi="Arial" w:hint="default"/>
      </w:rPr>
    </w:lvl>
    <w:lvl w:ilvl="8" w:tplc="4614C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BE0651"/>
    <w:multiLevelType w:val="hybridMultilevel"/>
    <w:tmpl w:val="755CBD00"/>
    <w:lvl w:ilvl="0" w:tplc="1922A5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8B64A7"/>
    <w:multiLevelType w:val="multilevel"/>
    <w:tmpl w:val="5A34E430"/>
    <w:lvl w:ilvl="0">
      <w:start w:val="1"/>
      <w:numFmt w:val="decimal"/>
      <w:lvlText w:val="%1."/>
      <w:lvlJc w:val="left"/>
      <w:pPr>
        <w:tabs>
          <w:tab w:val="num" w:pos="720"/>
        </w:tabs>
        <w:ind w:left="720" w:hanging="360"/>
      </w:pPr>
      <w:rPr>
        <w:lang w:val="es-AR"/>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lang w:val="es-AR"/>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8425C"/>
    <w:multiLevelType w:val="hybridMultilevel"/>
    <w:tmpl w:val="DC648C2A"/>
    <w:lvl w:ilvl="0" w:tplc="4CDAA3F8">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4CDAA3F8">
      <w:start w:val="1"/>
      <w:numFmt w:val="bullet"/>
      <w:lvlText w:val=""/>
      <w:lvlJc w:val="left"/>
      <w:pPr>
        <w:tabs>
          <w:tab w:val="num" w:pos="6480"/>
        </w:tabs>
        <w:ind w:left="6480" w:hanging="360"/>
      </w:pPr>
      <w:rPr>
        <w:rFonts w:ascii="Symbol" w:hAnsi="Symbol"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6" w15:restartNumberingAfterBreak="0">
    <w:nsid w:val="4FF64BE1"/>
    <w:multiLevelType w:val="hybridMultilevel"/>
    <w:tmpl w:val="6B1233F4"/>
    <w:lvl w:ilvl="0" w:tplc="27F085FA">
      <w:numFmt w:val="bullet"/>
      <w:lvlText w:val=""/>
      <w:lvlJc w:val="left"/>
      <w:pPr>
        <w:ind w:left="1080" w:hanging="72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B268BD"/>
    <w:multiLevelType w:val="hybridMultilevel"/>
    <w:tmpl w:val="B1524184"/>
    <w:styleLink w:val="ImportedStyle2"/>
    <w:lvl w:ilvl="0" w:tplc="AEF0A6FC">
      <w:start w:val="1"/>
      <w:numFmt w:val="bullet"/>
      <w:lvlText w:val="-"/>
      <w:lvlJc w:val="left"/>
      <w:pPr>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22AB56">
      <w:start w:val="1"/>
      <w:numFmt w:val="bullet"/>
      <w:lvlText w:val="o"/>
      <w:lvlJc w:val="left"/>
      <w:pPr>
        <w:tabs>
          <w:tab w:val="left" w:pos="720"/>
        </w:tabs>
        <w:ind w:left="14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4E8BFE6">
      <w:start w:val="1"/>
      <w:numFmt w:val="bullet"/>
      <w:lvlText w:val="▪"/>
      <w:lvlJc w:val="left"/>
      <w:pPr>
        <w:tabs>
          <w:tab w:val="left" w:pos="720"/>
        </w:tabs>
        <w:ind w:left="21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DC5FE6">
      <w:start w:val="1"/>
      <w:numFmt w:val="bullet"/>
      <w:lvlText w:val="•"/>
      <w:lvlJc w:val="left"/>
      <w:pPr>
        <w:tabs>
          <w:tab w:val="left" w:pos="720"/>
        </w:tabs>
        <w:ind w:left="28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68EDDF4">
      <w:start w:val="1"/>
      <w:numFmt w:val="bullet"/>
      <w:lvlText w:val="o"/>
      <w:lvlJc w:val="left"/>
      <w:pPr>
        <w:tabs>
          <w:tab w:val="left" w:pos="720"/>
        </w:tabs>
        <w:ind w:left="360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C8C244">
      <w:start w:val="1"/>
      <w:numFmt w:val="bullet"/>
      <w:lvlText w:val="▪"/>
      <w:lvlJc w:val="left"/>
      <w:pPr>
        <w:tabs>
          <w:tab w:val="left" w:pos="720"/>
        </w:tabs>
        <w:ind w:left="432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4D29938">
      <w:start w:val="1"/>
      <w:numFmt w:val="bullet"/>
      <w:lvlText w:val="•"/>
      <w:lvlJc w:val="left"/>
      <w:pPr>
        <w:tabs>
          <w:tab w:val="left" w:pos="720"/>
        </w:tabs>
        <w:ind w:left="504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AEB2">
      <w:start w:val="1"/>
      <w:numFmt w:val="bullet"/>
      <w:lvlText w:val="o"/>
      <w:lvlJc w:val="left"/>
      <w:pPr>
        <w:tabs>
          <w:tab w:val="left" w:pos="720"/>
        </w:tabs>
        <w:ind w:left="576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AB409EE">
      <w:start w:val="1"/>
      <w:numFmt w:val="bullet"/>
      <w:lvlText w:val="▪"/>
      <w:lvlJc w:val="left"/>
      <w:pPr>
        <w:tabs>
          <w:tab w:val="left" w:pos="720"/>
        </w:tabs>
        <w:ind w:left="6480" w:hanging="36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A2F7AF4"/>
    <w:multiLevelType w:val="hybridMultilevel"/>
    <w:tmpl w:val="E3CA5098"/>
    <w:lvl w:ilvl="0" w:tplc="E1C4DD1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F737BC4"/>
    <w:multiLevelType w:val="hybridMultilevel"/>
    <w:tmpl w:val="EC10D7DA"/>
    <w:lvl w:ilvl="0" w:tplc="0652E840">
      <w:start w:val="1"/>
      <w:numFmt w:val="decimal"/>
      <w:lvlText w:val="%1."/>
      <w:lvlJc w:val="left"/>
      <w:pPr>
        <w:tabs>
          <w:tab w:val="num" w:pos="1995"/>
        </w:tabs>
        <w:ind w:left="1995" w:hanging="915"/>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4F02E6"/>
    <w:multiLevelType w:val="hybridMultilevel"/>
    <w:tmpl w:val="3004725C"/>
    <w:lvl w:ilvl="0" w:tplc="F71A6D28">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0C53C0C"/>
    <w:multiLevelType w:val="hybridMultilevel"/>
    <w:tmpl w:val="B1524184"/>
    <w:numStyleLink w:val="ImportedStyle2"/>
  </w:abstractNum>
  <w:abstractNum w:abstractNumId="23" w15:restartNumberingAfterBreak="0">
    <w:nsid w:val="63032F5A"/>
    <w:multiLevelType w:val="hybridMultilevel"/>
    <w:tmpl w:val="7A0ECC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872859"/>
    <w:multiLevelType w:val="hybridMultilevel"/>
    <w:tmpl w:val="991C581E"/>
    <w:lvl w:ilvl="0" w:tplc="7F204FF2">
      <w:start w:val="1"/>
      <w:numFmt w:val="decimal"/>
      <w:lvlText w:val="%1."/>
      <w:lvlJc w:val="left"/>
      <w:pPr>
        <w:tabs>
          <w:tab w:val="num" w:pos="720"/>
        </w:tabs>
        <w:ind w:left="720" w:hanging="360"/>
      </w:pPr>
      <w:rPr>
        <w:lang w:val="es-AR"/>
      </w:rPr>
    </w:lvl>
    <w:lvl w:ilvl="1" w:tplc="C9D8F6CE">
      <w:start w:val="1"/>
      <w:numFmt w:val="lowerLetter"/>
      <w:lvlText w:val="%2)"/>
      <w:lvlJc w:val="left"/>
      <w:pPr>
        <w:tabs>
          <w:tab w:val="num" w:pos="1440"/>
        </w:tabs>
        <w:ind w:left="1440" w:hanging="360"/>
      </w:pPr>
      <w:rPr>
        <w:b/>
        <w:color w:val="000000"/>
      </w:rPr>
    </w:lvl>
    <w:lvl w:ilvl="2" w:tplc="C62ABE22">
      <w:start w:val="1"/>
      <w:numFmt w:val="bullet"/>
      <w:lvlText w:val=""/>
      <w:lvlJc w:val="left"/>
      <w:pPr>
        <w:tabs>
          <w:tab w:val="num" w:pos="2340"/>
        </w:tabs>
        <w:ind w:left="2340" w:hanging="360"/>
      </w:pPr>
      <w:rPr>
        <w:rFonts w:ascii="Symbol" w:hAnsi="Symbol" w:hint="default"/>
        <w:lang w:val="es-AR"/>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1800"/>
        </w:tabs>
        <w:ind w:left="1800" w:hanging="360"/>
      </w:pPr>
      <w:rPr>
        <w:lang w:val="es-AR"/>
      </w:rPr>
    </w:lvl>
    <w:lvl w:ilvl="5" w:tplc="0409001B">
      <w:start w:val="1"/>
      <w:numFmt w:val="lowerRoman"/>
      <w:lvlText w:val="%6."/>
      <w:lvlJc w:val="right"/>
      <w:pPr>
        <w:tabs>
          <w:tab w:val="num" w:pos="4320"/>
        </w:tabs>
        <w:ind w:left="4320" w:hanging="180"/>
      </w:pPr>
    </w:lvl>
    <w:lvl w:ilvl="6" w:tplc="262E303E">
      <w:start w:val="1"/>
      <w:numFmt w:val="lowerRoman"/>
      <w:lvlText w:val="%7.)"/>
      <w:lvlJc w:val="left"/>
      <w:pPr>
        <w:tabs>
          <w:tab w:val="num" w:pos="5400"/>
        </w:tabs>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7054CFA"/>
    <w:multiLevelType w:val="hybridMultilevel"/>
    <w:tmpl w:val="4D90065A"/>
    <w:lvl w:ilvl="0" w:tplc="8B1661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2F7191"/>
    <w:multiLevelType w:val="hybridMultilevel"/>
    <w:tmpl w:val="2DDEEBF0"/>
    <w:lvl w:ilvl="0" w:tplc="E41C8F2E">
      <w:start w:val="21"/>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9"/>
  </w:num>
  <w:num w:numId="3">
    <w:abstractNumId w:val="28"/>
  </w:num>
  <w:num w:numId="4">
    <w:abstractNumId w:val="25"/>
  </w:num>
  <w:num w:numId="5">
    <w:abstractNumId w:val="14"/>
  </w:num>
  <w:num w:numId="6">
    <w:abstractNumId w:val="24"/>
  </w:num>
  <w:num w:numId="7">
    <w:abstractNumId w:val="20"/>
  </w:num>
  <w:num w:numId="8">
    <w:abstractNumId w:val="2"/>
  </w:num>
  <w:num w:numId="9">
    <w:abstractNumId w:val="23"/>
  </w:num>
  <w:num w:numId="10">
    <w:abstractNumId w:val="12"/>
  </w:num>
  <w:num w:numId="11">
    <w:abstractNumId w:val="0"/>
  </w:num>
  <w:num w:numId="1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6"/>
  </w:num>
  <w:num w:numId="16">
    <w:abstractNumId w:val="15"/>
  </w:num>
  <w:num w:numId="17">
    <w:abstractNumId w:val="8"/>
  </w:num>
  <w:num w:numId="18">
    <w:abstractNumId w:val="7"/>
  </w:num>
  <w:num w:numId="19">
    <w:abstractNumId w:val="26"/>
  </w:num>
  <w:num w:numId="20">
    <w:abstractNumId w:val="1"/>
  </w:num>
  <w:num w:numId="21">
    <w:abstractNumId w:val="18"/>
  </w:num>
  <w:num w:numId="22">
    <w:abstractNumId w:val="11"/>
  </w:num>
  <w:num w:numId="23">
    <w:abstractNumId w:val="9"/>
  </w:num>
  <w:num w:numId="24">
    <w:abstractNumId w:val="27"/>
  </w:num>
  <w:num w:numId="25">
    <w:abstractNumId w:val="3"/>
  </w:num>
  <w:num w:numId="26">
    <w:abstractNumId w:val="4"/>
  </w:num>
  <w:num w:numId="27">
    <w:abstractNumId w:val="17"/>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06"/>
    <w:rsid w:val="00021985"/>
    <w:rsid w:val="0004548E"/>
    <w:rsid w:val="0006778D"/>
    <w:rsid w:val="00074CBB"/>
    <w:rsid w:val="00087E44"/>
    <w:rsid w:val="000975A2"/>
    <w:rsid w:val="000A1274"/>
    <w:rsid w:val="000A2095"/>
    <w:rsid w:val="000A5B49"/>
    <w:rsid w:val="000B357D"/>
    <w:rsid w:val="000D1B4D"/>
    <w:rsid w:val="000D263C"/>
    <w:rsid w:val="000D2643"/>
    <w:rsid w:val="000D3F08"/>
    <w:rsid w:val="000F0C87"/>
    <w:rsid w:val="000F797A"/>
    <w:rsid w:val="00102AC2"/>
    <w:rsid w:val="00103B12"/>
    <w:rsid w:val="00147000"/>
    <w:rsid w:val="0018748E"/>
    <w:rsid w:val="0019104A"/>
    <w:rsid w:val="001B0551"/>
    <w:rsid w:val="001B74D7"/>
    <w:rsid w:val="001D1222"/>
    <w:rsid w:val="001D2D91"/>
    <w:rsid w:val="001D467F"/>
    <w:rsid w:val="001F7975"/>
    <w:rsid w:val="00204277"/>
    <w:rsid w:val="00207709"/>
    <w:rsid w:val="00232256"/>
    <w:rsid w:val="00234770"/>
    <w:rsid w:val="00280F06"/>
    <w:rsid w:val="002819B4"/>
    <w:rsid w:val="002B0450"/>
    <w:rsid w:val="002B614C"/>
    <w:rsid w:val="002C1519"/>
    <w:rsid w:val="002C5C19"/>
    <w:rsid w:val="002C6E73"/>
    <w:rsid w:val="002F18DF"/>
    <w:rsid w:val="002F2EDB"/>
    <w:rsid w:val="00313B46"/>
    <w:rsid w:val="0031650C"/>
    <w:rsid w:val="003178AA"/>
    <w:rsid w:val="003238D2"/>
    <w:rsid w:val="003251EC"/>
    <w:rsid w:val="00327A93"/>
    <w:rsid w:val="00331570"/>
    <w:rsid w:val="00331844"/>
    <w:rsid w:val="003334F8"/>
    <w:rsid w:val="003342AC"/>
    <w:rsid w:val="00346F5C"/>
    <w:rsid w:val="00351912"/>
    <w:rsid w:val="00352D93"/>
    <w:rsid w:val="0035383F"/>
    <w:rsid w:val="00354D20"/>
    <w:rsid w:val="0035780A"/>
    <w:rsid w:val="003601F3"/>
    <w:rsid w:val="0036042E"/>
    <w:rsid w:val="003652E9"/>
    <w:rsid w:val="00365545"/>
    <w:rsid w:val="003667B4"/>
    <w:rsid w:val="003827F8"/>
    <w:rsid w:val="00383AD7"/>
    <w:rsid w:val="00391A8F"/>
    <w:rsid w:val="00394BA4"/>
    <w:rsid w:val="003A6F03"/>
    <w:rsid w:val="003B0684"/>
    <w:rsid w:val="003B72DD"/>
    <w:rsid w:val="003D2CDD"/>
    <w:rsid w:val="003D3F36"/>
    <w:rsid w:val="003D5812"/>
    <w:rsid w:val="003E0421"/>
    <w:rsid w:val="003E21FF"/>
    <w:rsid w:val="003E5BFB"/>
    <w:rsid w:val="003E6E67"/>
    <w:rsid w:val="0041133A"/>
    <w:rsid w:val="00411C77"/>
    <w:rsid w:val="00417320"/>
    <w:rsid w:val="00430525"/>
    <w:rsid w:val="00430B70"/>
    <w:rsid w:val="004472EF"/>
    <w:rsid w:val="004504CF"/>
    <w:rsid w:val="00460B5A"/>
    <w:rsid w:val="00464A88"/>
    <w:rsid w:val="0048561F"/>
    <w:rsid w:val="00485629"/>
    <w:rsid w:val="00496450"/>
    <w:rsid w:val="004A149B"/>
    <w:rsid w:val="004C071E"/>
    <w:rsid w:val="004C16D1"/>
    <w:rsid w:val="004D3DC2"/>
    <w:rsid w:val="004F01F7"/>
    <w:rsid w:val="004F0855"/>
    <w:rsid w:val="00500C26"/>
    <w:rsid w:val="00536EE3"/>
    <w:rsid w:val="00545ABF"/>
    <w:rsid w:val="0057084D"/>
    <w:rsid w:val="00571ECC"/>
    <w:rsid w:val="00574C4A"/>
    <w:rsid w:val="00580E86"/>
    <w:rsid w:val="00584E96"/>
    <w:rsid w:val="00592A49"/>
    <w:rsid w:val="00592FEC"/>
    <w:rsid w:val="005938B5"/>
    <w:rsid w:val="005C0CC7"/>
    <w:rsid w:val="00623FB2"/>
    <w:rsid w:val="00624704"/>
    <w:rsid w:val="00626804"/>
    <w:rsid w:val="00656C4C"/>
    <w:rsid w:val="00692DE7"/>
    <w:rsid w:val="006A65A2"/>
    <w:rsid w:val="006B2BCA"/>
    <w:rsid w:val="007011DD"/>
    <w:rsid w:val="00702106"/>
    <w:rsid w:val="00710E7D"/>
    <w:rsid w:val="00722DB6"/>
    <w:rsid w:val="00727508"/>
    <w:rsid w:val="00743927"/>
    <w:rsid w:val="007634E5"/>
    <w:rsid w:val="007742FC"/>
    <w:rsid w:val="007757EF"/>
    <w:rsid w:val="0078715A"/>
    <w:rsid w:val="007A3DB3"/>
    <w:rsid w:val="007A59E9"/>
    <w:rsid w:val="007B0F96"/>
    <w:rsid w:val="007C42DA"/>
    <w:rsid w:val="007E02CE"/>
    <w:rsid w:val="007F0775"/>
    <w:rsid w:val="007F1EFF"/>
    <w:rsid w:val="008000F7"/>
    <w:rsid w:val="00800C2E"/>
    <w:rsid w:val="0080620E"/>
    <w:rsid w:val="0081323F"/>
    <w:rsid w:val="0083032D"/>
    <w:rsid w:val="0083051F"/>
    <w:rsid w:val="0084221F"/>
    <w:rsid w:val="00847546"/>
    <w:rsid w:val="0086674D"/>
    <w:rsid w:val="00875371"/>
    <w:rsid w:val="0087762A"/>
    <w:rsid w:val="008D1406"/>
    <w:rsid w:val="008D5935"/>
    <w:rsid w:val="008D6FCA"/>
    <w:rsid w:val="008F0D9F"/>
    <w:rsid w:val="00900297"/>
    <w:rsid w:val="009143CA"/>
    <w:rsid w:val="00922C91"/>
    <w:rsid w:val="009547F1"/>
    <w:rsid w:val="009607E2"/>
    <w:rsid w:val="00961F83"/>
    <w:rsid w:val="00985345"/>
    <w:rsid w:val="00990A33"/>
    <w:rsid w:val="009938ED"/>
    <w:rsid w:val="00995CB7"/>
    <w:rsid w:val="009A4040"/>
    <w:rsid w:val="009B3764"/>
    <w:rsid w:val="009C289A"/>
    <w:rsid w:val="009F455B"/>
    <w:rsid w:val="00A02D2B"/>
    <w:rsid w:val="00A02DD0"/>
    <w:rsid w:val="00A1462C"/>
    <w:rsid w:val="00A16468"/>
    <w:rsid w:val="00A24D5B"/>
    <w:rsid w:val="00A3788F"/>
    <w:rsid w:val="00A4118A"/>
    <w:rsid w:val="00A41698"/>
    <w:rsid w:val="00A4417C"/>
    <w:rsid w:val="00A81571"/>
    <w:rsid w:val="00A82BBC"/>
    <w:rsid w:val="00A872D0"/>
    <w:rsid w:val="00A87EDD"/>
    <w:rsid w:val="00AA3E78"/>
    <w:rsid w:val="00AD02D9"/>
    <w:rsid w:val="00AD29BA"/>
    <w:rsid w:val="00B10299"/>
    <w:rsid w:val="00B332CD"/>
    <w:rsid w:val="00B33734"/>
    <w:rsid w:val="00B53A5C"/>
    <w:rsid w:val="00B60981"/>
    <w:rsid w:val="00B66AE1"/>
    <w:rsid w:val="00B6701E"/>
    <w:rsid w:val="00B674AB"/>
    <w:rsid w:val="00B84E8F"/>
    <w:rsid w:val="00B85B24"/>
    <w:rsid w:val="00B933B2"/>
    <w:rsid w:val="00BC1211"/>
    <w:rsid w:val="00BE234D"/>
    <w:rsid w:val="00BE7DB2"/>
    <w:rsid w:val="00C019E9"/>
    <w:rsid w:val="00C101D3"/>
    <w:rsid w:val="00C5067C"/>
    <w:rsid w:val="00C50FF6"/>
    <w:rsid w:val="00C73153"/>
    <w:rsid w:val="00C926D1"/>
    <w:rsid w:val="00CA6902"/>
    <w:rsid w:val="00CB3504"/>
    <w:rsid w:val="00CB6214"/>
    <w:rsid w:val="00CC6E49"/>
    <w:rsid w:val="00CE271D"/>
    <w:rsid w:val="00D01A92"/>
    <w:rsid w:val="00D06542"/>
    <w:rsid w:val="00D20712"/>
    <w:rsid w:val="00D57059"/>
    <w:rsid w:val="00D57E94"/>
    <w:rsid w:val="00D670F9"/>
    <w:rsid w:val="00D7557E"/>
    <w:rsid w:val="00D82B07"/>
    <w:rsid w:val="00DA2603"/>
    <w:rsid w:val="00DB7D33"/>
    <w:rsid w:val="00DC7D8C"/>
    <w:rsid w:val="00DD087B"/>
    <w:rsid w:val="00DE7ABF"/>
    <w:rsid w:val="00DF4098"/>
    <w:rsid w:val="00E04ACD"/>
    <w:rsid w:val="00E0532A"/>
    <w:rsid w:val="00E05AE7"/>
    <w:rsid w:val="00E2436F"/>
    <w:rsid w:val="00E512DF"/>
    <w:rsid w:val="00E53D86"/>
    <w:rsid w:val="00E801BF"/>
    <w:rsid w:val="00E910B3"/>
    <w:rsid w:val="00E91D83"/>
    <w:rsid w:val="00E9653B"/>
    <w:rsid w:val="00EA50B1"/>
    <w:rsid w:val="00EA786D"/>
    <w:rsid w:val="00EB2A2C"/>
    <w:rsid w:val="00EC35DD"/>
    <w:rsid w:val="00F072DF"/>
    <w:rsid w:val="00F1256B"/>
    <w:rsid w:val="00F22AEC"/>
    <w:rsid w:val="00F26772"/>
    <w:rsid w:val="00F52FF3"/>
    <w:rsid w:val="00F86451"/>
    <w:rsid w:val="00FA28E8"/>
    <w:rsid w:val="00FA3E90"/>
    <w:rsid w:val="00FC193C"/>
    <w:rsid w:val="00FC1CEC"/>
    <w:rsid w:val="00FE4573"/>
    <w:rsid w:val="00FF1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340C7D"/>
  <w15:chartTrackingRefBased/>
  <w15:docId w15:val="{4EBAEBE4-2D51-4E3C-A88F-932CC374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06"/>
    <w:rPr>
      <w:lang w:val="en-US" w:eastAsia="en-US"/>
    </w:rPr>
  </w:style>
  <w:style w:type="paragraph" w:styleId="Heading1">
    <w:name w:val="heading 1"/>
    <w:basedOn w:val="Normal"/>
    <w:next w:val="Normal"/>
    <w:qFormat/>
    <w:rsid w:val="00280F06"/>
    <w:pPr>
      <w:keepNext/>
      <w:outlineLvl w:val="0"/>
    </w:pPr>
    <w:rPr>
      <w:sz w:val="24"/>
      <w:u w:val="single"/>
    </w:rPr>
  </w:style>
  <w:style w:type="paragraph" w:styleId="Heading2">
    <w:name w:val="heading 2"/>
    <w:basedOn w:val="Normal"/>
    <w:next w:val="Normal"/>
    <w:qFormat/>
    <w:rsid w:val="00280F06"/>
    <w:pPr>
      <w:keepNext/>
      <w:outlineLvl w:val="1"/>
    </w:pPr>
    <w:rPr>
      <w:b/>
      <w:sz w:val="24"/>
      <w:u w:val="single"/>
    </w:rPr>
  </w:style>
  <w:style w:type="paragraph" w:styleId="Heading3">
    <w:name w:val="heading 3"/>
    <w:basedOn w:val="Normal"/>
    <w:next w:val="Normal"/>
    <w:link w:val="Heading3Char"/>
    <w:qFormat/>
    <w:rsid w:val="00280F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0F06"/>
    <w:pPr>
      <w:jc w:val="center"/>
    </w:pPr>
    <w:rPr>
      <w:sz w:val="24"/>
    </w:rPr>
  </w:style>
  <w:style w:type="paragraph" w:styleId="BodyText">
    <w:name w:val="Body Text"/>
    <w:basedOn w:val="Normal"/>
    <w:rsid w:val="00280F06"/>
    <w:pPr>
      <w:jc w:val="center"/>
    </w:pPr>
    <w:rPr>
      <w:b/>
      <w:sz w:val="24"/>
    </w:rPr>
  </w:style>
  <w:style w:type="character" w:styleId="Hyperlink">
    <w:name w:val="Hyperlink"/>
    <w:rsid w:val="00280F06"/>
    <w:rPr>
      <w:color w:val="0000FF"/>
      <w:u w:val="single"/>
    </w:rPr>
  </w:style>
  <w:style w:type="paragraph" w:styleId="FootnoteText">
    <w:name w:val="footnote text"/>
    <w:basedOn w:val="Normal"/>
    <w:semiHidden/>
    <w:rsid w:val="00280F06"/>
  </w:style>
  <w:style w:type="paragraph" w:styleId="Footer">
    <w:name w:val="footer"/>
    <w:basedOn w:val="Normal"/>
    <w:rsid w:val="00280F06"/>
    <w:pPr>
      <w:tabs>
        <w:tab w:val="center" w:pos="4320"/>
        <w:tab w:val="right" w:pos="8640"/>
      </w:tabs>
    </w:pPr>
  </w:style>
  <w:style w:type="character" w:styleId="PageNumber">
    <w:name w:val="page number"/>
    <w:basedOn w:val="DefaultParagraphFont"/>
    <w:rsid w:val="00280F06"/>
  </w:style>
  <w:style w:type="paragraph" w:styleId="Header">
    <w:name w:val="header"/>
    <w:basedOn w:val="Normal"/>
    <w:rsid w:val="00280F06"/>
    <w:pPr>
      <w:tabs>
        <w:tab w:val="center" w:pos="4320"/>
        <w:tab w:val="right" w:pos="8640"/>
      </w:tabs>
    </w:pPr>
  </w:style>
  <w:style w:type="paragraph" w:styleId="BodyTextIndent">
    <w:name w:val="Body Text Indent"/>
    <w:basedOn w:val="Normal"/>
    <w:rsid w:val="00280F06"/>
    <w:pPr>
      <w:spacing w:after="120"/>
      <w:ind w:left="360"/>
    </w:pPr>
  </w:style>
  <w:style w:type="paragraph" w:customStyle="1" w:styleId="CharCharCarCharCharChar">
    <w:name w:val="Char Char Car Char Char Char"/>
    <w:basedOn w:val="Normal"/>
    <w:next w:val="Normal"/>
    <w:rsid w:val="00280F06"/>
    <w:pPr>
      <w:spacing w:after="160" w:line="240" w:lineRule="exact"/>
    </w:pPr>
    <w:rPr>
      <w:rFonts w:ascii="Tahoma" w:hAnsi="Tahoma"/>
      <w:sz w:val="24"/>
    </w:rPr>
  </w:style>
  <w:style w:type="paragraph" w:customStyle="1" w:styleId="CharCharCar">
    <w:name w:val="Char Char Car"/>
    <w:basedOn w:val="Normal"/>
    <w:next w:val="Normal"/>
    <w:rsid w:val="00280F06"/>
    <w:pPr>
      <w:spacing w:after="160" w:line="240" w:lineRule="exact"/>
    </w:pPr>
    <w:rPr>
      <w:rFonts w:ascii="Tahoma" w:hAnsi="Tahoma"/>
      <w:sz w:val="24"/>
    </w:rPr>
  </w:style>
  <w:style w:type="character" w:styleId="CommentReference">
    <w:name w:val="annotation reference"/>
    <w:rsid w:val="00280F06"/>
    <w:rPr>
      <w:sz w:val="16"/>
      <w:szCs w:val="16"/>
    </w:rPr>
  </w:style>
  <w:style w:type="paragraph" w:styleId="CommentText">
    <w:name w:val="annotation text"/>
    <w:basedOn w:val="Normal"/>
    <w:link w:val="CommentTextChar"/>
    <w:rsid w:val="00280F06"/>
  </w:style>
  <w:style w:type="character" w:customStyle="1" w:styleId="CommentTextChar">
    <w:name w:val="Comment Text Char"/>
    <w:link w:val="CommentText"/>
    <w:rsid w:val="00280F06"/>
    <w:rPr>
      <w:lang w:val="en-US" w:eastAsia="en-US" w:bidi="ar-SA"/>
    </w:rPr>
  </w:style>
  <w:style w:type="paragraph" w:styleId="CommentSubject">
    <w:name w:val="annotation subject"/>
    <w:basedOn w:val="CommentText"/>
    <w:next w:val="CommentText"/>
    <w:link w:val="CommentSubjectChar"/>
    <w:rsid w:val="00280F06"/>
    <w:rPr>
      <w:b/>
      <w:bCs/>
    </w:rPr>
  </w:style>
  <w:style w:type="character" w:customStyle="1" w:styleId="CommentSubjectChar">
    <w:name w:val="Comment Subject Char"/>
    <w:link w:val="CommentSubject"/>
    <w:rsid w:val="00280F06"/>
    <w:rPr>
      <w:b/>
      <w:bCs/>
      <w:lang w:val="en-US" w:eastAsia="en-US" w:bidi="ar-SA"/>
    </w:rPr>
  </w:style>
  <w:style w:type="paragraph" w:styleId="ListParagraph">
    <w:name w:val="List Paragraph"/>
    <w:basedOn w:val="Normal"/>
    <w:qFormat/>
    <w:rsid w:val="00280F06"/>
    <w:pPr>
      <w:ind w:left="720"/>
    </w:pPr>
  </w:style>
  <w:style w:type="paragraph" w:styleId="NormalWeb">
    <w:name w:val="Normal (Web)"/>
    <w:basedOn w:val="Normal"/>
    <w:uiPriority w:val="99"/>
    <w:unhideWhenUsed/>
    <w:rsid w:val="00280F06"/>
    <w:pPr>
      <w:spacing w:before="100" w:beforeAutospacing="1" w:after="100" w:afterAutospacing="1"/>
    </w:pPr>
    <w:rPr>
      <w:rFonts w:ascii="Times" w:hAnsi="Times"/>
    </w:rPr>
  </w:style>
  <w:style w:type="character" w:styleId="FollowedHyperlink">
    <w:name w:val="FollowedHyperlink"/>
    <w:rsid w:val="00280F06"/>
    <w:rPr>
      <w:color w:val="800080"/>
      <w:u w:val="single"/>
    </w:rPr>
  </w:style>
  <w:style w:type="character" w:customStyle="1" w:styleId="contenido1">
    <w:name w:val="contenido1"/>
    <w:rsid w:val="00990A33"/>
    <w:rPr>
      <w:rFonts w:ascii="Verdana" w:hAnsi="Verdana" w:hint="default"/>
      <w:color w:val="333333"/>
      <w:sz w:val="17"/>
      <w:szCs w:val="17"/>
    </w:rPr>
  </w:style>
  <w:style w:type="character" w:customStyle="1" w:styleId="Heading3Char">
    <w:name w:val="Heading 3 Char"/>
    <w:link w:val="Heading3"/>
    <w:semiHidden/>
    <w:locked/>
    <w:rsid w:val="0041133A"/>
    <w:rPr>
      <w:rFonts w:ascii="Arial" w:hAnsi="Arial" w:cs="Arial"/>
      <w:b/>
      <w:bCs/>
      <w:sz w:val="26"/>
      <w:szCs w:val="26"/>
      <w:lang w:val="en-US" w:eastAsia="en-US" w:bidi="ar-SA"/>
    </w:rPr>
  </w:style>
  <w:style w:type="character" w:customStyle="1" w:styleId="PageNumber1">
    <w:name w:val="Page Number1"/>
    <w:rsid w:val="0035780A"/>
  </w:style>
  <w:style w:type="paragraph" w:customStyle="1" w:styleId="Heading31">
    <w:name w:val="Heading 31"/>
    <w:next w:val="Normal"/>
    <w:rsid w:val="0035780A"/>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outlineLvl w:val="2"/>
    </w:pPr>
    <w:rPr>
      <w:rFonts w:ascii="Arial" w:eastAsia="Arial Unicode MS" w:hAnsi="Arial" w:cs="Arial Unicode MS"/>
      <w:b/>
      <w:bCs/>
      <w:color w:val="000000"/>
      <w:sz w:val="26"/>
      <w:szCs w:val="26"/>
      <w:u w:color="000000"/>
      <w:lang w:val="en-US" w:eastAsia="en-US"/>
    </w:rPr>
  </w:style>
  <w:style w:type="numbering" w:customStyle="1" w:styleId="ImportedStyle2">
    <w:name w:val="Imported Style 2"/>
    <w:rsid w:val="0035780A"/>
    <w:pPr>
      <w:numPr>
        <w:numId w:val="27"/>
      </w:numPr>
    </w:pPr>
  </w:style>
  <w:style w:type="paragraph" w:styleId="BalloonText">
    <w:name w:val="Balloon Text"/>
    <w:basedOn w:val="Normal"/>
    <w:link w:val="BalloonTextChar"/>
    <w:rsid w:val="00E05AE7"/>
    <w:rPr>
      <w:rFonts w:ascii="Segoe UI" w:hAnsi="Segoe UI" w:cs="Segoe UI"/>
      <w:sz w:val="18"/>
      <w:szCs w:val="18"/>
    </w:rPr>
  </w:style>
  <w:style w:type="character" w:customStyle="1" w:styleId="BalloonTextChar">
    <w:name w:val="Balloon Text Char"/>
    <w:link w:val="BalloonText"/>
    <w:rsid w:val="00E05AE7"/>
    <w:rPr>
      <w:rFonts w:ascii="Segoe UI" w:hAnsi="Segoe UI" w:cs="Segoe UI"/>
      <w:sz w:val="18"/>
      <w:szCs w:val="18"/>
    </w:rPr>
  </w:style>
  <w:style w:type="character" w:styleId="FootnoteReference">
    <w:name w:val="footnote reference"/>
    <w:uiPriority w:val="99"/>
    <w:rsid w:val="00360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99395">
      <w:bodyDiv w:val="1"/>
      <w:marLeft w:val="0"/>
      <w:marRight w:val="0"/>
      <w:marTop w:val="0"/>
      <w:marBottom w:val="0"/>
      <w:divBdr>
        <w:top w:val="none" w:sz="0" w:space="0" w:color="auto"/>
        <w:left w:val="none" w:sz="0" w:space="0" w:color="auto"/>
        <w:bottom w:val="none" w:sz="0" w:space="0" w:color="auto"/>
        <w:right w:val="none" w:sz="0" w:space="0" w:color="auto"/>
      </w:divBdr>
      <w:divsChild>
        <w:div w:id="1246306014">
          <w:marLeft w:val="0"/>
          <w:marRight w:val="0"/>
          <w:marTop w:val="0"/>
          <w:marBottom w:val="0"/>
          <w:divBdr>
            <w:top w:val="none" w:sz="0" w:space="0" w:color="auto"/>
            <w:left w:val="none" w:sz="0" w:space="0" w:color="auto"/>
            <w:bottom w:val="none" w:sz="0" w:space="0" w:color="auto"/>
            <w:right w:val="none" w:sz="0" w:space="0" w:color="auto"/>
          </w:divBdr>
          <w:divsChild>
            <w:div w:id="114562275">
              <w:marLeft w:val="0"/>
              <w:marRight w:val="0"/>
              <w:marTop w:val="0"/>
              <w:marBottom w:val="0"/>
              <w:divBdr>
                <w:top w:val="none" w:sz="0" w:space="0" w:color="auto"/>
                <w:left w:val="none" w:sz="0" w:space="0" w:color="auto"/>
                <w:bottom w:val="none" w:sz="0" w:space="0" w:color="auto"/>
                <w:right w:val="none" w:sz="0" w:space="0" w:color="auto"/>
              </w:divBdr>
            </w:div>
            <w:div w:id="426392233">
              <w:marLeft w:val="0"/>
              <w:marRight w:val="0"/>
              <w:marTop w:val="0"/>
              <w:marBottom w:val="0"/>
              <w:divBdr>
                <w:top w:val="none" w:sz="0" w:space="0" w:color="auto"/>
                <w:left w:val="none" w:sz="0" w:space="0" w:color="auto"/>
                <w:bottom w:val="none" w:sz="0" w:space="0" w:color="auto"/>
                <w:right w:val="none" w:sz="0" w:space="0" w:color="auto"/>
              </w:divBdr>
            </w:div>
            <w:div w:id="490340446">
              <w:marLeft w:val="0"/>
              <w:marRight w:val="0"/>
              <w:marTop w:val="0"/>
              <w:marBottom w:val="0"/>
              <w:divBdr>
                <w:top w:val="none" w:sz="0" w:space="0" w:color="auto"/>
                <w:left w:val="none" w:sz="0" w:space="0" w:color="auto"/>
                <w:bottom w:val="none" w:sz="0" w:space="0" w:color="auto"/>
                <w:right w:val="none" w:sz="0" w:space="0" w:color="auto"/>
              </w:divBdr>
            </w:div>
            <w:div w:id="5618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152">
      <w:bodyDiv w:val="1"/>
      <w:marLeft w:val="0"/>
      <w:marRight w:val="0"/>
      <w:marTop w:val="0"/>
      <w:marBottom w:val="0"/>
      <w:divBdr>
        <w:top w:val="none" w:sz="0" w:space="0" w:color="auto"/>
        <w:left w:val="none" w:sz="0" w:space="0" w:color="auto"/>
        <w:bottom w:val="none" w:sz="0" w:space="0" w:color="auto"/>
        <w:right w:val="none" w:sz="0" w:space="0" w:color="auto"/>
      </w:divBdr>
    </w:div>
    <w:div w:id="18880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D7955-425E-4CF3-8297-0BD54C815051}">
  <ds:schemaRefs>
    <ds:schemaRef ds:uri="http://schemas.microsoft.com/office/2006/metadata/properties"/>
    <ds:schemaRef ds:uri="89f4cd83-a2d3-4405-9b45-6aff5241ff8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3FBA5BF-735A-4AF9-90E0-52A0FF20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8E6FC-7FC7-4B2A-A914-A7982BF7F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7228</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CONVENCIÓN INTERAMERICANA CONTRA</vt:lpstr>
      <vt:lpstr>CONVENCIÓN INTERAMERICANA CONTRA</vt:lpstr>
    </vt:vector>
  </TitlesOfParts>
  <Company>OAS</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Michael Bejos</dc:creator>
  <cp:keywords/>
  <dc:description/>
  <cp:lastModifiedBy>Lobaton, Ursula</cp:lastModifiedBy>
  <cp:revision>3</cp:revision>
  <cp:lastPrinted>2016-05-17T15:56:00Z</cp:lastPrinted>
  <dcterms:created xsi:type="dcterms:W3CDTF">2021-01-19T14:50:00Z</dcterms:created>
  <dcterms:modified xsi:type="dcterms:W3CDTF">2021-01-19T14:51:00Z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