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CF95" w14:textId="77777777" w:rsidR="006E0413" w:rsidRPr="006C4EE3" w:rsidRDefault="006E0413" w:rsidP="006E0413">
      <w:pPr>
        <w:tabs>
          <w:tab w:val="left" w:pos="6840"/>
          <w:tab w:val="left" w:pos="7020"/>
        </w:tabs>
        <w:suppressAutoHyphens/>
        <w:ind w:right="-720"/>
        <w:rPr>
          <w:spacing w:val="-2"/>
        </w:rPr>
      </w:pPr>
      <w:r w:rsidRPr="006C4EE3">
        <w:rPr>
          <w:caps/>
        </w:rPr>
        <w:t>CONVENCIÓN INTERAMERICANA CONTRA</w:t>
      </w:r>
      <w:r w:rsidRPr="006C4EE3">
        <w:rPr>
          <w:spacing w:val="-2"/>
        </w:rPr>
        <w:tab/>
      </w:r>
      <w:r w:rsidRPr="006C4EE3">
        <w:rPr>
          <w:spacing w:val="-2"/>
        </w:rPr>
        <w:tab/>
        <w:t>OEA/Ser.L/</w:t>
      </w:r>
      <w:r w:rsidRPr="006C4EE3">
        <w:t xml:space="preserve"> </w:t>
      </w:r>
      <w:r>
        <w:rPr>
          <w:spacing w:val="-2"/>
        </w:rPr>
        <w:t>XXII.2.20</w:t>
      </w:r>
    </w:p>
    <w:p w14:paraId="44B86C5B" w14:textId="3377C555" w:rsidR="006E0413" w:rsidRPr="006C4EE3" w:rsidRDefault="006E0413" w:rsidP="006E0413">
      <w:pPr>
        <w:tabs>
          <w:tab w:val="left" w:pos="6840"/>
          <w:tab w:val="left" w:pos="7020"/>
        </w:tabs>
        <w:suppressAutoHyphens/>
        <w:ind w:right="-929"/>
      </w:pPr>
      <w:r w:rsidRPr="006C4EE3">
        <w:rPr>
          <w:caps/>
        </w:rPr>
        <w:t>LA FABRICACIÓN Y EL TRÁFICO ILÍCITOS</w:t>
      </w:r>
      <w:r w:rsidRPr="006C4EE3">
        <w:rPr>
          <w:caps/>
        </w:rPr>
        <w:tab/>
      </w:r>
      <w:r w:rsidRPr="006C4EE3">
        <w:rPr>
          <w:caps/>
        </w:rPr>
        <w:tab/>
      </w:r>
      <w:r w:rsidRPr="006C4EE3">
        <w:rPr>
          <w:spacing w:val="-2"/>
        </w:rPr>
        <w:t>CIFTA/CC-X</w:t>
      </w:r>
      <w:r>
        <w:rPr>
          <w:spacing w:val="-2"/>
        </w:rPr>
        <w:t>X</w:t>
      </w:r>
      <w:r w:rsidR="00FD2064">
        <w:rPr>
          <w:spacing w:val="-2"/>
        </w:rPr>
        <w:t>/</w:t>
      </w:r>
      <w:r w:rsidR="006C1AA8">
        <w:rPr>
          <w:spacing w:val="-2"/>
        </w:rPr>
        <w:t>doc</w:t>
      </w:r>
      <w:r w:rsidRPr="006C4EE3">
        <w:rPr>
          <w:spacing w:val="-2"/>
        </w:rPr>
        <w:t>.</w:t>
      </w:r>
      <w:r w:rsidR="006C1AA8">
        <w:rPr>
          <w:spacing w:val="-2"/>
        </w:rPr>
        <w:t>13</w:t>
      </w:r>
      <w:r w:rsidRPr="006C4EE3">
        <w:rPr>
          <w:spacing w:val="-2"/>
        </w:rPr>
        <w:t>/</w:t>
      </w:r>
      <w:r>
        <w:rPr>
          <w:spacing w:val="-2"/>
        </w:rPr>
        <w:t>2</w:t>
      </w:r>
      <w:r w:rsidR="00864040">
        <w:rPr>
          <w:spacing w:val="-2"/>
        </w:rPr>
        <w:t>1</w:t>
      </w:r>
      <w:r w:rsidR="00BC2594" w:rsidRPr="00BC2594">
        <w:rPr>
          <w:spacing w:val="-2"/>
          <w:vertAlign w:val="superscript"/>
        </w:rPr>
        <w:t>1</w:t>
      </w:r>
      <w:r w:rsidR="004C64D9">
        <w:rPr>
          <w:spacing w:val="-2"/>
          <w:vertAlign w:val="superscript"/>
        </w:rPr>
        <w:t>/</w:t>
      </w:r>
    </w:p>
    <w:p w14:paraId="7221C82E" w14:textId="4B7B3BF1" w:rsidR="006E0413" w:rsidRPr="006C4EE3" w:rsidRDefault="006E0413" w:rsidP="006E0413">
      <w:pPr>
        <w:tabs>
          <w:tab w:val="left" w:pos="6840"/>
          <w:tab w:val="left" w:pos="7020"/>
        </w:tabs>
        <w:suppressAutoHyphens/>
        <w:ind w:right="-720"/>
      </w:pPr>
      <w:r w:rsidRPr="006C4EE3">
        <w:rPr>
          <w:caps/>
        </w:rPr>
        <w:t>DE ARMAS DE FUEGO, municiones, explosivos</w:t>
      </w:r>
      <w:r w:rsidRPr="006C4EE3">
        <w:rPr>
          <w:spacing w:val="-2"/>
        </w:rPr>
        <w:tab/>
      </w:r>
      <w:r w:rsidRPr="006C4EE3">
        <w:rPr>
          <w:spacing w:val="-2"/>
        </w:rPr>
        <w:tab/>
      </w:r>
      <w:r w:rsidR="00864040">
        <w:rPr>
          <w:spacing w:val="-2"/>
        </w:rPr>
        <w:t>15</w:t>
      </w:r>
      <w:r>
        <w:rPr>
          <w:spacing w:val="-2"/>
        </w:rPr>
        <w:t xml:space="preserve"> </w:t>
      </w:r>
      <w:r w:rsidR="00864040">
        <w:rPr>
          <w:spacing w:val="-2"/>
        </w:rPr>
        <w:t>enero</w:t>
      </w:r>
      <w:r>
        <w:rPr>
          <w:spacing w:val="-2"/>
        </w:rPr>
        <w:t xml:space="preserve"> 202</w:t>
      </w:r>
      <w:r w:rsidR="00864040">
        <w:rPr>
          <w:spacing w:val="-2"/>
        </w:rPr>
        <w:t>1</w:t>
      </w:r>
    </w:p>
    <w:p w14:paraId="150986D9" w14:textId="1CDE6F1E" w:rsidR="006E0413" w:rsidRPr="006C4EE3" w:rsidRDefault="006E0413" w:rsidP="006E0413">
      <w:pPr>
        <w:tabs>
          <w:tab w:val="left" w:pos="6840"/>
          <w:tab w:val="left" w:pos="7020"/>
        </w:tabs>
        <w:ind w:right="-720"/>
      </w:pPr>
      <w:r w:rsidRPr="006C4EE3">
        <w:rPr>
          <w:caps/>
        </w:rPr>
        <w:t>y otros MATERIALES RELACIONADOS (CIFTA)</w:t>
      </w:r>
      <w:r w:rsidRPr="006C4EE3">
        <w:rPr>
          <w:caps/>
        </w:rPr>
        <w:tab/>
      </w:r>
      <w:r w:rsidRPr="006C4EE3">
        <w:rPr>
          <w:caps/>
        </w:rPr>
        <w:tab/>
      </w:r>
      <w:r w:rsidRPr="006C4EE3">
        <w:t xml:space="preserve">Original: </w:t>
      </w:r>
      <w:r w:rsidR="0007064A">
        <w:t>español</w:t>
      </w:r>
    </w:p>
    <w:p w14:paraId="2986E94E" w14:textId="77777777" w:rsidR="006E0413" w:rsidRPr="006C4EE3" w:rsidRDefault="006E0413" w:rsidP="006E0413">
      <w:pPr>
        <w:tabs>
          <w:tab w:val="left" w:pos="6840"/>
          <w:tab w:val="left" w:pos="7020"/>
        </w:tabs>
        <w:ind w:right="-720"/>
      </w:pPr>
      <w:r w:rsidRPr="006C4EE3">
        <w:rPr>
          <w:u w:val="single"/>
        </w:rPr>
        <w:t>Comité Consultivo</w:t>
      </w:r>
    </w:p>
    <w:p w14:paraId="37B13133" w14:textId="77777777" w:rsidR="006E0413" w:rsidRPr="006C4EE3" w:rsidRDefault="006E0413" w:rsidP="006E0413">
      <w:pPr>
        <w:tabs>
          <w:tab w:val="left" w:pos="6840"/>
        </w:tabs>
        <w:suppressAutoHyphens/>
        <w:ind w:right="-720"/>
        <w:rPr>
          <w:spacing w:val="-2"/>
        </w:rPr>
      </w:pPr>
      <w:r>
        <w:rPr>
          <w:u w:val="single"/>
        </w:rPr>
        <w:t xml:space="preserve">Vigésima </w:t>
      </w:r>
      <w:r w:rsidRPr="006C4EE3">
        <w:rPr>
          <w:u w:val="single"/>
        </w:rPr>
        <w:t>Reunión Ordinaria</w:t>
      </w:r>
    </w:p>
    <w:p w14:paraId="23B93F88" w14:textId="77777777" w:rsidR="006E0413" w:rsidRPr="006C4EE3" w:rsidRDefault="006E0413" w:rsidP="006E0413">
      <w:pPr>
        <w:tabs>
          <w:tab w:val="left" w:pos="6840"/>
        </w:tabs>
        <w:suppressAutoHyphens/>
        <w:ind w:right="-720"/>
      </w:pPr>
      <w:r>
        <w:rPr>
          <w:spacing w:val="-2"/>
        </w:rPr>
        <w:t xml:space="preserve">17 de diciembre de </w:t>
      </w:r>
      <w:r w:rsidRPr="006C4EE3">
        <w:rPr>
          <w:spacing w:val="-2"/>
        </w:rPr>
        <w:t>20</w:t>
      </w:r>
      <w:r>
        <w:rPr>
          <w:spacing w:val="-2"/>
        </w:rPr>
        <w:t>20</w:t>
      </w:r>
    </w:p>
    <w:p w14:paraId="14C6FB42" w14:textId="77777777" w:rsidR="006E0413" w:rsidRPr="006C4EE3" w:rsidRDefault="006E0413" w:rsidP="006E0413">
      <w:pPr>
        <w:tabs>
          <w:tab w:val="left" w:pos="6840"/>
        </w:tabs>
        <w:suppressAutoHyphens/>
        <w:ind w:right="-720"/>
      </w:pPr>
      <w:r w:rsidRPr="006C4EE3">
        <w:rPr>
          <w:spacing w:val="-2"/>
        </w:rPr>
        <w:t>Washington, D.C.</w:t>
      </w:r>
    </w:p>
    <w:p w14:paraId="184E5386" w14:textId="77777777" w:rsidR="00BE4A43" w:rsidRDefault="00BE4A43" w:rsidP="009608EE">
      <w:pPr>
        <w:pStyle w:val="BodyText"/>
        <w:jc w:val="left"/>
        <w:rPr>
          <w:b w:val="0"/>
          <w:bCs w:val="0"/>
          <w:sz w:val="22"/>
          <w:szCs w:val="22"/>
          <w:lang w:val="es-ES_tradnl"/>
        </w:rPr>
      </w:pPr>
    </w:p>
    <w:p w14:paraId="0FE6F35B" w14:textId="77777777" w:rsidR="00BE4A43" w:rsidRDefault="00BE4A43" w:rsidP="009608EE">
      <w:pPr>
        <w:pStyle w:val="BodyText"/>
        <w:jc w:val="left"/>
        <w:rPr>
          <w:b w:val="0"/>
          <w:bCs w:val="0"/>
          <w:sz w:val="22"/>
          <w:szCs w:val="22"/>
          <w:lang w:val="es-ES_tradnl"/>
        </w:rPr>
      </w:pPr>
    </w:p>
    <w:p w14:paraId="2A129BF6" w14:textId="77777777" w:rsidR="00BE4A43" w:rsidRDefault="00BE4A43" w:rsidP="009608EE">
      <w:pPr>
        <w:keepLines/>
        <w:jc w:val="center"/>
      </w:pPr>
    </w:p>
    <w:p w14:paraId="26F60529" w14:textId="77777777" w:rsidR="00BE4A43" w:rsidRDefault="00BE4A43" w:rsidP="009608EE">
      <w:pPr>
        <w:keepLines/>
        <w:jc w:val="center"/>
      </w:pPr>
    </w:p>
    <w:p w14:paraId="4730B2BC" w14:textId="77777777" w:rsidR="00BE4A43" w:rsidRDefault="00BE4A43" w:rsidP="009608EE">
      <w:pPr>
        <w:keepLines/>
        <w:jc w:val="center"/>
      </w:pPr>
    </w:p>
    <w:p w14:paraId="3245C305" w14:textId="77777777" w:rsidR="00BE4A43" w:rsidRDefault="00BE4A43" w:rsidP="009608EE">
      <w:pPr>
        <w:keepLines/>
        <w:jc w:val="center"/>
      </w:pPr>
    </w:p>
    <w:p w14:paraId="39575FCC" w14:textId="77777777" w:rsidR="00BE4A43" w:rsidRDefault="00BE4A43" w:rsidP="009608EE">
      <w:pPr>
        <w:keepLines/>
        <w:jc w:val="center"/>
      </w:pPr>
    </w:p>
    <w:p w14:paraId="6802EBCD" w14:textId="77777777" w:rsidR="00BE4A43" w:rsidRDefault="00BE4A43" w:rsidP="009608EE">
      <w:pPr>
        <w:keepLines/>
        <w:jc w:val="center"/>
      </w:pPr>
    </w:p>
    <w:p w14:paraId="531CF761" w14:textId="77777777" w:rsidR="00BE4A43" w:rsidRDefault="00BE4A43" w:rsidP="009608EE">
      <w:pPr>
        <w:keepLines/>
        <w:jc w:val="center"/>
      </w:pPr>
    </w:p>
    <w:p w14:paraId="194B3143" w14:textId="77777777" w:rsidR="00BE4A43" w:rsidRDefault="00BE4A43" w:rsidP="009608EE">
      <w:pPr>
        <w:keepLines/>
        <w:jc w:val="center"/>
      </w:pPr>
    </w:p>
    <w:p w14:paraId="74AD95D4" w14:textId="77777777" w:rsidR="00BE4A43" w:rsidRDefault="00BE4A43" w:rsidP="009608EE">
      <w:pPr>
        <w:keepLines/>
        <w:jc w:val="center"/>
      </w:pPr>
    </w:p>
    <w:p w14:paraId="4259D296" w14:textId="77777777" w:rsidR="00BE4A43" w:rsidRDefault="00BE4A43" w:rsidP="009608EE">
      <w:pPr>
        <w:keepLines/>
        <w:jc w:val="center"/>
      </w:pPr>
    </w:p>
    <w:p w14:paraId="0AF0A5FA" w14:textId="77777777" w:rsidR="00BE4A43" w:rsidRDefault="00BE4A43" w:rsidP="009608EE">
      <w:pPr>
        <w:keepLines/>
        <w:jc w:val="center"/>
      </w:pPr>
    </w:p>
    <w:p w14:paraId="4D1C275C" w14:textId="77777777" w:rsidR="00BE4A43" w:rsidRDefault="00BE4A43" w:rsidP="009608E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caps/>
        </w:rPr>
      </w:pPr>
    </w:p>
    <w:p w14:paraId="4C1ECF76" w14:textId="77777777" w:rsidR="00BE4A43" w:rsidRDefault="009C6E6F" w:rsidP="009608E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caps/>
        </w:rPr>
      </w:pPr>
      <w:r w:rsidRPr="00B66B8D">
        <w:t>INFORME SOBRE LAS ACCIONES REALIZADAS POR LA SECRETARIA TECNICA CON RESPECTO A LA IMPLEMENTACION DE LA CONVENCION INTERAMERICANA CONTRA LA FABRICACION Y EL TRAFICO ILICITOS DE ARMAS DE FUEGO, MUNICIONES, EXPLOSIVOS Y OTROS MATERIALES RELACIONADOS (CIFTA)</w:t>
      </w:r>
    </w:p>
    <w:p w14:paraId="5509AFF1" w14:textId="77777777" w:rsidR="00BE4A43" w:rsidRDefault="009C6E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</w:pPr>
      <w:r>
        <w:rPr>
          <w:rFonts w:ascii="Arial Unicode MS" w:hAnsi="Arial Unicode MS"/>
          <w:caps/>
        </w:rPr>
        <w:br w:type="page"/>
      </w:r>
    </w:p>
    <w:p w14:paraId="6FAF94BA" w14:textId="77777777" w:rsidR="009608EE" w:rsidRDefault="009C6E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</w:pPr>
      <w:r w:rsidRPr="00B66B8D">
        <w:rPr>
          <w:b/>
          <w:bCs/>
          <w:caps/>
        </w:rPr>
        <w:lastRenderedPageBreak/>
        <w:t>A</w:t>
      </w:r>
      <w:r w:rsidRPr="00B66B8D">
        <w:t xml:space="preserve">CCIONES REALIZADAS POR LA SECRETARIA TECNICA CON RESPECTO </w:t>
      </w:r>
    </w:p>
    <w:p w14:paraId="3DE99E27" w14:textId="77777777" w:rsidR="00BE4A43" w:rsidRDefault="009C6E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caps/>
        </w:rPr>
      </w:pPr>
      <w:r w:rsidRPr="00B66B8D">
        <w:t>A LA IMPLEMENTACION DE LA CIFTA</w:t>
      </w:r>
    </w:p>
    <w:p w14:paraId="46651E4D" w14:textId="77777777" w:rsidR="00BE4A43" w:rsidRDefault="00BE4A4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</w:pPr>
    </w:p>
    <w:p w14:paraId="30484B89" w14:textId="77777777" w:rsidR="009608EE" w:rsidRDefault="009C6E6F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>La Secretaría Técnica de la Convención Interamericana contra la Fabricación y el Tráfico Ilícitos de Armas de Fuego, Municiones, Explosivos y otros Materiales Relacionados (CIFTA)</w:t>
      </w:r>
      <w:r w:rsidR="005F48A2">
        <w:t>, integrada por el Departamento de Seguridad Pública y el Departamento contra la Delincuencia Organizada Transnacional</w:t>
      </w:r>
      <w:r w:rsidR="006B543D">
        <w:t xml:space="preserve"> de la Secretaría de Seguridad Multidimensional de la Organización de los Estados Americanos</w:t>
      </w:r>
      <w:r w:rsidR="005F48A2">
        <w:t xml:space="preserve">, </w:t>
      </w:r>
      <w:r>
        <w:t xml:space="preserve">tiene a bien presentar </w:t>
      </w:r>
      <w:r w:rsidRPr="00B66B8D">
        <w:t>este</w:t>
      </w:r>
      <w:r>
        <w:t xml:space="preserve"> informe sobre las a</w:t>
      </w:r>
      <w:r w:rsidR="009608EE">
        <w:t>ctividades realizadas en el 2020</w:t>
      </w:r>
      <w:r>
        <w:t>, en relación con el Curso de Acción vigente para el funcionamiento e implementación de la CIFTA.</w:t>
      </w:r>
    </w:p>
    <w:p w14:paraId="60869F42" w14:textId="77777777" w:rsidR="006B543D" w:rsidRDefault="006B543D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 xml:space="preserve">Conscientes de la necesidad de seguir apoyando a los Estados Parte en el fortalecimiento de sus capacidades para cumplir con el Curso de Acción y las obligaciones de la CIFTA, la Secretaría Técnica ha diseñado e implementado estrategias para: (i) Mejorar las capacidades operativas de los Estados Parte en temas de marcaje, rastreo, destrucción, y almacenaje de armas pequeñas y ligeras, municiones, y materiales relacionados; (ii) </w:t>
      </w:r>
      <w:r w:rsidR="00C07BF2">
        <w:t xml:space="preserve">Asistir a los países en la revisión legislativa de sus marcos normativos de armas de fuego, considerando las obligaciones y estándares de la CIFTA; (iii) Aumentar las capacidades de los países en investigar los delitos vinculados al tráfico y la proliferación ilícitas de armas de fuego. </w:t>
      </w:r>
    </w:p>
    <w:p w14:paraId="279894AC" w14:textId="77777777" w:rsidR="00C07BF2" w:rsidRDefault="00C07BF2" w:rsidP="00C07BF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>Debido a la pandemia del COVID-19 y la gravedad de la crisis sanitaria que afectó a los países de la región, la Secretaría Técnica ha enfrentado una serie de desafíos logísticos y operativos para llevar a cabo esas actividades en el año de 2020. Las medidas restrictivas adoptadas por los países, incluyendo las limitaciones en los viajes, cierres de frontera,</w:t>
      </w:r>
      <w:r w:rsidR="00C608AD">
        <w:t xml:space="preserve"> y lockdown</w:t>
      </w:r>
      <w:r>
        <w:t xml:space="preserve">, han dificultado la realización de actividades operáticas en el terreno. Sin embargo, a través de la adopción de </w:t>
      </w:r>
      <w:r w:rsidRPr="00C07BF2">
        <w:t xml:space="preserve">estrategias creativas en nuestros </w:t>
      </w:r>
      <w:r>
        <w:t xml:space="preserve">programas, fue posible </w:t>
      </w:r>
      <w:r w:rsidRPr="00C07BF2">
        <w:t>la interrupción completa de actividades</w:t>
      </w:r>
      <w:r>
        <w:t xml:space="preserve"> y realizar valiosos av</w:t>
      </w:r>
      <w:r w:rsidR="001A342B">
        <w:t>ances, como detallaremos abajo, en los siguientes aspectos:</w:t>
      </w:r>
    </w:p>
    <w:p w14:paraId="238C6154" w14:textId="77777777" w:rsidR="001A342B" w:rsidRPr="00E94DEA" w:rsidRDefault="001A342B" w:rsidP="001A342B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rPr>
          <w:b/>
        </w:rPr>
      </w:pPr>
      <w:r w:rsidRPr="006B543D">
        <w:rPr>
          <w:b/>
        </w:rPr>
        <w:t xml:space="preserve">Proyecto </w:t>
      </w:r>
      <w:r>
        <w:rPr>
          <w:b/>
        </w:rPr>
        <w:t>“</w:t>
      </w:r>
      <w:r w:rsidRPr="006B543D">
        <w:rPr>
          <w:b/>
        </w:rPr>
        <w:t xml:space="preserve">Contrarrestando la Proliferación y el Tráfico Ilícitos de Armas </w:t>
      </w:r>
      <w:r w:rsidRPr="00E94DEA">
        <w:rPr>
          <w:b/>
        </w:rPr>
        <w:t>Pequeñas y Ligeras y sus Municiones, y su Impacto en América Latina y el Caribe”</w:t>
      </w:r>
    </w:p>
    <w:p w14:paraId="5B7E9AFF" w14:textId="77777777" w:rsidR="00C608AD" w:rsidRPr="00E94DEA" w:rsidRDefault="00533614" w:rsidP="001A342B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rPr>
          <w:b/>
        </w:rPr>
      </w:pPr>
      <w:r w:rsidRPr="00E94DEA">
        <w:rPr>
          <w:b/>
        </w:rPr>
        <w:t>Plan de Homicidios</w:t>
      </w:r>
    </w:p>
    <w:p w14:paraId="230D0D6B" w14:textId="77777777" w:rsidR="00533614" w:rsidRPr="00533614" w:rsidRDefault="00533614" w:rsidP="001A342B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rPr>
          <w:b/>
        </w:rPr>
      </w:pPr>
      <w:r>
        <w:rPr>
          <w:b/>
        </w:rPr>
        <w:t>Estudio Hemisférico sobre el tráfico ilícito de armas de fuego pequeñas y ligeras, y municiones</w:t>
      </w:r>
    </w:p>
    <w:p w14:paraId="46C8811C" w14:textId="77777777" w:rsidR="001A342B" w:rsidRPr="00A25B97" w:rsidRDefault="00C608AD" w:rsidP="001A342B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</w:pPr>
      <w:r>
        <w:rPr>
          <w:b/>
        </w:rPr>
        <w:t>Cooperación con otras organizaciones</w:t>
      </w:r>
    </w:p>
    <w:p w14:paraId="150DF4B4" w14:textId="77777777" w:rsidR="00A25B97" w:rsidRDefault="00A25B97" w:rsidP="00A25B97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left="1440"/>
      </w:pPr>
    </w:p>
    <w:p w14:paraId="53715596" w14:textId="77777777" w:rsidR="006B543D" w:rsidRPr="006B543D" w:rsidRDefault="006B543D" w:rsidP="006B543D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rPr>
          <w:b/>
        </w:rPr>
      </w:pPr>
      <w:r w:rsidRPr="006B543D">
        <w:rPr>
          <w:b/>
        </w:rPr>
        <w:t xml:space="preserve">Proyecto </w:t>
      </w:r>
      <w:r>
        <w:rPr>
          <w:b/>
        </w:rPr>
        <w:t>“</w:t>
      </w:r>
      <w:r w:rsidRPr="006B543D">
        <w:rPr>
          <w:b/>
        </w:rPr>
        <w:t>Contrarrestando la Proliferación y el Tráfico Ilícitos de Armas Pequeñas y Ligeras y sus Municiones, y su Impacto en América Latina y el Caribe</w:t>
      </w:r>
      <w:r>
        <w:rPr>
          <w:b/>
        </w:rPr>
        <w:t>”</w:t>
      </w:r>
    </w:p>
    <w:p w14:paraId="3DED3E2C" w14:textId="77777777" w:rsidR="009608EE" w:rsidRDefault="009608EE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lastRenderedPageBreak/>
        <w:t>En el año del 2019, el Departamento de Seguridad Pública, a través del apoyo financiero de la Unión Europea, empezó la implementación del proyecto “Contrarrestando la Proliferación y el Tráfico Ilícitos de Armas Pequeñas y Ligeras y sus Municiones, y su Impacto en América Latina y el Caribe”, que terminará en el 2021. Ese programa integral en materia de control de armas considera las lecciones aprendidas de las iniciativas anteriores y se aprovecha de los exitosos resultados del Programa de Asistencia para el Control de Armas y Municiones, terminado en el 2014, para seguir avanzando en la implementación de la CIF</w:t>
      </w:r>
      <w:r w:rsidR="005D0A34">
        <w:t xml:space="preserve">TA. </w:t>
      </w:r>
    </w:p>
    <w:p w14:paraId="5177004A" w14:textId="77777777" w:rsidR="009608EE" w:rsidRDefault="009608EE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>El proyecto está in</w:t>
      </w:r>
      <w:r w:rsidR="005D0A34">
        <w:t xml:space="preserve">tegrado por cinco componentes: </w:t>
      </w:r>
    </w:p>
    <w:p w14:paraId="5D52FCB5" w14:textId="77777777" w:rsidR="009608EE" w:rsidRDefault="009608EE" w:rsidP="005D0A34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contextualSpacing w:val="0"/>
      </w:pPr>
      <w:r>
        <w:t>Seguridad Física y Gestión de Arsenales</w:t>
      </w:r>
    </w:p>
    <w:p w14:paraId="53B5A630" w14:textId="77777777" w:rsidR="009608EE" w:rsidRDefault="009608EE" w:rsidP="005D0A34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contextualSpacing w:val="0"/>
      </w:pPr>
      <w:r>
        <w:t xml:space="preserve">Marcaje y Rastreo de Armas Pequeñas y Ligeras </w:t>
      </w:r>
    </w:p>
    <w:p w14:paraId="7AB551A1" w14:textId="77777777" w:rsidR="009608EE" w:rsidRDefault="009608EE" w:rsidP="005D0A34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contextualSpacing w:val="0"/>
      </w:pPr>
      <w:r>
        <w:t>Destrucción de Armas Pequeñas y Ligeras y Municiones</w:t>
      </w:r>
    </w:p>
    <w:p w14:paraId="190997A9" w14:textId="77777777" w:rsidR="009608EE" w:rsidRDefault="009608EE" w:rsidP="005D0A34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contextualSpacing w:val="0"/>
      </w:pPr>
      <w:r>
        <w:t xml:space="preserve">Mecanismos de Transferencia </w:t>
      </w:r>
      <w:r w:rsidR="002353EA">
        <w:t xml:space="preserve">y Cooperación </w:t>
      </w:r>
    </w:p>
    <w:p w14:paraId="200BDFC6" w14:textId="77777777" w:rsidR="00BE4A43" w:rsidRDefault="009608EE" w:rsidP="005D0A34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40" w:line="360" w:lineRule="auto"/>
        <w:contextualSpacing w:val="0"/>
      </w:pPr>
      <w:r>
        <w:t>Prevención de la Violencia Armada</w:t>
      </w:r>
    </w:p>
    <w:p w14:paraId="02947D4F" w14:textId="77777777" w:rsidR="005D0A34" w:rsidRDefault="005D0A34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 xml:space="preserve">A seguir, </w:t>
      </w:r>
      <w:r w:rsidR="00E94DEA">
        <w:t xml:space="preserve">tenemos la satisfacción de presentar </w:t>
      </w:r>
      <w:r w:rsidR="009608EE">
        <w:t xml:space="preserve">los principales resultados alcanzados hasta la fecha para cada uno de esos componentes, los cuales apoyan de manera concreta y significativa a los países de la región </w:t>
      </w:r>
      <w:r w:rsidR="00A619BC">
        <w:t xml:space="preserve">en cumplir con los </w:t>
      </w:r>
      <w:r w:rsidR="009608EE">
        <w:t>contraídos en el marco de la Convención</w:t>
      </w:r>
      <w:r w:rsidR="00A619BC">
        <w:t xml:space="preserve">. </w:t>
      </w:r>
    </w:p>
    <w:p w14:paraId="1597F307" w14:textId="77777777" w:rsidR="008E6EC8" w:rsidRPr="008E6EC8" w:rsidRDefault="00A619BC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firstLine="720"/>
        <w:rPr>
          <w:i/>
          <w:iCs/>
        </w:rPr>
      </w:pPr>
      <w:r>
        <w:rPr>
          <w:i/>
          <w:iCs/>
        </w:rPr>
        <w:t>Seguridad Física y Gestión de Arsenales</w:t>
      </w:r>
      <w:r w:rsidR="008E6EC8">
        <w:rPr>
          <w:i/>
          <w:iCs/>
        </w:rPr>
        <w:t xml:space="preserve"> (SFGA)</w:t>
      </w:r>
    </w:p>
    <w:p w14:paraId="01531749" w14:textId="77777777" w:rsidR="008E6EC8" w:rsidRDefault="009C6E6F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>E</w:t>
      </w:r>
      <w:r w:rsidR="008E6EC8">
        <w:t>se componente tiene el objetivo de fortalecer la capacidad de los países en mantener arsenales nacionales de acuerdo a los estándares internacionales a fin de evitar desvíos y accidentes, como la terrible explosión que hemos visto en Líbano ese año. A ese fin, hemos realizado dos talleres regionales sobre buenas prácticas en</w:t>
      </w:r>
      <w:r w:rsidR="0077163E">
        <w:t xml:space="preserve"> seguridad f</w:t>
      </w:r>
      <w:r w:rsidR="008E6EC8">
        <w:t>ísica y gestión de arsenales: uno en Guatemala en Diciembre de 2019, enfocado en los países de Latinoamérica, y una edición virtual en Noviembre de 2020, que priorizó los países del Caribe</w:t>
      </w:r>
      <w:r w:rsidR="000B5E0D">
        <w:t>, y fue implementada en cooperación con CARICOM-IMPACS</w:t>
      </w:r>
      <w:r w:rsidR="008E6EC8">
        <w:t xml:space="preserve">. </w:t>
      </w:r>
    </w:p>
    <w:p w14:paraId="6BB0F76D" w14:textId="77777777" w:rsidR="008E6EC8" w:rsidRDefault="008E6EC8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 xml:space="preserve">Los seminarios fueron impartidos por expertos de </w:t>
      </w:r>
      <w:r w:rsidR="00DB75F5">
        <w:t>6</w:t>
      </w:r>
      <w:r>
        <w:t xml:space="preserve"> organizaciones, con un vasto conocimiento en el área</w:t>
      </w:r>
      <w:r w:rsidR="00DB75F5">
        <w:t>, que</w:t>
      </w:r>
      <w:r>
        <w:t xml:space="preserve"> abordaron diferentes temas y estándares internacionales</w:t>
      </w:r>
      <w:r w:rsidR="00DB75F5">
        <w:t xml:space="preserve"> en la materia.</w:t>
      </w:r>
      <w:r>
        <w:t xml:space="preserve"> </w:t>
      </w:r>
      <w:r w:rsidR="006A4CA8">
        <w:t xml:space="preserve">Los oficiales de los países </w:t>
      </w:r>
      <w:r w:rsidR="008C0373">
        <w:t>participantes</w:t>
      </w:r>
      <w:r w:rsidR="006A4CA8">
        <w:t xml:space="preserve"> tuvieron la oportunidad de presentar el estado de situación nacional, e intercambiar información sobre los desafíos que enfrentan. </w:t>
      </w:r>
      <w:r>
        <w:t xml:space="preserve">En </w:t>
      </w:r>
      <w:r w:rsidR="00340AEC">
        <w:t>el total, hemos capacitado a 125</w:t>
      </w:r>
      <w:r>
        <w:t xml:space="preserve"> funcionarios de 18 países. </w:t>
      </w:r>
    </w:p>
    <w:p w14:paraId="7F10FB5E" w14:textId="77777777" w:rsidR="008E6EC8" w:rsidRPr="005D0A34" w:rsidRDefault="008E6EC8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 xml:space="preserve">Además de los talleres regionales, </w:t>
      </w:r>
      <w:r>
        <w:rPr>
          <w:rFonts w:eastAsia="Times New Roman"/>
          <w:lang w:val="es-MX"/>
        </w:rPr>
        <w:t>55</w:t>
      </w:r>
      <w:r w:rsidRPr="00635B0F">
        <w:rPr>
          <w:rFonts w:eastAsia="Times New Roman"/>
          <w:lang w:val="es-MX"/>
        </w:rPr>
        <w:t xml:space="preserve"> funcionarios de Perú</w:t>
      </w:r>
      <w:r>
        <w:rPr>
          <w:rFonts w:eastAsia="Times New Roman"/>
          <w:lang w:val="es-MX"/>
        </w:rPr>
        <w:t xml:space="preserve">, </w:t>
      </w:r>
      <w:r w:rsidRPr="00635B0F">
        <w:rPr>
          <w:rFonts w:eastAsia="Times New Roman"/>
          <w:lang w:val="es-MX"/>
        </w:rPr>
        <w:t>Ecuador</w:t>
      </w:r>
      <w:r>
        <w:rPr>
          <w:rFonts w:eastAsia="Times New Roman"/>
          <w:lang w:val="es-MX"/>
        </w:rPr>
        <w:t xml:space="preserve"> y El Salvador recibieron</w:t>
      </w:r>
      <w:r w:rsidRPr="00635B0F">
        <w:rPr>
          <w:rFonts w:eastAsia="Times New Roman"/>
          <w:lang w:val="es-MX"/>
        </w:rPr>
        <w:t xml:space="preserve"> capacita</w:t>
      </w:r>
      <w:r>
        <w:rPr>
          <w:rFonts w:eastAsia="Times New Roman"/>
          <w:lang w:val="es-MX"/>
        </w:rPr>
        <w:t>ción</w:t>
      </w:r>
      <w:r w:rsidRPr="00635B0F">
        <w:rPr>
          <w:rFonts w:eastAsia="Times New Roman"/>
          <w:lang w:val="es-MX"/>
        </w:rPr>
        <w:t xml:space="preserve"> en áreas</w:t>
      </w:r>
      <w:r>
        <w:rPr>
          <w:rFonts w:eastAsia="Times New Roman"/>
          <w:lang w:val="es-MX"/>
        </w:rPr>
        <w:t xml:space="preserve"> específicas</w:t>
      </w:r>
      <w:r w:rsidRPr="00635B0F">
        <w:rPr>
          <w:rFonts w:eastAsia="Times New Roman"/>
          <w:lang w:val="es-MX"/>
        </w:rPr>
        <w:t xml:space="preserve"> de Seguridad Física y Gestión de Arsenales</w:t>
      </w:r>
      <w:r>
        <w:rPr>
          <w:rFonts w:eastAsia="Times New Roman"/>
          <w:lang w:val="es-MX"/>
        </w:rPr>
        <w:t xml:space="preserve">. En el marco de esas </w:t>
      </w:r>
      <w:r>
        <w:rPr>
          <w:rFonts w:eastAsia="Times New Roman"/>
          <w:lang w:val="es-MX"/>
        </w:rPr>
        <w:lastRenderedPageBreak/>
        <w:t>capacitaciones nacionales, se realizaron apreciaciones técnicas sobre la situación de depósitos de armas en cada uno de estos países con el fin de realizar mejoras conforme estándares internacionales.</w:t>
      </w:r>
    </w:p>
    <w:p w14:paraId="49884ABF" w14:textId="77777777" w:rsidR="008E6EC8" w:rsidRPr="008E6EC8" w:rsidRDefault="008E6EC8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firstLine="720"/>
        <w:rPr>
          <w:i/>
          <w:iCs/>
        </w:rPr>
      </w:pPr>
      <w:r w:rsidRPr="008E6EC8">
        <w:rPr>
          <w:i/>
          <w:iCs/>
        </w:rPr>
        <w:t xml:space="preserve">Marcaje y Rastreo de Armas Pequeñas y Ligeras </w:t>
      </w:r>
      <w:r w:rsidR="00204B31">
        <w:rPr>
          <w:i/>
          <w:iCs/>
        </w:rPr>
        <w:t>(APAL)</w:t>
      </w:r>
    </w:p>
    <w:p w14:paraId="0CA85622" w14:textId="77777777" w:rsidR="008E6EC8" w:rsidRDefault="008E6EC8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 xml:space="preserve">Ese componente busca mejorar la capacidad nacional en marcaje y rastreo de Armas Pequeñas y Ligeras y fomentar la cooperación regional en ese tema. </w:t>
      </w:r>
    </w:p>
    <w:p w14:paraId="30FD1A8A" w14:textId="4F72C709" w:rsidR="00D74A1B" w:rsidRDefault="008E6EC8" w:rsidP="00D74A1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 xml:space="preserve">Pese al impacto de las medidas restrictivas de combate al COVID-19 en las actividades de ese componente, que son sumamente operativas y requieren visitas y trabajo in-situ, se ha logrado ofrecer capacitación y asistencia técnica a 6 países de la región. 84 funcionarios nacionales de Guatemala, El Salvador, Honduras, Guyana, </w:t>
      </w:r>
      <w:bookmarkStart w:id="0" w:name="_GoBack"/>
      <w:bookmarkEnd w:id="0"/>
      <w:r>
        <w:t>Bolivia y Perú fueron capacitados en la temática. También se ha identificado y obtenido máquinas de marcaje que serán oportunamente donadas a los países que necesiten en 2021, cuando se reestablezc</w:t>
      </w:r>
      <w:r w:rsidR="005D0A34">
        <w:t xml:space="preserve">an los viajes. </w:t>
      </w:r>
    </w:p>
    <w:p w14:paraId="78EFDED8" w14:textId="77777777" w:rsidR="008E6EC8" w:rsidRPr="008E6EC8" w:rsidRDefault="008E6EC8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firstLine="720"/>
        <w:rPr>
          <w:i/>
          <w:iCs/>
        </w:rPr>
      </w:pPr>
      <w:r>
        <w:rPr>
          <w:i/>
          <w:iCs/>
        </w:rPr>
        <w:t xml:space="preserve">Destrucción </w:t>
      </w:r>
      <w:r w:rsidRPr="008E6EC8">
        <w:rPr>
          <w:i/>
          <w:iCs/>
        </w:rPr>
        <w:t xml:space="preserve">de </w:t>
      </w:r>
      <w:r w:rsidR="00204B31">
        <w:rPr>
          <w:i/>
          <w:iCs/>
        </w:rPr>
        <w:t>APAL y municiones</w:t>
      </w:r>
      <w:r w:rsidRPr="008E6EC8">
        <w:rPr>
          <w:i/>
          <w:iCs/>
        </w:rPr>
        <w:t xml:space="preserve"> </w:t>
      </w:r>
    </w:p>
    <w:p w14:paraId="254505F2" w14:textId="77777777" w:rsidR="008E6EC8" w:rsidRDefault="00C87A0A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 xml:space="preserve">Ese componente, que tiene el objetivo de reforzar las capacidades nacionales para la destrucción de armas pequeñas y ligeras incautadas, inseguras, o en exceso, también tuvo su implementación particularmente afectada por la pandemia del COVID-19. </w:t>
      </w:r>
    </w:p>
    <w:p w14:paraId="6401E9F5" w14:textId="77777777" w:rsidR="00C87A0A" w:rsidRPr="007C36B7" w:rsidRDefault="00C87A0A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lang w:val="es-NI"/>
        </w:rPr>
      </w:pPr>
      <w:r>
        <w:t xml:space="preserve">Sin embargo, </w:t>
      </w:r>
      <w:r w:rsidR="00A073FB">
        <w:rPr>
          <w:lang w:val="es-NI"/>
        </w:rPr>
        <w:t>desde el inicio del proyecto, 77</w:t>
      </w:r>
      <w:r w:rsidR="005D0A34" w:rsidRPr="003C6CE7">
        <w:rPr>
          <w:lang w:val="es-NI"/>
        </w:rPr>
        <w:t xml:space="preserve"> funcionarios fueron capacitados en destrucción de armas y </w:t>
      </w:r>
      <w:r w:rsidR="005D0A34">
        <w:rPr>
          <w:lang w:val="es-NI"/>
        </w:rPr>
        <w:t xml:space="preserve">municiones en Perú y Costa Rica. A través del proyecto, se apoyó la destrucción y </w:t>
      </w:r>
      <w:r w:rsidR="005D0A34" w:rsidRPr="003C6CE7">
        <w:rPr>
          <w:lang w:val="es-NI"/>
        </w:rPr>
        <w:t>certificación de 1</w:t>
      </w:r>
      <w:r w:rsidR="005D0A34">
        <w:rPr>
          <w:lang w:val="es-NI"/>
        </w:rPr>
        <w:t>3</w:t>
      </w:r>
      <w:r w:rsidR="005D0A34" w:rsidRPr="003C6CE7">
        <w:rPr>
          <w:lang w:val="es-NI"/>
        </w:rPr>
        <w:t>,</w:t>
      </w:r>
      <w:r w:rsidR="005D0A34">
        <w:rPr>
          <w:lang w:val="es-NI"/>
        </w:rPr>
        <w:t>363</w:t>
      </w:r>
      <w:r w:rsidR="005D0A34" w:rsidRPr="003C6CE7">
        <w:rPr>
          <w:lang w:val="es-NI"/>
        </w:rPr>
        <w:t xml:space="preserve"> armas pequeñas y ligeras</w:t>
      </w:r>
      <w:r w:rsidR="005D0A34">
        <w:rPr>
          <w:lang w:val="es-NI"/>
        </w:rPr>
        <w:t xml:space="preserve"> y 341,186 municiones,</w:t>
      </w:r>
      <w:r w:rsidR="005D0A34" w:rsidRPr="003C6CE7">
        <w:rPr>
          <w:lang w:val="es-NI"/>
        </w:rPr>
        <w:t xml:space="preserve"> conforme buenas prácticas </w:t>
      </w:r>
      <w:r w:rsidR="005D0A34" w:rsidRPr="007C36B7">
        <w:rPr>
          <w:lang w:val="es-NI"/>
        </w:rPr>
        <w:t>internacionales.</w:t>
      </w:r>
    </w:p>
    <w:p w14:paraId="38793C10" w14:textId="77777777" w:rsidR="005D0A34" w:rsidRPr="00D9759C" w:rsidRDefault="00D9759C" w:rsidP="00D9759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lang w:val="es-ES"/>
        </w:rPr>
      </w:pPr>
      <w:r w:rsidRPr="007C36B7">
        <w:rPr>
          <w:lang w:val="es-NI"/>
        </w:rPr>
        <w:t>Adicionalmente</w:t>
      </w:r>
      <w:r w:rsidR="007C36B7" w:rsidRPr="007C36B7">
        <w:rPr>
          <w:lang w:val="es-NI"/>
        </w:rPr>
        <w:t>,</w:t>
      </w:r>
      <w:r w:rsidRPr="007C36B7">
        <w:rPr>
          <w:lang w:val="es-NI"/>
        </w:rPr>
        <w:t xml:space="preserve"> en el marco del Acuerdo suscrito con el Ministerio de la Defensa de España, 30</w:t>
      </w:r>
      <w:r w:rsidR="007C36B7" w:rsidRPr="007C36B7">
        <w:rPr>
          <w:lang w:val="es-NI"/>
        </w:rPr>
        <w:t xml:space="preserve"> </w:t>
      </w:r>
      <w:r w:rsidRPr="007C36B7">
        <w:rPr>
          <w:lang w:val="es-ES"/>
        </w:rPr>
        <w:t>participantes entre militares, policías y civiles de 12 países de América Latina y el Caribe (Brasil, Colombia, Ecuador, El Salvador, Guatemala, Honduras, Perú, República Dominicana, México, Costa Rica, Uruguay y Panamá) fueron certificados en nivel EOD 3 en el Centro Internacional de Desminado Humanitario de Hoyo de Manzanares.</w:t>
      </w:r>
    </w:p>
    <w:p w14:paraId="1E020669" w14:textId="77777777" w:rsidR="005D0A34" w:rsidRPr="008E6EC8" w:rsidRDefault="00D74A1B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firstLine="720"/>
        <w:rPr>
          <w:i/>
          <w:iCs/>
        </w:rPr>
      </w:pPr>
      <w:r>
        <w:rPr>
          <w:i/>
          <w:iCs/>
        </w:rPr>
        <w:t>Mecanismos de Transferencia y Cooperación</w:t>
      </w:r>
    </w:p>
    <w:p w14:paraId="4EBCA064" w14:textId="77777777" w:rsidR="00346B19" w:rsidRDefault="005D0A34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>Ese componente</w:t>
      </w:r>
      <w:r w:rsidR="00346B19">
        <w:t xml:space="preserve"> busca promover la cooperación regional y el intercambio de información a través de la mejoría de los mecanismos de transferencia y de la asistencia legislativa a los países para armonizar la legislación domestica a los estándares internacionales. </w:t>
      </w:r>
    </w:p>
    <w:p w14:paraId="356209A6" w14:textId="77777777" w:rsidR="00EF4C0B" w:rsidRDefault="00884A20" w:rsidP="00EF4C0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 w:rsidRPr="00497182">
        <w:rPr>
          <w:lang w:val="es-ES"/>
        </w:rPr>
        <w:lastRenderedPageBreak/>
        <w:t xml:space="preserve">Con el propósito de ofrecer una herramienta </w:t>
      </w:r>
      <w:r w:rsidRPr="00497182">
        <w:rPr>
          <w:rFonts w:eastAsia="MS Mincho"/>
          <w:spacing w:val="-3"/>
          <w:lang w:val="es-CO"/>
        </w:rPr>
        <w:t xml:space="preserve">de apoyo para acceder, intercambiar información sobre diversos temas relacionados al control de armas y municiones se estableció la Comunidad Virtual. </w:t>
      </w:r>
      <w:r w:rsidRPr="00497182">
        <w:rPr>
          <w:lang w:val="es-ES"/>
        </w:rPr>
        <w:t>1</w:t>
      </w:r>
      <w:r>
        <w:rPr>
          <w:lang w:val="es-ES"/>
        </w:rPr>
        <w:t>1</w:t>
      </w:r>
      <w:r w:rsidRPr="00497182">
        <w:rPr>
          <w:lang w:val="es-ES"/>
        </w:rPr>
        <w:t xml:space="preserve"> países y 1</w:t>
      </w:r>
      <w:r>
        <w:rPr>
          <w:lang w:val="es-ES"/>
        </w:rPr>
        <w:t>6</w:t>
      </w:r>
      <w:r w:rsidRPr="00497182">
        <w:rPr>
          <w:lang w:val="es-ES"/>
        </w:rPr>
        <w:t xml:space="preserve"> puntos de contacto nacionales se ha</w:t>
      </w:r>
      <w:r>
        <w:rPr>
          <w:lang w:val="es-ES"/>
        </w:rPr>
        <w:t>n</w:t>
      </w:r>
      <w:r w:rsidRPr="00497182">
        <w:rPr>
          <w:lang w:val="es-ES"/>
        </w:rPr>
        <w:t xml:space="preserve"> registrado.</w:t>
      </w:r>
    </w:p>
    <w:p w14:paraId="0D18FFAC" w14:textId="77777777" w:rsidR="007C36B7" w:rsidRPr="007C36B7" w:rsidRDefault="007C36B7" w:rsidP="00EF4C0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lang w:val="es-ES"/>
        </w:rPr>
      </w:pPr>
      <w:r>
        <w:t>También se ha elaborado los lineamientos</w:t>
      </w:r>
      <w:r w:rsidR="00EF4C0B">
        <w:t xml:space="preserve"> </w:t>
      </w:r>
      <w:r w:rsidR="00EF4C0B">
        <w:rPr>
          <w:rFonts w:asciiTheme="minorHAnsi" w:hAnsiTheme="minorHAnsi"/>
          <w:szCs w:val="24"/>
          <w:lang w:val="es-ES"/>
        </w:rPr>
        <w:t xml:space="preserve">de un </w:t>
      </w:r>
      <w:r w:rsidR="00EF4C0B" w:rsidRPr="00E56F20">
        <w:rPr>
          <w:rFonts w:asciiTheme="minorHAnsi" w:hAnsiTheme="minorHAnsi"/>
          <w:szCs w:val="24"/>
          <w:lang w:val="es-ES"/>
        </w:rPr>
        <w:t>mecanismo de comunicación transfronterizo y regional</w:t>
      </w:r>
      <w:r w:rsidR="00EF4C0B">
        <w:rPr>
          <w:rFonts w:asciiTheme="minorHAnsi" w:hAnsiTheme="minorHAnsi"/>
          <w:szCs w:val="24"/>
          <w:lang w:val="es-ES"/>
        </w:rPr>
        <w:t xml:space="preserve"> para intercambio de información sobre transacciones lícitas de importación y exportación de armas de fuego</w:t>
      </w:r>
      <w:r w:rsidR="00EF4C0B" w:rsidRPr="00E56F20">
        <w:rPr>
          <w:rFonts w:asciiTheme="minorHAnsi" w:hAnsiTheme="minorHAnsi"/>
          <w:szCs w:val="24"/>
          <w:lang w:val="es-ES"/>
        </w:rPr>
        <w:t>.</w:t>
      </w:r>
      <w:r w:rsidR="00EF4C0B">
        <w:rPr>
          <w:rFonts w:asciiTheme="minorHAnsi" w:hAnsiTheme="minorHAnsi"/>
          <w:szCs w:val="24"/>
          <w:lang w:val="es-ES"/>
        </w:rPr>
        <w:t xml:space="preserve"> El objetivo de ese mecanismo es permitir que los Estados P</w:t>
      </w:r>
      <w:r w:rsidR="00EF4C0B">
        <w:rPr>
          <w:rFonts w:asciiTheme="minorHAnsi" w:hAnsiTheme="minorHAnsi" w:hint="eastAsia"/>
          <w:szCs w:val="24"/>
          <w:lang w:val="es-ES"/>
        </w:rPr>
        <w:t>a</w:t>
      </w:r>
      <w:r w:rsidR="00EF4C0B">
        <w:rPr>
          <w:rFonts w:asciiTheme="minorHAnsi" w:hAnsiTheme="minorHAnsi"/>
          <w:szCs w:val="24"/>
          <w:lang w:val="es-ES"/>
        </w:rPr>
        <w:t xml:space="preserve">rte de la CIFTA puedan intercambiar información expedita sobre </w:t>
      </w:r>
      <w:r w:rsidR="00EF4C0B" w:rsidRPr="00E56F20">
        <w:rPr>
          <w:rFonts w:asciiTheme="minorHAnsi" w:hAnsiTheme="minorHAnsi"/>
          <w:szCs w:val="24"/>
          <w:lang w:val="es-ES"/>
        </w:rPr>
        <w:t xml:space="preserve">la exportación, importación, </w:t>
      </w:r>
      <w:r w:rsidR="00EF4C0B">
        <w:rPr>
          <w:rFonts w:asciiTheme="minorHAnsi" w:hAnsiTheme="minorHAnsi"/>
          <w:szCs w:val="24"/>
          <w:lang w:val="es-ES"/>
        </w:rPr>
        <w:t xml:space="preserve">y </w:t>
      </w:r>
      <w:r w:rsidR="00EF4C0B" w:rsidRPr="00E56F20">
        <w:rPr>
          <w:rFonts w:asciiTheme="minorHAnsi" w:hAnsiTheme="minorHAnsi"/>
          <w:szCs w:val="24"/>
          <w:lang w:val="es-ES"/>
        </w:rPr>
        <w:t>tránsito de armas pequeñas, armas ligera</w:t>
      </w:r>
      <w:r w:rsidR="00EF4C0B">
        <w:rPr>
          <w:rFonts w:asciiTheme="minorHAnsi" w:hAnsiTheme="minorHAnsi"/>
          <w:szCs w:val="24"/>
          <w:lang w:val="es-ES"/>
        </w:rPr>
        <w:t xml:space="preserve">s, sus componentes y municiones, e identificar rápidamente posibles vulnerabilidades y riesgos de desviación al mercado ilícito en esos procesos. Dicha propuesta de mecanismo será </w:t>
      </w:r>
      <w:r w:rsidR="00EF4C0B" w:rsidRPr="00E56F20">
        <w:rPr>
          <w:rFonts w:asciiTheme="minorHAnsi" w:hAnsiTheme="minorHAnsi"/>
          <w:szCs w:val="24"/>
          <w:lang w:val="es-ES"/>
        </w:rPr>
        <w:t xml:space="preserve">presentada a los Estados </w:t>
      </w:r>
      <w:r w:rsidR="00EF4C0B">
        <w:rPr>
          <w:rFonts w:asciiTheme="minorHAnsi" w:hAnsiTheme="minorHAnsi"/>
          <w:szCs w:val="24"/>
          <w:lang w:val="es-ES"/>
        </w:rPr>
        <w:t>Parte de la CIFTA</w:t>
      </w:r>
      <w:r w:rsidR="00EF4C0B" w:rsidRPr="00E56F20">
        <w:rPr>
          <w:rFonts w:asciiTheme="minorHAnsi" w:hAnsiTheme="minorHAnsi"/>
          <w:szCs w:val="24"/>
          <w:lang w:val="es-ES"/>
        </w:rPr>
        <w:t xml:space="preserve"> para </w:t>
      </w:r>
      <w:r w:rsidR="00EF4C0B">
        <w:rPr>
          <w:rFonts w:asciiTheme="minorHAnsi" w:hAnsiTheme="minorHAnsi"/>
          <w:szCs w:val="24"/>
          <w:lang w:val="es-ES"/>
        </w:rPr>
        <w:t xml:space="preserve">su </w:t>
      </w:r>
      <w:r w:rsidR="00EF4C0B" w:rsidRPr="00E56F20">
        <w:rPr>
          <w:rFonts w:asciiTheme="minorHAnsi" w:hAnsiTheme="minorHAnsi"/>
          <w:szCs w:val="24"/>
          <w:lang w:val="es-ES"/>
        </w:rPr>
        <w:t>revisión</w:t>
      </w:r>
      <w:r w:rsidR="00EF4C0B">
        <w:rPr>
          <w:rFonts w:asciiTheme="minorHAnsi" w:hAnsiTheme="minorHAnsi"/>
          <w:szCs w:val="24"/>
          <w:lang w:val="es-ES"/>
        </w:rPr>
        <w:t xml:space="preserve"> y validación en el primer semestre del 2021. </w:t>
      </w:r>
    </w:p>
    <w:p w14:paraId="13151F36" w14:textId="77777777" w:rsidR="00340AEC" w:rsidRDefault="00884A20" w:rsidP="00340AE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>Por otro lado, en el ámbito de Asistencia Legal, hemos proporcionado asistencia técnica en el fortalecimiento y perfeccionamiento de</w:t>
      </w:r>
      <w:r w:rsidR="00340AEC">
        <w:t xml:space="preserve"> los marcos normativos de armas de fuego de tres países: Perú, Ecuador y Jamaica. Se asistió a Perú </w:t>
      </w:r>
      <w:r w:rsidR="00340AEC">
        <w:rPr>
          <w:lang w:val="es-NI"/>
        </w:rPr>
        <w:t>en l</w:t>
      </w:r>
      <w:r w:rsidR="00340AEC" w:rsidRPr="00497182">
        <w:rPr>
          <w:lang w:val="es-NI"/>
        </w:rPr>
        <w:t>a elaboración de la Directiva relacionada a la regulación de las condiciones y medidas de seguridad de las instalaciones de almacenamiento de explosi</w:t>
      </w:r>
      <w:r w:rsidR="00340AEC">
        <w:rPr>
          <w:lang w:val="es-NI"/>
        </w:rPr>
        <w:t xml:space="preserve">vos y materiales relacionados. A Ecuador, hemos ofrecido insumos y comentarios para armonizar su Ley de Armas a los </w:t>
      </w:r>
      <w:r>
        <w:t xml:space="preserve">mandatos asumidos en la CIFTA. </w:t>
      </w:r>
      <w:r w:rsidR="00340AEC">
        <w:t xml:space="preserve">También hemos revisado el Proyecto de Enmienda a la Ley de Armas de Jamaica considerando las obligaciones de la CIFTA en miras de una posible ratificación de la Convención por el país. </w:t>
      </w:r>
    </w:p>
    <w:p w14:paraId="2C5B1729" w14:textId="77777777" w:rsidR="00340AEC" w:rsidRPr="008E6EC8" w:rsidRDefault="00340AEC" w:rsidP="00340AE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firstLine="720"/>
        <w:rPr>
          <w:i/>
          <w:iCs/>
        </w:rPr>
      </w:pPr>
      <w:r>
        <w:rPr>
          <w:i/>
          <w:iCs/>
        </w:rPr>
        <w:t xml:space="preserve">Prevención de la Violencia Armada </w:t>
      </w:r>
    </w:p>
    <w:p w14:paraId="3D9450BE" w14:textId="77777777" w:rsidR="008E5B12" w:rsidRDefault="008E5B12" w:rsidP="00340AE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 xml:space="preserve">Ese componente novedoso fue incorporado al proyecto reconociendo la ineficiencia de las acciones represivas y de control del ciclo de armas de fuego, si no son acompañadas por actividades que busquen prevenir el uso de armas de fuego para la resolución de conflictos y el involucramiento de grupos en situación de vulnerabilidad en violencia armada. A ese fin, ese componente piloto tiene el objetivo de construir capacidades a nivel comunitario y promover conductas de responsabilidad social a través de la capacitación de actores locales, y del desarrollo de habilidades para la vida de niños y niñas en situación de vulnerabilidad a través de actividades extracurriculares diarias del programa OASIS – Música para la prevención de la violencia. El componente es implementado en comunidades de dos países: Honduras y El Salvador. </w:t>
      </w:r>
    </w:p>
    <w:p w14:paraId="7DEA627C" w14:textId="77777777" w:rsidR="008E5B12" w:rsidRDefault="008E5B12" w:rsidP="008E5B1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>En el 2020, se ha elaborado la metodología OASIS de enseñanza para clases virtuales de orquesta y coro, considerando la imposibilidad de realizar clases presenciales. Por otro lado, s</w:t>
      </w:r>
      <w:r w:rsidR="00C16D21" w:rsidRPr="00C16D21">
        <w:t xml:space="preserve">e están elaborando módulos de capacitación en temas relacionados a la prevención de la violencia juvenil e intrafamiliar junto a la ONG Alianza para la Paz y el Portal Educativo de la OEA, a ser impartidos a </w:t>
      </w:r>
      <w:r w:rsidR="00C16D21" w:rsidRPr="00C16D21">
        <w:lastRenderedPageBreak/>
        <w:t>docentes OASIS, a familias de estudiantes, a líderes comunitarios y representantes del sector público local a partir de febrero 2021</w:t>
      </w:r>
      <w:r>
        <w:t>, de manera virtual</w:t>
      </w:r>
      <w:r w:rsidR="00C16D21" w:rsidRPr="00C16D21">
        <w:t xml:space="preserve">. </w:t>
      </w:r>
    </w:p>
    <w:p w14:paraId="23D12A9B" w14:textId="77777777" w:rsidR="00C16D21" w:rsidRPr="00533614" w:rsidRDefault="00FB314C" w:rsidP="005336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</w:pPr>
      <w:r>
        <w:t xml:space="preserve">En Honduras, </w:t>
      </w:r>
      <w:r w:rsidR="00C16D21" w:rsidRPr="00C16D21">
        <w:t>se</w:t>
      </w:r>
      <w:r>
        <w:t xml:space="preserve"> ha realizado</w:t>
      </w:r>
      <w:r w:rsidR="00C16D21" w:rsidRPr="00C16D21">
        <w:t xml:space="preserve"> un diagnóstico situacional de patrones de violencia juvenil e intrafamiliar, y de servicios existentes de asistencia realizado en el municipio de Tela</w:t>
      </w:r>
      <w:r>
        <w:t>. S</w:t>
      </w:r>
      <w:r w:rsidR="00C16D21" w:rsidRPr="00C16D21">
        <w:t xml:space="preserve">e seleccionaron 80 jóvenes, se recuperaron 50 instrumentos musicales, se distribuyeron 80 tablets a las familias beneficiarias y se firmaron acuerdos de participación con las mismas. Las clases </w:t>
      </w:r>
      <w:r>
        <w:t xml:space="preserve">virtuales </w:t>
      </w:r>
      <w:r w:rsidR="00C16D21" w:rsidRPr="00C16D21">
        <w:t>comenzaron en octu</w:t>
      </w:r>
      <w:r>
        <w:t>bre 2020. En E</w:t>
      </w:r>
      <w:r w:rsidR="00C16D21" w:rsidRPr="00C16D21">
        <w:t xml:space="preserve">l Salvador se desarrollaron alianzas locales para la implementación de OASIS y se </w:t>
      </w:r>
      <w:r>
        <w:t>ha firmado</w:t>
      </w:r>
      <w:r w:rsidR="00C16D21" w:rsidRPr="00C16D21">
        <w:t xml:space="preserve"> un Acuerdo de Cooperación con el Ministerio de Justicia y Seguridad Pública para ese fin.</w:t>
      </w:r>
      <w:r w:rsidR="008E5B12" w:rsidRPr="008E5B12">
        <w:t xml:space="preserve"> </w:t>
      </w:r>
      <w:r>
        <w:t xml:space="preserve">Las clases empezarán en el 2021. </w:t>
      </w:r>
    </w:p>
    <w:p w14:paraId="2A5C4404" w14:textId="77777777" w:rsidR="00533614" w:rsidRPr="00D21D8E" w:rsidRDefault="00533614" w:rsidP="008629D7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rPr>
          <w:b/>
        </w:rPr>
      </w:pPr>
      <w:r w:rsidRPr="00D21D8E">
        <w:rPr>
          <w:b/>
        </w:rPr>
        <w:t>Plan de Homicidios</w:t>
      </w:r>
    </w:p>
    <w:p w14:paraId="30AA20C6" w14:textId="77777777" w:rsidR="00D21D8E" w:rsidRDefault="00D21D8E" w:rsidP="008629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120" w:line="360" w:lineRule="auto"/>
        <w:ind w:firstLine="709"/>
      </w:pPr>
      <w:r>
        <w:t>Reconociendo el impacto de la violencia armada en la región, que, como sabemos, es mayoritariamente perpetrada con el uso de armas de fuego, se ha desarrollado el P</w:t>
      </w:r>
      <w:r w:rsidRPr="00D21D8E">
        <w:t>rimer Plan de Acción Hemisférico para Orientar el Diseño de Políticas Públicas de Prevención y Reducción del Homicidio Intencional en las Américas</w:t>
      </w:r>
      <w:r>
        <w:t>, que fue aprobado por la Asamblea General de 2019</w:t>
      </w:r>
      <w:r w:rsidRPr="00D21D8E">
        <w:t xml:space="preserve">. </w:t>
      </w:r>
    </w:p>
    <w:p w14:paraId="09B8252C" w14:textId="77777777" w:rsidR="00D21D8E" w:rsidRPr="00D21D8E" w:rsidRDefault="00D21D8E" w:rsidP="008629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120" w:line="360" w:lineRule="auto"/>
        <w:ind w:firstLine="709"/>
      </w:pPr>
      <w:r>
        <w:t>Por supuesto, e</w:t>
      </w:r>
      <w:r w:rsidRPr="00D21D8E">
        <w:t>l Plan</w:t>
      </w:r>
      <w:r>
        <w:t xml:space="preserve"> incluye como uno de sus ejes centrales, la prevención y el combate al tráfico de armas, y contiene </w:t>
      </w:r>
      <w:r w:rsidRPr="00D21D8E">
        <w:t>28 recomendaciones ordenadas en tres ejes:</w:t>
      </w:r>
    </w:p>
    <w:p w14:paraId="7876C945" w14:textId="77777777" w:rsidR="00D21D8E" w:rsidRPr="00D21D8E" w:rsidRDefault="00D21D8E" w:rsidP="008629D7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N w:val="0"/>
        <w:spacing w:before="120" w:after="200" w:line="360" w:lineRule="auto"/>
        <w:contextualSpacing/>
      </w:pPr>
      <w:r w:rsidRPr="00D21D8E">
        <w:t>Eje 1: Producción, difusión y uso de información y evidencia científica (8 recomendaciones)</w:t>
      </w:r>
    </w:p>
    <w:p w14:paraId="0014566E" w14:textId="77777777" w:rsidR="00D21D8E" w:rsidRPr="00D21D8E" w:rsidRDefault="00D21D8E" w:rsidP="008629D7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N w:val="0"/>
        <w:spacing w:before="120" w:after="200" w:line="360" w:lineRule="auto"/>
        <w:contextualSpacing/>
      </w:pPr>
      <w:r w:rsidRPr="00D21D8E">
        <w:t>Eje 2: Recomendaciones para el diseño e implementación de políticas y acciones de prevención (13 recomendaciones)</w:t>
      </w:r>
    </w:p>
    <w:p w14:paraId="27445EE7" w14:textId="77777777" w:rsidR="00D21D8E" w:rsidRPr="00D21D8E" w:rsidRDefault="00D21D8E" w:rsidP="008629D7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N w:val="0"/>
        <w:spacing w:before="120" w:after="200" w:line="360" w:lineRule="auto"/>
        <w:contextualSpacing/>
      </w:pPr>
      <w:r w:rsidRPr="00D21D8E">
        <w:t>Eje 3: Recomendaciones para la aplicación o funcionamiento de la justicia criminal (7 recomendaciones)</w:t>
      </w:r>
    </w:p>
    <w:p w14:paraId="04F98C74" w14:textId="77777777" w:rsidR="00D21D8E" w:rsidRDefault="00D21D8E" w:rsidP="008629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120" w:after="200" w:line="360" w:lineRule="auto"/>
        <w:ind w:firstLine="709"/>
        <w:contextualSpacing/>
        <w:jc w:val="left"/>
      </w:pPr>
      <w:r w:rsidRPr="00D21D8E">
        <w:t xml:space="preserve">Tres proyectos fueron implementados </w:t>
      </w:r>
      <w:r>
        <w:t xml:space="preserve">en el marco del plan. </w:t>
      </w:r>
      <w:r w:rsidRPr="00D21D8E">
        <w:t xml:space="preserve">Adicionalmente, una Plataforma de Conocimiento sobre los Homicidios fue creada bajo el sitio en línea de Red Interamericana de Prevención de la Violencia y el Delito y está accesible públicamente. </w:t>
      </w:r>
    </w:p>
    <w:p w14:paraId="748DF8A8" w14:textId="77777777" w:rsidR="00533614" w:rsidRDefault="00533614" w:rsidP="008629D7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rPr>
          <w:b/>
        </w:rPr>
      </w:pPr>
      <w:r>
        <w:rPr>
          <w:b/>
        </w:rPr>
        <w:t>Estudio Hemisférico sobre el tráfico ilícito de armas de fuego pequeñas y ligeras, y municiones</w:t>
      </w:r>
    </w:p>
    <w:p w14:paraId="05893FEB" w14:textId="77777777" w:rsidR="00AE0D37" w:rsidRPr="00533614" w:rsidRDefault="00533614" w:rsidP="008629D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09"/>
      </w:pPr>
      <w:r>
        <w:t>En</w:t>
      </w:r>
      <w:r w:rsidR="00AE0D37">
        <w:t xml:space="preserve"> cumplimiento al mandato establecido por la AG/RES.2945 (XLIX-O/19), que determina la realización de un estudio hemisférico </w:t>
      </w:r>
      <w:r w:rsidR="00AE0D37" w:rsidRPr="00AE0D37">
        <w:t>sobre la temática del tráfico ilícito de armas de fuego pequeñas y ligeras y municiones en el continente, a fin de identificar amenazas y retos</w:t>
      </w:r>
      <w:r w:rsidR="00AE0D37">
        <w:t xml:space="preserve">, en el 2020, la Secretaría Técnica ha diseñado una propuesta para el desarrollo de una metodología para llevar a cabo el estudio que permita su realización de manera periódica para acompañar las tendencias en el hemisferio. Se está </w:t>
      </w:r>
      <w:r w:rsidR="00AE0D37">
        <w:lastRenderedPageBreak/>
        <w:t xml:space="preserve">validando esa propuesta con México, en su capacidad de Secretaría Pro-Tempore de la CIFTA, y se espera poder identificar los recursos financieros necesarios en el 2021 para realizar el estudio. </w:t>
      </w:r>
    </w:p>
    <w:p w14:paraId="7D65C9A6" w14:textId="77777777" w:rsidR="00BE4A43" w:rsidRPr="00D81CFB" w:rsidRDefault="00533614" w:rsidP="008629D7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rPr>
          <w:b/>
        </w:rPr>
      </w:pPr>
      <w:r w:rsidRPr="00533614">
        <w:rPr>
          <w:b/>
        </w:rPr>
        <w:t>Cooperación con otras organizaciones</w:t>
      </w:r>
    </w:p>
    <w:p w14:paraId="44F5D6BF" w14:textId="77777777" w:rsidR="00D21D8E" w:rsidRPr="00D21D8E" w:rsidRDefault="009C6E6F" w:rsidP="00AA76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120" w:line="360" w:lineRule="auto"/>
        <w:ind w:firstLine="720"/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t>La</w:t>
      </w:r>
      <w:r w:rsidR="000B5E0D">
        <w:t xml:space="preserve"> Secretaría Técnica de la CIFTA busca activamente sinergias con otras organizaciones para reforzar la cooperación y potencializar las acciones </w:t>
      </w:r>
      <w:r>
        <w:t xml:space="preserve">dedicadas a prevenir el Tráfico de Armas. En ese sentido, cabe destacar que </w:t>
      </w:r>
      <w:r w:rsidR="000B5E0D">
        <w:t xml:space="preserve">en el 2020 </w:t>
      </w:r>
      <w:r>
        <w:t xml:space="preserve">la Secretaría Técnica de la CIFTA </w:t>
      </w:r>
      <w:r w:rsidR="000B5E0D">
        <w:t>ha cooperado y participado de una serie de eventos y reuniones para revisar avances en la temática e identificar posibles áreas de cooperación</w:t>
      </w:r>
      <w:r w:rsidR="00003DA4">
        <w:t xml:space="preserve"> a través de presentaciones realizadas por nuestros especialistas. Destaco nuestra </w:t>
      </w:r>
      <w:r w:rsidR="00D21D8E">
        <w:t xml:space="preserve">colaboración con insumos a la Ruta de Acción para el Caribe en el tema de armas de fuego, desarrollada por UNLIREC; nuestra </w:t>
      </w:r>
      <w:r w:rsidR="00003DA4">
        <w:t>intervención sobre el r</w:t>
      </w:r>
      <w:r w:rsidR="00027982">
        <w:t>ol de los organismos regionales en combatir el tráfico ilícito de armas pequeñas en el fórum virtual realizado por Small Arms Survey</w:t>
      </w:r>
      <w:r w:rsidR="00003DA4">
        <w:t xml:space="preserve">; nuestra participación en la Séptima Reunión del Grupo de Trabajo de Armas de Fuego </w:t>
      </w:r>
      <w:r w:rsidR="00003DA4" w:rsidRPr="00003DA4">
        <w:t xml:space="preserve">de la Convención de </w:t>
      </w:r>
      <w:r w:rsidR="00302CAB">
        <w:t xml:space="preserve">las </w:t>
      </w:r>
      <w:r w:rsidR="00003DA4" w:rsidRPr="00003DA4">
        <w:t>Naciones Unidas contra la Delincuencia Organizada</w:t>
      </w:r>
      <w:r w:rsidR="00003DA4">
        <w:t xml:space="preserve">; y </w:t>
      </w:r>
      <w:r w:rsidR="00D21D8E">
        <w:t xml:space="preserve">nuestra exposición sobre los procesos de destrucción en la región en la Conferencia sobre Procesos de Gestión y Destrucción de Armas y Municiones, y Explosivos, de la Junta Interamericana de Defensa. </w:t>
      </w:r>
    </w:p>
    <w:p w14:paraId="263C3787" w14:textId="77777777" w:rsidR="00052DE1" w:rsidRDefault="00690C67" w:rsidP="00AA76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120" w:line="360" w:lineRule="auto"/>
        <w:ind w:firstLine="720"/>
      </w:pPr>
      <w:r>
        <w:t>Además de eso, también hemos incorporado a esas organizaciones, que trabajan con el tema de armas de fuego, en nuestras actividades, buscando sacar el mejor provecho de las capacidades y experiencia que cada una tiene a ofrecer. Como mencionado anteriormente, en los seminarios regionales sobre seguridad física y gestión de arsenales, hemos contado con el apoyo de CARICOM IMPACS, Equipo Asesor en Gestión de Municiones del Centro Internacional de Desminado Humanitario de Ginebra (GICHD-AMAT), Golden West Foundation, Centro de Entrenamiento en Desminado Humanitario (HDTC), y el Comando Sur de Estados Unidos.</w:t>
      </w:r>
    </w:p>
    <w:p w14:paraId="6F2AFD39" w14:textId="77777777" w:rsidR="00052DE1" w:rsidRPr="001E7D5E" w:rsidRDefault="00052DE1" w:rsidP="00AA76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120" w:line="360" w:lineRule="auto"/>
        <w:ind w:firstLine="720"/>
        <w:rPr>
          <w:rFonts w:cs="Times New Roman"/>
          <w:sz w:val="24"/>
          <w:szCs w:val="24"/>
        </w:rPr>
      </w:pPr>
      <w:r>
        <w:t xml:space="preserve">Con eso, terminamos el reporte de la Secretaría Técnica sobre los avances realizados para cumplir con el Curso de Acción 2018-2022 de la CIFTA. Muchas gracias. </w:t>
      </w:r>
    </w:p>
    <w:p w14:paraId="358EF2B5" w14:textId="77777777" w:rsidR="006C1AA8" w:rsidRDefault="006C1AA8" w:rsidP="00AA76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120" w:line="360" w:lineRule="auto"/>
        <w:ind w:firstLine="720"/>
      </w:pPr>
    </w:p>
    <w:p w14:paraId="087CF2D0" w14:textId="77777777" w:rsidR="006C1AA8" w:rsidRDefault="006C1AA8" w:rsidP="00AA76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120" w:line="360" w:lineRule="auto"/>
        <w:ind w:firstLine="720"/>
      </w:pPr>
    </w:p>
    <w:p w14:paraId="73D0D6D2" w14:textId="77777777" w:rsidR="006C1AA8" w:rsidRDefault="006C1AA8" w:rsidP="00AA76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120" w:line="360" w:lineRule="auto"/>
        <w:ind w:firstLine="720"/>
      </w:pPr>
    </w:p>
    <w:p w14:paraId="57B4B80F" w14:textId="77777777" w:rsidR="006C1AA8" w:rsidRDefault="006C1AA8" w:rsidP="00AA76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120" w:line="360" w:lineRule="auto"/>
        <w:ind w:firstLine="720"/>
      </w:pPr>
    </w:p>
    <w:p w14:paraId="3F11C987" w14:textId="77777777" w:rsidR="006C1AA8" w:rsidRDefault="006C1AA8" w:rsidP="00AA76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120" w:line="360" w:lineRule="auto"/>
        <w:ind w:firstLine="720"/>
      </w:pPr>
    </w:p>
    <w:p w14:paraId="7C83E4E6" w14:textId="77777777" w:rsidR="006C1AA8" w:rsidRDefault="006C1AA8" w:rsidP="00AA76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120" w:line="360" w:lineRule="auto"/>
        <w:ind w:firstLine="720"/>
      </w:pPr>
    </w:p>
    <w:p w14:paraId="3454AD21" w14:textId="77777777" w:rsidR="006C1AA8" w:rsidRDefault="006C1AA8" w:rsidP="006C1AA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cs="Times New Roman"/>
          <w:color w:val="00B0F0"/>
        </w:rPr>
      </w:pPr>
      <w:r w:rsidRPr="00D001B9">
        <w:rPr>
          <w:rFonts w:cs="Times New Roman"/>
          <w:caps/>
        </w:rPr>
        <w:lastRenderedPageBreak/>
        <w:t>P</w:t>
      </w:r>
      <w:r w:rsidRPr="00D001B9">
        <w:rPr>
          <w:rFonts w:cs="Times New Roman"/>
        </w:rPr>
        <w:t xml:space="preserve">resentación: </w:t>
      </w:r>
      <w:hyperlink r:id="rId10" w:history="1">
        <w:r w:rsidRPr="00D001B9">
          <w:rPr>
            <w:rStyle w:val="Hyperlink"/>
            <w:rFonts w:cs="Times New Roman"/>
            <w:color w:val="365F91" w:themeColor="accent1" w:themeShade="BF"/>
          </w:rPr>
          <w:t>Enlace</w:t>
        </w:r>
      </w:hyperlink>
    </w:p>
    <w:p w14:paraId="2F829E76" w14:textId="7BF9A633" w:rsidR="006C1AA8" w:rsidRPr="00D001B9" w:rsidRDefault="006C1AA8" w:rsidP="006C1AA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cs="Times New Roman"/>
        </w:rPr>
      </w:pPr>
    </w:p>
    <w:p w14:paraId="5F4162F9" w14:textId="540104EA" w:rsidR="00BE4A43" w:rsidRDefault="00BD4C6F" w:rsidP="00AA76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120" w:line="360" w:lineRule="auto"/>
        <w:ind w:firstLine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266956" wp14:editId="21FE0D9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D6422F3" w14:textId="65CD316D" w:rsidR="00BD4C6F" w:rsidRPr="00BD4C6F" w:rsidRDefault="00BD4C6F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cs="Times New Roman"/>
                                <w:noProof/>
                                <w:sz w:val="18"/>
                              </w:rPr>
                              <w:t>CIFTA00887S01</w: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669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" filled="f" stroked="f">
                <v:stroke joinstyle="round"/>
                <v:path arrowok="t"/>
                <v:textbox>
                  <w:txbxContent>
                    <w:p w14:paraId="0D6422F3" w14:textId="65CD316D" w:rsidR="00BD4C6F" w:rsidRPr="00BD4C6F" w:rsidRDefault="00BD4C6F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cs="Times New Roman"/>
                          <w:noProof/>
                          <w:sz w:val="18"/>
                        </w:rPr>
                        <w:t>CIFTA00887S01</w: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E4A43">
      <w:headerReference w:type="default" r:id="rId11"/>
      <w:footerReference w:type="first" r:id="rId12"/>
      <w:pgSz w:w="12240" w:h="15840"/>
      <w:pgMar w:top="99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4A00" w14:textId="77777777" w:rsidR="00DB2D23" w:rsidRDefault="00DB2D23">
      <w:r>
        <w:separator/>
      </w:r>
    </w:p>
  </w:endnote>
  <w:endnote w:type="continuationSeparator" w:id="0">
    <w:p w14:paraId="5C0F1092" w14:textId="77777777" w:rsidR="00DB2D23" w:rsidRDefault="00DB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C9B14" w14:textId="3D86C372" w:rsidR="00DB2D23" w:rsidRDefault="00DB2D23">
    <w:pPr>
      <w:pStyle w:val="Footer"/>
    </w:pPr>
  </w:p>
  <w:p w14:paraId="04DE0B01" w14:textId="0048BB76" w:rsidR="00DB2D23" w:rsidRPr="00856B83" w:rsidRDefault="00DB2D23" w:rsidP="00864040">
    <w:pPr>
      <w:pStyle w:val="Footer"/>
      <w:rPr>
        <w:lang w:val="es-US"/>
      </w:rPr>
    </w:pPr>
    <w:r w:rsidRPr="00856B83">
      <w:rPr>
        <w:lang w:val="es-US"/>
      </w:rPr>
      <w:t xml:space="preserve">1 Este documento fue distribuido inadvertidamente como </w:t>
    </w:r>
    <w:r w:rsidRPr="00856B83">
      <w:rPr>
        <w:spacing w:val="-2"/>
        <w:lang w:val="es-US"/>
      </w:rPr>
      <w:t>CIFTA/CC-XX/INF.5/20</w:t>
    </w:r>
  </w:p>
  <w:p w14:paraId="06D04751" w14:textId="77777777" w:rsidR="00DB2D23" w:rsidRDefault="00DB2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F866" w14:textId="77777777" w:rsidR="00DB2D23" w:rsidRDefault="00DB2D23">
      <w:r>
        <w:separator/>
      </w:r>
    </w:p>
  </w:footnote>
  <w:footnote w:type="continuationSeparator" w:id="0">
    <w:p w14:paraId="2D54DDBB" w14:textId="77777777" w:rsidR="00DB2D23" w:rsidRDefault="00DB2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1397D" w14:textId="77777777" w:rsidR="00DB2D23" w:rsidRDefault="00DB2D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47C"/>
    <w:multiLevelType w:val="hybridMultilevel"/>
    <w:tmpl w:val="05A01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54E"/>
    <w:multiLevelType w:val="hybridMultilevel"/>
    <w:tmpl w:val="C5B2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4903"/>
    <w:multiLevelType w:val="hybridMultilevel"/>
    <w:tmpl w:val="948C6B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E1450"/>
    <w:multiLevelType w:val="hybridMultilevel"/>
    <w:tmpl w:val="F3C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172C8"/>
    <w:multiLevelType w:val="hybridMultilevel"/>
    <w:tmpl w:val="1F00A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539E0"/>
    <w:multiLevelType w:val="hybridMultilevel"/>
    <w:tmpl w:val="7BC47D5E"/>
    <w:lvl w:ilvl="0" w:tplc="7B6C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72061"/>
    <w:multiLevelType w:val="hybridMultilevel"/>
    <w:tmpl w:val="C3B0C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1A3295"/>
    <w:multiLevelType w:val="hybridMultilevel"/>
    <w:tmpl w:val="52342D58"/>
    <w:lvl w:ilvl="0" w:tplc="D1BEFC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C7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82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5A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260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4CB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AA8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AA7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0F6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DA1Mzc1Njc1MDBS0lEKTi0uzszPAykwrAUA3dsERywAAAA="/>
  </w:docVars>
  <w:rsids>
    <w:rsidRoot w:val="00BE4A43"/>
    <w:rsid w:val="00003DA4"/>
    <w:rsid w:val="00027982"/>
    <w:rsid w:val="000302B5"/>
    <w:rsid w:val="00052DE1"/>
    <w:rsid w:val="0007064A"/>
    <w:rsid w:val="000B5E0D"/>
    <w:rsid w:val="000C76A7"/>
    <w:rsid w:val="000D70F3"/>
    <w:rsid w:val="001603FD"/>
    <w:rsid w:val="001A342B"/>
    <w:rsid w:val="001C714F"/>
    <w:rsid w:val="00204B31"/>
    <w:rsid w:val="002353EA"/>
    <w:rsid w:val="00302CAB"/>
    <w:rsid w:val="00340AEC"/>
    <w:rsid w:val="00346B19"/>
    <w:rsid w:val="0036160F"/>
    <w:rsid w:val="003F01DF"/>
    <w:rsid w:val="00460F28"/>
    <w:rsid w:val="004C64D9"/>
    <w:rsid w:val="00533614"/>
    <w:rsid w:val="005623F3"/>
    <w:rsid w:val="00566579"/>
    <w:rsid w:val="005D0A34"/>
    <w:rsid w:val="005F48A2"/>
    <w:rsid w:val="00690C67"/>
    <w:rsid w:val="006A4CA8"/>
    <w:rsid w:val="006B543D"/>
    <w:rsid w:val="006C1AA8"/>
    <w:rsid w:val="006E0413"/>
    <w:rsid w:val="0077163E"/>
    <w:rsid w:val="007C36B7"/>
    <w:rsid w:val="00856B83"/>
    <w:rsid w:val="008629D7"/>
    <w:rsid w:val="00864040"/>
    <w:rsid w:val="00884A20"/>
    <w:rsid w:val="008C0373"/>
    <w:rsid w:val="008E5B12"/>
    <w:rsid w:val="008E6EC8"/>
    <w:rsid w:val="009608EE"/>
    <w:rsid w:val="009A0DA6"/>
    <w:rsid w:val="009C6E6F"/>
    <w:rsid w:val="00A073FB"/>
    <w:rsid w:val="00A1601E"/>
    <w:rsid w:val="00A25B97"/>
    <w:rsid w:val="00A619BC"/>
    <w:rsid w:val="00AA7619"/>
    <w:rsid w:val="00AD7130"/>
    <w:rsid w:val="00AE0D37"/>
    <w:rsid w:val="00B03F90"/>
    <w:rsid w:val="00B66B8D"/>
    <w:rsid w:val="00BC2594"/>
    <w:rsid w:val="00BD4C6F"/>
    <w:rsid w:val="00BE4A43"/>
    <w:rsid w:val="00C07BF2"/>
    <w:rsid w:val="00C16D21"/>
    <w:rsid w:val="00C608AD"/>
    <w:rsid w:val="00C84E65"/>
    <w:rsid w:val="00C87A0A"/>
    <w:rsid w:val="00D21D8E"/>
    <w:rsid w:val="00D74A1B"/>
    <w:rsid w:val="00D81CFB"/>
    <w:rsid w:val="00D9759C"/>
    <w:rsid w:val="00DB2D23"/>
    <w:rsid w:val="00DB75F5"/>
    <w:rsid w:val="00E94DEA"/>
    <w:rsid w:val="00EB4199"/>
    <w:rsid w:val="00EF4C0B"/>
    <w:rsid w:val="00FB314C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9E0F15"/>
  <w15:docId w15:val="{D0AB4B74-1304-451C-8313-09FEB03B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cs="Arial Unicode MS"/>
      <w:color w:val="000000"/>
      <w:sz w:val="22"/>
      <w:szCs w:val="22"/>
      <w:u w:color="000000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320"/>
        <w:tab w:val="right" w:pos="8640"/>
      </w:tabs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jc w:val="center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9608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A3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eastAsiaTheme="minorHAnsi" w:cs="Times New Roman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A34"/>
    <w:rPr>
      <w:rFonts w:eastAsiaTheme="minorHAnsi"/>
      <w:bdr w:val="none" w:sz="0" w:space="0" w:color="auto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0A34"/>
    <w:rPr>
      <w:vertAlign w:val="superscript"/>
    </w:rPr>
  </w:style>
  <w:style w:type="paragraph" w:styleId="NoSpacing">
    <w:name w:val="No Spacing"/>
    <w:uiPriority w:val="99"/>
    <w:qFormat/>
    <w:rsid w:val="00D21D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SimSun" w:hAnsi="Calibri"/>
      <w:sz w:val="22"/>
      <w:szCs w:val="22"/>
      <w:bdr w:val="none" w:sz="0" w:space="0" w:color="auto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60F2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28"/>
    <w:rPr>
      <w:rFonts w:cs="Arial Unicode MS"/>
      <w:color w:val="000000"/>
      <w:sz w:val="22"/>
      <w:szCs w:val="22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C64D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0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cm.oas.org/Pdfs/2020/CC20-CIFTA_InformeSMS_SPA1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EBD9E-BBB1-4637-B568-046AF144D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7991D-750B-4F61-AF3F-FFA1A2DA001A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9f4cd83-a2d3-4405-9b45-6aff5241ff8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ED083D-DFEA-4705-B2A6-891B477F0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CCase</dc:creator>
  <cp:lastModifiedBy>Lobaton, Ursula</cp:lastModifiedBy>
  <cp:revision>5</cp:revision>
  <dcterms:created xsi:type="dcterms:W3CDTF">2021-01-15T21:05:00Z</dcterms:created>
  <dcterms:modified xsi:type="dcterms:W3CDTF">2021-01-21T20:48:00Z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