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EE6C5" w14:textId="30BD5E03" w:rsidR="00D46F5F" w:rsidRPr="00133564" w:rsidRDefault="009802A6" w:rsidP="005F5440">
      <w:pPr>
        <w:widowControl/>
        <w:ind w:left="7360"/>
        <w:rPr>
          <w:rFonts w:ascii="Times New Roman" w:hAnsi="Times New Roman" w:cs="Times New Roman"/>
          <w:lang w:val="pt-BR"/>
        </w:rPr>
      </w:pPr>
      <w:r>
        <w:rPr>
          <w:rFonts w:ascii="Times New Roman" w:eastAsiaTheme="minorEastAsia" w:hAnsi="Times New Roman" w:cs="Times New Roman"/>
          <w:lang w:val="es-ES"/>
        </w:rPr>
        <w:object w:dxaOrig="1440" w:dyaOrig="1440" w14:anchorId="03D093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5.95pt;margin-top:59pt;width:405.05pt;height:35.8pt;z-index:-251658752;mso-wrap-edited:f;mso-position-vertical-relative:page" wrapcoords="3572 1580 2041 2634 170 7376 170 11590 2381 19493 5272 20020 11055 20020 17008 20020 21260 12117 21600 4215 18709 2107 9524 1580 3572 1580" o:allowoverlap="f" fillcolor="window">
            <v:imagedata r:id="rId8" o:title=""/>
            <w10:wrap type="square" anchory="page"/>
          </v:shape>
          <o:OLEObject Type="Embed" ProgID="Word.Picture.8" ShapeID="_x0000_s1026" DrawAspect="Content" ObjectID="_1785330881" r:id="rId9"/>
        </w:object>
      </w:r>
      <w:r w:rsidR="001A609D" w:rsidRPr="00133564">
        <w:rPr>
          <w:rFonts w:ascii="Times New Roman" w:hAnsi="Times New Roman" w:cs="Times New Roman"/>
          <w:lang w:val="pt-BR"/>
        </w:rPr>
        <w:t>OEA/Ser.G</w:t>
      </w:r>
    </w:p>
    <w:p w14:paraId="7F03FB75" w14:textId="66DC745C" w:rsidR="00584D4E" w:rsidRPr="00133564" w:rsidRDefault="001A609D" w:rsidP="005F5440">
      <w:pPr>
        <w:widowControl/>
        <w:ind w:left="7360" w:right="-1379"/>
        <w:rPr>
          <w:rFonts w:ascii="Times New Roman" w:hAnsi="Times New Roman" w:cs="Times New Roman"/>
          <w:lang w:val="pt-BR"/>
        </w:rPr>
      </w:pPr>
      <w:r w:rsidRPr="00133564">
        <w:rPr>
          <w:rFonts w:ascii="Times New Roman" w:hAnsi="Times New Roman" w:cs="Times New Roman"/>
          <w:lang w:val="pt-BR"/>
        </w:rPr>
        <w:t>CP/</w:t>
      </w:r>
      <w:r w:rsidR="00133564" w:rsidRPr="00133564">
        <w:rPr>
          <w:rFonts w:ascii="Times New Roman" w:hAnsi="Times New Roman" w:cs="Times New Roman"/>
          <w:lang w:val="pt-BR"/>
        </w:rPr>
        <w:t>RES. 1261 (2508/24)</w:t>
      </w:r>
    </w:p>
    <w:p w14:paraId="41C170E2" w14:textId="5DC37268" w:rsidR="00D46F5F" w:rsidRPr="00133564" w:rsidRDefault="00F070E1" w:rsidP="005F5440">
      <w:pPr>
        <w:widowControl/>
        <w:ind w:left="7360"/>
        <w:rPr>
          <w:rFonts w:ascii="Times New Roman" w:hAnsi="Times New Roman" w:cs="Times New Roman"/>
          <w:lang w:val="pt-BR"/>
        </w:rPr>
      </w:pPr>
      <w:r w:rsidRPr="00133564">
        <w:rPr>
          <w:rFonts w:ascii="Times New Roman" w:hAnsi="Times New Roman" w:cs="Times New Roman"/>
          <w:lang w:val="pt-BR"/>
        </w:rPr>
        <w:t>16</w:t>
      </w:r>
      <w:r w:rsidR="004870AD" w:rsidRPr="00133564">
        <w:rPr>
          <w:rFonts w:ascii="Times New Roman" w:hAnsi="Times New Roman" w:cs="Times New Roman"/>
          <w:lang w:val="pt-BR"/>
        </w:rPr>
        <w:t xml:space="preserve"> </w:t>
      </w:r>
      <w:r w:rsidR="00EF4E0E" w:rsidRPr="00133564">
        <w:rPr>
          <w:rFonts w:ascii="Times New Roman" w:hAnsi="Times New Roman" w:cs="Times New Roman"/>
          <w:lang w:val="pt-BR"/>
        </w:rPr>
        <w:t>agosto</w:t>
      </w:r>
      <w:r w:rsidR="00771DC3" w:rsidRPr="00133564">
        <w:rPr>
          <w:rFonts w:ascii="Times New Roman" w:hAnsi="Times New Roman" w:cs="Times New Roman"/>
          <w:lang w:val="pt-BR"/>
        </w:rPr>
        <w:t xml:space="preserve"> 2024</w:t>
      </w:r>
    </w:p>
    <w:p w14:paraId="792C4E80" w14:textId="6E58A3A9" w:rsidR="00EF4E0E" w:rsidRPr="00133564" w:rsidRDefault="00771DC3" w:rsidP="005F5440">
      <w:pPr>
        <w:widowControl/>
        <w:ind w:left="7360" w:right="-1019"/>
        <w:rPr>
          <w:rFonts w:ascii="Times New Roman" w:hAnsi="Times New Roman" w:cs="Times New Roman"/>
          <w:lang w:val="es-ES"/>
        </w:rPr>
      </w:pPr>
      <w:r w:rsidRPr="00133564">
        <w:rPr>
          <w:rFonts w:ascii="Times New Roman" w:hAnsi="Times New Roman" w:cs="Times New Roman"/>
          <w:lang w:val="es-ES"/>
        </w:rPr>
        <w:t xml:space="preserve">Original: </w:t>
      </w:r>
      <w:r w:rsidR="00EF4E0E" w:rsidRPr="00133564">
        <w:rPr>
          <w:rFonts w:ascii="Times New Roman" w:hAnsi="Times New Roman" w:cs="Times New Roman"/>
          <w:lang w:val="es-ES"/>
        </w:rPr>
        <w:t>inglés</w:t>
      </w:r>
    </w:p>
    <w:p w14:paraId="5742D8EB" w14:textId="77777777" w:rsidR="00F070E1" w:rsidRPr="00133564" w:rsidRDefault="00F070E1" w:rsidP="005F5440">
      <w:pPr>
        <w:widowControl/>
        <w:ind w:right="-1019"/>
        <w:rPr>
          <w:rFonts w:ascii="Times New Roman" w:hAnsi="Times New Roman" w:cs="Times New Roman"/>
          <w:lang w:val="es-ES"/>
        </w:rPr>
      </w:pPr>
    </w:p>
    <w:p w14:paraId="26BC237C" w14:textId="77777777" w:rsidR="00F070E1" w:rsidRPr="00133564" w:rsidRDefault="00F070E1" w:rsidP="005F5440">
      <w:pPr>
        <w:widowControl/>
        <w:ind w:right="-1019"/>
        <w:rPr>
          <w:rFonts w:ascii="Times New Roman" w:hAnsi="Times New Roman" w:cs="Times New Roman"/>
          <w:lang w:val="es-ES"/>
        </w:rPr>
      </w:pPr>
    </w:p>
    <w:p w14:paraId="0937CCC6" w14:textId="77777777" w:rsidR="00F070E1" w:rsidRPr="00133564" w:rsidRDefault="00F070E1" w:rsidP="005F5440">
      <w:pPr>
        <w:widowControl/>
        <w:ind w:right="-1019"/>
        <w:rPr>
          <w:rFonts w:ascii="Times New Roman" w:hAnsi="Times New Roman" w:cs="Times New Roman"/>
          <w:lang w:val="es-ES"/>
        </w:rPr>
      </w:pPr>
    </w:p>
    <w:p w14:paraId="67732607" w14:textId="7D9B54D1" w:rsidR="00F070E1" w:rsidRPr="00133564" w:rsidRDefault="00133564" w:rsidP="005F5440">
      <w:pPr>
        <w:widowControl/>
        <w:ind w:right="-29"/>
        <w:jc w:val="center"/>
        <w:rPr>
          <w:rFonts w:ascii="Times New Roman" w:hAnsi="Times New Roman" w:cs="Times New Roman"/>
          <w:lang w:val="es-ES"/>
        </w:rPr>
      </w:pPr>
      <w:r w:rsidRPr="00133564">
        <w:rPr>
          <w:rFonts w:ascii="Times New Roman" w:hAnsi="Times New Roman" w:cs="Times New Roman"/>
          <w:lang w:val="es-ES"/>
        </w:rPr>
        <w:t>CP/RES. 1261 (2508/24)</w:t>
      </w:r>
    </w:p>
    <w:p w14:paraId="03A46085" w14:textId="77777777" w:rsidR="00133564" w:rsidRPr="00133564" w:rsidRDefault="00133564" w:rsidP="005F5440">
      <w:pPr>
        <w:widowControl/>
        <w:ind w:right="-29"/>
        <w:jc w:val="center"/>
        <w:rPr>
          <w:rFonts w:ascii="Times New Roman" w:hAnsi="Times New Roman" w:cs="Times New Roman"/>
          <w:lang w:val="es-ES"/>
        </w:rPr>
      </w:pPr>
    </w:p>
    <w:p w14:paraId="2B338C3B" w14:textId="51D7547C" w:rsidR="00064324" w:rsidRPr="00133564" w:rsidRDefault="00EF4E0E" w:rsidP="005F5440">
      <w:pPr>
        <w:widowControl/>
        <w:jc w:val="center"/>
        <w:rPr>
          <w:rFonts w:ascii="Times New Roman" w:hAnsi="Times New Roman" w:cs="Times New Roman"/>
          <w:vertAlign w:val="superscript"/>
          <w:lang w:val="es-ES"/>
        </w:rPr>
      </w:pPr>
      <w:r w:rsidRPr="00133564">
        <w:rPr>
          <w:rFonts w:ascii="Times New Roman" w:hAnsi="Times New Roman" w:cs="Times New Roman"/>
          <w:lang w:val="es-ES"/>
        </w:rPr>
        <w:t>LA SITUACIÓN EN VENEZUELA</w:t>
      </w:r>
      <w:r w:rsidR="00064324" w:rsidRPr="00133564">
        <w:rPr>
          <w:rStyle w:val="FootnoteReference"/>
          <w:rFonts w:ascii="Times New Roman" w:hAnsi="Times New Roman" w:cs="Times New Roman"/>
          <w:u w:val="single"/>
          <w:lang w:val="es-ES"/>
        </w:rPr>
        <w:footnoteReference w:id="1"/>
      </w:r>
      <w:r w:rsidR="00064324" w:rsidRPr="00133564">
        <w:rPr>
          <w:rFonts w:ascii="Times New Roman" w:hAnsi="Times New Roman" w:cs="Times New Roman"/>
          <w:vertAlign w:val="superscript"/>
          <w:lang w:val="es-ES"/>
        </w:rPr>
        <w:t>/</w:t>
      </w:r>
    </w:p>
    <w:p w14:paraId="739776F1" w14:textId="77777777" w:rsidR="00064324" w:rsidRPr="00133564" w:rsidRDefault="00064324" w:rsidP="005F5440">
      <w:pPr>
        <w:widowControl/>
        <w:jc w:val="center"/>
        <w:rPr>
          <w:rFonts w:ascii="Times New Roman" w:hAnsi="Times New Roman" w:cs="Times New Roman"/>
          <w:vertAlign w:val="superscript"/>
          <w:lang w:val="es-ES"/>
        </w:rPr>
      </w:pPr>
    </w:p>
    <w:p w14:paraId="1B30BD4F" w14:textId="22B418CC" w:rsidR="00634016" w:rsidRPr="00133564" w:rsidRDefault="00064324" w:rsidP="00133564">
      <w:pPr>
        <w:pStyle w:val="Default"/>
        <w:jc w:val="center"/>
        <w:rPr>
          <w:color w:val="auto"/>
          <w:sz w:val="22"/>
          <w:szCs w:val="22"/>
          <w:lang w:val="es-ES"/>
        </w:rPr>
      </w:pPr>
      <w:r w:rsidRPr="00133564">
        <w:rPr>
          <w:color w:val="auto"/>
          <w:sz w:val="22"/>
          <w:szCs w:val="22"/>
          <w:lang w:val="es-ES"/>
        </w:rPr>
        <w:t>(</w:t>
      </w:r>
      <w:r w:rsidR="00133564" w:rsidRPr="00133564">
        <w:rPr>
          <w:color w:val="auto"/>
          <w:sz w:val="22"/>
          <w:szCs w:val="22"/>
          <w:shd w:val="clear" w:color="auto" w:fill="FFFFFF"/>
          <w:lang w:val="es-US"/>
        </w:rPr>
        <w:t xml:space="preserve">Aprobada por el Consejo Permanente en la sesión extraordinaria celebrada el </w:t>
      </w:r>
      <w:r w:rsidR="00133564">
        <w:rPr>
          <w:color w:val="auto"/>
          <w:sz w:val="22"/>
          <w:szCs w:val="22"/>
          <w:shd w:val="clear" w:color="auto" w:fill="FFFFFF"/>
          <w:lang w:val="es-US"/>
        </w:rPr>
        <w:t>16</w:t>
      </w:r>
      <w:r w:rsidR="00133564" w:rsidRPr="00133564">
        <w:rPr>
          <w:color w:val="auto"/>
          <w:sz w:val="22"/>
          <w:szCs w:val="22"/>
          <w:shd w:val="clear" w:color="auto" w:fill="FFFFFF"/>
          <w:lang w:val="es-US"/>
        </w:rPr>
        <w:t xml:space="preserve"> de </w:t>
      </w:r>
      <w:r w:rsidR="00133564">
        <w:rPr>
          <w:color w:val="auto"/>
          <w:sz w:val="22"/>
          <w:szCs w:val="22"/>
          <w:shd w:val="clear" w:color="auto" w:fill="FFFFFF"/>
          <w:lang w:val="es-US"/>
        </w:rPr>
        <w:t>agosto</w:t>
      </w:r>
      <w:r w:rsidR="00133564" w:rsidRPr="00133564">
        <w:rPr>
          <w:color w:val="auto"/>
          <w:sz w:val="22"/>
          <w:szCs w:val="22"/>
          <w:shd w:val="clear" w:color="auto" w:fill="FFFFFF"/>
          <w:lang w:val="es-US"/>
        </w:rPr>
        <w:t xml:space="preserve"> de 2024</w:t>
      </w:r>
      <w:r w:rsidR="00D806DC" w:rsidRPr="00133564">
        <w:rPr>
          <w:color w:val="auto"/>
          <w:sz w:val="22"/>
          <w:szCs w:val="22"/>
          <w:lang w:val="es-ES"/>
        </w:rPr>
        <w:t>)</w:t>
      </w:r>
    </w:p>
    <w:p w14:paraId="6261E36A" w14:textId="77777777" w:rsidR="00064324" w:rsidRPr="00133564" w:rsidRDefault="00064324" w:rsidP="005F5440">
      <w:pPr>
        <w:pStyle w:val="Default"/>
        <w:jc w:val="center"/>
        <w:rPr>
          <w:color w:val="auto"/>
          <w:sz w:val="22"/>
          <w:szCs w:val="22"/>
          <w:lang w:val="es-ES"/>
        </w:rPr>
      </w:pPr>
    </w:p>
    <w:p w14:paraId="31559656" w14:textId="77777777" w:rsidR="00140851" w:rsidRPr="00133564" w:rsidRDefault="00140851" w:rsidP="005F5440">
      <w:pPr>
        <w:widowControl/>
        <w:ind w:firstLine="708"/>
        <w:contextualSpacing/>
        <w:jc w:val="both"/>
        <w:rPr>
          <w:rFonts w:ascii="Times New Roman" w:hAnsi="Times New Roman" w:cs="Times New Roman"/>
          <w:lang w:val="es-ES"/>
        </w:rPr>
      </w:pPr>
    </w:p>
    <w:p w14:paraId="23781215" w14:textId="4A36BF4C" w:rsidR="005F3BF5" w:rsidRPr="00133564" w:rsidRDefault="005F3BF5" w:rsidP="005F5440">
      <w:pPr>
        <w:widowControl/>
        <w:ind w:firstLine="708"/>
        <w:contextualSpacing/>
        <w:jc w:val="both"/>
        <w:rPr>
          <w:rFonts w:ascii="Times New Roman" w:hAnsi="Times New Roman" w:cs="Times New Roman"/>
          <w:lang w:val="es-ES"/>
        </w:rPr>
      </w:pPr>
      <w:r w:rsidRPr="00133564">
        <w:rPr>
          <w:rFonts w:ascii="Times New Roman" w:hAnsi="Times New Roman" w:cs="Times New Roman"/>
          <w:lang w:val="es-ES"/>
        </w:rPr>
        <w:t xml:space="preserve">EL CONSEJO PERMANENTE DE LA ORGANIZACIÓN DE LOS ESTADOS AMERICANOS, </w:t>
      </w:r>
    </w:p>
    <w:p w14:paraId="505A8160" w14:textId="77777777" w:rsidR="005F3BF5" w:rsidRPr="00133564" w:rsidRDefault="005F3BF5" w:rsidP="005F5440">
      <w:pPr>
        <w:widowControl/>
        <w:contextualSpacing/>
        <w:jc w:val="both"/>
        <w:rPr>
          <w:rFonts w:ascii="Times New Roman" w:hAnsi="Times New Roman" w:cs="Times New Roman"/>
          <w:lang w:val="es-ES"/>
        </w:rPr>
      </w:pPr>
    </w:p>
    <w:p w14:paraId="3B22203C" w14:textId="6DA525CA" w:rsidR="005F3BF5" w:rsidRPr="00133564" w:rsidRDefault="005F3BF5" w:rsidP="005F5440">
      <w:pPr>
        <w:widowControl/>
        <w:ind w:firstLine="708"/>
        <w:contextualSpacing/>
        <w:jc w:val="both"/>
        <w:rPr>
          <w:rFonts w:ascii="Times New Roman" w:hAnsi="Times New Roman" w:cs="Times New Roman"/>
          <w:lang w:val="es-ES"/>
        </w:rPr>
      </w:pPr>
      <w:r w:rsidRPr="00133564">
        <w:rPr>
          <w:rFonts w:ascii="Times New Roman" w:hAnsi="Times New Roman" w:cs="Times New Roman"/>
          <w:lang w:val="es-ES"/>
        </w:rPr>
        <w:t>TENIENDO PRESENTES los principios y propósitos consagrados en la Cart</w:t>
      </w:r>
      <w:r w:rsidR="008B30B5" w:rsidRPr="00133564">
        <w:rPr>
          <w:rFonts w:ascii="Times New Roman" w:hAnsi="Times New Roman" w:cs="Times New Roman"/>
          <w:lang w:val="es-ES"/>
        </w:rPr>
        <w:t xml:space="preserve">a </w:t>
      </w:r>
      <w:r w:rsidRPr="00133564">
        <w:rPr>
          <w:rFonts w:ascii="Times New Roman" w:hAnsi="Times New Roman" w:cs="Times New Roman"/>
          <w:lang w:val="es-ES"/>
        </w:rPr>
        <w:t>de la Organización de los Estados Americanos, que manifiestan el compromiso de los Estados Miembros de defender la democracia, los derechos humanos, la solución pacífica de controversias y el respeto del derecho internacional;</w:t>
      </w:r>
    </w:p>
    <w:p w14:paraId="273B67E7" w14:textId="77777777" w:rsidR="005F3BF5" w:rsidRPr="00133564" w:rsidRDefault="005F3BF5" w:rsidP="005F5440">
      <w:pPr>
        <w:widowControl/>
        <w:contextualSpacing/>
        <w:jc w:val="both"/>
        <w:rPr>
          <w:rFonts w:ascii="Times New Roman" w:hAnsi="Times New Roman" w:cs="Times New Roman"/>
          <w:lang w:val="es-ES"/>
        </w:rPr>
      </w:pPr>
    </w:p>
    <w:p w14:paraId="2D0DD50C" w14:textId="7F8E09D1" w:rsidR="005F3BF5" w:rsidRPr="00133564" w:rsidRDefault="005F3BF5" w:rsidP="005F5440">
      <w:pPr>
        <w:widowControl/>
        <w:ind w:firstLine="708"/>
        <w:contextualSpacing/>
        <w:jc w:val="both"/>
        <w:rPr>
          <w:rFonts w:ascii="Times New Roman" w:hAnsi="Times New Roman" w:cs="Times New Roman"/>
          <w:lang w:val="es-ES"/>
        </w:rPr>
      </w:pPr>
      <w:r w:rsidRPr="00133564">
        <w:rPr>
          <w:rFonts w:ascii="Times New Roman" w:hAnsi="Times New Roman" w:cs="Times New Roman"/>
          <w:lang w:val="es-ES"/>
        </w:rPr>
        <w:tab/>
        <w:t xml:space="preserve">RECONOCIENDO que el </w:t>
      </w:r>
      <w:r w:rsidR="008B30B5" w:rsidRPr="00133564">
        <w:rPr>
          <w:rFonts w:ascii="Times New Roman" w:hAnsi="Times New Roman" w:cs="Times New Roman"/>
          <w:lang w:val="es-ES"/>
        </w:rPr>
        <w:t>a</w:t>
      </w:r>
      <w:r w:rsidRPr="00133564">
        <w:rPr>
          <w:rFonts w:ascii="Times New Roman" w:hAnsi="Times New Roman" w:cs="Times New Roman"/>
          <w:lang w:val="es-ES"/>
        </w:rPr>
        <w:t>rtículo 2 de la Carta Democrática Interamericana establece que “el ejercicio efectivo de la democracia representativa es la base del estado de derecho…”;</w:t>
      </w:r>
    </w:p>
    <w:p w14:paraId="06B2F5D2" w14:textId="77777777" w:rsidR="005F3BF5" w:rsidRPr="00133564" w:rsidRDefault="005F3BF5" w:rsidP="005F5440">
      <w:pPr>
        <w:widowControl/>
        <w:contextualSpacing/>
        <w:jc w:val="both"/>
        <w:rPr>
          <w:rFonts w:ascii="Times New Roman" w:hAnsi="Times New Roman" w:cs="Times New Roman"/>
          <w:lang w:val="es-ES"/>
        </w:rPr>
      </w:pPr>
    </w:p>
    <w:p w14:paraId="1A8D1F35" w14:textId="49F74DEC" w:rsidR="005F3BF5" w:rsidRPr="00133564" w:rsidRDefault="005F3BF5" w:rsidP="005F5440">
      <w:pPr>
        <w:widowControl/>
        <w:ind w:firstLine="708"/>
        <w:contextualSpacing/>
        <w:jc w:val="both"/>
        <w:rPr>
          <w:rFonts w:ascii="Times New Roman" w:hAnsi="Times New Roman" w:cs="Times New Roman"/>
          <w:lang w:val="es-ES"/>
        </w:rPr>
      </w:pPr>
      <w:r w:rsidRPr="00133564">
        <w:rPr>
          <w:rFonts w:ascii="Times New Roman" w:hAnsi="Times New Roman" w:cs="Times New Roman"/>
          <w:lang w:val="es-ES"/>
        </w:rPr>
        <w:t xml:space="preserve">RECONOCIENDO TAMBIÉN que el </w:t>
      </w:r>
      <w:r w:rsidR="008B30B5" w:rsidRPr="00133564">
        <w:rPr>
          <w:rFonts w:ascii="Times New Roman" w:hAnsi="Times New Roman" w:cs="Times New Roman"/>
          <w:lang w:val="es-ES"/>
        </w:rPr>
        <w:t>a</w:t>
      </w:r>
      <w:r w:rsidRPr="00133564">
        <w:rPr>
          <w:rFonts w:ascii="Times New Roman" w:hAnsi="Times New Roman" w:cs="Times New Roman"/>
          <w:lang w:val="es-ES"/>
        </w:rPr>
        <w:t>rtículo 3 de la Carta Democrática Interamericana establece que “son elementos esenciales de la democracia representativa, entre otros, (…) la celebración de elecciones periódicas, libres y justas y basadas en el sufragio universal y secreto como expresión de la soberanía del pueblo…”;</w:t>
      </w:r>
    </w:p>
    <w:p w14:paraId="32F2E449" w14:textId="77777777" w:rsidR="005F3BF5" w:rsidRPr="00133564" w:rsidRDefault="005F3BF5" w:rsidP="005F5440">
      <w:pPr>
        <w:widowControl/>
        <w:contextualSpacing/>
        <w:jc w:val="both"/>
        <w:rPr>
          <w:rFonts w:ascii="Times New Roman" w:hAnsi="Times New Roman" w:cs="Times New Roman"/>
          <w:lang w:val="es-MX"/>
        </w:rPr>
      </w:pPr>
    </w:p>
    <w:p w14:paraId="2B2C888E" w14:textId="3F031B7F" w:rsidR="005F3BF5" w:rsidRPr="00133564" w:rsidRDefault="005F3BF5" w:rsidP="005F5440">
      <w:pPr>
        <w:widowControl/>
        <w:ind w:firstLine="708"/>
        <w:contextualSpacing/>
        <w:jc w:val="both"/>
        <w:rPr>
          <w:rFonts w:ascii="Times New Roman" w:hAnsi="Times New Roman" w:cs="Times New Roman"/>
          <w:lang w:val="es-ES"/>
        </w:rPr>
      </w:pPr>
      <w:r w:rsidRPr="00133564">
        <w:rPr>
          <w:rFonts w:ascii="Times New Roman" w:hAnsi="Times New Roman" w:cs="Times New Roman"/>
          <w:lang w:val="es-ES"/>
        </w:rPr>
        <w:t xml:space="preserve">RECONOCIENDO ASIMISMO que el </w:t>
      </w:r>
      <w:r w:rsidR="008B30B5" w:rsidRPr="00133564">
        <w:rPr>
          <w:rFonts w:ascii="Times New Roman" w:hAnsi="Times New Roman" w:cs="Times New Roman"/>
          <w:lang w:val="es-ES"/>
        </w:rPr>
        <w:t>a</w:t>
      </w:r>
      <w:r w:rsidRPr="00133564">
        <w:rPr>
          <w:rFonts w:ascii="Times New Roman" w:hAnsi="Times New Roman" w:cs="Times New Roman"/>
          <w:lang w:val="es-ES"/>
        </w:rPr>
        <w:t>rtículo 11 de la Carta Democrática Interamericana establece que “la democracia y el desarrollo económico y social son interdependientes y se refuerzan mutuamente”;</w:t>
      </w:r>
    </w:p>
    <w:p w14:paraId="667F86BA" w14:textId="77777777" w:rsidR="005F3BF5" w:rsidRPr="00133564" w:rsidRDefault="005F3BF5" w:rsidP="005F5440">
      <w:pPr>
        <w:widowControl/>
        <w:contextualSpacing/>
        <w:jc w:val="both"/>
        <w:rPr>
          <w:rFonts w:ascii="Times New Roman" w:hAnsi="Times New Roman" w:cs="Times New Roman"/>
          <w:lang w:val="es-ES"/>
        </w:rPr>
      </w:pPr>
    </w:p>
    <w:p w14:paraId="456070ED" w14:textId="1DC56BC4" w:rsidR="005F3BF5" w:rsidRPr="00133564" w:rsidRDefault="005F3BF5" w:rsidP="005F5440">
      <w:pPr>
        <w:widowControl/>
        <w:ind w:firstLine="708"/>
        <w:contextualSpacing/>
        <w:jc w:val="both"/>
        <w:rPr>
          <w:rFonts w:ascii="Times New Roman" w:hAnsi="Times New Roman" w:cs="Times New Roman"/>
          <w:lang w:val="es-ES"/>
        </w:rPr>
      </w:pPr>
      <w:r w:rsidRPr="00133564">
        <w:rPr>
          <w:rFonts w:ascii="Times New Roman" w:hAnsi="Times New Roman" w:cs="Times New Roman"/>
          <w:lang w:val="es-ES"/>
        </w:rPr>
        <w:t xml:space="preserve">REAFIRMANDO el propósito esencial de la Organización de los Estados Americanos de promover y consolidar la democracia representativa, con el debido respeto al principio de no intervención, expresado en el literal b) del </w:t>
      </w:r>
      <w:r w:rsidR="006E1E17" w:rsidRPr="00133564">
        <w:rPr>
          <w:rFonts w:ascii="Times New Roman" w:hAnsi="Times New Roman" w:cs="Times New Roman"/>
          <w:lang w:val="es-ES"/>
        </w:rPr>
        <w:t>a</w:t>
      </w:r>
      <w:r w:rsidRPr="00133564">
        <w:rPr>
          <w:rFonts w:ascii="Times New Roman" w:hAnsi="Times New Roman" w:cs="Times New Roman"/>
          <w:lang w:val="es-ES"/>
        </w:rPr>
        <w:t>rtículo 2 de la Carta de la Organización;</w:t>
      </w:r>
    </w:p>
    <w:p w14:paraId="1FD90865" w14:textId="77777777" w:rsidR="005F3BF5" w:rsidRPr="00133564" w:rsidRDefault="005F3BF5" w:rsidP="005F5440">
      <w:pPr>
        <w:widowControl/>
        <w:contextualSpacing/>
        <w:jc w:val="both"/>
        <w:rPr>
          <w:rFonts w:ascii="Times New Roman" w:hAnsi="Times New Roman" w:cs="Times New Roman"/>
          <w:lang w:val="es-ES"/>
        </w:rPr>
      </w:pPr>
    </w:p>
    <w:p w14:paraId="6423CB6D" w14:textId="77777777" w:rsidR="005F3BF5" w:rsidRPr="00133564" w:rsidRDefault="005F3BF5" w:rsidP="005F5440">
      <w:pPr>
        <w:widowControl/>
        <w:ind w:firstLine="708"/>
        <w:contextualSpacing/>
        <w:jc w:val="both"/>
        <w:rPr>
          <w:rFonts w:ascii="Times New Roman" w:hAnsi="Times New Roman" w:cs="Times New Roman"/>
          <w:lang w:val="es-ES"/>
        </w:rPr>
      </w:pPr>
      <w:r w:rsidRPr="00133564">
        <w:rPr>
          <w:rFonts w:ascii="Times New Roman" w:hAnsi="Times New Roman" w:cs="Times New Roman"/>
          <w:lang w:val="es-ES"/>
        </w:rPr>
        <w:t>NOTANDO CON PREOCUPACIÓN los informes de serias irregularidades y violencia relacionadas con el proceso electoral en la República Bolivariana de Venezuela, posteriormente a las elecciones celebradas el 28 de julio de 2024;</w:t>
      </w:r>
    </w:p>
    <w:p w14:paraId="0692A52F" w14:textId="77777777" w:rsidR="00133564" w:rsidRDefault="00133564" w:rsidP="005F5440">
      <w:pPr>
        <w:widowControl/>
        <w:ind w:firstLine="708"/>
        <w:contextualSpacing/>
        <w:jc w:val="both"/>
        <w:rPr>
          <w:rFonts w:ascii="Times New Roman" w:hAnsi="Times New Roman" w:cs="Times New Roman"/>
          <w:lang w:val="es-ES"/>
        </w:rPr>
      </w:pPr>
    </w:p>
    <w:p w14:paraId="510ED248" w14:textId="4CD0EFF7" w:rsidR="005F3BF5" w:rsidRPr="00133564" w:rsidRDefault="005F3BF5" w:rsidP="005F5440">
      <w:pPr>
        <w:widowControl/>
        <w:ind w:firstLine="708"/>
        <w:contextualSpacing/>
        <w:jc w:val="both"/>
        <w:rPr>
          <w:rFonts w:ascii="Times New Roman" w:hAnsi="Times New Roman" w:cs="Times New Roman"/>
          <w:lang w:val="es-ES"/>
        </w:rPr>
      </w:pPr>
      <w:r w:rsidRPr="00133564">
        <w:rPr>
          <w:rFonts w:ascii="Times New Roman" w:hAnsi="Times New Roman" w:cs="Times New Roman"/>
          <w:lang w:val="es-ES"/>
        </w:rPr>
        <w:t>REAFIRMANDO que mantener la paz social y proteger la vida humana y las libertades fundamentales debe ser la prioridad;</w:t>
      </w:r>
      <w:r w:rsidR="00A825F3" w:rsidRPr="00133564">
        <w:rPr>
          <w:rFonts w:ascii="Times New Roman" w:hAnsi="Times New Roman" w:cs="Times New Roman"/>
          <w:lang w:val="es-ES"/>
        </w:rPr>
        <w:t xml:space="preserve"> y</w:t>
      </w:r>
    </w:p>
    <w:p w14:paraId="70714178" w14:textId="77777777" w:rsidR="00233350" w:rsidRPr="00133564" w:rsidRDefault="00233350" w:rsidP="005F5440">
      <w:pPr>
        <w:widowControl/>
        <w:ind w:firstLine="708"/>
        <w:contextualSpacing/>
        <w:jc w:val="both"/>
        <w:rPr>
          <w:rFonts w:ascii="Times New Roman" w:hAnsi="Times New Roman" w:cs="Times New Roman"/>
          <w:lang w:val="es-ES"/>
        </w:rPr>
      </w:pPr>
    </w:p>
    <w:p w14:paraId="278365C9" w14:textId="77777777" w:rsidR="005F3BF5" w:rsidRPr="00133564" w:rsidRDefault="005F3BF5" w:rsidP="005F5440">
      <w:pPr>
        <w:widowControl/>
        <w:ind w:firstLine="708"/>
        <w:contextualSpacing/>
        <w:jc w:val="both"/>
        <w:rPr>
          <w:rFonts w:ascii="Times New Roman" w:hAnsi="Times New Roman" w:cs="Times New Roman"/>
          <w:lang w:val="es-ES"/>
        </w:rPr>
      </w:pPr>
      <w:r w:rsidRPr="00133564">
        <w:rPr>
          <w:rFonts w:ascii="Times New Roman" w:hAnsi="Times New Roman" w:cs="Times New Roman"/>
          <w:lang w:val="es-ES"/>
        </w:rPr>
        <w:lastRenderedPageBreak/>
        <w:t>RECORDANDO los acuerdos alcanzados por los partidos políticos de Venezuela en el Proceso de Diálogo Integral e Incremental del Memorando de Entendimiento firmado en la Ciudad de México el 13 de agosto de 2021, así como el Acuerdo Parcial sobre la Promoción de los Derechos Políticos y las Garantías Electorales para Todos firmado en Barbados el 17 de octubre de 2023,</w:t>
      </w:r>
    </w:p>
    <w:p w14:paraId="76E49B52" w14:textId="77777777" w:rsidR="005F3BF5" w:rsidRPr="00133564" w:rsidRDefault="005F3BF5" w:rsidP="005F5440">
      <w:pPr>
        <w:widowControl/>
        <w:contextualSpacing/>
        <w:jc w:val="both"/>
        <w:rPr>
          <w:rFonts w:ascii="Times New Roman" w:hAnsi="Times New Roman" w:cs="Times New Roman"/>
          <w:lang w:val="es-ES"/>
        </w:rPr>
      </w:pPr>
    </w:p>
    <w:p w14:paraId="3B2787AF" w14:textId="77777777" w:rsidR="005F3BF5" w:rsidRPr="00133564" w:rsidRDefault="005F3BF5" w:rsidP="005F5440">
      <w:pPr>
        <w:widowControl/>
        <w:contextualSpacing/>
        <w:jc w:val="both"/>
        <w:rPr>
          <w:rFonts w:ascii="Times New Roman" w:hAnsi="Times New Roman" w:cs="Times New Roman"/>
          <w:lang w:val="es-ES"/>
        </w:rPr>
      </w:pPr>
      <w:r w:rsidRPr="00133564">
        <w:rPr>
          <w:rFonts w:ascii="Times New Roman" w:hAnsi="Times New Roman" w:cs="Times New Roman"/>
          <w:lang w:val="es-ES"/>
        </w:rPr>
        <w:t>RESUELVE:</w:t>
      </w:r>
    </w:p>
    <w:p w14:paraId="768D17D1" w14:textId="77777777" w:rsidR="005F3BF5" w:rsidRPr="00133564" w:rsidRDefault="005F3BF5" w:rsidP="005F5440">
      <w:pPr>
        <w:widowControl/>
        <w:jc w:val="both"/>
        <w:rPr>
          <w:rFonts w:ascii="Times New Roman" w:hAnsi="Times New Roman" w:cs="Times New Roman"/>
          <w:b/>
          <w:bCs/>
          <w:lang w:val="es-ES"/>
        </w:rPr>
      </w:pPr>
    </w:p>
    <w:p w14:paraId="1DD7A590" w14:textId="77777777" w:rsidR="005F3BF5" w:rsidRPr="00133564" w:rsidRDefault="005F3BF5" w:rsidP="005F5440">
      <w:pPr>
        <w:pStyle w:val="ListParagraph"/>
        <w:widowControl/>
        <w:numPr>
          <w:ilvl w:val="0"/>
          <w:numId w:val="4"/>
        </w:numPr>
        <w:autoSpaceDE/>
        <w:autoSpaceDN/>
        <w:ind w:left="0" w:firstLine="720"/>
        <w:contextualSpacing/>
        <w:jc w:val="both"/>
        <w:rPr>
          <w:rFonts w:ascii="Times New Roman" w:hAnsi="Times New Roman" w:cs="Times New Roman"/>
          <w:b/>
          <w:bCs/>
          <w:lang w:val="es-ES"/>
        </w:rPr>
      </w:pPr>
      <w:r w:rsidRPr="00133564">
        <w:rPr>
          <w:rFonts w:ascii="Times New Roman" w:hAnsi="Times New Roman" w:cs="Times New Roman"/>
          <w:lang w:val="es-ES"/>
        </w:rPr>
        <w:t>Reconocer la participación sustancial y pacífica del electorado de Venezuela en las elecciones celebradas el 28 de julio de 2024.</w:t>
      </w:r>
    </w:p>
    <w:p w14:paraId="74F749DE" w14:textId="77777777" w:rsidR="005F3BF5" w:rsidRPr="00133564" w:rsidRDefault="005F3BF5" w:rsidP="005F5440">
      <w:pPr>
        <w:widowControl/>
        <w:jc w:val="both"/>
        <w:rPr>
          <w:rFonts w:ascii="Times New Roman" w:hAnsi="Times New Roman" w:cs="Times New Roman"/>
          <w:b/>
          <w:bCs/>
          <w:lang w:val="es-ES"/>
        </w:rPr>
      </w:pPr>
    </w:p>
    <w:p w14:paraId="4DD9D191" w14:textId="77777777" w:rsidR="005F3BF5" w:rsidRPr="00133564" w:rsidRDefault="005F3BF5" w:rsidP="005F5440">
      <w:pPr>
        <w:pStyle w:val="ListParagraph"/>
        <w:widowControl/>
        <w:numPr>
          <w:ilvl w:val="0"/>
          <w:numId w:val="4"/>
        </w:numPr>
        <w:autoSpaceDE/>
        <w:autoSpaceDN/>
        <w:ind w:left="0" w:firstLine="720"/>
        <w:contextualSpacing/>
        <w:jc w:val="both"/>
        <w:rPr>
          <w:rFonts w:ascii="Times New Roman" w:hAnsi="Times New Roman" w:cs="Times New Roman"/>
          <w:lang w:val="es-ES"/>
        </w:rPr>
      </w:pPr>
      <w:r w:rsidRPr="00133564">
        <w:rPr>
          <w:rFonts w:ascii="Times New Roman" w:hAnsi="Times New Roman" w:cs="Times New Roman"/>
          <w:lang w:val="es-ES"/>
        </w:rPr>
        <w:t xml:space="preserve">Insistir con la mayor firmeza que el respeto de los derechos humanos y las libertades fundamentales, el derecho a la vida, a la libertad y a la seguridad de la persona, especialmente el derecho a reunirse pacíficamente y al ejercicio pleno de los derechos civiles y políticos sin represalias, el derecho a no ser sometido a detenciones ni encarcelamientos arbitrarios, y el derecho a juicio imparcial sea una prioridad absoluta y una obligación para Venezuela así como para todos los Estados de las Américas. </w:t>
      </w:r>
    </w:p>
    <w:p w14:paraId="384994B2" w14:textId="77777777" w:rsidR="005F3BF5" w:rsidRPr="00133564" w:rsidRDefault="005F3BF5" w:rsidP="005F5440">
      <w:pPr>
        <w:widowControl/>
        <w:jc w:val="both"/>
        <w:rPr>
          <w:rFonts w:ascii="Times New Roman" w:hAnsi="Times New Roman" w:cs="Times New Roman"/>
          <w:lang w:val="es-ES"/>
        </w:rPr>
      </w:pPr>
    </w:p>
    <w:p w14:paraId="79DA5584" w14:textId="77777777" w:rsidR="005F3BF5" w:rsidRPr="00133564" w:rsidRDefault="005F3BF5" w:rsidP="005F5440">
      <w:pPr>
        <w:pStyle w:val="ListParagraph"/>
        <w:widowControl/>
        <w:numPr>
          <w:ilvl w:val="0"/>
          <w:numId w:val="4"/>
        </w:numPr>
        <w:autoSpaceDE/>
        <w:autoSpaceDN/>
        <w:ind w:left="0" w:firstLine="720"/>
        <w:contextualSpacing/>
        <w:jc w:val="both"/>
        <w:rPr>
          <w:rFonts w:ascii="Times New Roman" w:hAnsi="Times New Roman" w:cs="Times New Roman"/>
          <w:lang w:val="es-ES"/>
        </w:rPr>
      </w:pPr>
      <w:r w:rsidRPr="00133564">
        <w:rPr>
          <w:rFonts w:ascii="Times New Roman" w:hAnsi="Times New Roman" w:cs="Times New Roman"/>
          <w:lang w:val="es-ES"/>
        </w:rPr>
        <w:t>Llamar a todas las partes interesadas, actores políticos y sociales, con inclusión de las autoridades en Venezuela, a abstenerse de cualquier conducta que pueda comprometer la construcción de una salida pacífica de esta crisis, respetando la voluntad soberana del electorado venezolano.</w:t>
      </w:r>
    </w:p>
    <w:p w14:paraId="480F9586" w14:textId="77777777" w:rsidR="005F3BF5" w:rsidRPr="00133564" w:rsidRDefault="005F3BF5" w:rsidP="005F5440">
      <w:pPr>
        <w:widowControl/>
        <w:jc w:val="both"/>
        <w:rPr>
          <w:rFonts w:ascii="Times New Roman" w:eastAsia="Times New Roman" w:hAnsi="Times New Roman" w:cs="Times New Roman"/>
          <w:lang w:val="es-ES" w:eastAsia="es-ES"/>
        </w:rPr>
      </w:pPr>
    </w:p>
    <w:p w14:paraId="18E8172A" w14:textId="77777777" w:rsidR="005F3BF5" w:rsidRPr="00133564" w:rsidRDefault="005F3BF5" w:rsidP="005F5440">
      <w:pPr>
        <w:pStyle w:val="ListParagraph"/>
        <w:widowControl/>
        <w:numPr>
          <w:ilvl w:val="0"/>
          <w:numId w:val="4"/>
        </w:numPr>
        <w:autoSpaceDE/>
        <w:autoSpaceDN/>
        <w:ind w:left="0" w:firstLine="720"/>
        <w:contextualSpacing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133564">
        <w:rPr>
          <w:rFonts w:ascii="Times New Roman" w:hAnsi="Times New Roman" w:cs="Times New Roman"/>
          <w:lang w:val="es-ES" w:eastAsia="es-ES"/>
        </w:rPr>
        <w:t xml:space="preserve">Solicitar a las autoridades de la República Bolivariana de Venezuela que protejan las instalaciones </w:t>
      </w:r>
      <w:r w:rsidRPr="00133564">
        <w:rPr>
          <w:rFonts w:ascii="Times New Roman" w:hAnsi="Times New Roman" w:cs="Times New Roman"/>
          <w:lang w:val="es-ES"/>
        </w:rPr>
        <w:t>diplomáticas</w:t>
      </w:r>
      <w:r w:rsidRPr="00133564">
        <w:rPr>
          <w:rFonts w:ascii="Times New Roman" w:hAnsi="Times New Roman" w:cs="Times New Roman"/>
          <w:lang w:val="es-ES" w:eastAsia="es-ES"/>
        </w:rPr>
        <w:t xml:space="preserve"> y al personal residente en territorio venezolano, incluidas las personas que soliciten asilo en dichas instalaciones, de conformidad con el derecho internacional, y en particular con la Convención de Viena sobre Relaciones Diplomáticas y la Convención de Viena sobre Relaciones Consulares.</w:t>
      </w:r>
    </w:p>
    <w:p w14:paraId="1ACD65CD" w14:textId="77777777" w:rsidR="005F3BF5" w:rsidRPr="00133564" w:rsidRDefault="005F3BF5" w:rsidP="005F5440">
      <w:pPr>
        <w:widowControl/>
        <w:contextualSpacing/>
        <w:jc w:val="both"/>
        <w:rPr>
          <w:rFonts w:ascii="Times New Roman" w:hAnsi="Times New Roman" w:cs="Times New Roman"/>
          <w:lang w:val="es-ES"/>
        </w:rPr>
      </w:pPr>
    </w:p>
    <w:p w14:paraId="54C71E25" w14:textId="77777777" w:rsidR="005F3BF5" w:rsidRPr="00133564" w:rsidRDefault="005F3BF5" w:rsidP="005F5440">
      <w:pPr>
        <w:pStyle w:val="ListParagraph"/>
        <w:widowControl/>
        <w:numPr>
          <w:ilvl w:val="0"/>
          <w:numId w:val="4"/>
        </w:numPr>
        <w:autoSpaceDE/>
        <w:autoSpaceDN/>
        <w:ind w:left="0" w:firstLine="720"/>
        <w:contextualSpacing/>
        <w:jc w:val="both"/>
        <w:rPr>
          <w:rFonts w:ascii="Times New Roman" w:hAnsi="Times New Roman" w:cs="Times New Roman"/>
          <w:lang w:val="es-ES"/>
        </w:rPr>
      </w:pPr>
      <w:r w:rsidRPr="00133564">
        <w:rPr>
          <w:rFonts w:ascii="Times New Roman" w:hAnsi="Times New Roman" w:cs="Times New Roman"/>
          <w:lang w:val="es-ES"/>
        </w:rPr>
        <w:t>Resaltar la importancia de proteger y preservar todos los equipos utilizados en el proceso electoral, incluyendo todas las actas y resultados impresos, a fin de salvaguardar toda la cadena de custodia del proceso de votación.</w:t>
      </w:r>
    </w:p>
    <w:p w14:paraId="75DC65E1" w14:textId="77777777" w:rsidR="005F3BF5" w:rsidRPr="00133564" w:rsidRDefault="005F3BF5" w:rsidP="005F5440">
      <w:pPr>
        <w:widowControl/>
        <w:contextualSpacing/>
        <w:jc w:val="both"/>
        <w:rPr>
          <w:rFonts w:ascii="Times New Roman" w:hAnsi="Times New Roman" w:cs="Times New Roman"/>
          <w:b/>
          <w:bCs/>
          <w:lang w:val="es-ES"/>
        </w:rPr>
      </w:pPr>
    </w:p>
    <w:p w14:paraId="233D4CEB" w14:textId="77777777" w:rsidR="005F3BF5" w:rsidRPr="00133564" w:rsidRDefault="005F3BF5" w:rsidP="005F5440">
      <w:pPr>
        <w:pStyle w:val="ListParagraph"/>
        <w:widowControl/>
        <w:numPr>
          <w:ilvl w:val="0"/>
          <w:numId w:val="4"/>
        </w:numPr>
        <w:autoSpaceDE/>
        <w:autoSpaceDN/>
        <w:ind w:left="0" w:firstLine="720"/>
        <w:contextualSpacing/>
        <w:jc w:val="both"/>
        <w:rPr>
          <w:rFonts w:ascii="Times New Roman" w:hAnsi="Times New Roman" w:cs="Times New Roman"/>
          <w:b/>
          <w:bCs/>
          <w:lang w:val="es-ES"/>
        </w:rPr>
      </w:pPr>
      <w:r w:rsidRPr="00133564">
        <w:rPr>
          <w:rFonts w:ascii="Times New Roman" w:hAnsi="Times New Roman" w:cs="Times New Roman"/>
          <w:lang w:val="es-ES"/>
        </w:rPr>
        <w:t>Instar al Consejo Nacional Electoral de la República Bolivariana de Venezuela a que: (a) publique de manera expedita las actas con los resultados de la votación de las elecciones presidenciales a nivel de cada mesa electoral, y (b) respete el principio fundamental de la soberanía popular a través de una verificación imparcial de los resultados que garantice la transparencia, credibilidad y legitimidad del proceso electoral.</w:t>
      </w:r>
    </w:p>
    <w:p w14:paraId="01BCA7AB" w14:textId="77777777" w:rsidR="005F3BF5" w:rsidRPr="00133564" w:rsidRDefault="005F3BF5" w:rsidP="005F5440">
      <w:pPr>
        <w:widowControl/>
        <w:jc w:val="both"/>
        <w:rPr>
          <w:rFonts w:ascii="Times New Roman" w:hAnsi="Times New Roman" w:cs="Times New Roman"/>
          <w:b/>
          <w:bCs/>
          <w:lang w:val="es-ES"/>
        </w:rPr>
      </w:pPr>
    </w:p>
    <w:p w14:paraId="137CE8A4" w14:textId="4A86AFC2" w:rsidR="00AA2783" w:rsidRPr="00133564" w:rsidRDefault="005F3BF5" w:rsidP="005F5440">
      <w:pPr>
        <w:pStyle w:val="ListParagraph"/>
        <w:widowControl/>
        <w:numPr>
          <w:ilvl w:val="0"/>
          <w:numId w:val="4"/>
        </w:numPr>
        <w:autoSpaceDE/>
        <w:autoSpaceDN/>
        <w:ind w:left="0" w:firstLine="720"/>
        <w:contextualSpacing/>
        <w:jc w:val="both"/>
        <w:rPr>
          <w:rFonts w:ascii="Times New Roman" w:eastAsiaTheme="minorHAnsi" w:hAnsi="Times New Roman" w:cs="Times New Roman"/>
          <w:kern w:val="2"/>
          <w:lang w:val="es-ES"/>
          <w14:ligatures w14:val="standardContextual"/>
        </w:rPr>
      </w:pPr>
      <w:r w:rsidRPr="00133564">
        <w:rPr>
          <w:rFonts w:ascii="Times New Roman" w:hAnsi="Times New Roman" w:cs="Times New Roman"/>
          <w:lang w:val="es-ES"/>
        </w:rPr>
        <w:t>Expresar solidaridad con el pueblo venezolano y comprometerse a permanecer atento a la situación en la República Bolivariana de Venezuela.</w:t>
      </w:r>
      <w:r w:rsidR="00AA2783" w:rsidRPr="00133564">
        <w:rPr>
          <w:rFonts w:ascii="Times New Roman" w:hAnsi="Times New Roman" w:cs="Times New Roman"/>
          <w:lang w:val="es-ES"/>
        </w:rPr>
        <w:br w:type="page"/>
      </w:r>
    </w:p>
    <w:p w14:paraId="7F1D1991" w14:textId="77777777" w:rsidR="005F3BF5" w:rsidRPr="00133564" w:rsidRDefault="005F3BF5" w:rsidP="005F5440">
      <w:pPr>
        <w:widowControl/>
        <w:jc w:val="center"/>
        <w:rPr>
          <w:rFonts w:ascii="Times New Roman" w:hAnsi="Times New Roman" w:cs="Times New Roman"/>
          <w:lang w:val="es-ES"/>
        </w:rPr>
      </w:pPr>
      <w:r w:rsidRPr="00133564">
        <w:rPr>
          <w:rFonts w:ascii="Times New Roman" w:hAnsi="Times New Roman" w:cs="Times New Roman"/>
          <w:lang w:val="es-ES"/>
        </w:rPr>
        <w:lastRenderedPageBreak/>
        <w:t>NOTA A PIE DE PÁGINA</w:t>
      </w:r>
    </w:p>
    <w:p w14:paraId="1A6ADB45" w14:textId="77777777" w:rsidR="005F3BF5" w:rsidRPr="00133564" w:rsidRDefault="005F3BF5" w:rsidP="005F5440">
      <w:pPr>
        <w:widowControl/>
        <w:rPr>
          <w:rFonts w:ascii="Times New Roman" w:hAnsi="Times New Roman" w:cs="Times New Roman"/>
          <w:lang w:val="es-ES"/>
        </w:rPr>
      </w:pPr>
    </w:p>
    <w:p w14:paraId="106AA8D5" w14:textId="77777777" w:rsidR="005F3BF5" w:rsidRPr="00133564" w:rsidRDefault="005F3BF5" w:rsidP="005F5440">
      <w:pPr>
        <w:widowControl/>
        <w:rPr>
          <w:rFonts w:ascii="Times New Roman" w:hAnsi="Times New Roman" w:cs="Times New Roman"/>
          <w:lang w:val="es-ES"/>
        </w:rPr>
      </w:pPr>
    </w:p>
    <w:p w14:paraId="7BAA84AD" w14:textId="73B29E92" w:rsidR="007E080E" w:rsidRPr="00133564" w:rsidRDefault="00133564" w:rsidP="005F5440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133564">
        <w:rPr>
          <w:rFonts w:ascii="Times New Roman" w:hAnsi="Times New Roman" w:cs="Times New Roman"/>
          <w:sz w:val="20"/>
          <w:szCs w:val="20"/>
          <w:lang w:val="es-ES"/>
        </w:rPr>
        <w:t>1.</w:t>
      </w:r>
      <w:r w:rsidR="005F3BF5" w:rsidRPr="00133564">
        <w:rPr>
          <w:rFonts w:ascii="Times New Roman" w:hAnsi="Times New Roman" w:cs="Times New Roman"/>
          <w:sz w:val="20"/>
          <w:szCs w:val="20"/>
          <w:lang w:val="es-ES"/>
        </w:rPr>
        <w:tab/>
        <w:t>…los países del hemisferio ante la grave situación de vulneración a la voluntad popular en Venezuela y en respaldo a las acciones multilaterales que deben tomarse cuanto antes para garantizar el respeto al sufragio en el Estado venezolano.</w:t>
      </w:r>
      <w:r w:rsidR="009802A6">
        <w:rPr>
          <w:rFonts w:ascii="Times New Roman" w:hAnsi="Times New Roman" w:cs="Times New Roman"/>
          <w:noProof/>
          <w:sz w:val="20"/>
          <w:szCs w:val="20"/>
          <w:lang w:val="es-ES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67A3CAE" wp14:editId="3A0304BA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9D7B701" w14:textId="3A3C92C9" w:rsidR="009802A6" w:rsidRPr="009802A6" w:rsidRDefault="009802A6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</w:rPr>
                              <w:t>CP50245S01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A3C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" filled="f" stroked="f">
                <v:stroke joinstyle="round"/>
                <v:textbox>
                  <w:txbxContent>
                    <w:p w14:paraId="49D7B701" w14:textId="3A3C92C9" w:rsidR="009802A6" w:rsidRPr="009802A6" w:rsidRDefault="009802A6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</w:rPr>
                        <w:t>CP50245S01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7E080E" w:rsidRPr="00133564" w:rsidSect="000F0FAC">
      <w:headerReference w:type="even" r:id="rId10"/>
      <w:headerReference w:type="default" r:id="rId11"/>
      <w:headerReference w:type="first" r:id="rId12"/>
      <w:type w:val="oddPage"/>
      <w:pgSz w:w="12240" w:h="15840" w:code="1"/>
      <w:pgMar w:top="2160" w:right="1570" w:bottom="1296" w:left="1699" w:header="720" w:footer="720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F4000" w14:textId="77777777" w:rsidR="006756FF" w:rsidRDefault="006756FF" w:rsidP="00356E8D">
      <w:r>
        <w:separator/>
      </w:r>
    </w:p>
  </w:endnote>
  <w:endnote w:type="continuationSeparator" w:id="0">
    <w:p w14:paraId="7864A494" w14:textId="77777777" w:rsidR="006756FF" w:rsidRDefault="006756FF" w:rsidP="0035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A29EF" w14:textId="77777777" w:rsidR="006756FF" w:rsidRDefault="006756FF" w:rsidP="00356E8D">
      <w:r>
        <w:separator/>
      </w:r>
    </w:p>
  </w:footnote>
  <w:footnote w:type="continuationSeparator" w:id="0">
    <w:p w14:paraId="08757A8E" w14:textId="77777777" w:rsidR="006756FF" w:rsidRDefault="006756FF" w:rsidP="00356E8D">
      <w:r>
        <w:continuationSeparator/>
      </w:r>
    </w:p>
  </w:footnote>
  <w:footnote w:id="1">
    <w:p w14:paraId="7F9F060D" w14:textId="254760A5" w:rsidR="00064324" w:rsidRPr="005F3BF5" w:rsidRDefault="00064324" w:rsidP="00724D33">
      <w:pPr>
        <w:tabs>
          <w:tab w:val="left" w:pos="360"/>
          <w:tab w:val="left" w:pos="720"/>
        </w:tabs>
        <w:ind w:left="720" w:hanging="360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5F3BF5">
        <w:rPr>
          <w:rStyle w:val="FootnoteReference"/>
          <w:rFonts w:ascii="Times New Roman" w:hAnsi="Times New Roman" w:cs="Times New Roman"/>
          <w:sz w:val="20"/>
          <w:szCs w:val="20"/>
          <w:vertAlign w:val="baseline"/>
          <w:lang w:val="es-ES"/>
        </w:rPr>
        <w:footnoteRef/>
      </w:r>
      <w:r w:rsidRPr="005F3BF5">
        <w:rPr>
          <w:rFonts w:ascii="Times New Roman" w:hAnsi="Times New Roman" w:cs="Times New Roman"/>
          <w:sz w:val="20"/>
          <w:szCs w:val="20"/>
          <w:lang w:val="es-ES"/>
        </w:rPr>
        <w:t>.</w:t>
      </w:r>
      <w:r w:rsidRPr="005F3BF5">
        <w:rPr>
          <w:rFonts w:ascii="Times New Roman" w:hAnsi="Times New Roman" w:cs="Times New Roman"/>
          <w:sz w:val="20"/>
          <w:szCs w:val="20"/>
          <w:lang w:val="es-ES"/>
        </w:rPr>
        <w:tab/>
      </w:r>
      <w:r w:rsidR="005F3BF5" w:rsidRPr="005F3BF5">
        <w:rPr>
          <w:rFonts w:ascii="Times New Roman" w:hAnsi="Times New Roman" w:cs="Times New Roman"/>
          <w:sz w:val="20"/>
          <w:szCs w:val="20"/>
          <w:lang w:val="es-ES"/>
        </w:rPr>
        <w:t>La República de Panamá aclara que ya ha reconocido la victoria electoral del candidato Edmundo González y que su apoyo a esta resolución se da en aras de un mayor entendimiento entre</w:t>
      </w:r>
      <w:r w:rsidRPr="005F3BF5">
        <w:rPr>
          <w:rFonts w:ascii="Times New Roman" w:hAnsi="Times New Roman" w:cs="Times New Roman"/>
          <w:sz w:val="20"/>
          <w:szCs w:val="20"/>
          <w:lang w:val="es-ES"/>
        </w:rPr>
        <w:t>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04163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55C003" w14:textId="64E924C5" w:rsidR="004E6406" w:rsidRDefault="004E6406">
        <w:pPr>
          <w:pStyle w:val="Header"/>
          <w:jc w:val="center"/>
        </w:pPr>
        <w:r w:rsidRPr="00A825F3">
          <w:rPr>
            <w:rFonts w:ascii="Times New Roman" w:hAnsi="Times New Roman" w:cs="Times New Roman"/>
          </w:rPr>
          <w:fldChar w:fldCharType="begin"/>
        </w:r>
        <w:r w:rsidRPr="00A825F3">
          <w:rPr>
            <w:rFonts w:ascii="Times New Roman" w:hAnsi="Times New Roman" w:cs="Times New Roman"/>
          </w:rPr>
          <w:instrText xml:space="preserve"> PAGE   \* MERGEFORMAT </w:instrText>
        </w:r>
        <w:r w:rsidRPr="00A825F3">
          <w:rPr>
            <w:rFonts w:ascii="Times New Roman" w:hAnsi="Times New Roman" w:cs="Times New Roman"/>
          </w:rPr>
          <w:fldChar w:fldCharType="separate"/>
        </w:r>
        <w:r w:rsidRPr="00A825F3">
          <w:rPr>
            <w:rFonts w:ascii="Times New Roman" w:hAnsi="Times New Roman" w:cs="Times New Roman"/>
            <w:noProof/>
          </w:rPr>
          <w:t>2</w:t>
        </w:r>
        <w:r w:rsidRPr="00A825F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FDAF261" w14:textId="77777777" w:rsidR="004E6406" w:rsidRDefault="004E64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8855293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2026D4" w14:textId="7A43E98F" w:rsidR="00817889" w:rsidRPr="00817889" w:rsidRDefault="00817889">
        <w:pPr>
          <w:pStyle w:val="Header"/>
          <w:jc w:val="center"/>
          <w:rPr>
            <w:rFonts w:ascii="Times New Roman" w:hAnsi="Times New Roman" w:cs="Times New Roman"/>
          </w:rPr>
        </w:pPr>
        <w:r w:rsidRPr="00817889">
          <w:rPr>
            <w:rFonts w:ascii="Times New Roman" w:hAnsi="Times New Roman" w:cs="Times New Roman"/>
          </w:rPr>
          <w:fldChar w:fldCharType="begin"/>
        </w:r>
        <w:r w:rsidRPr="00817889">
          <w:rPr>
            <w:rFonts w:ascii="Times New Roman" w:hAnsi="Times New Roman" w:cs="Times New Roman"/>
          </w:rPr>
          <w:instrText xml:space="preserve"> PAGE   \* MERGEFORMAT </w:instrText>
        </w:r>
        <w:r w:rsidRPr="00817889">
          <w:rPr>
            <w:rFonts w:ascii="Times New Roman" w:hAnsi="Times New Roman" w:cs="Times New Roman"/>
          </w:rPr>
          <w:fldChar w:fldCharType="separate"/>
        </w:r>
        <w:r w:rsidRPr="00817889">
          <w:rPr>
            <w:rFonts w:ascii="Times New Roman" w:hAnsi="Times New Roman" w:cs="Times New Roman"/>
            <w:noProof/>
          </w:rPr>
          <w:t>2</w:t>
        </w:r>
        <w:r w:rsidRPr="0081788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46A137E" w14:textId="77777777" w:rsidR="00817889" w:rsidRDefault="008178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08CF" w14:textId="504EA70D" w:rsidR="000F0FAC" w:rsidRDefault="000F0FAC">
    <w:pPr>
      <w:pStyle w:val="Header"/>
      <w:jc w:val="center"/>
    </w:pPr>
  </w:p>
  <w:p w14:paraId="6683B826" w14:textId="4A647B5C" w:rsidR="00EF4E0E" w:rsidRDefault="00EF4E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25605"/>
    <w:multiLevelType w:val="hybridMultilevel"/>
    <w:tmpl w:val="12441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621C5"/>
    <w:multiLevelType w:val="multilevel"/>
    <w:tmpl w:val="D1868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C72D8E"/>
    <w:multiLevelType w:val="multilevel"/>
    <w:tmpl w:val="D1868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A64BC8"/>
    <w:multiLevelType w:val="hybridMultilevel"/>
    <w:tmpl w:val="BB2614B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286334">
    <w:abstractNumId w:val="2"/>
  </w:num>
  <w:num w:numId="2" w16cid:durableId="1223247064">
    <w:abstractNumId w:val="1"/>
  </w:num>
  <w:num w:numId="3" w16cid:durableId="2093966810">
    <w:abstractNumId w:val="3"/>
  </w:num>
  <w:num w:numId="4" w16cid:durableId="142098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oNotTrackFormatting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4E"/>
    <w:rsid w:val="00022519"/>
    <w:rsid w:val="000452A4"/>
    <w:rsid w:val="00064324"/>
    <w:rsid w:val="000D312D"/>
    <w:rsid w:val="000F0FA6"/>
    <w:rsid w:val="000F0FAC"/>
    <w:rsid w:val="00133564"/>
    <w:rsid w:val="00140851"/>
    <w:rsid w:val="00143C4A"/>
    <w:rsid w:val="00160BF5"/>
    <w:rsid w:val="001779BF"/>
    <w:rsid w:val="001A45EE"/>
    <w:rsid w:val="001A609D"/>
    <w:rsid w:val="001B30EC"/>
    <w:rsid w:val="001D4B72"/>
    <w:rsid w:val="00215FAA"/>
    <w:rsid w:val="00216E5C"/>
    <w:rsid w:val="0023289F"/>
    <w:rsid w:val="00233350"/>
    <w:rsid w:val="0026217F"/>
    <w:rsid w:val="00286D65"/>
    <w:rsid w:val="002C10C9"/>
    <w:rsid w:val="002D2A37"/>
    <w:rsid w:val="002D69D2"/>
    <w:rsid w:val="0031775E"/>
    <w:rsid w:val="00320F8E"/>
    <w:rsid w:val="00356E8D"/>
    <w:rsid w:val="003A21D7"/>
    <w:rsid w:val="00406406"/>
    <w:rsid w:val="00435311"/>
    <w:rsid w:val="00435C0F"/>
    <w:rsid w:val="00445C4C"/>
    <w:rsid w:val="004467AA"/>
    <w:rsid w:val="004870AD"/>
    <w:rsid w:val="004A02E2"/>
    <w:rsid w:val="004B0263"/>
    <w:rsid w:val="004C353E"/>
    <w:rsid w:val="004E6406"/>
    <w:rsid w:val="00574383"/>
    <w:rsid w:val="00584D4E"/>
    <w:rsid w:val="00597329"/>
    <w:rsid w:val="005E1847"/>
    <w:rsid w:val="005F3BF5"/>
    <w:rsid w:val="005F5440"/>
    <w:rsid w:val="00634016"/>
    <w:rsid w:val="0064127B"/>
    <w:rsid w:val="0065579B"/>
    <w:rsid w:val="006756FF"/>
    <w:rsid w:val="00685711"/>
    <w:rsid w:val="006A4C72"/>
    <w:rsid w:val="006E1E17"/>
    <w:rsid w:val="00700713"/>
    <w:rsid w:val="00724D33"/>
    <w:rsid w:val="007558F6"/>
    <w:rsid w:val="007630AC"/>
    <w:rsid w:val="00771DC3"/>
    <w:rsid w:val="00772BD7"/>
    <w:rsid w:val="00785902"/>
    <w:rsid w:val="00793818"/>
    <w:rsid w:val="00797FF2"/>
    <w:rsid w:val="007D6484"/>
    <w:rsid w:val="007E080E"/>
    <w:rsid w:val="007F46BB"/>
    <w:rsid w:val="007F70AB"/>
    <w:rsid w:val="00814F2D"/>
    <w:rsid w:val="00817889"/>
    <w:rsid w:val="008302C2"/>
    <w:rsid w:val="00840B4D"/>
    <w:rsid w:val="00855D95"/>
    <w:rsid w:val="00863B37"/>
    <w:rsid w:val="00877840"/>
    <w:rsid w:val="00895D1F"/>
    <w:rsid w:val="008B30B5"/>
    <w:rsid w:val="008D24C1"/>
    <w:rsid w:val="00946E63"/>
    <w:rsid w:val="00975F1E"/>
    <w:rsid w:val="009802A6"/>
    <w:rsid w:val="00A03D84"/>
    <w:rsid w:val="00A0662C"/>
    <w:rsid w:val="00A705D9"/>
    <w:rsid w:val="00A825F3"/>
    <w:rsid w:val="00A86C8D"/>
    <w:rsid w:val="00AA2783"/>
    <w:rsid w:val="00AA441D"/>
    <w:rsid w:val="00AE144F"/>
    <w:rsid w:val="00AF7D50"/>
    <w:rsid w:val="00B5233C"/>
    <w:rsid w:val="00B60E4A"/>
    <w:rsid w:val="00B81FBD"/>
    <w:rsid w:val="00BA3B53"/>
    <w:rsid w:val="00BB375A"/>
    <w:rsid w:val="00BC64C9"/>
    <w:rsid w:val="00BD5A1A"/>
    <w:rsid w:val="00BF4A1D"/>
    <w:rsid w:val="00C239D7"/>
    <w:rsid w:val="00C76681"/>
    <w:rsid w:val="00C9545C"/>
    <w:rsid w:val="00CB7DBD"/>
    <w:rsid w:val="00CC27A9"/>
    <w:rsid w:val="00CF77C7"/>
    <w:rsid w:val="00D22D1F"/>
    <w:rsid w:val="00D25080"/>
    <w:rsid w:val="00D46F5F"/>
    <w:rsid w:val="00D749FA"/>
    <w:rsid w:val="00D806DC"/>
    <w:rsid w:val="00DB0F2C"/>
    <w:rsid w:val="00DD3A0E"/>
    <w:rsid w:val="00DE3CB7"/>
    <w:rsid w:val="00E20ADD"/>
    <w:rsid w:val="00E224DC"/>
    <w:rsid w:val="00E43F60"/>
    <w:rsid w:val="00E559AE"/>
    <w:rsid w:val="00E90070"/>
    <w:rsid w:val="00E92483"/>
    <w:rsid w:val="00EC2CDB"/>
    <w:rsid w:val="00EF4E0E"/>
    <w:rsid w:val="00F0315A"/>
    <w:rsid w:val="00F070E1"/>
    <w:rsid w:val="00F206E6"/>
    <w:rsid w:val="00F409F2"/>
    <w:rsid w:val="00F869C9"/>
    <w:rsid w:val="00FB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C366400"/>
  <w15:docId w15:val="{2A57C41A-F78D-42F4-94EC-E3099753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aliases w:val="Fundamentacion,Bulleted List,SubPárrafo de lista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86C8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C8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97FF2"/>
    <w:pPr>
      <w:widowControl/>
      <w:autoSpaceDE/>
      <w:autoSpaceDN/>
    </w:pPr>
    <w:rPr>
      <w:kern w:val="2"/>
      <w:sz w:val="24"/>
      <w:szCs w:val="24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356E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E8D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356E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E8D"/>
    <w:rPr>
      <w:rFonts w:ascii="Cambria" w:eastAsia="Cambria" w:hAnsi="Cambria" w:cs="Cambria"/>
    </w:rPr>
  </w:style>
  <w:style w:type="paragraph" w:customStyle="1" w:styleId="Default">
    <w:name w:val="Default"/>
    <w:rsid w:val="004870A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870A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5233C"/>
    <w:pPr>
      <w:widowControl/>
      <w:autoSpaceDE/>
      <w:autoSpaceDN/>
    </w:pPr>
    <w:rPr>
      <w:rFonts w:ascii="Cambria" w:eastAsia="Cambria" w:hAnsi="Cambria" w:cs="Cambr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9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9D2"/>
    <w:rPr>
      <w:rFonts w:ascii="Cambria" w:eastAsia="Cambria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69D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5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53E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D5020-1A5B-4490-BA23-6EF5F445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A. Batlle</dc:creator>
  <cp:lastModifiedBy>Mayorga, Georgina</cp:lastModifiedBy>
  <cp:revision>3</cp:revision>
  <dcterms:created xsi:type="dcterms:W3CDTF">2024-08-16T20:21:00Z</dcterms:created>
  <dcterms:modified xsi:type="dcterms:W3CDTF">2024-08-16T20:22:00Z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2024-08-06T00:00:00Z</vt:filetime>
  </property>
  <property fmtid="{D5CDD505-2E9C-101B-9397-08002B2CF9AE}" pid="5" name="Producer">
    <vt:lpwstr>Microsoft® Word 2021</vt:lpwstr>
  </property>
</Properties>
</file>