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71794" w14:textId="4AB04B3F" w:rsidR="00673757" w:rsidRDefault="001C2CF3" w:rsidP="008F187B">
      <w:pPr>
        <w:rPr>
          <w:rFonts w:asciiTheme="minorHAnsi" w:hAnsiTheme="minorHAnsi" w:cstheme="minorHAnsi"/>
          <w:b/>
          <w:noProof/>
          <w:sz w:val="22"/>
          <w:szCs w:val="22"/>
          <w:lang w:val="es-ES"/>
        </w:rPr>
      </w:pPr>
      <w:bookmarkStart w:id="0" w:name="_GoBack"/>
      <w:bookmarkEnd w:id="0"/>
      <w:r w:rsidRPr="00B62815">
        <w:rPr>
          <w:rFonts w:asciiTheme="minorHAnsi" w:hAnsiTheme="minorHAnsi" w:cstheme="minorHAnsi"/>
          <w:b/>
          <w:noProof/>
          <w:sz w:val="22"/>
          <w:szCs w:val="22"/>
        </w:rPr>
        <w:drawing>
          <wp:inline distT="0" distB="0" distL="0" distR="0" wp14:anchorId="279FCED0" wp14:editId="7B54E6C9">
            <wp:extent cx="6359783" cy="8663439"/>
            <wp:effectExtent l="0" t="0" r="3175" b="4445"/>
            <wp:docPr id="88" name="Picture 88" descr="http://oasfiles/sg/osg/Documents/OSG_CDZ/INFORME SG/Informe Anual SG 2019/Cover Spanis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oasfiles/sg/osg/Documents/OSG_CDZ/INFORME SG/Informe Anual SG 2019/Cover Spanish photo.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382986" cy="8695047"/>
                    </a:xfrm>
                    <a:prstGeom prst="rect">
                      <a:avLst/>
                    </a:prstGeom>
                    <a:noFill/>
                    <a:ln>
                      <a:noFill/>
                    </a:ln>
                  </pic:spPr>
                </pic:pic>
              </a:graphicData>
            </a:graphic>
          </wp:inline>
        </w:drawing>
      </w:r>
    </w:p>
    <w:sdt>
      <w:sdtPr>
        <w:rPr>
          <w:rFonts w:ascii="Calibri" w:eastAsia="MS Mincho" w:hAnsi="Calibri"/>
          <w:b w:val="0"/>
          <w:bCs w:val="0"/>
          <w:color w:val="auto"/>
          <w:sz w:val="24"/>
          <w:szCs w:val="24"/>
          <w:lang w:eastAsia="en-US"/>
        </w:rPr>
        <w:id w:val="805900773"/>
        <w:docPartObj>
          <w:docPartGallery w:val="Table of Contents"/>
          <w:docPartUnique/>
        </w:docPartObj>
      </w:sdtPr>
      <w:sdtEndPr>
        <w:rPr>
          <w:noProof/>
        </w:rPr>
      </w:sdtEndPr>
      <w:sdtContent>
        <w:p w14:paraId="7C36E39E" w14:textId="3C3A1305" w:rsidR="00415834" w:rsidRPr="00F43808" w:rsidRDefault="00F43808" w:rsidP="00F43808">
          <w:pPr>
            <w:pStyle w:val="TOCHeading"/>
            <w:jc w:val="center"/>
            <w:rPr>
              <w:rFonts w:asciiTheme="minorHAnsi" w:hAnsiTheme="minorHAnsi" w:cstheme="minorHAnsi"/>
              <w:b w:val="0"/>
              <w:color w:val="auto"/>
              <w:sz w:val="24"/>
              <w:szCs w:val="24"/>
            </w:rPr>
          </w:pPr>
          <w:r w:rsidRPr="00F43808">
            <w:rPr>
              <w:rFonts w:asciiTheme="minorHAnsi" w:hAnsiTheme="minorHAnsi" w:cstheme="minorHAnsi"/>
              <w:b w:val="0"/>
              <w:color w:val="auto"/>
              <w:sz w:val="24"/>
              <w:szCs w:val="24"/>
            </w:rPr>
            <w:t>TABLA DE CONTENIDOS</w:t>
          </w:r>
        </w:p>
        <w:p w14:paraId="62E0B120" w14:textId="77777777" w:rsidR="00F43808" w:rsidRDefault="00F43808">
          <w:pPr>
            <w:pStyle w:val="TOC1"/>
          </w:pPr>
        </w:p>
        <w:p w14:paraId="7159982E" w14:textId="65B0B2B5" w:rsidR="00415834" w:rsidRDefault="00415834">
          <w:pPr>
            <w:pStyle w:val="TOC1"/>
            <w:rPr>
              <w:rFonts w:asciiTheme="minorHAnsi" w:eastAsiaTheme="minorEastAsia" w:hAnsiTheme="minorHAnsi" w:cstheme="minorBidi"/>
              <w:szCs w:val="22"/>
              <w:lang w:val="en-US"/>
            </w:rPr>
          </w:pPr>
          <w:r>
            <w:fldChar w:fldCharType="begin"/>
          </w:r>
          <w:r>
            <w:instrText xml:space="preserve"> TOC \o "1-3" \h \z \u </w:instrText>
          </w:r>
          <w:r>
            <w:fldChar w:fldCharType="separate"/>
          </w:r>
          <w:hyperlink w:anchor="_Toc40191043" w:history="1">
            <w:r w:rsidRPr="009232D0">
              <w:rPr>
                <w:rStyle w:val="Hyperlink"/>
                <w:rFonts w:cstheme="minorHAnsi"/>
              </w:rPr>
              <w:t xml:space="preserve">1. </w:t>
            </w:r>
            <w:r w:rsidR="00F43808">
              <w:rPr>
                <w:rStyle w:val="Hyperlink"/>
                <w:rFonts w:cstheme="minorHAnsi"/>
              </w:rPr>
              <w:tab/>
            </w:r>
            <w:r w:rsidRPr="009232D0">
              <w:rPr>
                <w:rStyle w:val="Hyperlink"/>
                <w:rFonts w:cstheme="minorHAnsi"/>
              </w:rPr>
              <w:t>ASAMBLEA GENERAL Y CONSEJOS</w:t>
            </w:r>
            <w:r>
              <w:rPr>
                <w:webHidden/>
              </w:rPr>
              <w:tab/>
            </w:r>
            <w:r>
              <w:rPr>
                <w:webHidden/>
              </w:rPr>
              <w:fldChar w:fldCharType="begin"/>
            </w:r>
            <w:r>
              <w:rPr>
                <w:webHidden/>
              </w:rPr>
              <w:instrText xml:space="preserve"> PAGEREF _Toc40191043 \h </w:instrText>
            </w:r>
            <w:r>
              <w:rPr>
                <w:webHidden/>
              </w:rPr>
            </w:r>
            <w:r>
              <w:rPr>
                <w:webHidden/>
              </w:rPr>
              <w:fldChar w:fldCharType="separate"/>
            </w:r>
            <w:r>
              <w:rPr>
                <w:webHidden/>
              </w:rPr>
              <w:t>3</w:t>
            </w:r>
            <w:r>
              <w:rPr>
                <w:webHidden/>
              </w:rPr>
              <w:fldChar w:fldCharType="end"/>
            </w:r>
          </w:hyperlink>
        </w:p>
        <w:p w14:paraId="431F6CE3" w14:textId="77777777" w:rsidR="00F43808" w:rsidRDefault="00F43808">
          <w:pPr>
            <w:pStyle w:val="TOC2"/>
          </w:pPr>
        </w:p>
        <w:p w14:paraId="15300ED4" w14:textId="39B07FB1" w:rsidR="00415834" w:rsidRDefault="00573283">
          <w:pPr>
            <w:pStyle w:val="TOC2"/>
            <w:rPr>
              <w:rFonts w:asciiTheme="minorHAnsi" w:eastAsiaTheme="minorEastAsia" w:hAnsiTheme="minorHAnsi" w:cstheme="minorBidi"/>
              <w:lang w:val="en-US"/>
            </w:rPr>
          </w:pPr>
          <w:hyperlink w:anchor="_Toc40191044" w:history="1">
            <w:r w:rsidR="00415834" w:rsidRPr="00F43808">
              <w:rPr>
                <w:rStyle w:val="Hyperlink"/>
                <w:rFonts w:cstheme="minorHAnsi"/>
              </w:rPr>
              <w:t>1.1</w:t>
            </w:r>
            <w:r w:rsidR="00415834" w:rsidRPr="00F43808">
              <w:rPr>
                <w:rFonts w:asciiTheme="minorHAnsi" w:eastAsiaTheme="minorEastAsia" w:hAnsiTheme="minorHAnsi" w:cstheme="minorBidi"/>
                <w:lang w:val="en-US"/>
              </w:rPr>
              <w:tab/>
            </w:r>
            <w:r w:rsidR="00415834" w:rsidRPr="00F43808">
              <w:rPr>
                <w:rStyle w:val="Hyperlink"/>
                <w:rFonts w:cstheme="minorHAnsi"/>
              </w:rPr>
              <w:t>ASAMBLEA GENERAL</w:t>
            </w:r>
            <w:r w:rsidR="00415834">
              <w:rPr>
                <w:webHidden/>
              </w:rPr>
              <w:tab/>
            </w:r>
            <w:r w:rsidR="00415834">
              <w:rPr>
                <w:webHidden/>
              </w:rPr>
              <w:fldChar w:fldCharType="begin"/>
            </w:r>
            <w:r w:rsidR="00415834">
              <w:rPr>
                <w:webHidden/>
              </w:rPr>
              <w:instrText xml:space="preserve"> PAGEREF _Toc40191044 \h </w:instrText>
            </w:r>
            <w:r w:rsidR="00415834">
              <w:rPr>
                <w:webHidden/>
              </w:rPr>
            </w:r>
            <w:r w:rsidR="00415834">
              <w:rPr>
                <w:webHidden/>
              </w:rPr>
              <w:fldChar w:fldCharType="separate"/>
            </w:r>
            <w:r w:rsidR="00415834">
              <w:rPr>
                <w:webHidden/>
              </w:rPr>
              <w:t>3</w:t>
            </w:r>
            <w:r w:rsidR="00415834">
              <w:rPr>
                <w:webHidden/>
              </w:rPr>
              <w:fldChar w:fldCharType="end"/>
            </w:r>
          </w:hyperlink>
        </w:p>
        <w:p w14:paraId="6FB5A711" w14:textId="2848B1FA" w:rsidR="00415834" w:rsidRDefault="00573283">
          <w:pPr>
            <w:pStyle w:val="TOC2"/>
            <w:rPr>
              <w:rFonts w:asciiTheme="minorHAnsi" w:eastAsiaTheme="minorEastAsia" w:hAnsiTheme="minorHAnsi" w:cstheme="minorBidi"/>
              <w:lang w:val="en-US"/>
            </w:rPr>
          </w:pPr>
          <w:hyperlink w:anchor="_Toc40191045" w:history="1">
            <w:r w:rsidR="00415834" w:rsidRPr="00F43808">
              <w:rPr>
                <w:rStyle w:val="Hyperlink"/>
                <w:rFonts w:cstheme="minorHAnsi"/>
              </w:rPr>
              <w:t>1.2</w:t>
            </w:r>
            <w:r w:rsidR="00415834" w:rsidRPr="00F43808">
              <w:rPr>
                <w:rFonts w:asciiTheme="minorHAnsi" w:eastAsiaTheme="minorEastAsia" w:hAnsiTheme="minorHAnsi" w:cstheme="minorBidi"/>
                <w:lang w:val="en-US"/>
              </w:rPr>
              <w:tab/>
            </w:r>
            <w:r w:rsidR="00415834" w:rsidRPr="00F43808">
              <w:rPr>
                <w:rStyle w:val="Hyperlink"/>
                <w:rFonts w:cstheme="minorHAnsi"/>
              </w:rPr>
              <w:t>CONSEJO PERMANENTE</w:t>
            </w:r>
            <w:r w:rsidR="00415834">
              <w:rPr>
                <w:webHidden/>
              </w:rPr>
              <w:tab/>
            </w:r>
            <w:r w:rsidR="00415834">
              <w:rPr>
                <w:webHidden/>
              </w:rPr>
              <w:fldChar w:fldCharType="begin"/>
            </w:r>
            <w:r w:rsidR="00415834">
              <w:rPr>
                <w:webHidden/>
              </w:rPr>
              <w:instrText xml:space="preserve"> PAGEREF _Toc40191045 \h </w:instrText>
            </w:r>
            <w:r w:rsidR="00415834">
              <w:rPr>
                <w:webHidden/>
              </w:rPr>
            </w:r>
            <w:r w:rsidR="00415834">
              <w:rPr>
                <w:webHidden/>
              </w:rPr>
              <w:fldChar w:fldCharType="separate"/>
            </w:r>
            <w:r w:rsidR="00415834">
              <w:rPr>
                <w:webHidden/>
              </w:rPr>
              <w:t>3</w:t>
            </w:r>
            <w:r w:rsidR="00415834">
              <w:rPr>
                <w:webHidden/>
              </w:rPr>
              <w:fldChar w:fldCharType="end"/>
            </w:r>
          </w:hyperlink>
        </w:p>
        <w:p w14:paraId="26D71F07" w14:textId="20ED55B0" w:rsidR="00415834" w:rsidRDefault="00573283">
          <w:pPr>
            <w:pStyle w:val="TOC2"/>
            <w:rPr>
              <w:rFonts w:asciiTheme="minorHAnsi" w:eastAsiaTheme="minorEastAsia" w:hAnsiTheme="minorHAnsi" w:cstheme="minorBidi"/>
              <w:lang w:val="en-US"/>
            </w:rPr>
          </w:pPr>
          <w:hyperlink w:anchor="_Toc40191046" w:history="1">
            <w:r w:rsidR="00415834" w:rsidRPr="009232D0">
              <w:rPr>
                <w:rStyle w:val="Hyperlink"/>
                <w:rFonts w:cstheme="minorHAnsi"/>
                <w:lang w:val="es-US"/>
              </w:rPr>
              <w:t>1.3</w:t>
            </w:r>
            <w:r w:rsidR="00415834">
              <w:rPr>
                <w:rFonts w:asciiTheme="minorHAnsi" w:eastAsiaTheme="minorEastAsia" w:hAnsiTheme="minorHAnsi" w:cstheme="minorBidi"/>
                <w:lang w:val="en-US"/>
              </w:rPr>
              <w:tab/>
            </w:r>
            <w:r w:rsidR="00415834" w:rsidRPr="009232D0">
              <w:rPr>
                <w:rStyle w:val="Hyperlink"/>
                <w:rFonts w:cstheme="minorHAnsi"/>
                <w:lang w:val="es-US"/>
              </w:rPr>
              <w:t>CONSEJO INTERAMERICANO PARA EL DESARROLLO INTEGRAL (CIDI)</w:t>
            </w:r>
            <w:r w:rsidR="00415834">
              <w:rPr>
                <w:webHidden/>
              </w:rPr>
              <w:tab/>
            </w:r>
            <w:r w:rsidR="00415834">
              <w:rPr>
                <w:webHidden/>
              </w:rPr>
              <w:fldChar w:fldCharType="begin"/>
            </w:r>
            <w:r w:rsidR="00415834">
              <w:rPr>
                <w:webHidden/>
              </w:rPr>
              <w:instrText xml:space="preserve"> PAGEREF _Toc40191046 \h </w:instrText>
            </w:r>
            <w:r w:rsidR="00415834">
              <w:rPr>
                <w:webHidden/>
              </w:rPr>
            </w:r>
            <w:r w:rsidR="00415834">
              <w:rPr>
                <w:webHidden/>
              </w:rPr>
              <w:fldChar w:fldCharType="separate"/>
            </w:r>
            <w:r w:rsidR="00415834">
              <w:rPr>
                <w:webHidden/>
              </w:rPr>
              <w:t>7</w:t>
            </w:r>
            <w:r w:rsidR="00415834">
              <w:rPr>
                <w:webHidden/>
              </w:rPr>
              <w:fldChar w:fldCharType="end"/>
            </w:r>
          </w:hyperlink>
        </w:p>
        <w:p w14:paraId="5C8671CD" w14:textId="77777777" w:rsidR="00F43808" w:rsidRDefault="00F43808">
          <w:pPr>
            <w:pStyle w:val="TOC1"/>
          </w:pPr>
        </w:p>
        <w:p w14:paraId="25CE2018" w14:textId="7ADE8831" w:rsidR="00415834" w:rsidRDefault="00573283">
          <w:pPr>
            <w:pStyle w:val="TOC1"/>
            <w:rPr>
              <w:rFonts w:asciiTheme="minorHAnsi" w:eastAsiaTheme="minorEastAsia" w:hAnsiTheme="minorHAnsi" w:cstheme="minorBidi"/>
              <w:szCs w:val="22"/>
              <w:lang w:val="en-US"/>
            </w:rPr>
          </w:pPr>
          <w:hyperlink w:anchor="_Toc40191047" w:history="1">
            <w:r w:rsidR="00415834" w:rsidRPr="00F43808">
              <w:rPr>
                <w:rStyle w:val="Hyperlink"/>
                <w:rFonts w:cstheme="minorHAnsi"/>
              </w:rPr>
              <w:t xml:space="preserve">2.  </w:t>
            </w:r>
            <w:r w:rsidR="00F43808" w:rsidRPr="00F43808">
              <w:rPr>
                <w:rStyle w:val="Hyperlink"/>
                <w:rFonts w:cstheme="minorHAnsi"/>
              </w:rPr>
              <w:tab/>
            </w:r>
            <w:r w:rsidR="00415834" w:rsidRPr="00F43808">
              <w:rPr>
                <w:rStyle w:val="Hyperlink"/>
                <w:rFonts w:cstheme="minorHAnsi"/>
              </w:rPr>
              <w:t>SECRETARÍA GENERAL</w:t>
            </w:r>
            <w:r w:rsidR="00415834">
              <w:rPr>
                <w:webHidden/>
              </w:rPr>
              <w:tab/>
            </w:r>
            <w:r w:rsidR="00415834">
              <w:rPr>
                <w:webHidden/>
              </w:rPr>
              <w:fldChar w:fldCharType="begin"/>
            </w:r>
            <w:r w:rsidR="00415834">
              <w:rPr>
                <w:webHidden/>
              </w:rPr>
              <w:instrText xml:space="preserve"> PAGEREF _Toc40191047 \h </w:instrText>
            </w:r>
            <w:r w:rsidR="00415834">
              <w:rPr>
                <w:webHidden/>
              </w:rPr>
            </w:r>
            <w:r w:rsidR="00415834">
              <w:rPr>
                <w:webHidden/>
              </w:rPr>
              <w:fldChar w:fldCharType="separate"/>
            </w:r>
            <w:r w:rsidR="00415834">
              <w:rPr>
                <w:webHidden/>
              </w:rPr>
              <w:t>10</w:t>
            </w:r>
            <w:r w:rsidR="00415834">
              <w:rPr>
                <w:webHidden/>
              </w:rPr>
              <w:fldChar w:fldCharType="end"/>
            </w:r>
          </w:hyperlink>
        </w:p>
        <w:p w14:paraId="5096E30F" w14:textId="77777777" w:rsidR="00F43808" w:rsidRDefault="00F43808">
          <w:pPr>
            <w:pStyle w:val="TOC2"/>
          </w:pPr>
        </w:p>
        <w:p w14:paraId="6FB1F64F" w14:textId="6DFAFBB3" w:rsidR="00415834" w:rsidRDefault="00573283">
          <w:pPr>
            <w:pStyle w:val="TOC2"/>
            <w:rPr>
              <w:rFonts w:asciiTheme="minorHAnsi" w:eastAsiaTheme="minorEastAsia" w:hAnsiTheme="minorHAnsi" w:cstheme="minorBidi"/>
              <w:lang w:val="en-US"/>
            </w:rPr>
          </w:pPr>
          <w:hyperlink w:anchor="_Toc40191048" w:history="1">
            <w:r w:rsidR="00415834" w:rsidRPr="00F43808">
              <w:rPr>
                <w:rStyle w:val="Hyperlink"/>
                <w:rFonts w:cstheme="minorHAnsi"/>
              </w:rPr>
              <w:t>2.1</w:t>
            </w:r>
            <w:r w:rsidR="00415834" w:rsidRPr="00F43808">
              <w:rPr>
                <w:rFonts w:asciiTheme="minorHAnsi" w:eastAsiaTheme="minorEastAsia" w:hAnsiTheme="minorHAnsi" w:cstheme="minorBidi"/>
                <w:lang w:val="en-US"/>
              </w:rPr>
              <w:tab/>
            </w:r>
            <w:r w:rsidR="00415834" w:rsidRPr="00F43808">
              <w:rPr>
                <w:rStyle w:val="Hyperlink"/>
                <w:rFonts w:cstheme="minorHAnsi"/>
              </w:rPr>
              <w:t>OFICINA DEL SECRETARIO GENERAL</w:t>
            </w:r>
            <w:r w:rsidR="00415834">
              <w:rPr>
                <w:webHidden/>
              </w:rPr>
              <w:tab/>
            </w:r>
            <w:r w:rsidR="00415834">
              <w:rPr>
                <w:webHidden/>
              </w:rPr>
              <w:fldChar w:fldCharType="begin"/>
            </w:r>
            <w:r w:rsidR="00415834">
              <w:rPr>
                <w:webHidden/>
              </w:rPr>
              <w:instrText xml:space="preserve"> PAGEREF _Toc40191048 \h </w:instrText>
            </w:r>
            <w:r w:rsidR="00415834">
              <w:rPr>
                <w:webHidden/>
              </w:rPr>
            </w:r>
            <w:r w:rsidR="00415834">
              <w:rPr>
                <w:webHidden/>
              </w:rPr>
              <w:fldChar w:fldCharType="separate"/>
            </w:r>
            <w:r w:rsidR="00415834">
              <w:rPr>
                <w:webHidden/>
              </w:rPr>
              <w:t>10</w:t>
            </w:r>
            <w:r w:rsidR="00415834">
              <w:rPr>
                <w:webHidden/>
              </w:rPr>
              <w:fldChar w:fldCharType="end"/>
            </w:r>
          </w:hyperlink>
        </w:p>
        <w:p w14:paraId="19431A61" w14:textId="70078DE9" w:rsidR="00415834" w:rsidRDefault="00573283">
          <w:pPr>
            <w:pStyle w:val="TOC3"/>
            <w:rPr>
              <w:rFonts w:asciiTheme="minorHAnsi" w:eastAsiaTheme="minorEastAsia" w:hAnsiTheme="minorHAnsi" w:cstheme="minorBidi"/>
              <w:noProof/>
              <w:szCs w:val="22"/>
            </w:rPr>
          </w:pPr>
          <w:hyperlink w:anchor="_Toc40191049" w:history="1">
            <w:r w:rsidR="00415834" w:rsidRPr="009232D0">
              <w:rPr>
                <w:rStyle w:val="Hyperlink"/>
                <w:rFonts w:cstheme="minorHAnsi"/>
                <w:noProof/>
                <w:lang w:val="es-ES"/>
              </w:rPr>
              <w:t>2.1.1</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Oficina de Protocolo</w:t>
            </w:r>
            <w:r w:rsidR="00415834">
              <w:rPr>
                <w:noProof/>
                <w:webHidden/>
              </w:rPr>
              <w:tab/>
            </w:r>
            <w:r w:rsidR="00415834">
              <w:rPr>
                <w:noProof/>
                <w:webHidden/>
              </w:rPr>
              <w:fldChar w:fldCharType="begin"/>
            </w:r>
            <w:r w:rsidR="00415834">
              <w:rPr>
                <w:noProof/>
                <w:webHidden/>
              </w:rPr>
              <w:instrText xml:space="preserve"> PAGEREF _Toc40191049 \h </w:instrText>
            </w:r>
            <w:r w:rsidR="00415834">
              <w:rPr>
                <w:noProof/>
                <w:webHidden/>
              </w:rPr>
            </w:r>
            <w:r w:rsidR="00415834">
              <w:rPr>
                <w:noProof/>
                <w:webHidden/>
              </w:rPr>
              <w:fldChar w:fldCharType="separate"/>
            </w:r>
            <w:r w:rsidR="00415834">
              <w:rPr>
                <w:noProof/>
                <w:webHidden/>
              </w:rPr>
              <w:t>16</w:t>
            </w:r>
            <w:r w:rsidR="00415834">
              <w:rPr>
                <w:noProof/>
                <w:webHidden/>
              </w:rPr>
              <w:fldChar w:fldCharType="end"/>
            </w:r>
          </w:hyperlink>
        </w:p>
        <w:p w14:paraId="26A5015B" w14:textId="77777777" w:rsidR="0031567D" w:rsidRDefault="0031567D">
          <w:pPr>
            <w:pStyle w:val="TOC2"/>
          </w:pPr>
        </w:p>
        <w:p w14:paraId="3E57C172" w14:textId="03F69B00" w:rsidR="00415834" w:rsidRDefault="00573283">
          <w:pPr>
            <w:pStyle w:val="TOC2"/>
            <w:rPr>
              <w:rFonts w:asciiTheme="minorHAnsi" w:eastAsiaTheme="minorEastAsia" w:hAnsiTheme="minorHAnsi" w:cstheme="minorBidi"/>
              <w:lang w:val="en-US"/>
            </w:rPr>
          </w:pPr>
          <w:hyperlink w:anchor="_Toc40191050" w:history="1">
            <w:r w:rsidR="00415834" w:rsidRPr="00F43808">
              <w:rPr>
                <w:rStyle w:val="Hyperlink"/>
                <w:rFonts w:cstheme="minorHAnsi"/>
              </w:rPr>
              <w:t>2.2.</w:t>
            </w:r>
            <w:r w:rsidR="00415834" w:rsidRPr="00F43808">
              <w:rPr>
                <w:rFonts w:asciiTheme="minorHAnsi" w:eastAsiaTheme="minorEastAsia" w:hAnsiTheme="minorHAnsi" w:cstheme="minorBidi"/>
                <w:lang w:val="en-US"/>
              </w:rPr>
              <w:tab/>
            </w:r>
            <w:r w:rsidR="00415834" w:rsidRPr="00F43808">
              <w:rPr>
                <w:rStyle w:val="Hyperlink"/>
                <w:rFonts w:cstheme="minorHAnsi"/>
              </w:rPr>
              <w:t>OFICINA DEL SECRETARIO GENERAL ADJUNTO</w:t>
            </w:r>
            <w:r w:rsidR="00415834">
              <w:rPr>
                <w:webHidden/>
              </w:rPr>
              <w:tab/>
            </w:r>
            <w:r w:rsidR="00415834">
              <w:rPr>
                <w:webHidden/>
              </w:rPr>
              <w:fldChar w:fldCharType="begin"/>
            </w:r>
            <w:r w:rsidR="00415834">
              <w:rPr>
                <w:webHidden/>
              </w:rPr>
              <w:instrText xml:space="preserve"> PAGEREF _Toc40191050 \h </w:instrText>
            </w:r>
            <w:r w:rsidR="00415834">
              <w:rPr>
                <w:webHidden/>
              </w:rPr>
            </w:r>
            <w:r w:rsidR="00415834">
              <w:rPr>
                <w:webHidden/>
              </w:rPr>
              <w:fldChar w:fldCharType="separate"/>
            </w:r>
            <w:r w:rsidR="00415834">
              <w:rPr>
                <w:webHidden/>
              </w:rPr>
              <w:t>17</w:t>
            </w:r>
            <w:r w:rsidR="00415834">
              <w:rPr>
                <w:webHidden/>
              </w:rPr>
              <w:fldChar w:fldCharType="end"/>
            </w:r>
          </w:hyperlink>
        </w:p>
        <w:p w14:paraId="47A513D2" w14:textId="78503FB2" w:rsidR="00415834" w:rsidRDefault="00573283">
          <w:pPr>
            <w:pStyle w:val="TOC3"/>
            <w:rPr>
              <w:rFonts w:asciiTheme="minorHAnsi" w:eastAsiaTheme="minorEastAsia" w:hAnsiTheme="minorHAnsi" w:cstheme="minorBidi"/>
              <w:noProof/>
              <w:szCs w:val="22"/>
            </w:rPr>
          </w:pPr>
          <w:hyperlink w:anchor="_Toc40191051" w:history="1">
            <w:r w:rsidR="00415834" w:rsidRPr="009232D0">
              <w:rPr>
                <w:rStyle w:val="Hyperlink"/>
                <w:rFonts w:cstheme="minorHAnsi"/>
                <w:noProof/>
                <w:lang w:val="es-ES"/>
              </w:rPr>
              <w:t>2.2.1</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Jefatura de Gabinete del Secretario General Adjunto</w:t>
            </w:r>
            <w:r w:rsidR="00415834">
              <w:rPr>
                <w:noProof/>
                <w:webHidden/>
              </w:rPr>
              <w:tab/>
            </w:r>
            <w:r w:rsidR="00415834">
              <w:rPr>
                <w:noProof/>
                <w:webHidden/>
              </w:rPr>
              <w:fldChar w:fldCharType="begin"/>
            </w:r>
            <w:r w:rsidR="00415834">
              <w:rPr>
                <w:noProof/>
                <w:webHidden/>
              </w:rPr>
              <w:instrText xml:space="preserve"> PAGEREF _Toc40191051 \h </w:instrText>
            </w:r>
            <w:r w:rsidR="00415834">
              <w:rPr>
                <w:noProof/>
                <w:webHidden/>
              </w:rPr>
            </w:r>
            <w:r w:rsidR="00415834">
              <w:rPr>
                <w:noProof/>
                <w:webHidden/>
              </w:rPr>
              <w:fldChar w:fldCharType="separate"/>
            </w:r>
            <w:r w:rsidR="00415834">
              <w:rPr>
                <w:noProof/>
                <w:webHidden/>
              </w:rPr>
              <w:t>17</w:t>
            </w:r>
            <w:r w:rsidR="00415834">
              <w:rPr>
                <w:noProof/>
                <w:webHidden/>
              </w:rPr>
              <w:fldChar w:fldCharType="end"/>
            </w:r>
          </w:hyperlink>
        </w:p>
        <w:p w14:paraId="22F63E3A" w14:textId="70E35C59" w:rsidR="00415834" w:rsidRDefault="00573283">
          <w:pPr>
            <w:pStyle w:val="TOC3"/>
            <w:rPr>
              <w:rFonts w:asciiTheme="minorHAnsi" w:eastAsiaTheme="minorEastAsia" w:hAnsiTheme="minorHAnsi" w:cstheme="minorBidi"/>
              <w:noProof/>
              <w:szCs w:val="22"/>
            </w:rPr>
          </w:pPr>
          <w:hyperlink w:anchor="_Toc40191052" w:history="1">
            <w:r w:rsidR="00415834" w:rsidRPr="009232D0">
              <w:rPr>
                <w:rStyle w:val="Hyperlink"/>
                <w:rFonts w:cstheme="minorHAnsi"/>
                <w:noProof/>
                <w:lang w:val="es-ES"/>
              </w:rPr>
              <w:t>2.2.2</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Departamento de Gestión de Conferencias y Reuniones</w:t>
            </w:r>
            <w:r w:rsidR="00415834">
              <w:rPr>
                <w:noProof/>
                <w:webHidden/>
              </w:rPr>
              <w:tab/>
            </w:r>
            <w:r w:rsidR="00415834">
              <w:rPr>
                <w:noProof/>
                <w:webHidden/>
              </w:rPr>
              <w:fldChar w:fldCharType="begin"/>
            </w:r>
            <w:r w:rsidR="00415834">
              <w:rPr>
                <w:noProof/>
                <w:webHidden/>
              </w:rPr>
              <w:instrText xml:space="preserve"> PAGEREF _Toc40191052 \h </w:instrText>
            </w:r>
            <w:r w:rsidR="00415834">
              <w:rPr>
                <w:noProof/>
                <w:webHidden/>
              </w:rPr>
            </w:r>
            <w:r w:rsidR="00415834">
              <w:rPr>
                <w:noProof/>
                <w:webHidden/>
              </w:rPr>
              <w:fldChar w:fldCharType="separate"/>
            </w:r>
            <w:r w:rsidR="00415834">
              <w:rPr>
                <w:noProof/>
                <w:webHidden/>
              </w:rPr>
              <w:t>21</w:t>
            </w:r>
            <w:r w:rsidR="00415834">
              <w:rPr>
                <w:noProof/>
                <w:webHidden/>
              </w:rPr>
              <w:fldChar w:fldCharType="end"/>
            </w:r>
          </w:hyperlink>
        </w:p>
        <w:p w14:paraId="5BBDEFDD" w14:textId="0F5D8496" w:rsidR="00415834" w:rsidRDefault="00573283" w:rsidP="00F43808">
          <w:pPr>
            <w:pStyle w:val="TOC3"/>
            <w:ind w:left="720" w:hanging="720"/>
            <w:rPr>
              <w:rFonts w:asciiTheme="minorHAnsi" w:eastAsiaTheme="minorEastAsia" w:hAnsiTheme="minorHAnsi" w:cstheme="minorBidi"/>
              <w:noProof/>
              <w:szCs w:val="22"/>
            </w:rPr>
          </w:pPr>
          <w:hyperlink w:anchor="_Toc40191053" w:history="1">
            <w:r w:rsidR="00415834" w:rsidRPr="009232D0">
              <w:rPr>
                <w:rStyle w:val="Hyperlink"/>
                <w:rFonts w:cstheme="minorHAnsi"/>
                <w:noProof/>
                <w:lang w:val="es-ES"/>
              </w:rPr>
              <w:t>2.2.3</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Oficina de Coordinación de las Oficinas y Unidades de la Secretaría General en los Estados Miembros</w:t>
            </w:r>
            <w:r w:rsidR="00415834">
              <w:rPr>
                <w:noProof/>
                <w:webHidden/>
              </w:rPr>
              <w:tab/>
            </w:r>
            <w:r w:rsidR="00415834">
              <w:rPr>
                <w:noProof/>
                <w:webHidden/>
              </w:rPr>
              <w:fldChar w:fldCharType="begin"/>
            </w:r>
            <w:r w:rsidR="00415834">
              <w:rPr>
                <w:noProof/>
                <w:webHidden/>
              </w:rPr>
              <w:instrText xml:space="preserve"> PAGEREF _Toc40191053 \h </w:instrText>
            </w:r>
            <w:r w:rsidR="00415834">
              <w:rPr>
                <w:noProof/>
                <w:webHidden/>
              </w:rPr>
            </w:r>
            <w:r w:rsidR="00415834">
              <w:rPr>
                <w:noProof/>
                <w:webHidden/>
              </w:rPr>
              <w:fldChar w:fldCharType="separate"/>
            </w:r>
            <w:r w:rsidR="00415834">
              <w:rPr>
                <w:noProof/>
                <w:webHidden/>
              </w:rPr>
              <w:t>23</w:t>
            </w:r>
            <w:r w:rsidR="00415834">
              <w:rPr>
                <w:noProof/>
                <w:webHidden/>
              </w:rPr>
              <w:fldChar w:fldCharType="end"/>
            </w:r>
          </w:hyperlink>
        </w:p>
        <w:p w14:paraId="65DD54F4" w14:textId="77777777" w:rsidR="00F43808" w:rsidRDefault="00F43808">
          <w:pPr>
            <w:pStyle w:val="TOC2"/>
          </w:pPr>
        </w:p>
        <w:p w14:paraId="20A7E55A" w14:textId="3F8ED710" w:rsidR="00415834" w:rsidRDefault="00573283">
          <w:pPr>
            <w:pStyle w:val="TOC2"/>
            <w:rPr>
              <w:rFonts w:asciiTheme="minorHAnsi" w:eastAsiaTheme="minorEastAsia" w:hAnsiTheme="minorHAnsi" w:cstheme="minorBidi"/>
              <w:lang w:val="en-US"/>
            </w:rPr>
          </w:pPr>
          <w:hyperlink w:anchor="_Toc40191054" w:history="1">
            <w:r w:rsidR="00415834" w:rsidRPr="009232D0">
              <w:rPr>
                <w:rStyle w:val="Hyperlink"/>
                <w:rFonts w:cstheme="minorHAnsi"/>
              </w:rPr>
              <w:t xml:space="preserve">2.3 </w:t>
            </w:r>
            <w:r w:rsidR="00415834">
              <w:rPr>
                <w:rFonts w:asciiTheme="minorHAnsi" w:eastAsiaTheme="minorEastAsia" w:hAnsiTheme="minorHAnsi" w:cstheme="minorBidi"/>
                <w:lang w:val="en-US"/>
              </w:rPr>
              <w:tab/>
            </w:r>
            <w:r w:rsidR="00415834" w:rsidRPr="009232D0">
              <w:rPr>
                <w:rStyle w:val="Hyperlink"/>
                <w:rFonts w:cstheme="minorHAnsi"/>
              </w:rPr>
              <w:t>SECRETARÍA PARA EL FORTALECIMIENTO DE LA DEMOCRACIA</w:t>
            </w:r>
            <w:r w:rsidR="00415834">
              <w:rPr>
                <w:webHidden/>
              </w:rPr>
              <w:tab/>
            </w:r>
            <w:r w:rsidR="00415834">
              <w:rPr>
                <w:webHidden/>
              </w:rPr>
              <w:fldChar w:fldCharType="begin"/>
            </w:r>
            <w:r w:rsidR="00415834">
              <w:rPr>
                <w:webHidden/>
              </w:rPr>
              <w:instrText xml:space="preserve"> PAGEREF _Toc40191054 \h </w:instrText>
            </w:r>
            <w:r w:rsidR="00415834">
              <w:rPr>
                <w:webHidden/>
              </w:rPr>
            </w:r>
            <w:r w:rsidR="00415834">
              <w:rPr>
                <w:webHidden/>
              </w:rPr>
              <w:fldChar w:fldCharType="separate"/>
            </w:r>
            <w:r w:rsidR="00415834">
              <w:rPr>
                <w:webHidden/>
              </w:rPr>
              <w:t>24</w:t>
            </w:r>
            <w:r w:rsidR="00415834">
              <w:rPr>
                <w:webHidden/>
              </w:rPr>
              <w:fldChar w:fldCharType="end"/>
            </w:r>
          </w:hyperlink>
        </w:p>
        <w:p w14:paraId="64166F08" w14:textId="027D6590" w:rsidR="00415834" w:rsidRDefault="00573283">
          <w:pPr>
            <w:pStyle w:val="TOC3"/>
            <w:rPr>
              <w:rFonts w:asciiTheme="minorHAnsi" w:eastAsiaTheme="minorEastAsia" w:hAnsiTheme="minorHAnsi" w:cstheme="minorBidi"/>
              <w:noProof/>
              <w:szCs w:val="22"/>
            </w:rPr>
          </w:pPr>
          <w:hyperlink w:anchor="_Toc40191055" w:history="1">
            <w:r w:rsidR="00415834" w:rsidRPr="009232D0">
              <w:rPr>
                <w:rStyle w:val="Hyperlink"/>
                <w:rFonts w:cstheme="minorHAnsi"/>
                <w:noProof/>
                <w:lang w:val="es-ES"/>
              </w:rPr>
              <w:t xml:space="preserve">2.3.1 </w:t>
            </w:r>
            <w:r w:rsidR="00F43808">
              <w:rPr>
                <w:rStyle w:val="Hyperlink"/>
                <w:rFonts w:cstheme="minorHAnsi"/>
                <w:noProof/>
                <w:lang w:val="es-ES"/>
              </w:rPr>
              <w:tab/>
            </w:r>
            <w:r w:rsidR="00415834" w:rsidRPr="009232D0">
              <w:rPr>
                <w:rStyle w:val="Hyperlink"/>
                <w:rFonts w:cstheme="minorHAnsi"/>
                <w:noProof/>
                <w:lang w:val="es-ES"/>
              </w:rPr>
              <w:t>Departamento para la Cooperación y Observación Electoral</w:t>
            </w:r>
            <w:r w:rsidR="00415834">
              <w:rPr>
                <w:noProof/>
                <w:webHidden/>
              </w:rPr>
              <w:tab/>
            </w:r>
            <w:r w:rsidR="00415834">
              <w:rPr>
                <w:noProof/>
                <w:webHidden/>
              </w:rPr>
              <w:fldChar w:fldCharType="begin"/>
            </w:r>
            <w:r w:rsidR="00415834">
              <w:rPr>
                <w:noProof/>
                <w:webHidden/>
              </w:rPr>
              <w:instrText xml:space="preserve"> PAGEREF _Toc40191055 \h </w:instrText>
            </w:r>
            <w:r w:rsidR="00415834">
              <w:rPr>
                <w:noProof/>
                <w:webHidden/>
              </w:rPr>
            </w:r>
            <w:r w:rsidR="00415834">
              <w:rPr>
                <w:noProof/>
                <w:webHidden/>
              </w:rPr>
              <w:fldChar w:fldCharType="separate"/>
            </w:r>
            <w:r w:rsidR="00415834">
              <w:rPr>
                <w:noProof/>
                <w:webHidden/>
              </w:rPr>
              <w:t>27</w:t>
            </w:r>
            <w:r w:rsidR="00415834">
              <w:rPr>
                <w:noProof/>
                <w:webHidden/>
              </w:rPr>
              <w:fldChar w:fldCharType="end"/>
            </w:r>
          </w:hyperlink>
        </w:p>
        <w:p w14:paraId="4BAE6EBB" w14:textId="5EA47733" w:rsidR="00415834" w:rsidRDefault="00573283">
          <w:pPr>
            <w:pStyle w:val="TOC3"/>
            <w:rPr>
              <w:rFonts w:asciiTheme="minorHAnsi" w:eastAsiaTheme="minorEastAsia" w:hAnsiTheme="minorHAnsi" w:cstheme="minorBidi"/>
              <w:noProof/>
              <w:szCs w:val="22"/>
            </w:rPr>
          </w:pPr>
          <w:hyperlink w:anchor="_Toc40191056" w:history="1">
            <w:r w:rsidR="00415834" w:rsidRPr="009232D0">
              <w:rPr>
                <w:rStyle w:val="Hyperlink"/>
                <w:rFonts w:eastAsia="Times New Roman" w:cstheme="minorHAnsi"/>
                <w:bCs/>
                <w:noProof/>
                <w:lang w:val="es-ES"/>
              </w:rPr>
              <w:t xml:space="preserve">2.3.2 </w:t>
            </w:r>
            <w:r w:rsidR="00F43808">
              <w:rPr>
                <w:rStyle w:val="Hyperlink"/>
                <w:rFonts w:eastAsia="Times New Roman" w:cstheme="minorHAnsi"/>
                <w:bCs/>
                <w:noProof/>
                <w:lang w:val="es-ES"/>
              </w:rPr>
              <w:tab/>
            </w:r>
            <w:r w:rsidR="00415834" w:rsidRPr="009232D0">
              <w:rPr>
                <w:rStyle w:val="Hyperlink"/>
                <w:rFonts w:eastAsia="Times New Roman" w:cstheme="minorHAnsi"/>
                <w:bCs/>
                <w:noProof/>
                <w:lang w:val="es-ES"/>
              </w:rPr>
              <w:t>Departamento de Sustentabilidad Democrática y Misiones Especiales (DSDME)</w:t>
            </w:r>
            <w:r w:rsidR="00415834">
              <w:rPr>
                <w:noProof/>
                <w:webHidden/>
              </w:rPr>
              <w:tab/>
            </w:r>
            <w:r w:rsidR="00415834">
              <w:rPr>
                <w:noProof/>
                <w:webHidden/>
              </w:rPr>
              <w:fldChar w:fldCharType="begin"/>
            </w:r>
            <w:r w:rsidR="00415834">
              <w:rPr>
                <w:noProof/>
                <w:webHidden/>
              </w:rPr>
              <w:instrText xml:space="preserve"> PAGEREF _Toc40191056 \h </w:instrText>
            </w:r>
            <w:r w:rsidR="00415834">
              <w:rPr>
                <w:noProof/>
                <w:webHidden/>
              </w:rPr>
            </w:r>
            <w:r w:rsidR="00415834">
              <w:rPr>
                <w:noProof/>
                <w:webHidden/>
              </w:rPr>
              <w:fldChar w:fldCharType="separate"/>
            </w:r>
            <w:r w:rsidR="00415834">
              <w:rPr>
                <w:noProof/>
                <w:webHidden/>
              </w:rPr>
              <w:t>30</w:t>
            </w:r>
            <w:r w:rsidR="00415834">
              <w:rPr>
                <w:noProof/>
                <w:webHidden/>
              </w:rPr>
              <w:fldChar w:fldCharType="end"/>
            </w:r>
          </w:hyperlink>
        </w:p>
        <w:p w14:paraId="64623E67" w14:textId="77777777" w:rsidR="00F43808" w:rsidRDefault="00F43808">
          <w:pPr>
            <w:pStyle w:val="TOC2"/>
          </w:pPr>
        </w:p>
        <w:p w14:paraId="7DDADA31" w14:textId="71F52390" w:rsidR="00415834" w:rsidRDefault="00573283">
          <w:pPr>
            <w:pStyle w:val="TOC2"/>
            <w:rPr>
              <w:rFonts w:asciiTheme="minorHAnsi" w:eastAsiaTheme="minorEastAsia" w:hAnsiTheme="minorHAnsi" w:cstheme="minorBidi"/>
              <w:lang w:val="en-US"/>
            </w:rPr>
          </w:pPr>
          <w:hyperlink w:anchor="_Toc40191057" w:history="1">
            <w:r w:rsidR="00415834" w:rsidRPr="009232D0">
              <w:rPr>
                <w:rStyle w:val="Hyperlink"/>
                <w:rFonts w:eastAsia="Batang" w:cstheme="minorHAnsi"/>
              </w:rPr>
              <w:t>2.4</w:t>
            </w:r>
            <w:r w:rsidR="00415834">
              <w:rPr>
                <w:rFonts w:asciiTheme="minorHAnsi" w:eastAsiaTheme="minorEastAsia" w:hAnsiTheme="minorHAnsi" w:cstheme="minorBidi"/>
                <w:lang w:val="en-US"/>
              </w:rPr>
              <w:tab/>
            </w:r>
            <w:r w:rsidR="00415834" w:rsidRPr="009232D0">
              <w:rPr>
                <w:rStyle w:val="Hyperlink"/>
                <w:rFonts w:eastAsia="Batang" w:cstheme="minorHAnsi"/>
              </w:rPr>
              <w:t>SECRETARIA EJECUTIVA PARA EL DESARROLLO INTEGRAL (SEDI)</w:t>
            </w:r>
            <w:r w:rsidR="00415834">
              <w:rPr>
                <w:webHidden/>
              </w:rPr>
              <w:tab/>
            </w:r>
            <w:r w:rsidR="00415834">
              <w:rPr>
                <w:webHidden/>
              </w:rPr>
              <w:fldChar w:fldCharType="begin"/>
            </w:r>
            <w:r w:rsidR="00415834">
              <w:rPr>
                <w:webHidden/>
              </w:rPr>
              <w:instrText xml:space="preserve"> PAGEREF _Toc40191057 \h </w:instrText>
            </w:r>
            <w:r w:rsidR="00415834">
              <w:rPr>
                <w:webHidden/>
              </w:rPr>
            </w:r>
            <w:r w:rsidR="00415834">
              <w:rPr>
                <w:webHidden/>
              </w:rPr>
              <w:fldChar w:fldCharType="separate"/>
            </w:r>
            <w:r w:rsidR="00415834">
              <w:rPr>
                <w:webHidden/>
              </w:rPr>
              <w:t>36</w:t>
            </w:r>
            <w:r w:rsidR="00415834">
              <w:rPr>
                <w:webHidden/>
              </w:rPr>
              <w:fldChar w:fldCharType="end"/>
            </w:r>
          </w:hyperlink>
        </w:p>
        <w:p w14:paraId="082149EA" w14:textId="77777777" w:rsidR="00F43808" w:rsidRDefault="00F43808">
          <w:pPr>
            <w:pStyle w:val="TOC1"/>
          </w:pPr>
        </w:p>
        <w:p w14:paraId="4FF176F8" w14:textId="33777070" w:rsidR="00415834" w:rsidRDefault="00573283">
          <w:pPr>
            <w:pStyle w:val="TOC1"/>
            <w:rPr>
              <w:rFonts w:asciiTheme="minorHAnsi" w:eastAsiaTheme="minorEastAsia" w:hAnsiTheme="minorHAnsi" w:cstheme="minorBidi"/>
              <w:szCs w:val="22"/>
              <w:lang w:val="en-US"/>
            </w:rPr>
          </w:pPr>
          <w:hyperlink w:anchor="_Toc40191058" w:history="1">
            <w:r w:rsidR="00415834" w:rsidRPr="009232D0">
              <w:rPr>
                <w:rStyle w:val="Hyperlink"/>
                <w:rFonts w:cstheme="minorHAnsi"/>
              </w:rPr>
              <w:t>2.5</w:t>
            </w:r>
            <w:r w:rsidR="00415834">
              <w:rPr>
                <w:rFonts w:asciiTheme="minorHAnsi" w:eastAsiaTheme="minorEastAsia" w:hAnsiTheme="minorHAnsi" w:cstheme="minorBidi"/>
                <w:szCs w:val="22"/>
                <w:lang w:val="en-US"/>
              </w:rPr>
              <w:tab/>
            </w:r>
            <w:r w:rsidR="00415834" w:rsidRPr="009232D0">
              <w:rPr>
                <w:rStyle w:val="Hyperlink"/>
                <w:rFonts w:cstheme="minorHAnsi"/>
              </w:rPr>
              <w:t>SECRETARÍA DE SEGURIDAD MULTIDIMENSIONAL</w:t>
            </w:r>
            <w:r w:rsidR="00415834">
              <w:rPr>
                <w:webHidden/>
              </w:rPr>
              <w:tab/>
            </w:r>
            <w:r w:rsidR="00415834">
              <w:rPr>
                <w:webHidden/>
              </w:rPr>
              <w:fldChar w:fldCharType="begin"/>
            </w:r>
            <w:r w:rsidR="00415834">
              <w:rPr>
                <w:webHidden/>
              </w:rPr>
              <w:instrText xml:space="preserve"> PAGEREF _Toc40191058 \h </w:instrText>
            </w:r>
            <w:r w:rsidR="00415834">
              <w:rPr>
                <w:webHidden/>
              </w:rPr>
            </w:r>
            <w:r w:rsidR="00415834">
              <w:rPr>
                <w:webHidden/>
              </w:rPr>
              <w:fldChar w:fldCharType="separate"/>
            </w:r>
            <w:r w:rsidR="00415834">
              <w:rPr>
                <w:webHidden/>
              </w:rPr>
              <w:t>42</w:t>
            </w:r>
            <w:r w:rsidR="00415834">
              <w:rPr>
                <w:webHidden/>
              </w:rPr>
              <w:fldChar w:fldCharType="end"/>
            </w:r>
          </w:hyperlink>
        </w:p>
        <w:p w14:paraId="7D6DFAF5" w14:textId="674261D4" w:rsidR="00415834" w:rsidRDefault="00573283">
          <w:pPr>
            <w:pStyle w:val="TOC3"/>
            <w:rPr>
              <w:rFonts w:asciiTheme="minorHAnsi" w:eastAsiaTheme="minorEastAsia" w:hAnsiTheme="minorHAnsi" w:cstheme="minorBidi"/>
              <w:noProof/>
              <w:szCs w:val="22"/>
            </w:rPr>
          </w:pPr>
          <w:hyperlink w:anchor="_Toc40191059" w:history="1">
            <w:r w:rsidR="00415834" w:rsidRPr="009232D0">
              <w:rPr>
                <w:rStyle w:val="Hyperlink"/>
                <w:rFonts w:cstheme="minorHAnsi"/>
                <w:noProof/>
                <w:lang w:val="es-ES"/>
              </w:rPr>
              <w:t>2.5.1</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Secretaría Ejecutiva de la Comisión Interamericana contra el Abuso de Drogas (CICAD)</w:t>
            </w:r>
            <w:r w:rsidR="00415834">
              <w:rPr>
                <w:noProof/>
                <w:webHidden/>
              </w:rPr>
              <w:tab/>
            </w:r>
            <w:r w:rsidR="00415834">
              <w:rPr>
                <w:noProof/>
                <w:webHidden/>
              </w:rPr>
              <w:fldChar w:fldCharType="begin"/>
            </w:r>
            <w:r w:rsidR="00415834">
              <w:rPr>
                <w:noProof/>
                <w:webHidden/>
              </w:rPr>
              <w:instrText xml:space="preserve"> PAGEREF _Toc40191059 \h </w:instrText>
            </w:r>
            <w:r w:rsidR="00415834">
              <w:rPr>
                <w:noProof/>
                <w:webHidden/>
              </w:rPr>
            </w:r>
            <w:r w:rsidR="00415834">
              <w:rPr>
                <w:noProof/>
                <w:webHidden/>
              </w:rPr>
              <w:fldChar w:fldCharType="separate"/>
            </w:r>
            <w:r w:rsidR="00415834">
              <w:rPr>
                <w:noProof/>
                <w:webHidden/>
              </w:rPr>
              <w:t>42</w:t>
            </w:r>
            <w:r w:rsidR="00415834">
              <w:rPr>
                <w:noProof/>
                <w:webHidden/>
              </w:rPr>
              <w:fldChar w:fldCharType="end"/>
            </w:r>
          </w:hyperlink>
        </w:p>
        <w:p w14:paraId="7F41744C" w14:textId="7E51B920" w:rsidR="00415834" w:rsidRDefault="00573283">
          <w:pPr>
            <w:pStyle w:val="TOC3"/>
            <w:rPr>
              <w:rFonts w:asciiTheme="minorHAnsi" w:eastAsiaTheme="minorEastAsia" w:hAnsiTheme="minorHAnsi" w:cstheme="minorBidi"/>
              <w:noProof/>
              <w:szCs w:val="22"/>
            </w:rPr>
          </w:pPr>
          <w:hyperlink w:anchor="_Toc40191060" w:history="1">
            <w:r w:rsidR="00415834" w:rsidRPr="009232D0">
              <w:rPr>
                <w:rStyle w:val="Hyperlink"/>
                <w:rFonts w:cstheme="minorHAnsi"/>
                <w:noProof/>
                <w:lang w:val="es-BO"/>
              </w:rPr>
              <w:t>2.5.2</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Secretaría de la Comisión Interamericana contra el Terrorismo (CICTE)</w:t>
            </w:r>
            <w:r w:rsidR="00415834">
              <w:rPr>
                <w:noProof/>
                <w:webHidden/>
              </w:rPr>
              <w:tab/>
            </w:r>
            <w:r w:rsidR="00415834">
              <w:rPr>
                <w:noProof/>
                <w:webHidden/>
              </w:rPr>
              <w:fldChar w:fldCharType="begin"/>
            </w:r>
            <w:r w:rsidR="00415834">
              <w:rPr>
                <w:noProof/>
                <w:webHidden/>
              </w:rPr>
              <w:instrText xml:space="preserve"> PAGEREF _Toc40191060 \h </w:instrText>
            </w:r>
            <w:r w:rsidR="00415834">
              <w:rPr>
                <w:noProof/>
                <w:webHidden/>
              </w:rPr>
            </w:r>
            <w:r w:rsidR="00415834">
              <w:rPr>
                <w:noProof/>
                <w:webHidden/>
              </w:rPr>
              <w:fldChar w:fldCharType="separate"/>
            </w:r>
            <w:r w:rsidR="00415834">
              <w:rPr>
                <w:noProof/>
                <w:webHidden/>
              </w:rPr>
              <w:t>44</w:t>
            </w:r>
            <w:r w:rsidR="00415834">
              <w:rPr>
                <w:noProof/>
                <w:webHidden/>
              </w:rPr>
              <w:fldChar w:fldCharType="end"/>
            </w:r>
          </w:hyperlink>
        </w:p>
        <w:p w14:paraId="0D178C03" w14:textId="69C32F2D" w:rsidR="00415834" w:rsidRDefault="00573283">
          <w:pPr>
            <w:pStyle w:val="TOC3"/>
            <w:rPr>
              <w:rFonts w:asciiTheme="minorHAnsi" w:eastAsiaTheme="minorEastAsia" w:hAnsiTheme="minorHAnsi" w:cstheme="minorBidi"/>
              <w:noProof/>
              <w:szCs w:val="22"/>
            </w:rPr>
          </w:pPr>
          <w:hyperlink w:anchor="_Toc40191061" w:history="1">
            <w:r w:rsidR="00415834" w:rsidRPr="009232D0">
              <w:rPr>
                <w:rStyle w:val="Hyperlink"/>
                <w:rFonts w:cstheme="minorHAnsi"/>
                <w:noProof/>
                <w:lang w:val="es-BO"/>
              </w:rPr>
              <w:t>2.5.3</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Departamento de Seguridad Pública (DSP)</w:t>
            </w:r>
            <w:r w:rsidR="00415834">
              <w:rPr>
                <w:noProof/>
                <w:webHidden/>
              </w:rPr>
              <w:tab/>
            </w:r>
            <w:r w:rsidR="00415834">
              <w:rPr>
                <w:noProof/>
                <w:webHidden/>
              </w:rPr>
              <w:fldChar w:fldCharType="begin"/>
            </w:r>
            <w:r w:rsidR="00415834">
              <w:rPr>
                <w:noProof/>
                <w:webHidden/>
              </w:rPr>
              <w:instrText xml:space="preserve"> PAGEREF _Toc40191061 \h </w:instrText>
            </w:r>
            <w:r w:rsidR="00415834">
              <w:rPr>
                <w:noProof/>
                <w:webHidden/>
              </w:rPr>
            </w:r>
            <w:r w:rsidR="00415834">
              <w:rPr>
                <w:noProof/>
                <w:webHidden/>
              </w:rPr>
              <w:fldChar w:fldCharType="separate"/>
            </w:r>
            <w:r w:rsidR="00415834">
              <w:rPr>
                <w:noProof/>
                <w:webHidden/>
              </w:rPr>
              <w:t>46</w:t>
            </w:r>
            <w:r w:rsidR="00415834">
              <w:rPr>
                <w:noProof/>
                <w:webHidden/>
              </w:rPr>
              <w:fldChar w:fldCharType="end"/>
            </w:r>
          </w:hyperlink>
        </w:p>
        <w:p w14:paraId="5B630111" w14:textId="3B586155" w:rsidR="00415834" w:rsidRDefault="00573283">
          <w:pPr>
            <w:pStyle w:val="TOC3"/>
            <w:rPr>
              <w:rFonts w:asciiTheme="minorHAnsi" w:eastAsiaTheme="minorEastAsia" w:hAnsiTheme="minorHAnsi" w:cstheme="minorBidi"/>
              <w:noProof/>
              <w:szCs w:val="22"/>
            </w:rPr>
          </w:pPr>
          <w:hyperlink w:anchor="_Toc40191062" w:history="1">
            <w:r w:rsidR="00415834" w:rsidRPr="009232D0">
              <w:rPr>
                <w:rStyle w:val="Hyperlink"/>
                <w:rFonts w:cstheme="minorHAnsi"/>
                <w:noProof/>
                <w:lang w:val="es-BO"/>
              </w:rPr>
              <w:t>2.5.4</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Departamento contra la Delincuencia Organizada Transnacional (DDOT)</w:t>
            </w:r>
            <w:r w:rsidR="00415834">
              <w:rPr>
                <w:noProof/>
                <w:webHidden/>
              </w:rPr>
              <w:tab/>
            </w:r>
            <w:r w:rsidR="00415834">
              <w:rPr>
                <w:noProof/>
                <w:webHidden/>
              </w:rPr>
              <w:fldChar w:fldCharType="begin"/>
            </w:r>
            <w:r w:rsidR="00415834">
              <w:rPr>
                <w:noProof/>
                <w:webHidden/>
              </w:rPr>
              <w:instrText xml:space="preserve"> PAGEREF _Toc40191062 \h </w:instrText>
            </w:r>
            <w:r w:rsidR="00415834">
              <w:rPr>
                <w:noProof/>
                <w:webHidden/>
              </w:rPr>
            </w:r>
            <w:r w:rsidR="00415834">
              <w:rPr>
                <w:noProof/>
                <w:webHidden/>
              </w:rPr>
              <w:fldChar w:fldCharType="separate"/>
            </w:r>
            <w:r w:rsidR="00415834">
              <w:rPr>
                <w:noProof/>
                <w:webHidden/>
              </w:rPr>
              <w:t>48</w:t>
            </w:r>
            <w:r w:rsidR="00415834">
              <w:rPr>
                <w:noProof/>
                <w:webHidden/>
              </w:rPr>
              <w:fldChar w:fldCharType="end"/>
            </w:r>
          </w:hyperlink>
        </w:p>
        <w:p w14:paraId="35D6CC07" w14:textId="77777777" w:rsidR="00F43808" w:rsidRDefault="00F43808">
          <w:pPr>
            <w:pStyle w:val="TOC2"/>
          </w:pPr>
        </w:p>
        <w:p w14:paraId="002CC8F0" w14:textId="5BC52985" w:rsidR="00415834" w:rsidRDefault="00573283">
          <w:pPr>
            <w:pStyle w:val="TOC2"/>
            <w:rPr>
              <w:rFonts w:asciiTheme="minorHAnsi" w:eastAsiaTheme="minorEastAsia" w:hAnsiTheme="minorHAnsi" w:cstheme="minorBidi"/>
              <w:lang w:val="en-US"/>
            </w:rPr>
          </w:pPr>
          <w:hyperlink w:anchor="_Toc40191063" w:history="1">
            <w:r w:rsidR="00415834" w:rsidRPr="00F43808">
              <w:rPr>
                <w:rStyle w:val="Hyperlink"/>
                <w:rFonts w:cstheme="minorHAnsi"/>
              </w:rPr>
              <w:t>2.6</w:t>
            </w:r>
            <w:r w:rsidR="00415834" w:rsidRPr="00F43808">
              <w:rPr>
                <w:rFonts w:asciiTheme="minorHAnsi" w:eastAsiaTheme="minorEastAsia" w:hAnsiTheme="minorHAnsi" w:cstheme="minorBidi"/>
                <w:lang w:val="en-US"/>
              </w:rPr>
              <w:tab/>
            </w:r>
            <w:r w:rsidR="00415834" w:rsidRPr="00F43808">
              <w:rPr>
                <w:rStyle w:val="Hyperlink"/>
                <w:rFonts w:cstheme="minorHAnsi"/>
              </w:rPr>
              <w:t>SECRETARÍA DE ADMINISTRACIÓN Y FINANZAS</w:t>
            </w:r>
            <w:r w:rsidR="00415834">
              <w:rPr>
                <w:webHidden/>
              </w:rPr>
              <w:tab/>
            </w:r>
            <w:r w:rsidR="00415834">
              <w:rPr>
                <w:webHidden/>
              </w:rPr>
              <w:fldChar w:fldCharType="begin"/>
            </w:r>
            <w:r w:rsidR="00415834">
              <w:rPr>
                <w:webHidden/>
              </w:rPr>
              <w:instrText xml:space="preserve"> PAGEREF _Toc40191063 \h </w:instrText>
            </w:r>
            <w:r w:rsidR="00415834">
              <w:rPr>
                <w:webHidden/>
              </w:rPr>
            </w:r>
            <w:r w:rsidR="00415834">
              <w:rPr>
                <w:webHidden/>
              </w:rPr>
              <w:fldChar w:fldCharType="separate"/>
            </w:r>
            <w:r w:rsidR="00415834">
              <w:rPr>
                <w:webHidden/>
              </w:rPr>
              <w:t>50</w:t>
            </w:r>
            <w:r w:rsidR="00415834">
              <w:rPr>
                <w:webHidden/>
              </w:rPr>
              <w:fldChar w:fldCharType="end"/>
            </w:r>
          </w:hyperlink>
        </w:p>
        <w:p w14:paraId="512557E8" w14:textId="6757BE0A" w:rsidR="00415834" w:rsidRDefault="00573283">
          <w:pPr>
            <w:pStyle w:val="TOC3"/>
            <w:rPr>
              <w:rFonts w:asciiTheme="minorHAnsi" w:eastAsiaTheme="minorEastAsia" w:hAnsiTheme="minorHAnsi" w:cstheme="minorBidi"/>
              <w:noProof/>
              <w:szCs w:val="22"/>
            </w:rPr>
          </w:pPr>
          <w:hyperlink w:anchor="_Toc40191064" w:history="1">
            <w:r w:rsidR="00415834" w:rsidRPr="009232D0">
              <w:rPr>
                <w:rStyle w:val="Hyperlink"/>
                <w:rFonts w:cstheme="minorHAnsi"/>
                <w:iCs/>
                <w:caps/>
                <w:noProof/>
                <w:lang w:val="es-ES"/>
              </w:rPr>
              <w:t>2.6.1</w:t>
            </w:r>
            <w:r w:rsidR="00415834" w:rsidRPr="009232D0">
              <w:rPr>
                <w:rStyle w:val="Hyperlink"/>
                <w:rFonts w:cstheme="minorHAnsi"/>
                <w:iCs/>
                <w:noProof/>
                <w:lang w:val="es-ES"/>
              </w:rPr>
              <w:t xml:space="preserve"> </w:t>
            </w:r>
            <w:r w:rsidR="00415834">
              <w:rPr>
                <w:rFonts w:asciiTheme="minorHAnsi" w:eastAsiaTheme="minorEastAsia" w:hAnsiTheme="minorHAnsi" w:cstheme="minorBidi"/>
                <w:noProof/>
                <w:szCs w:val="22"/>
              </w:rPr>
              <w:tab/>
            </w:r>
            <w:r w:rsidR="00415834" w:rsidRPr="009232D0">
              <w:rPr>
                <w:rStyle w:val="Hyperlink"/>
                <w:rFonts w:cstheme="minorHAnsi"/>
                <w:iCs/>
                <w:noProof/>
                <w:lang w:val="es-ES"/>
              </w:rPr>
              <w:t>Departamento de Recursos Humanos (DRH)</w:t>
            </w:r>
            <w:r w:rsidR="00415834">
              <w:rPr>
                <w:noProof/>
                <w:webHidden/>
              </w:rPr>
              <w:tab/>
            </w:r>
            <w:r w:rsidR="00415834">
              <w:rPr>
                <w:noProof/>
                <w:webHidden/>
              </w:rPr>
              <w:fldChar w:fldCharType="begin"/>
            </w:r>
            <w:r w:rsidR="00415834">
              <w:rPr>
                <w:noProof/>
                <w:webHidden/>
              </w:rPr>
              <w:instrText xml:space="preserve"> PAGEREF _Toc40191064 \h </w:instrText>
            </w:r>
            <w:r w:rsidR="00415834">
              <w:rPr>
                <w:noProof/>
                <w:webHidden/>
              </w:rPr>
            </w:r>
            <w:r w:rsidR="00415834">
              <w:rPr>
                <w:noProof/>
                <w:webHidden/>
              </w:rPr>
              <w:fldChar w:fldCharType="separate"/>
            </w:r>
            <w:r w:rsidR="00415834">
              <w:rPr>
                <w:noProof/>
                <w:webHidden/>
              </w:rPr>
              <w:t>51</w:t>
            </w:r>
            <w:r w:rsidR="00415834">
              <w:rPr>
                <w:noProof/>
                <w:webHidden/>
              </w:rPr>
              <w:fldChar w:fldCharType="end"/>
            </w:r>
          </w:hyperlink>
        </w:p>
        <w:p w14:paraId="20AA4C61" w14:textId="3A2972D6" w:rsidR="00415834" w:rsidRDefault="00573283">
          <w:pPr>
            <w:pStyle w:val="TOC3"/>
            <w:rPr>
              <w:rFonts w:asciiTheme="minorHAnsi" w:eastAsiaTheme="minorEastAsia" w:hAnsiTheme="minorHAnsi" w:cstheme="minorBidi"/>
              <w:noProof/>
              <w:szCs w:val="22"/>
            </w:rPr>
          </w:pPr>
          <w:hyperlink w:anchor="_Toc40191065" w:history="1">
            <w:r w:rsidR="00415834" w:rsidRPr="009232D0">
              <w:rPr>
                <w:rStyle w:val="Hyperlink"/>
                <w:rFonts w:cstheme="minorHAnsi"/>
                <w:iCs/>
                <w:caps/>
                <w:noProof/>
                <w:lang w:val="es-ES"/>
              </w:rPr>
              <w:t xml:space="preserve">2.6.2 </w:t>
            </w:r>
            <w:r w:rsidR="00415834">
              <w:rPr>
                <w:rFonts w:asciiTheme="minorHAnsi" w:eastAsiaTheme="minorEastAsia" w:hAnsiTheme="minorHAnsi" w:cstheme="minorBidi"/>
                <w:noProof/>
                <w:szCs w:val="22"/>
              </w:rPr>
              <w:tab/>
            </w:r>
            <w:r w:rsidR="00415834" w:rsidRPr="009232D0">
              <w:rPr>
                <w:rStyle w:val="Hyperlink"/>
                <w:rFonts w:cstheme="minorHAnsi"/>
                <w:iCs/>
                <w:caps/>
                <w:noProof/>
                <w:lang w:val="es-ES"/>
              </w:rPr>
              <w:t>D</w:t>
            </w:r>
            <w:r w:rsidR="00415834" w:rsidRPr="009232D0">
              <w:rPr>
                <w:rStyle w:val="Hyperlink"/>
                <w:rFonts w:cstheme="minorHAnsi"/>
                <w:iCs/>
                <w:noProof/>
                <w:lang w:val="es-ES"/>
              </w:rPr>
              <w:t xml:space="preserve">epartamento de Servicios Financieros </w:t>
            </w:r>
            <w:r w:rsidR="00415834" w:rsidRPr="009232D0">
              <w:rPr>
                <w:rStyle w:val="Hyperlink"/>
                <w:rFonts w:cstheme="minorHAnsi"/>
                <w:iCs/>
                <w:caps/>
                <w:noProof/>
                <w:lang w:val="es-ES"/>
              </w:rPr>
              <w:t>(DFS)</w:t>
            </w:r>
            <w:r w:rsidR="00415834">
              <w:rPr>
                <w:noProof/>
                <w:webHidden/>
              </w:rPr>
              <w:tab/>
            </w:r>
            <w:r w:rsidR="00415834">
              <w:rPr>
                <w:noProof/>
                <w:webHidden/>
              </w:rPr>
              <w:fldChar w:fldCharType="begin"/>
            </w:r>
            <w:r w:rsidR="00415834">
              <w:rPr>
                <w:noProof/>
                <w:webHidden/>
              </w:rPr>
              <w:instrText xml:space="preserve"> PAGEREF _Toc40191065 \h </w:instrText>
            </w:r>
            <w:r w:rsidR="00415834">
              <w:rPr>
                <w:noProof/>
                <w:webHidden/>
              </w:rPr>
            </w:r>
            <w:r w:rsidR="00415834">
              <w:rPr>
                <w:noProof/>
                <w:webHidden/>
              </w:rPr>
              <w:fldChar w:fldCharType="separate"/>
            </w:r>
            <w:r w:rsidR="00415834">
              <w:rPr>
                <w:noProof/>
                <w:webHidden/>
              </w:rPr>
              <w:t>55</w:t>
            </w:r>
            <w:r w:rsidR="00415834">
              <w:rPr>
                <w:noProof/>
                <w:webHidden/>
              </w:rPr>
              <w:fldChar w:fldCharType="end"/>
            </w:r>
          </w:hyperlink>
        </w:p>
        <w:p w14:paraId="4040F915" w14:textId="7DE4D6D7" w:rsidR="00415834" w:rsidRDefault="00573283">
          <w:pPr>
            <w:pStyle w:val="TOC3"/>
            <w:rPr>
              <w:rFonts w:asciiTheme="minorHAnsi" w:eastAsiaTheme="minorEastAsia" w:hAnsiTheme="minorHAnsi" w:cstheme="minorBidi"/>
              <w:noProof/>
              <w:szCs w:val="22"/>
            </w:rPr>
          </w:pPr>
          <w:hyperlink w:anchor="_Toc40191066" w:history="1">
            <w:r w:rsidR="00415834" w:rsidRPr="009232D0">
              <w:rPr>
                <w:rStyle w:val="Hyperlink"/>
                <w:rFonts w:cstheme="minorHAnsi"/>
                <w:iCs/>
                <w:caps/>
                <w:noProof/>
                <w:lang w:val="es-ES"/>
              </w:rPr>
              <w:t>2.6.3</w:t>
            </w:r>
            <w:r w:rsidR="00415834">
              <w:rPr>
                <w:rFonts w:asciiTheme="minorHAnsi" w:eastAsiaTheme="minorEastAsia" w:hAnsiTheme="minorHAnsi" w:cstheme="minorBidi"/>
                <w:noProof/>
                <w:szCs w:val="22"/>
              </w:rPr>
              <w:tab/>
            </w:r>
            <w:r w:rsidR="00415834" w:rsidRPr="009232D0">
              <w:rPr>
                <w:rStyle w:val="Hyperlink"/>
                <w:rFonts w:cstheme="minorHAnsi"/>
                <w:iCs/>
                <w:noProof/>
                <w:lang w:val="es-ES"/>
              </w:rPr>
              <w:t xml:space="preserve">Departamento de Servicios de Información y Tecnología </w:t>
            </w:r>
            <w:r w:rsidR="00415834" w:rsidRPr="009232D0">
              <w:rPr>
                <w:rStyle w:val="Hyperlink"/>
                <w:rFonts w:cstheme="minorHAnsi"/>
                <w:iCs/>
                <w:caps/>
                <w:noProof/>
                <w:lang w:val="es-ES"/>
              </w:rPr>
              <w:t>– DOITS</w:t>
            </w:r>
            <w:r w:rsidR="00415834">
              <w:rPr>
                <w:noProof/>
                <w:webHidden/>
              </w:rPr>
              <w:tab/>
            </w:r>
            <w:r w:rsidR="00415834">
              <w:rPr>
                <w:noProof/>
                <w:webHidden/>
              </w:rPr>
              <w:fldChar w:fldCharType="begin"/>
            </w:r>
            <w:r w:rsidR="00415834">
              <w:rPr>
                <w:noProof/>
                <w:webHidden/>
              </w:rPr>
              <w:instrText xml:space="preserve"> PAGEREF _Toc40191066 \h </w:instrText>
            </w:r>
            <w:r w:rsidR="00415834">
              <w:rPr>
                <w:noProof/>
                <w:webHidden/>
              </w:rPr>
            </w:r>
            <w:r w:rsidR="00415834">
              <w:rPr>
                <w:noProof/>
                <w:webHidden/>
              </w:rPr>
              <w:fldChar w:fldCharType="separate"/>
            </w:r>
            <w:r w:rsidR="00415834">
              <w:rPr>
                <w:noProof/>
                <w:webHidden/>
              </w:rPr>
              <w:t>56</w:t>
            </w:r>
            <w:r w:rsidR="00415834">
              <w:rPr>
                <w:noProof/>
                <w:webHidden/>
              </w:rPr>
              <w:fldChar w:fldCharType="end"/>
            </w:r>
          </w:hyperlink>
        </w:p>
        <w:p w14:paraId="17A07E49" w14:textId="6158C8A6" w:rsidR="00415834" w:rsidRDefault="00573283">
          <w:pPr>
            <w:pStyle w:val="TOC3"/>
            <w:rPr>
              <w:rFonts w:asciiTheme="minorHAnsi" w:eastAsiaTheme="minorEastAsia" w:hAnsiTheme="minorHAnsi" w:cstheme="minorBidi"/>
              <w:noProof/>
              <w:szCs w:val="22"/>
            </w:rPr>
          </w:pPr>
          <w:hyperlink w:anchor="_Toc40191067" w:history="1">
            <w:r w:rsidR="00415834" w:rsidRPr="009232D0">
              <w:rPr>
                <w:rStyle w:val="Hyperlink"/>
                <w:rFonts w:cstheme="minorHAnsi"/>
                <w:iCs/>
                <w:caps/>
                <w:noProof/>
                <w:lang w:val="es-ES"/>
              </w:rPr>
              <w:t>2.6.4</w:t>
            </w:r>
            <w:r w:rsidR="00415834">
              <w:rPr>
                <w:rFonts w:asciiTheme="minorHAnsi" w:eastAsiaTheme="minorEastAsia" w:hAnsiTheme="minorHAnsi" w:cstheme="minorBidi"/>
                <w:noProof/>
                <w:szCs w:val="22"/>
              </w:rPr>
              <w:tab/>
            </w:r>
            <w:r w:rsidR="00415834" w:rsidRPr="009232D0">
              <w:rPr>
                <w:rStyle w:val="Hyperlink"/>
                <w:rFonts w:cstheme="minorHAnsi"/>
                <w:iCs/>
                <w:noProof/>
                <w:lang w:val="es-ES"/>
              </w:rPr>
              <w:t>Departamento de Servicios de Compras</w:t>
            </w:r>
            <w:r w:rsidR="00415834">
              <w:rPr>
                <w:noProof/>
                <w:webHidden/>
              </w:rPr>
              <w:tab/>
            </w:r>
            <w:r w:rsidR="00415834">
              <w:rPr>
                <w:noProof/>
                <w:webHidden/>
              </w:rPr>
              <w:fldChar w:fldCharType="begin"/>
            </w:r>
            <w:r w:rsidR="00415834">
              <w:rPr>
                <w:noProof/>
                <w:webHidden/>
              </w:rPr>
              <w:instrText xml:space="preserve"> PAGEREF _Toc40191067 \h </w:instrText>
            </w:r>
            <w:r w:rsidR="00415834">
              <w:rPr>
                <w:noProof/>
                <w:webHidden/>
              </w:rPr>
            </w:r>
            <w:r w:rsidR="00415834">
              <w:rPr>
                <w:noProof/>
                <w:webHidden/>
              </w:rPr>
              <w:fldChar w:fldCharType="separate"/>
            </w:r>
            <w:r w:rsidR="00415834">
              <w:rPr>
                <w:noProof/>
                <w:webHidden/>
              </w:rPr>
              <w:t>58</w:t>
            </w:r>
            <w:r w:rsidR="00415834">
              <w:rPr>
                <w:noProof/>
                <w:webHidden/>
              </w:rPr>
              <w:fldChar w:fldCharType="end"/>
            </w:r>
          </w:hyperlink>
        </w:p>
        <w:p w14:paraId="03198054" w14:textId="0CBDAD1F" w:rsidR="00415834" w:rsidRDefault="00573283">
          <w:pPr>
            <w:pStyle w:val="TOC3"/>
            <w:rPr>
              <w:rFonts w:asciiTheme="minorHAnsi" w:eastAsiaTheme="minorEastAsia" w:hAnsiTheme="minorHAnsi" w:cstheme="minorBidi"/>
              <w:noProof/>
              <w:szCs w:val="22"/>
            </w:rPr>
          </w:pPr>
          <w:hyperlink w:anchor="_Toc40191068" w:history="1">
            <w:r w:rsidR="00415834" w:rsidRPr="009232D0">
              <w:rPr>
                <w:rStyle w:val="Hyperlink"/>
                <w:rFonts w:cstheme="minorHAnsi"/>
                <w:iCs/>
                <w:caps/>
                <w:noProof/>
                <w:lang w:val="es-ES"/>
              </w:rPr>
              <w:t xml:space="preserve">2.6.5 </w:t>
            </w:r>
            <w:r w:rsidR="00415834">
              <w:rPr>
                <w:rFonts w:asciiTheme="minorHAnsi" w:eastAsiaTheme="minorEastAsia" w:hAnsiTheme="minorHAnsi" w:cstheme="minorBidi"/>
                <w:noProof/>
                <w:szCs w:val="22"/>
              </w:rPr>
              <w:tab/>
            </w:r>
            <w:r w:rsidR="00415834" w:rsidRPr="009232D0">
              <w:rPr>
                <w:rStyle w:val="Hyperlink"/>
                <w:rFonts w:cstheme="minorHAnsi"/>
                <w:iCs/>
                <w:noProof/>
                <w:lang w:val="es-ES"/>
              </w:rPr>
              <w:t xml:space="preserve">Departamento de Servicios Generales </w:t>
            </w:r>
            <w:r w:rsidR="00415834" w:rsidRPr="009232D0">
              <w:rPr>
                <w:rStyle w:val="Hyperlink"/>
                <w:rFonts w:cstheme="minorHAnsi"/>
                <w:iCs/>
                <w:caps/>
                <w:noProof/>
                <w:lang w:val="es-ES"/>
              </w:rPr>
              <w:t>(DSG)</w:t>
            </w:r>
            <w:r w:rsidR="00415834">
              <w:rPr>
                <w:noProof/>
                <w:webHidden/>
              </w:rPr>
              <w:tab/>
            </w:r>
            <w:r w:rsidR="00415834">
              <w:rPr>
                <w:noProof/>
                <w:webHidden/>
              </w:rPr>
              <w:fldChar w:fldCharType="begin"/>
            </w:r>
            <w:r w:rsidR="00415834">
              <w:rPr>
                <w:noProof/>
                <w:webHidden/>
              </w:rPr>
              <w:instrText xml:space="preserve"> PAGEREF _Toc40191068 \h </w:instrText>
            </w:r>
            <w:r w:rsidR="00415834">
              <w:rPr>
                <w:noProof/>
                <w:webHidden/>
              </w:rPr>
            </w:r>
            <w:r w:rsidR="00415834">
              <w:rPr>
                <w:noProof/>
                <w:webHidden/>
              </w:rPr>
              <w:fldChar w:fldCharType="separate"/>
            </w:r>
            <w:r w:rsidR="00415834">
              <w:rPr>
                <w:noProof/>
                <w:webHidden/>
              </w:rPr>
              <w:t>59</w:t>
            </w:r>
            <w:r w:rsidR="00415834">
              <w:rPr>
                <w:noProof/>
                <w:webHidden/>
              </w:rPr>
              <w:fldChar w:fldCharType="end"/>
            </w:r>
          </w:hyperlink>
        </w:p>
        <w:p w14:paraId="71ACDB23" w14:textId="77777777" w:rsidR="00F43808" w:rsidRDefault="00F43808">
          <w:pPr>
            <w:pStyle w:val="TOC1"/>
          </w:pPr>
        </w:p>
        <w:p w14:paraId="045CC6C6" w14:textId="5D99D5D3" w:rsidR="00415834" w:rsidRDefault="00573283">
          <w:pPr>
            <w:pStyle w:val="TOC1"/>
            <w:rPr>
              <w:rFonts w:asciiTheme="minorHAnsi" w:eastAsiaTheme="minorEastAsia" w:hAnsiTheme="minorHAnsi" w:cstheme="minorBidi"/>
              <w:szCs w:val="22"/>
              <w:lang w:val="en-US"/>
            </w:rPr>
          </w:pPr>
          <w:hyperlink w:anchor="_Toc40191069" w:history="1">
            <w:r w:rsidR="00415834" w:rsidRPr="009232D0">
              <w:rPr>
                <w:rStyle w:val="Hyperlink"/>
                <w:rFonts w:cstheme="minorHAnsi"/>
              </w:rPr>
              <w:t>2.7</w:t>
            </w:r>
            <w:r w:rsidR="00415834">
              <w:rPr>
                <w:rFonts w:asciiTheme="minorHAnsi" w:eastAsiaTheme="minorEastAsia" w:hAnsiTheme="minorHAnsi" w:cstheme="minorBidi"/>
                <w:szCs w:val="22"/>
                <w:lang w:val="en-US"/>
              </w:rPr>
              <w:tab/>
            </w:r>
            <w:r w:rsidR="00415834" w:rsidRPr="009232D0">
              <w:rPr>
                <w:rStyle w:val="Hyperlink"/>
                <w:rFonts w:cstheme="minorHAnsi"/>
              </w:rPr>
              <w:t>SECRETARÍA DE ASUNTOS JURÍDICOS</w:t>
            </w:r>
            <w:r w:rsidR="00415834">
              <w:rPr>
                <w:webHidden/>
              </w:rPr>
              <w:tab/>
            </w:r>
            <w:r w:rsidR="00415834">
              <w:rPr>
                <w:webHidden/>
              </w:rPr>
              <w:fldChar w:fldCharType="begin"/>
            </w:r>
            <w:r w:rsidR="00415834">
              <w:rPr>
                <w:webHidden/>
              </w:rPr>
              <w:instrText xml:space="preserve"> PAGEREF _Toc40191069 \h </w:instrText>
            </w:r>
            <w:r w:rsidR="00415834">
              <w:rPr>
                <w:webHidden/>
              </w:rPr>
            </w:r>
            <w:r w:rsidR="00415834">
              <w:rPr>
                <w:webHidden/>
              </w:rPr>
              <w:fldChar w:fldCharType="separate"/>
            </w:r>
            <w:r w:rsidR="00415834">
              <w:rPr>
                <w:webHidden/>
              </w:rPr>
              <w:t>61</w:t>
            </w:r>
            <w:r w:rsidR="00415834">
              <w:rPr>
                <w:webHidden/>
              </w:rPr>
              <w:fldChar w:fldCharType="end"/>
            </w:r>
          </w:hyperlink>
        </w:p>
        <w:p w14:paraId="76424C81" w14:textId="09E27F2B" w:rsidR="00415834" w:rsidRDefault="00573283">
          <w:pPr>
            <w:pStyle w:val="TOC3"/>
            <w:rPr>
              <w:rFonts w:asciiTheme="minorHAnsi" w:eastAsiaTheme="minorEastAsia" w:hAnsiTheme="minorHAnsi" w:cstheme="minorBidi"/>
              <w:noProof/>
              <w:szCs w:val="22"/>
            </w:rPr>
          </w:pPr>
          <w:hyperlink w:anchor="_Toc40191070" w:history="1">
            <w:r w:rsidR="00415834" w:rsidRPr="009232D0">
              <w:rPr>
                <w:rStyle w:val="Hyperlink"/>
                <w:rFonts w:eastAsia="Calibri" w:cstheme="minorHAnsi"/>
                <w:noProof/>
                <w:lang w:val="es-UY"/>
              </w:rPr>
              <w:t>2.7.1</w:t>
            </w:r>
            <w:r w:rsidR="00415834">
              <w:rPr>
                <w:rFonts w:asciiTheme="minorHAnsi" w:eastAsiaTheme="minorEastAsia" w:hAnsiTheme="minorHAnsi" w:cstheme="minorBidi"/>
                <w:noProof/>
                <w:szCs w:val="22"/>
              </w:rPr>
              <w:tab/>
            </w:r>
            <w:r w:rsidR="00415834" w:rsidRPr="009232D0">
              <w:rPr>
                <w:rStyle w:val="Hyperlink"/>
                <w:rFonts w:eastAsia="Calibri" w:cstheme="minorHAnsi"/>
                <w:noProof/>
                <w:lang w:val="es-UY"/>
              </w:rPr>
              <w:t xml:space="preserve">Departamento de Derecho Internacional </w:t>
            </w:r>
            <w:r w:rsidR="00415834" w:rsidRPr="009232D0">
              <w:rPr>
                <w:rStyle w:val="Hyperlink"/>
                <w:rFonts w:eastAsia="Calibri" w:cstheme="minorHAnsi"/>
                <w:noProof/>
                <w:lang w:val="es-PE"/>
              </w:rPr>
              <w:t>(DDI)</w:t>
            </w:r>
            <w:r w:rsidR="00415834">
              <w:rPr>
                <w:noProof/>
                <w:webHidden/>
              </w:rPr>
              <w:tab/>
            </w:r>
            <w:r w:rsidR="00415834">
              <w:rPr>
                <w:noProof/>
                <w:webHidden/>
              </w:rPr>
              <w:fldChar w:fldCharType="begin"/>
            </w:r>
            <w:r w:rsidR="00415834">
              <w:rPr>
                <w:noProof/>
                <w:webHidden/>
              </w:rPr>
              <w:instrText xml:space="preserve"> PAGEREF _Toc40191070 \h </w:instrText>
            </w:r>
            <w:r w:rsidR="00415834">
              <w:rPr>
                <w:noProof/>
                <w:webHidden/>
              </w:rPr>
            </w:r>
            <w:r w:rsidR="00415834">
              <w:rPr>
                <w:noProof/>
                <w:webHidden/>
              </w:rPr>
              <w:fldChar w:fldCharType="separate"/>
            </w:r>
            <w:r w:rsidR="00415834">
              <w:rPr>
                <w:noProof/>
                <w:webHidden/>
              </w:rPr>
              <w:t>62</w:t>
            </w:r>
            <w:r w:rsidR="00415834">
              <w:rPr>
                <w:noProof/>
                <w:webHidden/>
              </w:rPr>
              <w:fldChar w:fldCharType="end"/>
            </w:r>
          </w:hyperlink>
        </w:p>
        <w:p w14:paraId="687DF8FF" w14:textId="1D21F94C" w:rsidR="00415834" w:rsidRDefault="00573283">
          <w:pPr>
            <w:pStyle w:val="TOC3"/>
            <w:rPr>
              <w:rFonts w:asciiTheme="minorHAnsi" w:eastAsiaTheme="minorEastAsia" w:hAnsiTheme="minorHAnsi" w:cstheme="minorBidi"/>
              <w:noProof/>
              <w:szCs w:val="22"/>
            </w:rPr>
          </w:pPr>
          <w:hyperlink w:anchor="_Toc40191071" w:history="1">
            <w:r w:rsidR="00415834" w:rsidRPr="009232D0">
              <w:rPr>
                <w:rStyle w:val="Hyperlink"/>
                <w:rFonts w:eastAsia="Calibri" w:cstheme="minorHAnsi"/>
                <w:noProof/>
                <w:lang w:val="es-PE"/>
              </w:rPr>
              <w:t>2.7.2</w:t>
            </w:r>
            <w:r w:rsidR="00415834">
              <w:rPr>
                <w:rFonts w:asciiTheme="minorHAnsi" w:eastAsiaTheme="minorEastAsia" w:hAnsiTheme="minorHAnsi" w:cstheme="minorBidi"/>
                <w:noProof/>
                <w:szCs w:val="22"/>
              </w:rPr>
              <w:tab/>
            </w:r>
            <w:r w:rsidR="00415834" w:rsidRPr="009232D0">
              <w:rPr>
                <w:rStyle w:val="Hyperlink"/>
                <w:rFonts w:eastAsia="Calibri" w:cstheme="minorHAnsi"/>
                <w:noProof/>
                <w:lang w:val="es-PE"/>
              </w:rPr>
              <w:t>Departamento de Cooperación Jurídica (DCJ)</w:t>
            </w:r>
            <w:r w:rsidR="00415834">
              <w:rPr>
                <w:noProof/>
                <w:webHidden/>
              </w:rPr>
              <w:tab/>
            </w:r>
            <w:r w:rsidR="00415834">
              <w:rPr>
                <w:noProof/>
                <w:webHidden/>
              </w:rPr>
              <w:fldChar w:fldCharType="begin"/>
            </w:r>
            <w:r w:rsidR="00415834">
              <w:rPr>
                <w:noProof/>
                <w:webHidden/>
              </w:rPr>
              <w:instrText xml:space="preserve"> PAGEREF _Toc40191071 \h </w:instrText>
            </w:r>
            <w:r w:rsidR="00415834">
              <w:rPr>
                <w:noProof/>
                <w:webHidden/>
              </w:rPr>
            </w:r>
            <w:r w:rsidR="00415834">
              <w:rPr>
                <w:noProof/>
                <w:webHidden/>
              </w:rPr>
              <w:fldChar w:fldCharType="separate"/>
            </w:r>
            <w:r w:rsidR="00415834">
              <w:rPr>
                <w:noProof/>
                <w:webHidden/>
              </w:rPr>
              <w:t>62</w:t>
            </w:r>
            <w:r w:rsidR="00415834">
              <w:rPr>
                <w:noProof/>
                <w:webHidden/>
              </w:rPr>
              <w:fldChar w:fldCharType="end"/>
            </w:r>
          </w:hyperlink>
        </w:p>
        <w:p w14:paraId="43C64134" w14:textId="7D69E99A" w:rsidR="00415834" w:rsidRDefault="00573283">
          <w:pPr>
            <w:pStyle w:val="TOC3"/>
            <w:rPr>
              <w:rFonts w:asciiTheme="minorHAnsi" w:eastAsiaTheme="minorEastAsia" w:hAnsiTheme="minorHAnsi" w:cstheme="minorBidi"/>
              <w:noProof/>
              <w:szCs w:val="22"/>
            </w:rPr>
          </w:pPr>
          <w:hyperlink w:anchor="_Toc40191072" w:history="1">
            <w:r w:rsidR="00415834" w:rsidRPr="009232D0">
              <w:rPr>
                <w:rStyle w:val="Hyperlink"/>
                <w:rFonts w:eastAsia="Calibri" w:cstheme="minorHAnsi"/>
                <w:noProof/>
                <w:lang w:val="es-AR"/>
              </w:rPr>
              <w:t>2.7.3</w:t>
            </w:r>
            <w:r w:rsidR="00415834">
              <w:rPr>
                <w:rFonts w:asciiTheme="minorHAnsi" w:eastAsiaTheme="minorEastAsia" w:hAnsiTheme="minorHAnsi" w:cstheme="minorBidi"/>
                <w:noProof/>
                <w:szCs w:val="22"/>
              </w:rPr>
              <w:tab/>
            </w:r>
            <w:r w:rsidR="00415834" w:rsidRPr="009232D0">
              <w:rPr>
                <w:rStyle w:val="Hyperlink"/>
                <w:rFonts w:eastAsia="Calibri" w:cstheme="minorHAnsi"/>
                <w:noProof/>
                <w:lang w:val="es-ES"/>
              </w:rPr>
              <w:t>Departamento de Asesoría Legal (DAL)</w:t>
            </w:r>
            <w:r w:rsidR="00415834">
              <w:rPr>
                <w:noProof/>
                <w:webHidden/>
              </w:rPr>
              <w:tab/>
            </w:r>
            <w:r w:rsidR="00415834">
              <w:rPr>
                <w:noProof/>
                <w:webHidden/>
              </w:rPr>
              <w:fldChar w:fldCharType="begin"/>
            </w:r>
            <w:r w:rsidR="00415834">
              <w:rPr>
                <w:noProof/>
                <w:webHidden/>
              </w:rPr>
              <w:instrText xml:space="preserve"> PAGEREF _Toc40191072 \h </w:instrText>
            </w:r>
            <w:r w:rsidR="00415834">
              <w:rPr>
                <w:noProof/>
                <w:webHidden/>
              </w:rPr>
            </w:r>
            <w:r w:rsidR="00415834">
              <w:rPr>
                <w:noProof/>
                <w:webHidden/>
              </w:rPr>
              <w:fldChar w:fldCharType="separate"/>
            </w:r>
            <w:r w:rsidR="00415834">
              <w:rPr>
                <w:noProof/>
                <w:webHidden/>
              </w:rPr>
              <w:t>63</w:t>
            </w:r>
            <w:r w:rsidR="00415834">
              <w:rPr>
                <w:noProof/>
                <w:webHidden/>
              </w:rPr>
              <w:fldChar w:fldCharType="end"/>
            </w:r>
          </w:hyperlink>
        </w:p>
        <w:p w14:paraId="2F72AD7E" w14:textId="77777777" w:rsidR="00F43808" w:rsidRDefault="00F43808">
          <w:pPr>
            <w:pStyle w:val="TOC2"/>
          </w:pPr>
        </w:p>
        <w:p w14:paraId="27C03751" w14:textId="10E4AAA1" w:rsidR="00415834" w:rsidRDefault="00573283">
          <w:pPr>
            <w:pStyle w:val="TOC2"/>
            <w:rPr>
              <w:rFonts w:asciiTheme="minorHAnsi" w:eastAsiaTheme="minorEastAsia" w:hAnsiTheme="minorHAnsi" w:cstheme="minorBidi"/>
              <w:lang w:val="en-US"/>
            </w:rPr>
          </w:pPr>
          <w:hyperlink w:anchor="_Toc40191073" w:history="1">
            <w:r w:rsidR="00415834" w:rsidRPr="00F43808">
              <w:rPr>
                <w:rStyle w:val="Hyperlink"/>
                <w:rFonts w:cstheme="minorHAnsi"/>
              </w:rPr>
              <w:t>2.8</w:t>
            </w:r>
            <w:r w:rsidR="00415834" w:rsidRPr="00F43808">
              <w:rPr>
                <w:rFonts w:asciiTheme="minorHAnsi" w:eastAsiaTheme="minorEastAsia" w:hAnsiTheme="minorHAnsi" w:cstheme="minorBidi"/>
                <w:lang w:val="en-US"/>
              </w:rPr>
              <w:tab/>
            </w:r>
            <w:r w:rsidR="00415834" w:rsidRPr="00F43808">
              <w:rPr>
                <w:rStyle w:val="Hyperlink"/>
                <w:rFonts w:cstheme="minorHAnsi"/>
              </w:rPr>
              <w:t>SECRETARÍA DE ACCESO A DERECHOS Y EQUIDAD</w:t>
            </w:r>
            <w:r w:rsidR="00415834">
              <w:rPr>
                <w:webHidden/>
              </w:rPr>
              <w:tab/>
            </w:r>
            <w:r w:rsidR="00415834">
              <w:rPr>
                <w:webHidden/>
              </w:rPr>
              <w:fldChar w:fldCharType="begin"/>
            </w:r>
            <w:r w:rsidR="00415834">
              <w:rPr>
                <w:webHidden/>
              </w:rPr>
              <w:instrText xml:space="preserve"> PAGEREF _Toc40191073 \h </w:instrText>
            </w:r>
            <w:r w:rsidR="00415834">
              <w:rPr>
                <w:webHidden/>
              </w:rPr>
            </w:r>
            <w:r w:rsidR="00415834">
              <w:rPr>
                <w:webHidden/>
              </w:rPr>
              <w:fldChar w:fldCharType="separate"/>
            </w:r>
            <w:r w:rsidR="00415834">
              <w:rPr>
                <w:webHidden/>
              </w:rPr>
              <w:t>64</w:t>
            </w:r>
            <w:r w:rsidR="00415834">
              <w:rPr>
                <w:webHidden/>
              </w:rPr>
              <w:fldChar w:fldCharType="end"/>
            </w:r>
          </w:hyperlink>
        </w:p>
        <w:p w14:paraId="1416E696" w14:textId="73F54510" w:rsidR="00415834" w:rsidRDefault="00573283">
          <w:pPr>
            <w:pStyle w:val="TOC3"/>
            <w:rPr>
              <w:rFonts w:asciiTheme="minorHAnsi" w:eastAsiaTheme="minorEastAsia" w:hAnsiTheme="minorHAnsi" w:cstheme="minorBidi"/>
              <w:noProof/>
              <w:szCs w:val="22"/>
            </w:rPr>
          </w:pPr>
          <w:hyperlink w:anchor="_Toc40191074" w:history="1">
            <w:r w:rsidR="00415834" w:rsidRPr="009232D0">
              <w:rPr>
                <w:rStyle w:val="Hyperlink"/>
                <w:rFonts w:cstheme="minorHAnsi"/>
                <w:noProof/>
                <w:lang w:val="es-ES"/>
              </w:rPr>
              <w:t>2.8.1</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Departamento de Inclusión Social</w:t>
            </w:r>
            <w:r w:rsidR="00415834">
              <w:rPr>
                <w:noProof/>
                <w:webHidden/>
              </w:rPr>
              <w:tab/>
            </w:r>
            <w:r w:rsidR="00415834">
              <w:rPr>
                <w:noProof/>
                <w:webHidden/>
              </w:rPr>
              <w:fldChar w:fldCharType="begin"/>
            </w:r>
            <w:r w:rsidR="00415834">
              <w:rPr>
                <w:noProof/>
                <w:webHidden/>
              </w:rPr>
              <w:instrText xml:space="preserve"> PAGEREF _Toc40191074 \h </w:instrText>
            </w:r>
            <w:r w:rsidR="00415834">
              <w:rPr>
                <w:noProof/>
                <w:webHidden/>
              </w:rPr>
            </w:r>
            <w:r w:rsidR="00415834">
              <w:rPr>
                <w:noProof/>
                <w:webHidden/>
              </w:rPr>
              <w:fldChar w:fldCharType="separate"/>
            </w:r>
            <w:r w:rsidR="00415834">
              <w:rPr>
                <w:noProof/>
                <w:webHidden/>
              </w:rPr>
              <w:t>65</w:t>
            </w:r>
            <w:r w:rsidR="00415834">
              <w:rPr>
                <w:noProof/>
                <w:webHidden/>
              </w:rPr>
              <w:fldChar w:fldCharType="end"/>
            </w:r>
          </w:hyperlink>
        </w:p>
        <w:p w14:paraId="04186E35" w14:textId="77777777" w:rsidR="00F43808" w:rsidRDefault="00F43808">
          <w:pPr>
            <w:pStyle w:val="TOC2"/>
          </w:pPr>
        </w:p>
        <w:p w14:paraId="4D98B8E5" w14:textId="356F262D" w:rsidR="00415834" w:rsidRDefault="00573283">
          <w:pPr>
            <w:pStyle w:val="TOC2"/>
            <w:rPr>
              <w:rFonts w:asciiTheme="minorHAnsi" w:eastAsiaTheme="minorEastAsia" w:hAnsiTheme="minorHAnsi" w:cstheme="minorBidi"/>
              <w:lang w:val="en-US"/>
            </w:rPr>
          </w:pPr>
          <w:hyperlink w:anchor="_Toc40191075" w:history="1">
            <w:r w:rsidR="00415834" w:rsidRPr="00F43808">
              <w:rPr>
                <w:rStyle w:val="Hyperlink"/>
                <w:rFonts w:cstheme="minorHAnsi"/>
              </w:rPr>
              <w:t>2.9</w:t>
            </w:r>
            <w:r w:rsidR="00415834" w:rsidRPr="00F43808">
              <w:rPr>
                <w:rFonts w:asciiTheme="minorHAnsi" w:eastAsiaTheme="minorEastAsia" w:hAnsiTheme="minorHAnsi" w:cstheme="minorBidi"/>
                <w:lang w:val="en-US"/>
              </w:rPr>
              <w:tab/>
            </w:r>
            <w:r w:rsidR="00415834" w:rsidRPr="00F43808">
              <w:rPr>
                <w:rStyle w:val="Hyperlink"/>
                <w:rFonts w:cstheme="minorHAnsi"/>
              </w:rPr>
              <w:t>SECRETARÍA DE ASUNTOS HEMISFÉRICOS</w:t>
            </w:r>
            <w:r w:rsidR="00415834">
              <w:rPr>
                <w:webHidden/>
              </w:rPr>
              <w:tab/>
            </w:r>
            <w:r w:rsidR="00415834">
              <w:rPr>
                <w:webHidden/>
              </w:rPr>
              <w:fldChar w:fldCharType="begin"/>
            </w:r>
            <w:r w:rsidR="00415834">
              <w:rPr>
                <w:webHidden/>
              </w:rPr>
              <w:instrText xml:space="preserve"> PAGEREF _Toc40191075 \h </w:instrText>
            </w:r>
            <w:r w:rsidR="00415834">
              <w:rPr>
                <w:webHidden/>
              </w:rPr>
            </w:r>
            <w:r w:rsidR="00415834">
              <w:rPr>
                <w:webHidden/>
              </w:rPr>
              <w:fldChar w:fldCharType="separate"/>
            </w:r>
            <w:r w:rsidR="00415834">
              <w:rPr>
                <w:webHidden/>
              </w:rPr>
              <w:t>70</w:t>
            </w:r>
            <w:r w:rsidR="00415834">
              <w:rPr>
                <w:webHidden/>
              </w:rPr>
              <w:fldChar w:fldCharType="end"/>
            </w:r>
          </w:hyperlink>
        </w:p>
        <w:p w14:paraId="76FA1011" w14:textId="44D65E10" w:rsidR="00415834" w:rsidRDefault="00573283">
          <w:pPr>
            <w:pStyle w:val="TOC3"/>
            <w:rPr>
              <w:rFonts w:asciiTheme="minorHAnsi" w:eastAsiaTheme="minorEastAsia" w:hAnsiTheme="minorHAnsi" w:cstheme="minorBidi"/>
              <w:noProof/>
              <w:szCs w:val="22"/>
            </w:rPr>
          </w:pPr>
          <w:hyperlink w:anchor="_Toc40191076" w:history="1">
            <w:r w:rsidR="00415834" w:rsidRPr="009232D0">
              <w:rPr>
                <w:rStyle w:val="Hyperlink"/>
                <w:rFonts w:cstheme="minorHAnsi"/>
                <w:noProof/>
                <w:lang w:val="es-ES"/>
              </w:rPr>
              <w:t>2.9.1</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Departamento para la Gestión Pública Efectiva (DGPE)</w:t>
            </w:r>
            <w:r w:rsidR="00415834">
              <w:rPr>
                <w:noProof/>
                <w:webHidden/>
              </w:rPr>
              <w:tab/>
            </w:r>
            <w:r w:rsidR="00415834">
              <w:rPr>
                <w:noProof/>
                <w:webHidden/>
              </w:rPr>
              <w:fldChar w:fldCharType="begin"/>
            </w:r>
            <w:r w:rsidR="00415834">
              <w:rPr>
                <w:noProof/>
                <w:webHidden/>
              </w:rPr>
              <w:instrText xml:space="preserve"> PAGEREF _Toc40191076 \h </w:instrText>
            </w:r>
            <w:r w:rsidR="00415834">
              <w:rPr>
                <w:noProof/>
                <w:webHidden/>
              </w:rPr>
            </w:r>
            <w:r w:rsidR="00415834">
              <w:rPr>
                <w:noProof/>
                <w:webHidden/>
              </w:rPr>
              <w:fldChar w:fldCharType="separate"/>
            </w:r>
            <w:r w:rsidR="00415834">
              <w:rPr>
                <w:noProof/>
                <w:webHidden/>
              </w:rPr>
              <w:t>72</w:t>
            </w:r>
            <w:r w:rsidR="00415834">
              <w:rPr>
                <w:noProof/>
                <w:webHidden/>
              </w:rPr>
              <w:fldChar w:fldCharType="end"/>
            </w:r>
          </w:hyperlink>
        </w:p>
        <w:p w14:paraId="72474513" w14:textId="17A74FED" w:rsidR="00415834" w:rsidRDefault="00573283">
          <w:pPr>
            <w:pStyle w:val="TOC1"/>
            <w:rPr>
              <w:rFonts w:asciiTheme="minorHAnsi" w:eastAsiaTheme="minorEastAsia" w:hAnsiTheme="minorHAnsi" w:cstheme="minorBidi"/>
              <w:szCs w:val="22"/>
              <w:lang w:val="en-US"/>
            </w:rPr>
          </w:pPr>
          <w:hyperlink w:anchor="_Toc40191077" w:history="1">
            <w:r w:rsidR="00415834" w:rsidRPr="009232D0">
              <w:rPr>
                <w:rStyle w:val="Hyperlink"/>
                <w:rFonts w:eastAsia="Times New Roman" w:cstheme="minorHAnsi"/>
                <w:bCs/>
                <w:kern w:val="28"/>
              </w:rPr>
              <w:t>2.9.2</w:t>
            </w:r>
            <w:r w:rsidR="00415834">
              <w:rPr>
                <w:rFonts w:asciiTheme="minorHAnsi" w:eastAsiaTheme="minorEastAsia" w:hAnsiTheme="minorHAnsi" w:cstheme="minorBidi"/>
                <w:szCs w:val="22"/>
                <w:lang w:val="en-US"/>
              </w:rPr>
              <w:tab/>
            </w:r>
            <w:r w:rsidR="00415834" w:rsidRPr="009232D0">
              <w:rPr>
                <w:rStyle w:val="Hyperlink"/>
                <w:rFonts w:eastAsia="Times New Roman" w:cstheme="minorHAnsi"/>
                <w:bCs/>
                <w:kern w:val="28"/>
              </w:rPr>
              <w:t>Secretaría de Cumbres de las Américas</w:t>
            </w:r>
            <w:r w:rsidR="00415834">
              <w:rPr>
                <w:webHidden/>
              </w:rPr>
              <w:tab/>
            </w:r>
            <w:r w:rsidR="00415834">
              <w:rPr>
                <w:webHidden/>
              </w:rPr>
              <w:fldChar w:fldCharType="begin"/>
            </w:r>
            <w:r w:rsidR="00415834">
              <w:rPr>
                <w:webHidden/>
              </w:rPr>
              <w:instrText xml:space="preserve"> PAGEREF _Toc40191077 \h </w:instrText>
            </w:r>
            <w:r w:rsidR="00415834">
              <w:rPr>
                <w:webHidden/>
              </w:rPr>
            </w:r>
            <w:r w:rsidR="00415834">
              <w:rPr>
                <w:webHidden/>
              </w:rPr>
              <w:fldChar w:fldCharType="separate"/>
            </w:r>
            <w:r w:rsidR="00415834">
              <w:rPr>
                <w:webHidden/>
              </w:rPr>
              <w:t>74</w:t>
            </w:r>
            <w:r w:rsidR="00415834">
              <w:rPr>
                <w:webHidden/>
              </w:rPr>
              <w:fldChar w:fldCharType="end"/>
            </w:r>
          </w:hyperlink>
        </w:p>
        <w:p w14:paraId="3331CF22" w14:textId="48EC74D3" w:rsidR="00415834" w:rsidRDefault="00573283">
          <w:pPr>
            <w:pStyle w:val="TOC3"/>
            <w:rPr>
              <w:rFonts w:asciiTheme="minorHAnsi" w:eastAsiaTheme="minorEastAsia" w:hAnsiTheme="minorHAnsi" w:cstheme="minorBidi"/>
              <w:noProof/>
              <w:szCs w:val="22"/>
            </w:rPr>
          </w:pPr>
          <w:hyperlink w:anchor="_Toc40191078" w:history="1">
            <w:r w:rsidR="00415834" w:rsidRPr="009232D0">
              <w:rPr>
                <w:rStyle w:val="Hyperlink"/>
                <w:rFonts w:cstheme="minorHAnsi"/>
                <w:noProof/>
                <w:lang w:val="es-UY"/>
              </w:rPr>
              <w:t>2.9.3</w:t>
            </w:r>
            <w:r w:rsidR="00415834">
              <w:rPr>
                <w:rFonts w:asciiTheme="minorHAnsi" w:eastAsiaTheme="minorEastAsia" w:hAnsiTheme="minorHAnsi" w:cstheme="minorBidi"/>
                <w:noProof/>
                <w:szCs w:val="22"/>
              </w:rPr>
              <w:tab/>
            </w:r>
            <w:r w:rsidR="00415834" w:rsidRPr="009232D0">
              <w:rPr>
                <w:rStyle w:val="Hyperlink"/>
                <w:rFonts w:cstheme="minorHAnsi"/>
                <w:noProof/>
                <w:lang w:val="es-UY"/>
              </w:rPr>
              <w:t>Departamento de Iniciativas Estratégicas y Diplomacia Pública</w:t>
            </w:r>
            <w:r w:rsidR="00415834">
              <w:rPr>
                <w:noProof/>
                <w:webHidden/>
              </w:rPr>
              <w:tab/>
            </w:r>
            <w:r w:rsidR="00415834">
              <w:rPr>
                <w:noProof/>
                <w:webHidden/>
              </w:rPr>
              <w:fldChar w:fldCharType="begin"/>
            </w:r>
            <w:r w:rsidR="00415834">
              <w:rPr>
                <w:noProof/>
                <w:webHidden/>
              </w:rPr>
              <w:instrText xml:space="preserve"> PAGEREF _Toc40191078 \h </w:instrText>
            </w:r>
            <w:r w:rsidR="00415834">
              <w:rPr>
                <w:noProof/>
                <w:webHidden/>
              </w:rPr>
            </w:r>
            <w:r w:rsidR="00415834">
              <w:rPr>
                <w:noProof/>
                <w:webHidden/>
              </w:rPr>
              <w:fldChar w:fldCharType="separate"/>
            </w:r>
            <w:r w:rsidR="00415834">
              <w:rPr>
                <w:noProof/>
                <w:webHidden/>
              </w:rPr>
              <w:t>76</w:t>
            </w:r>
            <w:r w:rsidR="00415834">
              <w:rPr>
                <w:noProof/>
                <w:webHidden/>
              </w:rPr>
              <w:fldChar w:fldCharType="end"/>
            </w:r>
          </w:hyperlink>
        </w:p>
        <w:p w14:paraId="1687AB58" w14:textId="77777777" w:rsidR="00F43808" w:rsidRDefault="00F43808">
          <w:pPr>
            <w:pStyle w:val="TOC2"/>
          </w:pPr>
        </w:p>
        <w:p w14:paraId="18E40E1E" w14:textId="39C6B12C" w:rsidR="00415834" w:rsidRDefault="00573283" w:rsidP="00F43808">
          <w:pPr>
            <w:pStyle w:val="TOC2"/>
            <w:ind w:left="720" w:hanging="720"/>
            <w:rPr>
              <w:rFonts w:asciiTheme="minorHAnsi" w:eastAsiaTheme="minorEastAsia" w:hAnsiTheme="minorHAnsi" w:cstheme="minorBidi"/>
              <w:lang w:val="en-US"/>
            </w:rPr>
          </w:pPr>
          <w:hyperlink w:anchor="_Toc40191079" w:history="1">
            <w:r w:rsidR="00415834" w:rsidRPr="00F43808">
              <w:rPr>
                <w:rStyle w:val="Hyperlink"/>
                <w:rFonts w:cstheme="minorHAnsi"/>
              </w:rPr>
              <w:t>2.10</w:t>
            </w:r>
            <w:r w:rsidR="00415834" w:rsidRPr="00F43808">
              <w:rPr>
                <w:rFonts w:asciiTheme="minorHAnsi" w:eastAsiaTheme="minorEastAsia" w:hAnsiTheme="minorHAnsi" w:cstheme="minorBidi"/>
                <w:lang w:val="en-US"/>
              </w:rPr>
              <w:tab/>
            </w:r>
            <w:r w:rsidR="00415834" w:rsidRPr="00F43808">
              <w:rPr>
                <w:rStyle w:val="Hyperlink"/>
                <w:rFonts w:cstheme="minorHAnsi"/>
              </w:rPr>
              <w:t>CONSEJERÍA ESTRATÉGICA PARA EL DESARROLLO ORGANIZACIONAL Y LA GESTIÓN POR RESULTADOS</w:t>
            </w:r>
            <w:r w:rsidR="00415834">
              <w:rPr>
                <w:webHidden/>
              </w:rPr>
              <w:tab/>
            </w:r>
            <w:r w:rsidR="00415834">
              <w:rPr>
                <w:webHidden/>
              </w:rPr>
              <w:fldChar w:fldCharType="begin"/>
            </w:r>
            <w:r w:rsidR="00415834">
              <w:rPr>
                <w:webHidden/>
              </w:rPr>
              <w:instrText xml:space="preserve"> PAGEREF _Toc40191079 \h </w:instrText>
            </w:r>
            <w:r w:rsidR="00415834">
              <w:rPr>
                <w:webHidden/>
              </w:rPr>
            </w:r>
            <w:r w:rsidR="00415834">
              <w:rPr>
                <w:webHidden/>
              </w:rPr>
              <w:fldChar w:fldCharType="separate"/>
            </w:r>
            <w:r w:rsidR="00415834">
              <w:rPr>
                <w:webHidden/>
              </w:rPr>
              <w:t>81</w:t>
            </w:r>
            <w:r w:rsidR="00415834">
              <w:rPr>
                <w:webHidden/>
              </w:rPr>
              <w:fldChar w:fldCharType="end"/>
            </w:r>
          </w:hyperlink>
        </w:p>
        <w:p w14:paraId="7FFE424D" w14:textId="5D5C454E" w:rsidR="00415834" w:rsidRDefault="00573283">
          <w:pPr>
            <w:pStyle w:val="TOC3"/>
            <w:rPr>
              <w:rFonts w:asciiTheme="minorHAnsi" w:eastAsiaTheme="minorEastAsia" w:hAnsiTheme="minorHAnsi" w:cstheme="minorBidi"/>
              <w:noProof/>
              <w:szCs w:val="22"/>
            </w:rPr>
          </w:pPr>
          <w:hyperlink w:anchor="_Toc40191080" w:history="1">
            <w:r w:rsidR="00415834" w:rsidRPr="009232D0">
              <w:rPr>
                <w:rStyle w:val="Hyperlink"/>
                <w:rFonts w:cstheme="minorHAnsi"/>
                <w:noProof/>
                <w:lang w:val="es-ES_tradnl"/>
              </w:rPr>
              <w:t>2.10.1</w:t>
            </w:r>
            <w:r w:rsidR="00415834">
              <w:rPr>
                <w:rFonts w:asciiTheme="minorHAnsi" w:eastAsiaTheme="minorEastAsia" w:hAnsiTheme="minorHAnsi" w:cstheme="minorBidi"/>
                <w:noProof/>
                <w:szCs w:val="22"/>
              </w:rPr>
              <w:tab/>
            </w:r>
            <w:r w:rsidR="00415834" w:rsidRPr="009232D0">
              <w:rPr>
                <w:rStyle w:val="Hyperlink"/>
                <w:rFonts w:cstheme="minorHAnsi"/>
                <w:noProof/>
                <w:lang w:val="es-ES_tradnl"/>
              </w:rPr>
              <w:t>Departamento de Planeación y Evaluación</w:t>
            </w:r>
            <w:r w:rsidR="00415834">
              <w:rPr>
                <w:noProof/>
                <w:webHidden/>
              </w:rPr>
              <w:tab/>
            </w:r>
            <w:r w:rsidR="00415834">
              <w:rPr>
                <w:noProof/>
                <w:webHidden/>
              </w:rPr>
              <w:fldChar w:fldCharType="begin"/>
            </w:r>
            <w:r w:rsidR="00415834">
              <w:rPr>
                <w:noProof/>
                <w:webHidden/>
              </w:rPr>
              <w:instrText xml:space="preserve"> PAGEREF _Toc40191080 \h </w:instrText>
            </w:r>
            <w:r w:rsidR="00415834">
              <w:rPr>
                <w:noProof/>
                <w:webHidden/>
              </w:rPr>
            </w:r>
            <w:r w:rsidR="00415834">
              <w:rPr>
                <w:noProof/>
                <w:webHidden/>
              </w:rPr>
              <w:fldChar w:fldCharType="separate"/>
            </w:r>
            <w:r w:rsidR="00415834">
              <w:rPr>
                <w:noProof/>
                <w:webHidden/>
              </w:rPr>
              <w:t>82</w:t>
            </w:r>
            <w:r w:rsidR="00415834">
              <w:rPr>
                <w:noProof/>
                <w:webHidden/>
              </w:rPr>
              <w:fldChar w:fldCharType="end"/>
            </w:r>
          </w:hyperlink>
        </w:p>
        <w:p w14:paraId="58428705" w14:textId="46A1D1F4" w:rsidR="00415834" w:rsidRDefault="00573283">
          <w:pPr>
            <w:pStyle w:val="TOC3"/>
            <w:rPr>
              <w:rFonts w:asciiTheme="minorHAnsi" w:eastAsiaTheme="minorEastAsia" w:hAnsiTheme="minorHAnsi" w:cstheme="minorBidi"/>
              <w:noProof/>
              <w:szCs w:val="22"/>
            </w:rPr>
          </w:pPr>
          <w:hyperlink w:anchor="_Toc40191081" w:history="1">
            <w:r w:rsidR="00415834" w:rsidRPr="009232D0">
              <w:rPr>
                <w:rStyle w:val="Hyperlink"/>
                <w:rFonts w:cstheme="minorHAnsi"/>
                <w:noProof/>
                <w:lang w:val="es-US"/>
              </w:rPr>
              <w:t>2.10.2</w:t>
            </w:r>
            <w:r w:rsidR="00415834">
              <w:rPr>
                <w:rFonts w:asciiTheme="minorHAnsi" w:eastAsiaTheme="minorEastAsia" w:hAnsiTheme="minorHAnsi" w:cstheme="minorBidi"/>
                <w:noProof/>
                <w:szCs w:val="22"/>
              </w:rPr>
              <w:tab/>
            </w:r>
            <w:r w:rsidR="00415834" w:rsidRPr="009232D0">
              <w:rPr>
                <w:rStyle w:val="Hyperlink"/>
                <w:rFonts w:cstheme="minorHAnsi"/>
                <w:noProof/>
                <w:lang w:val="es-US"/>
              </w:rPr>
              <w:t>Departamento de Relaciones Externas e Institucionales (DREI)</w:t>
            </w:r>
            <w:r w:rsidR="00415834">
              <w:rPr>
                <w:noProof/>
                <w:webHidden/>
              </w:rPr>
              <w:tab/>
            </w:r>
            <w:r w:rsidR="00415834">
              <w:rPr>
                <w:noProof/>
                <w:webHidden/>
              </w:rPr>
              <w:fldChar w:fldCharType="begin"/>
            </w:r>
            <w:r w:rsidR="00415834">
              <w:rPr>
                <w:noProof/>
                <w:webHidden/>
              </w:rPr>
              <w:instrText xml:space="preserve"> PAGEREF _Toc40191081 \h </w:instrText>
            </w:r>
            <w:r w:rsidR="00415834">
              <w:rPr>
                <w:noProof/>
                <w:webHidden/>
              </w:rPr>
            </w:r>
            <w:r w:rsidR="00415834">
              <w:rPr>
                <w:noProof/>
                <w:webHidden/>
              </w:rPr>
              <w:fldChar w:fldCharType="separate"/>
            </w:r>
            <w:r w:rsidR="00415834">
              <w:rPr>
                <w:noProof/>
                <w:webHidden/>
              </w:rPr>
              <w:t>86</w:t>
            </w:r>
            <w:r w:rsidR="00415834">
              <w:rPr>
                <w:noProof/>
                <w:webHidden/>
              </w:rPr>
              <w:fldChar w:fldCharType="end"/>
            </w:r>
          </w:hyperlink>
        </w:p>
        <w:p w14:paraId="0B42BF2F" w14:textId="6D4B9118" w:rsidR="00415834" w:rsidRDefault="00573283">
          <w:pPr>
            <w:pStyle w:val="TOC3"/>
            <w:rPr>
              <w:rFonts w:asciiTheme="minorHAnsi" w:eastAsiaTheme="minorEastAsia" w:hAnsiTheme="minorHAnsi" w:cstheme="minorBidi"/>
              <w:noProof/>
              <w:szCs w:val="22"/>
            </w:rPr>
          </w:pPr>
          <w:hyperlink w:anchor="_Toc40191082" w:history="1">
            <w:r w:rsidR="00415834" w:rsidRPr="009232D0">
              <w:rPr>
                <w:rStyle w:val="Hyperlink"/>
                <w:rFonts w:cstheme="minorHAnsi"/>
                <w:noProof/>
                <w:lang w:val="es-ES"/>
              </w:rPr>
              <w:t>2.10.3</w:t>
            </w:r>
            <w:r w:rsidR="00415834">
              <w:rPr>
                <w:rFonts w:asciiTheme="minorHAnsi" w:eastAsiaTheme="minorEastAsia" w:hAnsiTheme="minorHAnsi" w:cstheme="minorBidi"/>
                <w:noProof/>
                <w:szCs w:val="22"/>
              </w:rPr>
              <w:tab/>
            </w:r>
            <w:r w:rsidR="00415834" w:rsidRPr="009232D0">
              <w:rPr>
                <w:rStyle w:val="Hyperlink"/>
                <w:rFonts w:cstheme="minorHAnsi"/>
                <w:noProof/>
                <w:lang w:val="es-ES"/>
              </w:rPr>
              <w:t>Departamento de Prensa y Comunicaciones</w:t>
            </w:r>
            <w:r w:rsidR="00415834">
              <w:rPr>
                <w:noProof/>
                <w:webHidden/>
              </w:rPr>
              <w:tab/>
            </w:r>
            <w:r w:rsidR="00415834">
              <w:rPr>
                <w:noProof/>
                <w:webHidden/>
              </w:rPr>
              <w:fldChar w:fldCharType="begin"/>
            </w:r>
            <w:r w:rsidR="00415834">
              <w:rPr>
                <w:noProof/>
                <w:webHidden/>
              </w:rPr>
              <w:instrText xml:space="preserve"> PAGEREF _Toc40191082 \h </w:instrText>
            </w:r>
            <w:r w:rsidR="00415834">
              <w:rPr>
                <w:noProof/>
                <w:webHidden/>
              </w:rPr>
            </w:r>
            <w:r w:rsidR="00415834">
              <w:rPr>
                <w:noProof/>
                <w:webHidden/>
              </w:rPr>
              <w:fldChar w:fldCharType="separate"/>
            </w:r>
            <w:r w:rsidR="00415834">
              <w:rPr>
                <w:noProof/>
                <w:webHidden/>
              </w:rPr>
              <w:t>88</w:t>
            </w:r>
            <w:r w:rsidR="00415834">
              <w:rPr>
                <w:noProof/>
                <w:webHidden/>
              </w:rPr>
              <w:fldChar w:fldCharType="end"/>
            </w:r>
          </w:hyperlink>
        </w:p>
        <w:p w14:paraId="59AB9239" w14:textId="77777777" w:rsidR="00F43808" w:rsidRDefault="00F43808">
          <w:pPr>
            <w:pStyle w:val="TOC1"/>
          </w:pPr>
        </w:p>
        <w:p w14:paraId="1AAD24ED" w14:textId="1A01FF4B" w:rsidR="00415834" w:rsidRDefault="00573283">
          <w:pPr>
            <w:pStyle w:val="TOC1"/>
            <w:rPr>
              <w:rFonts w:asciiTheme="minorHAnsi" w:eastAsiaTheme="minorEastAsia" w:hAnsiTheme="minorHAnsi" w:cstheme="minorBidi"/>
              <w:szCs w:val="22"/>
              <w:lang w:val="en-US"/>
            </w:rPr>
          </w:pPr>
          <w:hyperlink w:anchor="_Toc40191083" w:history="1">
            <w:r w:rsidR="00415834" w:rsidRPr="00F43808">
              <w:rPr>
                <w:rStyle w:val="Hyperlink"/>
                <w:rFonts w:cstheme="minorHAnsi"/>
              </w:rPr>
              <w:t>3. ENTIDADES Y ORGANISMOS AUTONOMOS</w:t>
            </w:r>
            <w:r w:rsidR="00415834">
              <w:rPr>
                <w:webHidden/>
              </w:rPr>
              <w:tab/>
            </w:r>
            <w:r w:rsidR="00415834">
              <w:rPr>
                <w:webHidden/>
              </w:rPr>
              <w:fldChar w:fldCharType="begin"/>
            </w:r>
            <w:r w:rsidR="00415834">
              <w:rPr>
                <w:webHidden/>
              </w:rPr>
              <w:instrText xml:space="preserve"> PAGEREF _Toc40191083 \h </w:instrText>
            </w:r>
            <w:r w:rsidR="00415834">
              <w:rPr>
                <w:webHidden/>
              </w:rPr>
            </w:r>
            <w:r w:rsidR="00415834">
              <w:rPr>
                <w:webHidden/>
              </w:rPr>
              <w:fldChar w:fldCharType="separate"/>
            </w:r>
            <w:r w:rsidR="00415834">
              <w:rPr>
                <w:webHidden/>
              </w:rPr>
              <w:t>92</w:t>
            </w:r>
            <w:r w:rsidR="00415834">
              <w:rPr>
                <w:webHidden/>
              </w:rPr>
              <w:fldChar w:fldCharType="end"/>
            </w:r>
          </w:hyperlink>
        </w:p>
        <w:p w14:paraId="173BA533" w14:textId="77777777" w:rsidR="00F43808" w:rsidRDefault="00F43808">
          <w:pPr>
            <w:pStyle w:val="TOC2"/>
          </w:pPr>
        </w:p>
        <w:p w14:paraId="7F6E4A12" w14:textId="0146E13D" w:rsidR="00415834" w:rsidRDefault="00573283">
          <w:pPr>
            <w:pStyle w:val="TOC2"/>
            <w:rPr>
              <w:rFonts w:asciiTheme="minorHAnsi" w:eastAsiaTheme="minorEastAsia" w:hAnsiTheme="minorHAnsi" w:cstheme="minorBidi"/>
              <w:lang w:val="en-US"/>
            </w:rPr>
          </w:pPr>
          <w:hyperlink w:anchor="_Toc40191084" w:history="1">
            <w:r w:rsidR="00415834" w:rsidRPr="0031567D">
              <w:rPr>
                <w:rStyle w:val="Hyperlink"/>
                <w:rFonts w:cstheme="minorHAnsi"/>
              </w:rPr>
              <w:t>3.1</w:t>
            </w:r>
            <w:r w:rsidR="00415834" w:rsidRPr="0031567D">
              <w:rPr>
                <w:rFonts w:asciiTheme="minorHAnsi" w:eastAsiaTheme="minorEastAsia" w:hAnsiTheme="minorHAnsi" w:cstheme="minorBidi"/>
                <w:lang w:val="en-US"/>
              </w:rPr>
              <w:tab/>
            </w:r>
            <w:r w:rsidR="00415834" w:rsidRPr="0031567D">
              <w:rPr>
                <w:rStyle w:val="Hyperlink"/>
                <w:rFonts w:cstheme="minorHAnsi"/>
              </w:rPr>
              <w:t>SECRETARÍA DE LA CORTE INTERAMERICANA DE DERECHOS HUMANOS</w:t>
            </w:r>
            <w:r w:rsidR="00415834">
              <w:rPr>
                <w:webHidden/>
              </w:rPr>
              <w:tab/>
            </w:r>
            <w:r w:rsidR="00415834">
              <w:rPr>
                <w:webHidden/>
              </w:rPr>
              <w:fldChar w:fldCharType="begin"/>
            </w:r>
            <w:r w:rsidR="00415834">
              <w:rPr>
                <w:webHidden/>
              </w:rPr>
              <w:instrText xml:space="preserve"> PAGEREF _Toc40191084 \h </w:instrText>
            </w:r>
            <w:r w:rsidR="00415834">
              <w:rPr>
                <w:webHidden/>
              </w:rPr>
            </w:r>
            <w:r w:rsidR="00415834">
              <w:rPr>
                <w:webHidden/>
              </w:rPr>
              <w:fldChar w:fldCharType="separate"/>
            </w:r>
            <w:r w:rsidR="00415834">
              <w:rPr>
                <w:webHidden/>
              </w:rPr>
              <w:t>93</w:t>
            </w:r>
            <w:r w:rsidR="00415834">
              <w:rPr>
                <w:webHidden/>
              </w:rPr>
              <w:fldChar w:fldCharType="end"/>
            </w:r>
          </w:hyperlink>
        </w:p>
        <w:p w14:paraId="451C9AA9" w14:textId="1D89AC43" w:rsidR="00415834" w:rsidRDefault="00573283">
          <w:pPr>
            <w:pStyle w:val="TOC2"/>
            <w:rPr>
              <w:rFonts w:asciiTheme="minorHAnsi" w:eastAsiaTheme="minorEastAsia" w:hAnsiTheme="minorHAnsi" w:cstheme="minorBidi"/>
              <w:lang w:val="en-US"/>
            </w:rPr>
          </w:pPr>
          <w:hyperlink w:anchor="_Toc40191085" w:history="1">
            <w:r w:rsidR="00415834" w:rsidRPr="0031567D">
              <w:rPr>
                <w:rStyle w:val="Hyperlink"/>
                <w:rFonts w:cstheme="minorHAnsi"/>
              </w:rPr>
              <w:t>3.2</w:t>
            </w:r>
            <w:r w:rsidR="00415834" w:rsidRPr="0031567D">
              <w:rPr>
                <w:rFonts w:asciiTheme="minorHAnsi" w:eastAsiaTheme="minorEastAsia" w:hAnsiTheme="minorHAnsi" w:cstheme="minorBidi"/>
                <w:lang w:val="en-US"/>
              </w:rPr>
              <w:tab/>
            </w:r>
            <w:r w:rsidR="00415834" w:rsidRPr="0031567D">
              <w:rPr>
                <w:rStyle w:val="Hyperlink"/>
                <w:rFonts w:cstheme="minorHAnsi"/>
              </w:rPr>
              <w:t xml:space="preserve">SECRETARÍA EJECUTIVA DE LA COMISIÓN INTERAMERICANA DE DERECHOS </w:t>
            </w:r>
            <w:r w:rsidR="00415834" w:rsidRPr="0031567D">
              <w:rPr>
                <w:rStyle w:val="Hyperlink"/>
                <w:rFonts w:cstheme="minorHAnsi"/>
                <w:sz w:val="20"/>
                <w:szCs w:val="20"/>
              </w:rPr>
              <w:t>HUMANOS</w:t>
            </w:r>
            <w:r w:rsidR="00415834" w:rsidRPr="0031567D">
              <w:rPr>
                <w:rStyle w:val="Hyperlink"/>
                <w:rFonts w:cstheme="minorHAnsi"/>
              </w:rPr>
              <w:t xml:space="preserve"> (CIDH)</w:t>
            </w:r>
            <w:r w:rsidR="00415834">
              <w:rPr>
                <w:webHidden/>
              </w:rPr>
              <w:tab/>
            </w:r>
            <w:r w:rsidR="00415834">
              <w:rPr>
                <w:webHidden/>
              </w:rPr>
              <w:fldChar w:fldCharType="begin"/>
            </w:r>
            <w:r w:rsidR="00415834">
              <w:rPr>
                <w:webHidden/>
              </w:rPr>
              <w:instrText xml:space="preserve"> PAGEREF _Toc40191085 \h </w:instrText>
            </w:r>
            <w:r w:rsidR="00415834">
              <w:rPr>
                <w:webHidden/>
              </w:rPr>
            </w:r>
            <w:r w:rsidR="00415834">
              <w:rPr>
                <w:webHidden/>
              </w:rPr>
              <w:fldChar w:fldCharType="separate"/>
            </w:r>
            <w:r w:rsidR="00415834">
              <w:rPr>
                <w:webHidden/>
              </w:rPr>
              <w:t>95</w:t>
            </w:r>
            <w:r w:rsidR="00415834">
              <w:rPr>
                <w:webHidden/>
              </w:rPr>
              <w:fldChar w:fldCharType="end"/>
            </w:r>
          </w:hyperlink>
        </w:p>
        <w:p w14:paraId="756624A0" w14:textId="0E22BFBB" w:rsidR="00415834" w:rsidRDefault="00573283">
          <w:pPr>
            <w:pStyle w:val="TOC2"/>
            <w:rPr>
              <w:rFonts w:asciiTheme="minorHAnsi" w:eastAsiaTheme="minorEastAsia" w:hAnsiTheme="minorHAnsi" w:cstheme="minorBidi"/>
              <w:lang w:val="en-US"/>
            </w:rPr>
          </w:pPr>
          <w:hyperlink w:anchor="_Toc40191086" w:history="1">
            <w:r w:rsidR="00415834" w:rsidRPr="0031567D">
              <w:rPr>
                <w:rStyle w:val="Hyperlink"/>
                <w:rFonts w:cstheme="minorHAnsi"/>
              </w:rPr>
              <w:t>3.3</w:t>
            </w:r>
            <w:r w:rsidR="00415834" w:rsidRPr="0031567D">
              <w:rPr>
                <w:rFonts w:asciiTheme="minorHAnsi" w:eastAsiaTheme="minorEastAsia" w:hAnsiTheme="minorHAnsi" w:cstheme="minorBidi"/>
                <w:lang w:val="en-US"/>
              </w:rPr>
              <w:tab/>
            </w:r>
            <w:r w:rsidR="00415834" w:rsidRPr="0031567D">
              <w:rPr>
                <w:rStyle w:val="Hyperlink"/>
                <w:rFonts w:cstheme="minorHAnsi"/>
              </w:rPr>
              <w:t>SECRETARÍA DEL TRIBUNAL ADMINISTRATIVO</w:t>
            </w:r>
            <w:r w:rsidR="00415834">
              <w:rPr>
                <w:webHidden/>
              </w:rPr>
              <w:tab/>
            </w:r>
            <w:r w:rsidR="00415834">
              <w:rPr>
                <w:webHidden/>
              </w:rPr>
              <w:fldChar w:fldCharType="begin"/>
            </w:r>
            <w:r w:rsidR="00415834">
              <w:rPr>
                <w:webHidden/>
              </w:rPr>
              <w:instrText xml:space="preserve"> PAGEREF _Toc40191086 \h </w:instrText>
            </w:r>
            <w:r w:rsidR="00415834">
              <w:rPr>
                <w:webHidden/>
              </w:rPr>
            </w:r>
            <w:r w:rsidR="00415834">
              <w:rPr>
                <w:webHidden/>
              </w:rPr>
              <w:fldChar w:fldCharType="separate"/>
            </w:r>
            <w:r w:rsidR="00415834">
              <w:rPr>
                <w:webHidden/>
              </w:rPr>
              <w:t>97</w:t>
            </w:r>
            <w:r w:rsidR="00415834">
              <w:rPr>
                <w:webHidden/>
              </w:rPr>
              <w:fldChar w:fldCharType="end"/>
            </w:r>
          </w:hyperlink>
        </w:p>
        <w:p w14:paraId="6A980928" w14:textId="3125EFC9" w:rsidR="00415834" w:rsidRDefault="00573283">
          <w:pPr>
            <w:pStyle w:val="TOC2"/>
            <w:rPr>
              <w:rFonts w:asciiTheme="minorHAnsi" w:eastAsiaTheme="minorEastAsia" w:hAnsiTheme="minorHAnsi" w:cstheme="minorBidi"/>
              <w:lang w:val="en-US"/>
            </w:rPr>
          </w:pPr>
          <w:hyperlink w:anchor="_Toc40191087" w:history="1">
            <w:r w:rsidR="00415834" w:rsidRPr="0031567D">
              <w:rPr>
                <w:rStyle w:val="Hyperlink"/>
                <w:rFonts w:cstheme="minorHAnsi"/>
              </w:rPr>
              <w:t>3.4</w:t>
            </w:r>
            <w:r w:rsidR="00415834" w:rsidRPr="0031567D">
              <w:rPr>
                <w:rFonts w:asciiTheme="minorHAnsi" w:eastAsiaTheme="minorEastAsia" w:hAnsiTheme="minorHAnsi" w:cstheme="minorBidi"/>
                <w:lang w:val="en-US"/>
              </w:rPr>
              <w:tab/>
            </w:r>
            <w:r w:rsidR="00415834" w:rsidRPr="0031567D">
              <w:rPr>
                <w:rStyle w:val="Hyperlink"/>
                <w:rFonts w:cstheme="minorHAnsi"/>
              </w:rPr>
              <w:t>INSTITUTO INTERAMERICANO DEL NIÑO, LA NIÑA Y ADOLESCENTES</w:t>
            </w:r>
            <w:r w:rsidR="00415834">
              <w:rPr>
                <w:webHidden/>
              </w:rPr>
              <w:tab/>
            </w:r>
            <w:r w:rsidR="00415834">
              <w:rPr>
                <w:webHidden/>
              </w:rPr>
              <w:fldChar w:fldCharType="begin"/>
            </w:r>
            <w:r w:rsidR="00415834">
              <w:rPr>
                <w:webHidden/>
              </w:rPr>
              <w:instrText xml:space="preserve"> PAGEREF _Toc40191087 \h </w:instrText>
            </w:r>
            <w:r w:rsidR="00415834">
              <w:rPr>
                <w:webHidden/>
              </w:rPr>
            </w:r>
            <w:r w:rsidR="00415834">
              <w:rPr>
                <w:webHidden/>
              </w:rPr>
              <w:fldChar w:fldCharType="separate"/>
            </w:r>
            <w:r w:rsidR="00415834">
              <w:rPr>
                <w:webHidden/>
              </w:rPr>
              <w:t>99</w:t>
            </w:r>
            <w:r w:rsidR="00415834">
              <w:rPr>
                <w:webHidden/>
              </w:rPr>
              <w:fldChar w:fldCharType="end"/>
            </w:r>
          </w:hyperlink>
        </w:p>
        <w:p w14:paraId="65A42742" w14:textId="2694BAA5" w:rsidR="00415834" w:rsidRDefault="00573283">
          <w:pPr>
            <w:pStyle w:val="TOC2"/>
            <w:rPr>
              <w:rFonts w:asciiTheme="minorHAnsi" w:eastAsiaTheme="minorEastAsia" w:hAnsiTheme="minorHAnsi" w:cstheme="minorBidi"/>
              <w:lang w:val="en-US"/>
            </w:rPr>
          </w:pPr>
          <w:hyperlink w:anchor="_Toc40191088" w:history="1">
            <w:r w:rsidR="00415834" w:rsidRPr="0031567D">
              <w:rPr>
                <w:rStyle w:val="Hyperlink"/>
                <w:rFonts w:cstheme="minorHAnsi"/>
              </w:rPr>
              <w:t>3.5</w:t>
            </w:r>
            <w:r w:rsidR="00415834" w:rsidRPr="0031567D">
              <w:rPr>
                <w:rFonts w:asciiTheme="minorHAnsi" w:eastAsiaTheme="minorEastAsia" w:hAnsiTheme="minorHAnsi" w:cstheme="minorBidi"/>
                <w:lang w:val="en-US"/>
              </w:rPr>
              <w:tab/>
            </w:r>
            <w:r w:rsidR="00415834" w:rsidRPr="0031567D">
              <w:rPr>
                <w:rStyle w:val="Hyperlink"/>
                <w:rFonts w:cstheme="minorHAnsi"/>
              </w:rPr>
              <w:t>SECRETARÍA EJECUTIVA DE LA COMISIÓN INTERAMERICANA DE MUJERES (CIM)</w:t>
            </w:r>
            <w:r w:rsidR="00415834">
              <w:rPr>
                <w:webHidden/>
              </w:rPr>
              <w:tab/>
            </w:r>
            <w:r w:rsidR="00415834">
              <w:rPr>
                <w:webHidden/>
              </w:rPr>
              <w:fldChar w:fldCharType="begin"/>
            </w:r>
            <w:r w:rsidR="00415834">
              <w:rPr>
                <w:webHidden/>
              </w:rPr>
              <w:instrText xml:space="preserve"> PAGEREF _Toc40191088 \h </w:instrText>
            </w:r>
            <w:r w:rsidR="00415834">
              <w:rPr>
                <w:webHidden/>
              </w:rPr>
            </w:r>
            <w:r w:rsidR="00415834">
              <w:rPr>
                <w:webHidden/>
              </w:rPr>
              <w:fldChar w:fldCharType="separate"/>
            </w:r>
            <w:r w:rsidR="00415834">
              <w:rPr>
                <w:webHidden/>
              </w:rPr>
              <w:t>101</w:t>
            </w:r>
            <w:r w:rsidR="00415834">
              <w:rPr>
                <w:webHidden/>
              </w:rPr>
              <w:fldChar w:fldCharType="end"/>
            </w:r>
          </w:hyperlink>
        </w:p>
        <w:p w14:paraId="6583061C" w14:textId="6D3E201C" w:rsidR="00415834" w:rsidRDefault="00573283">
          <w:pPr>
            <w:pStyle w:val="TOC2"/>
            <w:rPr>
              <w:rFonts w:asciiTheme="minorHAnsi" w:eastAsiaTheme="minorEastAsia" w:hAnsiTheme="minorHAnsi" w:cstheme="minorBidi"/>
              <w:lang w:val="en-US"/>
            </w:rPr>
          </w:pPr>
          <w:hyperlink w:anchor="_Toc40191089" w:history="1">
            <w:r w:rsidR="00415834" w:rsidRPr="0031567D">
              <w:rPr>
                <w:rStyle w:val="Hyperlink"/>
                <w:rFonts w:cstheme="minorHAnsi"/>
              </w:rPr>
              <w:t>3.6</w:t>
            </w:r>
            <w:r w:rsidR="00415834" w:rsidRPr="0031567D">
              <w:rPr>
                <w:rFonts w:asciiTheme="minorHAnsi" w:eastAsiaTheme="minorEastAsia" w:hAnsiTheme="minorHAnsi" w:cstheme="minorBidi"/>
                <w:lang w:val="en-US"/>
              </w:rPr>
              <w:tab/>
            </w:r>
            <w:r w:rsidR="00415834" w:rsidRPr="0031567D">
              <w:rPr>
                <w:rStyle w:val="Hyperlink"/>
                <w:rFonts w:cstheme="minorHAnsi"/>
              </w:rPr>
              <w:t>SECRETARÍA DE LA COMISIÓN INTERAMERICANA DE TELECOMUNICACIONES (CITEL)</w:t>
            </w:r>
            <w:r w:rsidR="00415834">
              <w:rPr>
                <w:webHidden/>
              </w:rPr>
              <w:tab/>
            </w:r>
            <w:r w:rsidR="00415834">
              <w:rPr>
                <w:webHidden/>
              </w:rPr>
              <w:fldChar w:fldCharType="begin"/>
            </w:r>
            <w:r w:rsidR="00415834">
              <w:rPr>
                <w:webHidden/>
              </w:rPr>
              <w:instrText xml:space="preserve"> PAGEREF _Toc40191089 \h </w:instrText>
            </w:r>
            <w:r w:rsidR="00415834">
              <w:rPr>
                <w:webHidden/>
              </w:rPr>
            </w:r>
            <w:r w:rsidR="00415834">
              <w:rPr>
                <w:webHidden/>
              </w:rPr>
              <w:fldChar w:fldCharType="separate"/>
            </w:r>
            <w:r w:rsidR="00415834">
              <w:rPr>
                <w:webHidden/>
              </w:rPr>
              <w:t>103</w:t>
            </w:r>
            <w:r w:rsidR="00415834">
              <w:rPr>
                <w:webHidden/>
              </w:rPr>
              <w:fldChar w:fldCharType="end"/>
            </w:r>
          </w:hyperlink>
        </w:p>
        <w:p w14:paraId="6E8E5907" w14:textId="2EE891BB" w:rsidR="00415834" w:rsidRDefault="00573283">
          <w:pPr>
            <w:pStyle w:val="TOC2"/>
            <w:rPr>
              <w:rFonts w:asciiTheme="minorHAnsi" w:eastAsiaTheme="minorEastAsia" w:hAnsiTheme="minorHAnsi" w:cstheme="minorBidi"/>
              <w:lang w:val="en-US"/>
            </w:rPr>
          </w:pPr>
          <w:hyperlink w:anchor="_Toc40191090" w:history="1">
            <w:r w:rsidR="00415834" w:rsidRPr="0031567D">
              <w:rPr>
                <w:rStyle w:val="Hyperlink"/>
                <w:rFonts w:cstheme="minorHAnsi"/>
              </w:rPr>
              <w:t>3.7</w:t>
            </w:r>
            <w:r w:rsidR="00415834" w:rsidRPr="0031567D">
              <w:rPr>
                <w:rFonts w:asciiTheme="minorHAnsi" w:eastAsiaTheme="minorEastAsia" w:hAnsiTheme="minorHAnsi" w:cstheme="minorBidi"/>
                <w:lang w:val="en-US"/>
              </w:rPr>
              <w:tab/>
            </w:r>
            <w:r w:rsidR="00415834" w:rsidRPr="0031567D">
              <w:rPr>
                <w:rStyle w:val="Hyperlink"/>
                <w:rFonts w:cstheme="minorHAnsi"/>
              </w:rPr>
              <w:t>OFICINA DEL INSPECTOR GENERAL</w:t>
            </w:r>
            <w:r w:rsidR="00415834">
              <w:rPr>
                <w:webHidden/>
              </w:rPr>
              <w:tab/>
            </w:r>
            <w:r w:rsidR="00415834">
              <w:rPr>
                <w:webHidden/>
              </w:rPr>
              <w:fldChar w:fldCharType="begin"/>
            </w:r>
            <w:r w:rsidR="00415834">
              <w:rPr>
                <w:webHidden/>
              </w:rPr>
              <w:instrText xml:space="preserve"> PAGEREF _Toc40191090 \h </w:instrText>
            </w:r>
            <w:r w:rsidR="00415834">
              <w:rPr>
                <w:webHidden/>
              </w:rPr>
            </w:r>
            <w:r w:rsidR="00415834">
              <w:rPr>
                <w:webHidden/>
              </w:rPr>
              <w:fldChar w:fldCharType="separate"/>
            </w:r>
            <w:r w:rsidR="00415834">
              <w:rPr>
                <w:webHidden/>
              </w:rPr>
              <w:t>104</w:t>
            </w:r>
            <w:r w:rsidR="00415834">
              <w:rPr>
                <w:webHidden/>
              </w:rPr>
              <w:fldChar w:fldCharType="end"/>
            </w:r>
          </w:hyperlink>
        </w:p>
        <w:p w14:paraId="65FA6138" w14:textId="6A62B0C2" w:rsidR="00415834" w:rsidRDefault="00573283">
          <w:pPr>
            <w:pStyle w:val="TOC2"/>
            <w:rPr>
              <w:rFonts w:asciiTheme="minorHAnsi" w:eastAsiaTheme="minorEastAsia" w:hAnsiTheme="minorHAnsi" w:cstheme="minorBidi"/>
              <w:lang w:val="en-US"/>
            </w:rPr>
          </w:pPr>
          <w:hyperlink w:anchor="_Toc40191091" w:history="1">
            <w:r w:rsidR="00415834" w:rsidRPr="0031567D">
              <w:rPr>
                <w:rStyle w:val="Hyperlink"/>
                <w:rFonts w:cstheme="minorHAnsi"/>
              </w:rPr>
              <w:t>3.8</w:t>
            </w:r>
            <w:r w:rsidR="00415834" w:rsidRPr="0031567D">
              <w:rPr>
                <w:rFonts w:asciiTheme="minorHAnsi" w:eastAsiaTheme="minorEastAsia" w:hAnsiTheme="minorHAnsi" w:cstheme="minorBidi"/>
                <w:lang w:val="en-US"/>
              </w:rPr>
              <w:tab/>
            </w:r>
            <w:r w:rsidR="00415834" w:rsidRPr="0031567D">
              <w:rPr>
                <w:rStyle w:val="Hyperlink"/>
                <w:rFonts w:cstheme="minorHAnsi"/>
              </w:rPr>
              <w:t>OFICINA DE LA OMBUDSPERSON</w:t>
            </w:r>
            <w:r w:rsidR="00415834">
              <w:rPr>
                <w:webHidden/>
              </w:rPr>
              <w:tab/>
            </w:r>
            <w:r w:rsidR="00415834">
              <w:rPr>
                <w:webHidden/>
              </w:rPr>
              <w:fldChar w:fldCharType="begin"/>
            </w:r>
            <w:r w:rsidR="00415834">
              <w:rPr>
                <w:webHidden/>
              </w:rPr>
              <w:instrText xml:space="preserve"> PAGEREF _Toc40191091 \h </w:instrText>
            </w:r>
            <w:r w:rsidR="00415834">
              <w:rPr>
                <w:webHidden/>
              </w:rPr>
            </w:r>
            <w:r w:rsidR="00415834">
              <w:rPr>
                <w:webHidden/>
              </w:rPr>
              <w:fldChar w:fldCharType="separate"/>
            </w:r>
            <w:r w:rsidR="00415834">
              <w:rPr>
                <w:webHidden/>
              </w:rPr>
              <w:t>105</w:t>
            </w:r>
            <w:r w:rsidR="00415834">
              <w:rPr>
                <w:webHidden/>
              </w:rPr>
              <w:fldChar w:fldCharType="end"/>
            </w:r>
          </w:hyperlink>
        </w:p>
        <w:p w14:paraId="51708EF7" w14:textId="2868AD21" w:rsidR="00415834" w:rsidRDefault="00573283">
          <w:pPr>
            <w:pStyle w:val="TOC2"/>
            <w:rPr>
              <w:rFonts w:asciiTheme="minorHAnsi" w:eastAsiaTheme="minorEastAsia" w:hAnsiTheme="minorHAnsi" w:cstheme="minorBidi"/>
              <w:lang w:val="en-US"/>
            </w:rPr>
          </w:pPr>
          <w:hyperlink w:anchor="_Toc40191092" w:history="1">
            <w:r w:rsidR="00415834" w:rsidRPr="0031567D">
              <w:rPr>
                <w:rStyle w:val="Hyperlink"/>
                <w:rFonts w:cstheme="minorHAnsi"/>
              </w:rPr>
              <w:t>3.9</w:t>
            </w:r>
            <w:r w:rsidR="00415834" w:rsidRPr="0031567D">
              <w:rPr>
                <w:rFonts w:asciiTheme="minorHAnsi" w:eastAsiaTheme="minorEastAsia" w:hAnsiTheme="minorHAnsi" w:cstheme="minorBidi"/>
                <w:lang w:val="en-US"/>
              </w:rPr>
              <w:tab/>
            </w:r>
            <w:r w:rsidR="00415834" w:rsidRPr="0031567D">
              <w:rPr>
                <w:rStyle w:val="Hyperlink"/>
                <w:rFonts w:cstheme="minorHAnsi"/>
              </w:rPr>
              <w:t>JUNTA DE AUDITORES EXTERNOS</w:t>
            </w:r>
            <w:r w:rsidR="00415834">
              <w:rPr>
                <w:webHidden/>
              </w:rPr>
              <w:tab/>
            </w:r>
            <w:r w:rsidR="00415834">
              <w:rPr>
                <w:webHidden/>
              </w:rPr>
              <w:fldChar w:fldCharType="begin"/>
            </w:r>
            <w:r w:rsidR="00415834">
              <w:rPr>
                <w:webHidden/>
              </w:rPr>
              <w:instrText xml:space="preserve"> PAGEREF _Toc40191092 \h </w:instrText>
            </w:r>
            <w:r w:rsidR="00415834">
              <w:rPr>
                <w:webHidden/>
              </w:rPr>
            </w:r>
            <w:r w:rsidR="00415834">
              <w:rPr>
                <w:webHidden/>
              </w:rPr>
              <w:fldChar w:fldCharType="separate"/>
            </w:r>
            <w:r w:rsidR="00415834">
              <w:rPr>
                <w:webHidden/>
              </w:rPr>
              <w:t>107</w:t>
            </w:r>
            <w:r w:rsidR="00415834">
              <w:rPr>
                <w:webHidden/>
              </w:rPr>
              <w:fldChar w:fldCharType="end"/>
            </w:r>
          </w:hyperlink>
        </w:p>
        <w:p w14:paraId="6F863269" w14:textId="77777777" w:rsidR="00F43808" w:rsidRDefault="00F43808">
          <w:pPr>
            <w:pStyle w:val="TOC1"/>
          </w:pPr>
        </w:p>
        <w:p w14:paraId="6629699A" w14:textId="79C1621B" w:rsidR="00415834" w:rsidRDefault="00573283">
          <w:pPr>
            <w:pStyle w:val="TOC1"/>
            <w:rPr>
              <w:rFonts w:asciiTheme="minorHAnsi" w:eastAsiaTheme="minorEastAsia" w:hAnsiTheme="minorHAnsi" w:cstheme="minorBidi"/>
              <w:szCs w:val="22"/>
              <w:lang w:val="en-US"/>
            </w:rPr>
          </w:pPr>
          <w:hyperlink w:anchor="_Toc40191093" w:history="1">
            <w:r w:rsidR="00415834" w:rsidRPr="0031567D">
              <w:rPr>
                <w:rStyle w:val="Hyperlink"/>
                <w:rFonts w:cstheme="minorHAnsi"/>
              </w:rPr>
              <w:t xml:space="preserve">4. </w:t>
            </w:r>
            <w:r w:rsidR="00F43808" w:rsidRPr="0031567D">
              <w:rPr>
                <w:rStyle w:val="Hyperlink"/>
                <w:rFonts w:cstheme="minorHAnsi"/>
              </w:rPr>
              <w:tab/>
            </w:r>
            <w:r w:rsidR="00415834" w:rsidRPr="0031567D">
              <w:rPr>
                <w:rStyle w:val="Hyperlink"/>
                <w:rFonts w:cstheme="minorHAnsi"/>
              </w:rPr>
              <w:t>ENTIDADES Y ORGANISMOS ESPECIALIZADOS</w:t>
            </w:r>
            <w:r w:rsidR="00415834">
              <w:rPr>
                <w:webHidden/>
              </w:rPr>
              <w:tab/>
            </w:r>
            <w:r w:rsidR="00415834">
              <w:rPr>
                <w:webHidden/>
              </w:rPr>
              <w:fldChar w:fldCharType="begin"/>
            </w:r>
            <w:r w:rsidR="00415834">
              <w:rPr>
                <w:webHidden/>
              </w:rPr>
              <w:instrText xml:space="preserve"> PAGEREF _Toc40191093 \h </w:instrText>
            </w:r>
            <w:r w:rsidR="00415834">
              <w:rPr>
                <w:webHidden/>
              </w:rPr>
            </w:r>
            <w:r w:rsidR="00415834">
              <w:rPr>
                <w:webHidden/>
              </w:rPr>
              <w:fldChar w:fldCharType="separate"/>
            </w:r>
            <w:r w:rsidR="00415834">
              <w:rPr>
                <w:webHidden/>
              </w:rPr>
              <w:t>108</w:t>
            </w:r>
            <w:r w:rsidR="00415834">
              <w:rPr>
                <w:webHidden/>
              </w:rPr>
              <w:fldChar w:fldCharType="end"/>
            </w:r>
          </w:hyperlink>
        </w:p>
        <w:p w14:paraId="1D69CD59" w14:textId="77777777" w:rsidR="0031567D" w:rsidRDefault="0031567D">
          <w:pPr>
            <w:pStyle w:val="TOC2"/>
          </w:pPr>
        </w:p>
        <w:p w14:paraId="5DC52AE9" w14:textId="5F3C0A73" w:rsidR="00415834" w:rsidRDefault="00573283">
          <w:pPr>
            <w:pStyle w:val="TOC2"/>
            <w:rPr>
              <w:rFonts w:asciiTheme="minorHAnsi" w:eastAsiaTheme="minorEastAsia" w:hAnsiTheme="minorHAnsi" w:cstheme="minorBidi"/>
              <w:lang w:val="en-US"/>
            </w:rPr>
          </w:pPr>
          <w:hyperlink w:anchor="_Toc40191094" w:history="1">
            <w:r w:rsidR="00415834" w:rsidRPr="0031567D">
              <w:rPr>
                <w:rStyle w:val="Hyperlink"/>
                <w:rFonts w:cstheme="minorHAnsi"/>
              </w:rPr>
              <w:t>4.1</w:t>
            </w:r>
            <w:r w:rsidR="00415834" w:rsidRPr="0031567D">
              <w:rPr>
                <w:rFonts w:asciiTheme="minorHAnsi" w:eastAsiaTheme="minorEastAsia" w:hAnsiTheme="minorHAnsi" w:cstheme="minorBidi"/>
                <w:lang w:val="en-US"/>
              </w:rPr>
              <w:tab/>
            </w:r>
            <w:r w:rsidR="00415834" w:rsidRPr="0031567D">
              <w:rPr>
                <w:rStyle w:val="Hyperlink"/>
                <w:rFonts w:cstheme="minorHAnsi"/>
              </w:rPr>
              <w:t>JUNTA INTERAMERICANA DE DEFENSA</w:t>
            </w:r>
            <w:r w:rsidR="00415834">
              <w:rPr>
                <w:webHidden/>
              </w:rPr>
              <w:tab/>
            </w:r>
            <w:r w:rsidR="00415834">
              <w:rPr>
                <w:webHidden/>
              </w:rPr>
              <w:fldChar w:fldCharType="begin"/>
            </w:r>
            <w:r w:rsidR="00415834">
              <w:rPr>
                <w:webHidden/>
              </w:rPr>
              <w:instrText xml:space="preserve"> PAGEREF _Toc40191094 \h </w:instrText>
            </w:r>
            <w:r w:rsidR="00415834">
              <w:rPr>
                <w:webHidden/>
              </w:rPr>
            </w:r>
            <w:r w:rsidR="00415834">
              <w:rPr>
                <w:webHidden/>
              </w:rPr>
              <w:fldChar w:fldCharType="separate"/>
            </w:r>
            <w:r w:rsidR="00415834">
              <w:rPr>
                <w:webHidden/>
              </w:rPr>
              <w:t>108</w:t>
            </w:r>
            <w:r w:rsidR="00415834">
              <w:rPr>
                <w:webHidden/>
              </w:rPr>
              <w:fldChar w:fldCharType="end"/>
            </w:r>
          </w:hyperlink>
        </w:p>
        <w:p w14:paraId="700C110C" w14:textId="0C88E4F9" w:rsidR="00415834" w:rsidRDefault="00573283">
          <w:pPr>
            <w:pStyle w:val="TOC2"/>
            <w:rPr>
              <w:rFonts w:asciiTheme="minorHAnsi" w:eastAsiaTheme="minorEastAsia" w:hAnsiTheme="minorHAnsi" w:cstheme="minorBidi"/>
              <w:lang w:val="en-US"/>
            </w:rPr>
          </w:pPr>
          <w:hyperlink w:anchor="_Toc40191095" w:history="1">
            <w:r w:rsidR="00415834" w:rsidRPr="0031567D">
              <w:rPr>
                <w:rStyle w:val="Hyperlink"/>
                <w:rFonts w:cstheme="minorHAnsi"/>
              </w:rPr>
              <w:t>4.2</w:t>
            </w:r>
            <w:r w:rsidR="00415834" w:rsidRPr="0031567D">
              <w:rPr>
                <w:rFonts w:asciiTheme="minorHAnsi" w:eastAsiaTheme="minorEastAsia" w:hAnsiTheme="minorHAnsi" w:cstheme="minorBidi"/>
                <w:lang w:val="en-US"/>
              </w:rPr>
              <w:tab/>
            </w:r>
            <w:r w:rsidR="00415834" w:rsidRPr="0031567D">
              <w:rPr>
                <w:rStyle w:val="Hyperlink"/>
                <w:rFonts w:cstheme="minorHAnsi"/>
              </w:rPr>
              <w:t>INSTITUTO INTERAMERICANO DE COOPERACIÓN PARA LA AGRICULTURA (IICA)</w:t>
            </w:r>
            <w:r w:rsidR="00415834">
              <w:rPr>
                <w:webHidden/>
              </w:rPr>
              <w:tab/>
            </w:r>
            <w:r w:rsidR="00415834">
              <w:rPr>
                <w:webHidden/>
              </w:rPr>
              <w:fldChar w:fldCharType="begin"/>
            </w:r>
            <w:r w:rsidR="00415834">
              <w:rPr>
                <w:webHidden/>
              </w:rPr>
              <w:instrText xml:space="preserve"> PAGEREF _Toc40191095 \h </w:instrText>
            </w:r>
            <w:r w:rsidR="00415834">
              <w:rPr>
                <w:webHidden/>
              </w:rPr>
            </w:r>
            <w:r w:rsidR="00415834">
              <w:rPr>
                <w:webHidden/>
              </w:rPr>
              <w:fldChar w:fldCharType="separate"/>
            </w:r>
            <w:r w:rsidR="00415834">
              <w:rPr>
                <w:webHidden/>
              </w:rPr>
              <w:t>111</w:t>
            </w:r>
            <w:r w:rsidR="00415834">
              <w:rPr>
                <w:webHidden/>
              </w:rPr>
              <w:fldChar w:fldCharType="end"/>
            </w:r>
          </w:hyperlink>
        </w:p>
        <w:p w14:paraId="19F6E27D" w14:textId="593B2C30" w:rsidR="00415834" w:rsidRDefault="00573283">
          <w:pPr>
            <w:pStyle w:val="TOC2"/>
            <w:rPr>
              <w:rFonts w:asciiTheme="minorHAnsi" w:eastAsiaTheme="minorEastAsia" w:hAnsiTheme="minorHAnsi" w:cstheme="minorBidi"/>
              <w:lang w:val="en-US"/>
            </w:rPr>
          </w:pPr>
          <w:hyperlink w:anchor="_Toc40191096" w:history="1">
            <w:r w:rsidR="00415834" w:rsidRPr="0031567D">
              <w:rPr>
                <w:rStyle w:val="Hyperlink"/>
                <w:rFonts w:cstheme="minorHAnsi"/>
              </w:rPr>
              <w:t>4.3</w:t>
            </w:r>
            <w:r w:rsidR="00415834" w:rsidRPr="0031567D">
              <w:rPr>
                <w:rFonts w:asciiTheme="minorHAnsi" w:eastAsiaTheme="minorEastAsia" w:hAnsiTheme="minorHAnsi" w:cstheme="minorBidi"/>
                <w:lang w:val="en-US"/>
              </w:rPr>
              <w:tab/>
            </w:r>
            <w:r w:rsidR="00415834" w:rsidRPr="0031567D">
              <w:rPr>
                <w:rStyle w:val="Hyperlink"/>
                <w:rFonts w:cstheme="minorHAnsi"/>
              </w:rPr>
              <w:t>COMITÉ JURÍDICO INTERAMERICANO (CJI)</w:t>
            </w:r>
            <w:r w:rsidR="00415834">
              <w:rPr>
                <w:webHidden/>
              </w:rPr>
              <w:tab/>
            </w:r>
            <w:r w:rsidR="00415834">
              <w:rPr>
                <w:webHidden/>
              </w:rPr>
              <w:fldChar w:fldCharType="begin"/>
            </w:r>
            <w:r w:rsidR="00415834">
              <w:rPr>
                <w:webHidden/>
              </w:rPr>
              <w:instrText xml:space="preserve"> PAGEREF _Toc40191096 \h </w:instrText>
            </w:r>
            <w:r w:rsidR="00415834">
              <w:rPr>
                <w:webHidden/>
              </w:rPr>
            </w:r>
            <w:r w:rsidR="00415834">
              <w:rPr>
                <w:webHidden/>
              </w:rPr>
              <w:fldChar w:fldCharType="separate"/>
            </w:r>
            <w:r w:rsidR="00415834">
              <w:rPr>
                <w:webHidden/>
              </w:rPr>
              <w:t>113</w:t>
            </w:r>
            <w:r w:rsidR="00415834">
              <w:rPr>
                <w:webHidden/>
              </w:rPr>
              <w:fldChar w:fldCharType="end"/>
            </w:r>
          </w:hyperlink>
        </w:p>
        <w:p w14:paraId="2F5B82E5" w14:textId="7844E534" w:rsidR="00415834" w:rsidRDefault="00573283">
          <w:pPr>
            <w:pStyle w:val="TOC2"/>
            <w:rPr>
              <w:rFonts w:asciiTheme="minorHAnsi" w:eastAsiaTheme="minorEastAsia" w:hAnsiTheme="minorHAnsi" w:cstheme="minorBidi"/>
              <w:lang w:val="en-US"/>
            </w:rPr>
          </w:pPr>
          <w:hyperlink w:anchor="_Toc40191097" w:history="1">
            <w:r w:rsidR="00415834" w:rsidRPr="009232D0">
              <w:rPr>
                <w:rStyle w:val="Hyperlink"/>
                <w:rFonts w:cstheme="minorHAnsi"/>
              </w:rPr>
              <w:t>4.4</w:t>
            </w:r>
            <w:r w:rsidR="00415834">
              <w:rPr>
                <w:rFonts w:asciiTheme="minorHAnsi" w:eastAsiaTheme="minorEastAsia" w:hAnsiTheme="minorHAnsi" w:cstheme="minorBidi"/>
                <w:lang w:val="en-US"/>
              </w:rPr>
              <w:tab/>
            </w:r>
            <w:r w:rsidR="00415834" w:rsidRPr="009232D0">
              <w:rPr>
                <w:rStyle w:val="Hyperlink"/>
                <w:rFonts w:cstheme="minorHAnsi"/>
              </w:rPr>
              <w:t>ORGANIZACIÓN PANAMERICANA PARA LA SALUD (OPS)</w:t>
            </w:r>
            <w:r w:rsidR="00415834">
              <w:rPr>
                <w:webHidden/>
              </w:rPr>
              <w:tab/>
            </w:r>
            <w:r w:rsidR="00415834">
              <w:rPr>
                <w:webHidden/>
              </w:rPr>
              <w:fldChar w:fldCharType="begin"/>
            </w:r>
            <w:r w:rsidR="00415834">
              <w:rPr>
                <w:webHidden/>
              </w:rPr>
              <w:instrText xml:space="preserve"> PAGEREF _Toc40191097 \h </w:instrText>
            </w:r>
            <w:r w:rsidR="00415834">
              <w:rPr>
                <w:webHidden/>
              </w:rPr>
            </w:r>
            <w:r w:rsidR="00415834">
              <w:rPr>
                <w:webHidden/>
              </w:rPr>
              <w:fldChar w:fldCharType="separate"/>
            </w:r>
            <w:r w:rsidR="00415834">
              <w:rPr>
                <w:webHidden/>
              </w:rPr>
              <w:t>114</w:t>
            </w:r>
            <w:r w:rsidR="00415834">
              <w:rPr>
                <w:webHidden/>
              </w:rPr>
              <w:fldChar w:fldCharType="end"/>
            </w:r>
          </w:hyperlink>
        </w:p>
        <w:p w14:paraId="64B9487B" w14:textId="1C375A3D" w:rsidR="00415834" w:rsidRDefault="00573283">
          <w:pPr>
            <w:pStyle w:val="TOC2"/>
            <w:rPr>
              <w:rFonts w:asciiTheme="minorHAnsi" w:eastAsiaTheme="minorEastAsia" w:hAnsiTheme="minorHAnsi" w:cstheme="minorBidi"/>
              <w:lang w:val="en-US"/>
            </w:rPr>
          </w:pPr>
          <w:hyperlink w:anchor="_Toc40191098" w:history="1">
            <w:r w:rsidR="00415834" w:rsidRPr="0031567D">
              <w:rPr>
                <w:rStyle w:val="Hyperlink"/>
                <w:rFonts w:cstheme="minorHAnsi"/>
              </w:rPr>
              <w:t>4.5</w:t>
            </w:r>
            <w:r w:rsidR="00415834" w:rsidRPr="0031567D">
              <w:rPr>
                <w:rFonts w:asciiTheme="minorHAnsi" w:eastAsiaTheme="minorEastAsia" w:hAnsiTheme="minorHAnsi" w:cstheme="minorBidi"/>
                <w:lang w:val="en-US"/>
              </w:rPr>
              <w:tab/>
            </w:r>
            <w:r w:rsidR="00415834" w:rsidRPr="0031567D">
              <w:rPr>
                <w:rStyle w:val="Hyperlink"/>
                <w:rFonts w:cstheme="minorHAnsi"/>
              </w:rPr>
              <w:t>INSTITUTO PANAMERICANO DE GEOGRAFÍA E HISTORIA (IPGH)</w:t>
            </w:r>
            <w:r w:rsidR="00415834">
              <w:rPr>
                <w:webHidden/>
              </w:rPr>
              <w:tab/>
            </w:r>
            <w:r w:rsidR="00415834">
              <w:rPr>
                <w:webHidden/>
              </w:rPr>
              <w:fldChar w:fldCharType="begin"/>
            </w:r>
            <w:r w:rsidR="00415834">
              <w:rPr>
                <w:webHidden/>
              </w:rPr>
              <w:instrText xml:space="preserve"> PAGEREF _Toc40191098 \h </w:instrText>
            </w:r>
            <w:r w:rsidR="00415834">
              <w:rPr>
                <w:webHidden/>
              </w:rPr>
            </w:r>
            <w:r w:rsidR="00415834">
              <w:rPr>
                <w:webHidden/>
              </w:rPr>
              <w:fldChar w:fldCharType="separate"/>
            </w:r>
            <w:r w:rsidR="00415834">
              <w:rPr>
                <w:webHidden/>
              </w:rPr>
              <w:t>117</w:t>
            </w:r>
            <w:r w:rsidR="00415834">
              <w:rPr>
                <w:webHidden/>
              </w:rPr>
              <w:fldChar w:fldCharType="end"/>
            </w:r>
          </w:hyperlink>
        </w:p>
        <w:p w14:paraId="41A5DD1C" w14:textId="77777777" w:rsidR="00F43808" w:rsidRDefault="00F43808">
          <w:pPr>
            <w:pStyle w:val="TOC1"/>
          </w:pPr>
        </w:p>
        <w:p w14:paraId="331E86DA" w14:textId="50A09A2B" w:rsidR="00415834" w:rsidRDefault="00573283">
          <w:pPr>
            <w:pStyle w:val="TOC1"/>
            <w:rPr>
              <w:rFonts w:asciiTheme="minorHAnsi" w:eastAsiaTheme="minorEastAsia" w:hAnsiTheme="minorHAnsi" w:cstheme="minorBidi"/>
              <w:szCs w:val="22"/>
              <w:lang w:val="en-US"/>
            </w:rPr>
          </w:pPr>
          <w:hyperlink w:anchor="_Toc40191099" w:history="1">
            <w:r w:rsidR="00415834" w:rsidRPr="0031567D">
              <w:rPr>
                <w:rStyle w:val="Hyperlink"/>
                <w:rFonts w:cstheme="minorHAnsi"/>
              </w:rPr>
              <w:t>5.</w:t>
            </w:r>
            <w:r w:rsidR="00415834" w:rsidRPr="0031567D">
              <w:rPr>
                <w:rFonts w:asciiTheme="minorHAnsi" w:eastAsiaTheme="minorEastAsia" w:hAnsiTheme="minorHAnsi" w:cstheme="minorBidi"/>
                <w:szCs w:val="22"/>
                <w:lang w:val="en-US"/>
              </w:rPr>
              <w:tab/>
            </w:r>
            <w:r w:rsidR="0031567D">
              <w:rPr>
                <w:rStyle w:val="Hyperlink"/>
                <w:rFonts w:cstheme="minorHAnsi"/>
              </w:rPr>
              <w:t>ACTIVIDADES</w:t>
            </w:r>
            <w:r w:rsidR="00415834" w:rsidRPr="0031567D">
              <w:rPr>
                <w:rStyle w:val="Hyperlink"/>
                <w:rFonts w:cstheme="minorHAnsi"/>
              </w:rPr>
              <w:t xml:space="preserve"> SECRETARIO GENERAL Y SECRETARIO GENERAL ADJUNTO FUERA DE LA SEDE</w:t>
            </w:r>
            <w:r w:rsidR="00415834">
              <w:rPr>
                <w:webHidden/>
              </w:rPr>
              <w:tab/>
            </w:r>
            <w:r w:rsidR="00415834">
              <w:rPr>
                <w:webHidden/>
              </w:rPr>
              <w:fldChar w:fldCharType="begin"/>
            </w:r>
            <w:r w:rsidR="00415834">
              <w:rPr>
                <w:webHidden/>
              </w:rPr>
              <w:instrText xml:space="preserve"> PAGEREF _Toc40191099 \h </w:instrText>
            </w:r>
            <w:r w:rsidR="00415834">
              <w:rPr>
                <w:webHidden/>
              </w:rPr>
            </w:r>
            <w:r w:rsidR="00415834">
              <w:rPr>
                <w:webHidden/>
              </w:rPr>
              <w:fldChar w:fldCharType="separate"/>
            </w:r>
            <w:r w:rsidR="00415834">
              <w:rPr>
                <w:webHidden/>
              </w:rPr>
              <w:t>119</w:t>
            </w:r>
            <w:r w:rsidR="00415834">
              <w:rPr>
                <w:webHidden/>
              </w:rPr>
              <w:fldChar w:fldCharType="end"/>
            </w:r>
          </w:hyperlink>
        </w:p>
        <w:p w14:paraId="29F936B4" w14:textId="77777777" w:rsidR="0031567D" w:rsidRDefault="0031567D">
          <w:pPr>
            <w:pStyle w:val="TOC2"/>
          </w:pPr>
        </w:p>
        <w:p w14:paraId="35282FD0" w14:textId="4F4F22DC" w:rsidR="00415834" w:rsidRDefault="00573283">
          <w:pPr>
            <w:pStyle w:val="TOC2"/>
            <w:rPr>
              <w:rFonts w:asciiTheme="minorHAnsi" w:eastAsiaTheme="minorEastAsia" w:hAnsiTheme="minorHAnsi" w:cstheme="minorBidi"/>
              <w:lang w:val="en-US"/>
            </w:rPr>
          </w:pPr>
          <w:hyperlink w:anchor="_Toc40191100" w:history="1">
            <w:r w:rsidR="00415834" w:rsidRPr="00F43808">
              <w:rPr>
                <w:rStyle w:val="Hyperlink"/>
                <w:rFonts w:eastAsia="Times New Roman" w:cstheme="minorHAnsi"/>
              </w:rPr>
              <w:t>5.1</w:t>
            </w:r>
            <w:r w:rsidR="00415834" w:rsidRPr="00F43808">
              <w:rPr>
                <w:rFonts w:asciiTheme="minorHAnsi" w:eastAsiaTheme="minorEastAsia" w:hAnsiTheme="minorHAnsi" w:cstheme="minorBidi"/>
                <w:lang w:val="en-US"/>
              </w:rPr>
              <w:tab/>
            </w:r>
            <w:r w:rsidR="00415834" w:rsidRPr="00F43808">
              <w:rPr>
                <w:rStyle w:val="Hyperlink"/>
                <w:rFonts w:eastAsia="Times New Roman" w:cstheme="minorHAnsi"/>
              </w:rPr>
              <w:t>ACTIVIDADES DEL SECRETARIO GENERAL FUERA DE LA SEDE</w:t>
            </w:r>
            <w:r w:rsidR="00415834">
              <w:rPr>
                <w:webHidden/>
              </w:rPr>
              <w:tab/>
            </w:r>
            <w:r w:rsidR="00415834">
              <w:rPr>
                <w:webHidden/>
              </w:rPr>
              <w:fldChar w:fldCharType="begin"/>
            </w:r>
            <w:r w:rsidR="00415834">
              <w:rPr>
                <w:webHidden/>
              </w:rPr>
              <w:instrText xml:space="preserve"> PAGEREF _Toc40191100 \h </w:instrText>
            </w:r>
            <w:r w:rsidR="00415834">
              <w:rPr>
                <w:webHidden/>
              </w:rPr>
            </w:r>
            <w:r w:rsidR="00415834">
              <w:rPr>
                <w:webHidden/>
              </w:rPr>
              <w:fldChar w:fldCharType="separate"/>
            </w:r>
            <w:r w:rsidR="00415834">
              <w:rPr>
                <w:webHidden/>
              </w:rPr>
              <w:t>119</w:t>
            </w:r>
            <w:r w:rsidR="00415834">
              <w:rPr>
                <w:webHidden/>
              </w:rPr>
              <w:fldChar w:fldCharType="end"/>
            </w:r>
          </w:hyperlink>
        </w:p>
        <w:p w14:paraId="61BF1780" w14:textId="4FE19ED6" w:rsidR="00415834" w:rsidRDefault="00573283">
          <w:pPr>
            <w:pStyle w:val="TOC2"/>
            <w:rPr>
              <w:rFonts w:asciiTheme="minorHAnsi" w:eastAsiaTheme="minorEastAsia" w:hAnsiTheme="minorHAnsi" w:cstheme="minorBidi"/>
              <w:lang w:val="en-US"/>
            </w:rPr>
          </w:pPr>
          <w:hyperlink w:anchor="_Toc40191101" w:history="1">
            <w:r w:rsidR="00415834" w:rsidRPr="00F43808">
              <w:rPr>
                <w:rStyle w:val="Hyperlink"/>
                <w:rFonts w:eastAsia="Times New Roman" w:cstheme="minorHAnsi"/>
              </w:rPr>
              <w:t xml:space="preserve">5.2 </w:t>
            </w:r>
            <w:r w:rsidR="00415834" w:rsidRPr="00F43808">
              <w:rPr>
                <w:rFonts w:asciiTheme="minorHAnsi" w:eastAsiaTheme="minorEastAsia" w:hAnsiTheme="minorHAnsi" w:cstheme="minorBidi"/>
                <w:lang w:val="en-US"/>
              </w:rPr>
              <w:tab/>
            </w:r>
            <w:r w:rsidR="00415834" w:rsidRPr="00F43808">
              <w:rPr>
                <w:rStyle w:val="Hyperlink"/>
                <w:rFonts w:eastAsia="Times New Roman" w:cstheme="minorHAnsi"/>
              </w:rPr>
              <w:t>ACTIVIDADES DEL SECRETARIO GENERAL ADJUNTO FUERA DE LA SEDE</w:t>
            </w:r>
            <w:r w:rsidR="00415834">
              <w:rPr>
                <w:webHidden/>
              </w:rPr>
              <w:tab/>
            </w:r>
            <w:r w:rsidR="00415834">
              <w:rPr>
                <w:webHidden/>
              </w:rPr>
              <w:fldChar w:fldCharType="begin"/>
            </w:r>
            <w:r w:rsidR="00415834">
              <w:rPr>
                <w:webHidden/>
              </w:rPr>
              <w:instrText xml:space="preserve"> PAGEREF _Toc40191101 \h </w:instrText>
            </w:r>
            <w:r w:rsidR="00415834">
              <w:rPr>
                <w:webHidden/>
              </w:rPr>
            </w:r>
            <w:r w:rsidR="00415834">
              <w:rPr>
                <w:webHidden/>
              </w:rPr>
              <w:fldChar w:fldCharType="separate"/>
            </w:r>
            <w:r w:rsidR="00415834">
              <w:rPr>
                <w:webHidden/>
              </w:rPr>
              <w:t>123</w:t>
            </w:r>
            <w:r w:rsidR="00415834">
              <w:rPr>
                <w:webHidden/>
              </w:rPr>
              <w:fldChar w:fldCharType="end"/>
            </w:r>
          </w:hyperlink>
        </w:p>
        <w:p w14:paraId="5AA86E0B" w14:textId="77777777" w:rsidR="00F43808" w:rsidRDefault="00F43808">
          <w:pPr>
            <w:pStyle w:val="TOC1"/>
          </w:pPr>
        </w:p>
        <w:p w14:paraId="7AF57AA3" w14:textId="7A744C84" w:rsidR="00415834" w:rsidRDefault="00573283">
          <w:pPr>
            <w:pStyle w:val="TOC1"/>
            <w:rPr>
              <w:rFonts w:asciiTheme="minorHAnsi" w:eastAsiaTheme="minorEastAsia" w:hAnsiTheme="minorHAnsi" w:cstheme="minorBidi"/>
              <w:szCs w:val="22"/>
              <w:lang w:val="en-US"/>
            </w:rPr>
          </w:pPr>
          <w:hyperlink w:anchor="_Toc40191102" w:history="1">
            <w:r w:rsidR="00415834" w:rsidRPr="00F43808">
              <w:rPr>
                <w:rStyle w:val="Hyperlink"/>
                <w:rFonts w:cstheme="minorHAnsi"/>
                <w:lang w:val="pt-BR"/>
              </w:rPr>
              <w:t>6.</w:t>
            </w:r>
            <w:r w:rsidR="00415834" w:rsidRPr="00F43808">
              <w:rPr>
                <w:rFonts w:asciiTheme="minorHAnsi" w:eastAsiaTheme="minorEastAsia" w:hAnsiTheme="minorHAnsi" w:cstheme="minorBidi"/>
                <w:szCs w:val="22"/>
                <w:lang w:val="en-US"/>
              </w:rPr>
              <w:tab/>
            </w:r>
            <w:r w:rsidR="00415834" w:rsidRPr="00F43808">
              <w:rPr>
                <w:rStyle w:val="Hyperlink"/>
                <w:rFonts w:cstheme="minorHAnsi"/>
                <w:lang w:val="pt-BR"/>
              </w:rPr>
              <w:t>ANEXOS</w:t>
            </w:r>
            <w:r w:rsidR="00415834">
              <w:rPr>
                <w:webHidden/>
              </w:rPr>
              <w:tab/>
            </w:r>
            <w:r w:rsidR="00415834">
              <w:rPr>
                <w:webHidden/>
              </w:rPr>
              <w:fldChar w:fldCharType="begin"/>
            </w:r>
            <w:r w:rsidR="00415834">
              <w:rPr>
                <w:webHidden/>
              </w:rPr>
              <w:instrText xml:space="preserve"> PAGEREF _Toc40191102 \h </w:instrText>
            </w:r>
            <w:r w:rsidR="00415834">
              <w:rPr>
                <w:webHidden/>
              </w:rPr>
            </w:r>
            <w:r w:rsidR="00415834">
              <w:rPr>
                <w:webHidden/>
              </w:rPr>
              <w:fldChar w:fldCharType="separate"/>
            </w:r>
            <w:r w:rsidR="00415834">
              <w:rPr>
                <w:webHidden/>
              </w:rPr>
              <w:t>129</w:t>
            </w:r>
            <w:r w:rsidR="00415834">
              <w:rPr>
                <w:webHidden/>
              </w:rPr>
              <w:fldChar w:fldCharType="end"/>
            </w:r>
          </w:hyperlink>
        </w:p>
        <w:p w14:paraId="04607565" w14:textId="77777777" w:rsidR="00F43808" w:rsidRDefault="00F43808">
          <w:pPr>
            <w:pStyle w:val="TOC2"/>
          </w:pPr>
        </w:p>
        <w:p w14:paraId="366ECA0F" w14:textId="3810CB2E" w:rsidR="00415834" w:rsidRDefault="00F43808">
          <w:pPr>
            <w:pStyle w:val="TOC2"/>
            <w:rPr>
              <w:rFonts w:asciiTheme="minorHAnsi" w:eastAsiaTheme="minorEastAsia" w:hAnsiTheme="minorHAnsi" w:cstheme="minorBidi"/>
              <w:lang w:val="en-US"/>
            </w:rPr>
          </w:pPr>
          <w:r>
            <w:tab/>
          </w:r>
          <w:hyperlink w:anchor="_Toc40191103" w:history="1">
            <w:r w:rsidR="00415834" w:rsidRPr="00F43808">
              <w:rPr>
                <w:rStyle w:val="Hyperlink"/>
                <w:rFonts w:eastAsia="Times New Roman" w:cstheme="minorHAnsi"/>
                <w:lang w:val="pt-BR"/>
              </w:rPr>
              <w:t>ANEXO A: ORGANIGRAMA</w:t>
            </w:r>
            <w:r w:rsidR="00415834">
              <w:rPr>
                <w:webHidden/>
              </w:rPr>
              <w:tab/>
            </w:r>
            <w:r w:rsidR="00415834">
              <w:rPr>
                <w:webHidden/>
              </w:rPr>
              <w:fldChar w:fldCharType="begin"/>
            </w:r>
            <w:r w:rsidR="00415834">
              <w:rPr>
                <w:webHidden/>
              </w:rPr>
              <w:instrText xml:space="preserve"> PAGEREF _Toc40191103 \h </w:instrText>
            </w:r>
            <w:r w:rsidR="00415834">
              <w:rPr>
                <w:webHidden/>
              </w:rPr>
            </w:r>
            <w:r w:rsidR="00415834">
              <w:rPr>
                <w:webHidden/>
              </w:rPr>
              <w:fldChar w:fldCharType="separate"/>
            </w:r>
            <w:r w:rsidR="00415834">
              <w:rPr>
                <w:webHidden/>
              </w:rPr>
              <w:t>129</w:t>
            </w:r>
            <w:r w:rsidR="00415834">
              <w:rPr>
                <w:webHidden/>
              </w:rPr>
              <w:fldChar w:fldCharType="end"/>
            </w:r>
          </w:hyperlink>
        </w:p>
        <w:p w14:paraId="534A6B41" w14:textId="5F6961B1" w:rsidR="00415834" w:rsidRDefault="00F43808">
          <w:pPr>
            <w:pStyle w:val="TOC2"/>
            <w:rPr>
              <w:rFonts w:asciiTheme="minorHAnsi" w:eastAsiaTheme="minorEastAsia" w:hAnsiTheme="minorHAnsi" w:cstheme="minorBidi"/>
              <w:lang w:val="en-US"/>
            </w:rPr>
          </w:pPr>
          <w:r>
            <w:tab/>
          </w:r>
          <w:hyperlink w:anchor="_Toc40191104" w:history="1">
            <w:r w:rsidR="00415834" w:rsidRPr="00F43808">
              <w:rPr>
                <w:rStyle w:val="Hyperlink"/>
                <w:rFonts w:eastAsia="Times New Roman" w:cstheme="minorHAnsi"/>
                <w:lang w:val="pt-BR"/>
              </w:rPr>
              <w:t>ANEXO B: ESTADOS FINANCIEROS</w:t>
            </w:r>
            <w:r w:rsidR="00415834">
              <w:rPr>
                <w:webHidden/>
              </w:rPr>
              <w:tab/>
            </w:r>
            <w:r w:rsidR="00415834">
              <w:rPr>
                <w:webHidden/>
              </w:rPr>
              <w:fldChar w:fldCharType="begin"/>
            </w:r>
            <w:r w:rsidR="00415834">
              <w:rPr>
                <w:webHidden/>
              </w:rPr>
              <w:instrText xml:space="preserve"> PAGEREF _Toc40191104 \h </w:instrText>
            </w:r>
            <w:r w:rsidR="00415834">
              <w:rPr>
                <w:webHidden/>
              </w:rPr>
            </w:r>
            <w:r w:rsidR="00415834">
              <w:rPr>
                <w:webHidden/>
              </w:rPr>
              <w:fldChar w:fldCharType="separate"/>
            </w:r>
            <w:r w:rsidR="00415834">
              <w:rPr>
                <w:webHidden/>
              </w:rPr>
              <w:t>130</w:t>
            </w:r>
            <w:r w:rsidR="00415834">
              <w:rPr>
                <w:webHidden/>
              </w:rPr>
              <w:fldChar w:fldCharType="end"/>
            </w:r>
          </w:hyperlink>
        </w:p>
        <w:p w14:paraId="60C72F04" w14:textId="1B334F5D" w:rsidR="00415834" w:rsidRDefault="00415834">
          <w:r>
            <w:rPr>
              <w:b/>
              <w:bCs/>
              <w:noProof/>
            </w:rPr>
            <w:fldChar w:fldCharType="end"/>
          </w:r>
        </w:p>
      </w:sdtContent>
    </w:sdt>
    <w:p w14:paraId="005BCC4C" w14:textId="77777777" w:rsidR="00923240" w:rsidRDefault="00923240">
      <w:pPr>
        <w:rPr>
          <w:rFonts w:asciiTheme="minorHAnsi" w:hAnsiTheme="minorHAnsi" w:cstheme="minorHAnsi"/>
          <w:b/>
          <w:noProof/>
          <w:sz w:val="22"/>
          <w:szCs w:val="22"/>
          <w:lang w:val="es-ES"/>
        </w:rPr>
      </w:pPr>
      <w:r>
        <w:rPr>
          <w:rFonts w:asciiTheme="minorHAnsi" w:hAnsiTheme="minorHAnsi" w:cstheme="minorHAnsi"/>
          <w:b/>
          <w:noProof/>
          <w:sz w:val="22"/>
          <w:szCs w:val="22"/>
          <w:lang w:val="es-ES"/>
        </w:rPr>
        <w:br w:type="page"/>
      </w:r>
    </w:p>
    <w:p w14:paraId="6843976F" w14:textId="5CB94285" w:rsidR="00673757" w:rsidRDefault="00673757">
      <w:pPr>
        <w:rPr>
          <w:rFonts w:asciiTheme="minorHAnsi" w:hAnsiTheme="minorHAnsi" w:cstheme="minorHAnsi"/>
          <w:b/>
          <w:noProof/>
          <w:sz w:val="22"/>
          <w:szCs w:val="22"/>
          <w:lang w:val="es-ES"/>
        </w:rPr>
      </w:pPr>
    </w:p>
    <w:p w14:paraId="5A601EC6" w14:textId="2C087241" w:rsidR="000A014F" w:rsidRPr="00B62815" w:rsidRDefault="002C14C5" w:rsidP="0037172C">
      <w:pPr>
        <w:pStyle w:val="IASG1"/>
        <w:shd w:val="clear" w:color="auto" w:fill="E36C0A"/>
        <w:spacing w:before="0" w:after="0"/>
        <w:rPr>
          <w:rFonts w:asciiTheme="minorHAnsi" w:hAnsiTheme="minorHAnsi" w:cstheme="minorHAnsi"/>
          <w:sz w:val="22"/>
          <w:szCs w:val="22"/>
        </w:rPr>
      </w:pPr>
      <w:bookmarkStart w:id="1" w:name="_Toc39675820"/>
      <w:bookmarkStart w:id="2" w:name="_Toc40191043"/>
      <w:r w:rsidRPr="00B62815">
        <w:rPr>
          <w:rFonts w:asciiTheme="minorHAnsi" w:hAnsiTheme="minorHAnsi" w:cstheme="minorHAnsi"/>
          <w:sz w:val="22"/>
          <w:szCs w:val="22"/>
        </w:rPr>
        <w:t>1. ASAMBLEA GENERAL Y CONSEJOS</w:t>
      </w:r>
      <w:bookmarkEnd w:id="1"/>
      <w:bookmarkEnd w:id="2"/>
    </w:p>
    <w:p w14:paraId="348967E0" w14:textId="77777777" w:rsidR="003B5D7E" w:rsidRPr="00FF35DA" w:rsidRDefault="003B5D7E" w:rsidP="00FF35DA">
      <w:pPr>
        <w:contextualSpacing/>
        <w:outlineLvl w:val="1"/>
        <w:rPr>
          <w:rFonts w:asciiTheme="minorHAnsi" w:hAnsiTheme="minorHAnsi" w:cstheme="minorHAnsi"/>
          <w:b/>
          <w:color w:val="1F497D"/>
          <w:sz w:val="22"/>
          <w:szCs w:val="22"/>
          <w:lang w:val="es-ES"/>
        </w:rPr>
      </w:pPr>
    </w:p>
    <w:p w14:paraId="1662BCF7" w14:textId="77777777" w:rsidR="000A014F" w:rsidRPr="00B62815" w:rsidRDefault="00937553" w:rsidP="00E67635">
      <w:pPr>
        <w:pStyle w:val="ListParagraph"/>
        <w:numPr>
          <w:ilvl w:val="1"/>
          <w:numId w:val="10"/>
        </w:numPr>
        <w:contextualSpacing/>
        <w:outlineLvl w:val="1"/>
        <w:rPr>
          <w:rFonts w:asciiTheme="minorHAnsi" w:hAnsiTheme="minorHAnsi" w:cstheme="minorHAnsi"/>
          <w:b/>
          <w:color w:val="1F497D"/>
          <w:sz w:val="22"/>
          <w:szCs w:val="22"/>
          <w:lang w:val="es-ES"/>
        </w:rPr>
      </w:pPr>
      <w:bookmarkStart w:id="3" w:name="_Toc39675821"/>
      <w:bookmarkStart w:id="4" w:name="_Toc40191044"/>
      <w:r w:rsidRPr="00B62815">
        <w:rPr>
          <w:rFonts w:asciiTheme="minorHAnsi" w:hAnsiTheme="minorHAnsi" w:cstheme="minorHAnsi"/>
          <w:b/>
          <w:color w:val="1F497D"/>
          <w:sz w:val="22"/>
          <w:szCs w:val="22"/>
          <w:lang w:val="es-ES"/>
        </w:rPr>
        <w:t>ASAMBLEA GENERAL</w:t>
      </w:r>
      <w:bookmarkEnd w:id="3"/>
      <w:bookmarkEnd w:id="4"/>
    </w:p>
    <w:p w14:paraId="64F8193C" w14:textId="77777777" w:rsidR="0029336F" w:rsidRPr="00B62815" w:rsidRDefault="0029336F" w:rsidP="00CE4125">
      <w:pPr>
        <w:pStyle w:val="ListParagraph"/>
        <w:ind w:left="0"/>
        <w:contextualSpacing/>
        <w:rPr>
          <w:rFonts w:asciiTheme="minorHAnsi" w:hAnsiTheme="minorHAnsi" w:cstheme="minorHAnsi"/>
          <w:sz w:val="22"/>
          <w:szCs w:val="22"/>
          <w:lang w:val="es-ES"/>
        </w:rPr>
      </w:pPr>
    </w:p>
    <w:p w14:paraId="1CECF3E8" w14:textId="77777777" w:rsidR="00EA799D" w:rsidRPr="00B62815" w:rsidRDefault="00EA799D" w:rsidP="00EA799D">
      <w:pPr>
        <w:jc w:val="both"/>
        <w:rPr>
          <w:rFonts w:asciiTheme="minorHAnsi" w:hAnsiTheme="minorHAnsi" w:cstheme="minorHAnsi"/>
          <w:b/>
          <w:sz w:val="22"/>
          <w:szCs w:val="22"/>
          <w:lang w:val="es-ES"/>
        </w:rPr>
      </w:pPr>
      <w:r w:rsidRPr="00B62815">
        <w:rPr>
          <w:rFonts w:asciiTheme="minorHAnsi" w:hAnsiTheme="minorHAnsi" w:cstheme="minorHAnsi"/>
          <w:b/>
          <w:sz w:val="22"/>
          <w:szCs w:val="22"/>
          <w:lang w:val="es-ES"/>
        </w:rPr>
        <w:t>Asamblea General</w:t>
      </w:r>
    </w:p>
    <w:p w14:paraId="4955CE58" w14:textId="77777777" w:rsidR="00EA799D" w:rsidRPr="00B62815" w:rsidRDefault="00EA799D" w:rsidP="00EA799D">
      <w:pPr>
        <w:jc w:val="both"/>
        <w:rPr>
          <w:rFonts w:asciiTheme="minorHAnsi" w:hAnsiTheme="minorHAnsi" w:cstheme="minorHAnsi"/>
          <w:sz w:val="22"/>
          <w:szCs w:val="22"/>
          <w:lang w:val="es-ES"/>
        </w:rPr>
      </w:pPr>
    </w:p>
    <w:p w14:paraId="7BD9CF3F" w14:textId="77777777" w:rsidR="00EA799D" w:rsidRPr="00B62815" w:rsidRDefault="00EA799D" w:rsidP="00E67635">
      <w:pPr>
        <w:numPr>
          <w:ilvl w:val="0"/>
          <w:numId w:val="18"/>
        </w:numPr>
        <w:jc w:val="both"/>
        <w:rPr>
          <w:rFonts w:asciiTheme="minorHAnsi" w:hAnsiTheme="minorHAnsi" w:cstheme="minorHAnsi"/>
          <w:b/>
          <w:sz w:val="22"/>
          <w:szCs w:val="22"/>
          <w:lang w:val="es-ES"/>
        </w:rPr>
      </w:pPr>
      <w:r w:rsidRPr="00B62815">
        <w:rPr>
          <w:rFonts w:asciiTheme="minorHAnsi" w:hAnsiTheme="minorHAnsi" w:cstheme="minorHAnsi"/>
          <w:b/>
          <w:sz w:val="22"/>
          <w:szCs w:val="22"/>
          <w:lang w:val="es-ES"/>
        </w:rPr>
        <w:t>XLIX Período ordinario de sesiones de la Asamblea General</w:t>
      </w:r>
    </w:p>
    <w:p w14:paraId="6DF09673" w14:textId="77777777" w:rsidR="00EA799D" w:rsidRPr="00B62815" w:rsidRDefault="00EA799D" w:rsidP="00EA799D">
      <w:pPr>
        <w:jc w:val="both"/>
        <w:rPr>
          <w:rFonts w:asciiTheme="minorHAnsi" w:hAnsiTheme="minorHAnsi" w:cstheme="minorHAnsi"/>
          <w:sz w:val="22"/>
          <w:szCs w:val="22"/>
          <w:lang w:val="es-ES"/>
        </w:rPr>
      </w:pPr>
    </w:p>
    <w:p w14:paraId="41C8AFA4" w14:textId="48EB64FC"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El XLIX período ordinario de sesiones de la Asamblea General se celebró del 26 al 28 de junio de 2019 en Medellín, Colombia.  La Asamblea aprobó 4 declaraciones y 15 resoluciones sobre temas como: Conmemoración de los quince años de la Misión de Apoyo al Proceso de Paz en Colombia; La amenaza de los grupos terroristas a la seguridad internacional y el pleno goce de los derechos humanos; Participación efectiva de los pueblos indígenas y afrodescendientes en las actividades de la Organización de los Estados Americanos; Esfuerzos hemisféricos para combatir el uso de equipos terminales móviles hurtados, extraviados o adulterados; Papel prioritario de la Organización en el desarrollo de las telecomunicaciones/tecnologías de la información y la comunicación a través de la Comisión Interamericana de Telecomunicaciones; Aumento y fortalecimiento de la participación de la sociedad civil y los actores sociales en las actividades de la Organización de los Estados Americanos y en el proceso de Cumbres de las Américas; Impulsando iniciativas hemisféricas en materia de desarrollo integral; Fortalecimiento de órganos, organismos, entidades, iniciativas y mecanismos de la OEA; Fortalecimiento de la democracia; Promoción de la seguridad hemisférica: desde un enfoque multidimensional; Informe final del Grupo de Trabajo Encargado de Elaborar una Propuesta de Fortalecimiento Institucional de la Organización de los Estados Americanos; Promoción y protección de los derechos humanos; Fortalecimiento de la ética, la supervisión y la transparencia de la Organización de los Estados Americanos; Resolución sobre la situación en Nicaragua; La situación de Venezuela y la crisis de migrantes venezolanos; Derecho Internacional.</w:t>
      </w:r>
    </w:p>
    <w:p w14:paraId="4B06F5C7" w14:textId="77777777" w:rsidR="00EA799D" w:rsidRPr="00B62815" w:rsidRDefault="00EA799D" w:rsidP="00EA799D">
      <w:pPr>
        <w:jc w:val="both"/>
        <w:rPr>
          <w:rFonts w:asciiTheme="minorHAnsi" w:hAnsiTheme="minorHAnsi" w:cstheme="minorHAnsi"/>
          <w:sz w:val="22"/>
          <w:szCs w:val="22"/>
          <w:lang w:val="es-ES"/>
        </w:rPr>
      </w:pPr>
    </w:p>
    <w:p w14:paraId="650FACE8"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En esta oportunidad, la Asamblea General decidió también aprobar el Programa-Presupuesto de la Organización para 2020.</w:t>
      </w:r>
    </w:p>
    <w:p w14:paraId="2569236A" w14:textId="77777777" w:rsidR="00221B81" w:rsidRPr="00B62815" w:rsidRDefault="00221B81" w:rsidP="00EA799D">
      <w:pPr>
        <w:jc w:val="both"/>
        <w:rPr>
          <w:rFonts w:asciiTheme="minorHAnsi" w:hAnsiTheme="minorHAnsi" w:cstheme="minorHAnsi"/>
          <w:sz w:val="22"/>
          <w:szCs w:val="22"/>
          <w:lang w:val="es-US"/>
        </w:rPr>
      </w:pPr>
    </w:p>
    <w:p w14:paraId="4D8058E6" w14:textId="77777777" w:rsidR="00221B81" w:rsidRPr="00563676" w:rsidRDefault="00EA799D" w:rsidP="00563676">
      <w:pPr>
        <w:pStyle w:val="ListParagraph"/>
        <w:numPr>
          <w:ilvl w:val="1"/>
          <w:numId w:val="10"/>
        </w:numPr>
        <w:contextualSpacing/>
        <w:outlineLvl w:val="1"/>
        <w:rPr>
          <w:rFonts w:asciiTheme="minorHAnsi" w:hAnsiTheme="minorHAnsi" w:cstheme="minorHAnsi"/>
          <w:b/>
          <w:color w:val="1F497D"/>
          <w:sz w:val="22"/>
          <w:szCs w:val="22"/>
          <w:lang w:val="es-ES"/>
        </w:rPr>
      </w:pPr>
      <w:bookmarkStart w:id="5" w:name="_Toc39675822"/>
      <w:bookmarkStart w:id="6" w:name="_Toc40191045"/>
      <w:r w:rsidRPr="00563676">
        <w:rPr>
          <w:rFonts w:asciiTheme="minorHAnsi" w:hAnsiTheme="minorHAnsi" w:cstheme="minorHAnsi"/>
          <w:b/>
          <w:color w:val="1F497D"/>
          <w:sz w:val="22"/>
          <w:szCs w:val="22"/>
          <w:lang w:val="es-ES"/>
        </w:rPr>
        <w:t>CONSEJO PERMANENTE</w:t>
      </w:r>
      <w:bookmarkEnd w:id="5"/>
      <w:bookmarkEnd w:id="6"/>
    </w:p>
    <w:p w14:paraId="4FDF3CA8" w14:textId="77777777" w:rsidR="00221B81" w:rsidRPr="00B62815" w:rsidRDefault="00221B81" w:rsidP="00221B81">
      <w:pPr>
        <w:jc w:val="both"/>
        <w:rPr>
          <w:rFonts w:asciiTheme="minorHAnsi" w:hAnsiTheme="minorHAnsi" w:cstheme="minorHAnsi"/>
          <w:b/>
          <w:color w:val="1F4E79"/>
          <w:sz w:val="22"/>
          <w:szCs w:val="22"/>
          <w:lang w:val="es-ES"/>
        </w:rPr>
      </w:pPr>
    </w:p>
    <w:p w14:paraId="4226CF59" w14:textId="77777777" w:rsidR="00EA799D" w:rsidRPr="00B62815" w:rsidRDefault="00EA799D" w:rsidP="00E67635">
      <w:pPr>
        <w:numPr>
          <w:ilvl w:val="0"/>
          <w:numId w:val="18"/>
        </w:numPr>
        <w:jc w:val="both"/>
        <w:rPr>
          <w:rFonts w:asciiTheme="minorHAnsi" w:hAnsiTheme="minorHAnsi" w:cstheme="minorHAnsi"/>
          <w:b/>
          <w:sz w:val="22"/>
          <w:szCs w:val="22"/>
          <w:lang w:val="es-ES"/>
        </w:rPr>
      </w:pPr>
      <w:r w:rsidRPr="00B62815">
        <w:rPr>
          <w:rFonts w:asciiTheme="minorHAnsi" w:hAnsiTheme="minorHAnsi" w:cstheme="minorHAnsi"/>
          <w:b/>
          <w:sz w:val="22"/>
          <w:szCs w:val="22"/>
          <w:lang w:val="es-ES"/>
        </w:rPr>
        <w:t xml:space="preserve">Presidencias y Vicepresidencias </w:t>
      </w:r>
    </w:p>
    <w:p w14:paraId="65ED6CC3" w14:textId="77777777" w:rsidR="00EA799D" w:rsidRPr="00B62815" w:rsidRDefault="00EA799D" w:rsidP="00EA799D">
      <w:pPr>
        <w:jc w:val="both"/>
        <w:rPr>
          <w:rFonts w:asciiTheme="minorHAnsi" w:hAnsiTheme="minorHAnsi" w:cstheme="minorHAnsi"/>
          <w:sz w:val="22"/>
          <w:szCs w:val="22"/>
          <w:lang w:val="es-ES"/>
        </w:rPr>
      </w:pPr>
    </w:p>
    <w:p w14:paraId="6072501A"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 continuación, las autoridades del Consejo Permanente durante 2019:</w:t>
      </w:r>
    </w:p>
    <w:p w14:paraId="1C77D86E" w14:textId="77777777" w:rsidR="00EA799D" w:rsidRPr="00B62815" w:rsidRDefault="00EA799D" w:rsidP="00EA799D">
      <w:pPr>
        <w:jc w:val="both"/>
        <w:rPr>
          <w:rFonts w:asciiTheme="minorHAnsi" w:hAnsiTheme="minorHAnsi" w:cstheme="minorHAnsi"/>
          <w:sz w:val="22"/>
          <w:szCs w:val="22"/>
          <w:u w:val="single"/>
          <w:lang w:val="es-ES"/>
        </w:rPr>
      </w:pPr>
    </w:p>
    <w:p w14:paraId="3CB6A56A" w14:textId="77777777" w:rsidR="00EA799D" w:rsidRPr="00B62815" w:rsidRDefault="00EA799D" w:rsidP="00EA799D">
      <w:pPr>
        <w:jc w:val="both"/>
        <w:rPr>
          <w:rFonts w:asciiTheme="minorHAnsi" w:hAnsiTheme="minorHAnsi" w:cstheme="minorHAnsi"/>
          <w:sz w:val="22"/>
          <w:szCs w:val="22"/>
          <w:u w:val="single"/>
          <w:lang w:val="es-ES"/>
        </w:rPr>
      </w:pPr>
      <w:r w:rsidRPr="00B62815">
        <w:rPr>
          <w:rFonts w:asciiTheme="minorHAnsi" w:hAnsiTheme="minorHAnsi" w:cstheme="minorHAnsi"/>
          <w:sz w:val="22"/>
          <w:szCs w:val="22"/>
          <w:u w:val="single"/>
          <w:lang w:val="es-ES"/>
        </w:rPr>
        <w:t>Enero a marzo</w:t>
      </w:r>
    </w:p>
    <w:p w14:paraId="45F4A8DA"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Presidencia: Embajador Carlos Alberto Calles Castillo, El Salvador.</w:t>
      </w:r>
    </w:p>
    <w:p w14:paraId="55FE88C3"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Vicepresidencia: Embajador Alejandro Ordóñez Maldonado, Colombia.</w:t>
      </w:r>
    </w:p>
    <w:p w14:paraId="20D18B51" w14:textId="77777777" w:rsidR="00EA799D" w:rsidRPr="00B62815" w:rsidRDefault="00EA799D" w:rsidP="00EA799D">
      <w:pPr>
        <w:jc w:val="both"/>
        <w:rPr>
          <w:rFonts w:asciiTheme="minorHAnsi" w:hAnsiTheme="minorHAnsi" w:cstheme="minorHAnsi"/>
          <w:sz w:val="22"/>
          <w:szCs w:val="22"/>
          <w:u w:val="single"/>
          <w:lang w:val="es-ES"/>
        </w:rPr>
      </w:pPr>
    </w:p>
    <w:p w14:paraId="21DA5A2D" w14:textId="77777777" w:rsidR="00EA799D" w:rsidRPr="00B62815" w:rsidRDefault="00EA799D" w:rsidP="00EA799D">
      <w:pPr>
        <w:jc w:val="both"/>
        <w:rPr>
          <w:rFonts w:asciiTheme="minorHAnsi" w:hAnsiTheme="minorHAnsi" w:cstheme="minorHAnsi"/>
          <w:sz w:val="22"/>
          <w:szCs w:val="22"/>
          <w:u w:val="single"/>
          <w:lang w:val="es-ES"/>
        </w:rPr>
      </w:pPr>
      <w:r w:rsidRPr="00B62815">
        <w:rPr>
          <w:rFonts w:asciiTheme="minorHAnsi" w:hAnsiTheme="minorHAnsi" w:cstheme="minorHAnsi"/>
          <w:sz w:val="22"/>
          <w:szCs w:val="22"/>
          <w:u w:val="single"/>
          <w:lang w:val="es-ES"/>
        </w:rPr>
        <w:t>Abril a junio</w:t>
      </w:r>
    </w:p>
    <w:p w14:paraId="50C22938"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Presidencia: Embajador Carlos Trujillo, Estados Unidos de América.</w:t>
      </w:r>
    </w:p>
    <w:p w14:paraId="43B41E03"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Vicepresidencia: Embajador Hernán Salina, Chile.</w:t>
      </w:r>
    </w:p>
    <w:p w14:paraId="6E545551" w14:textId="77777777" w:rsidR="0082369F" w:rsidRPr="00B62815" w:rsidRDefault="0082369F" w:rsidP="00EA799D">
      <w:pPr>
        <w:jc w:val="both"/>
        <w:rPr>
          <w:rFonts w:asciiTheme="minorHAnsi" w:hAnsiTheme="minorHAnsi" w:cstheme="minorHAnsi"/>
          <w:sz w:val="22"/>
          <w:szCs w:val="22"/>
          <w:u w:val="single"/>
          <w:lang w:val="es-ES"/>
        </w:rPr>
      </w:pPr>
    </w:p>
    <w:p w14:paraId="345A0587" w14:textId="77777777" w:rsidR="00EA799D" w:rsidRPr="00B62815" w:rsidRDefault="00EA799D" w:rsidP="00EA799D">
      <w:pPr>
        <w:jc w:val="both"/>
        <w:rPr>
          <w:rFonts w:asciiTheme="minorHAnsi" w:hAnsiTheme="minorHAnsi" w:cstheme="minorHAnsi"/>
          <w:sz w:val="22"/>
          <w:szCs w:val="22"/>
          <w:u w:val="single"/>
          <w:lang w:val="es-ES"/>
        </w:rPr>
      </w:pPr>
      <w:r w:rsidRPr="00B62815">
        <w:rPr>
          <w:rFonts w:asciiTheme="minorHAnsi" w:hAnsiTheme="minorHAnsi" w:cstheme="minorHAnsi"/>
          <w:sz w:val="22"/>
          <w:szCs w:val="22"/>
          <w:u w:val="single"/>
          <w:lang w:val="es-ES"/>
        </w:rPr>
        <w:t xml:space="preserve">Julio a septiembre </w:t>
      </w:r>
    </w:p>
    <w:p w14:paraId="7C92E4AE" w14:textId="77777777" w:rsidR="00EA799D" w:rsidRPr="00B62815" w:rsidRDefault="00EA799D" w:rsidP="00EA799D">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Presidencia: Embajadora Yolande Yvonne Smith, Grenada.</w:t>
      </w:r>
    </w:p>
    <w:p w14:paraId="2A5BE2D8" w14:textId="4A39CA06" w:rsidR="00EA799D"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US"/>
        </w:rPr>
        <w:t>Vicepresidencia: Embajadora Jennifer May Loten, Canada.</w:t>
      </w:r>
      <w:r w:rsidRPr="00B62815">
        <w:rPr>
          <w:rFonts w:asciiTheme="minorHAnsi" w:hAnsiTheme="minorHAnsi" w:cstheme="minorHAnsi"/>
          <w:sz w:val="22"/>
          <w:szCs w:val="22"/>
          <w:lang w:val="es-ES"/>
        </w:rPr>
        <w:t xml:space="preserve"> </w:t>
      </w:r>
    </w:p>
    <w:p w14:paraId="221A4738" w14:textId="77777777" w:rsidR="00EA799D" w:rsidRPr="00EB718B" w:rsidRDefault="00EA799D" w:rsidP="00373D74">
      <w:pPr>
        <w:jc w:val="right"/>
        <w:rPr>
          <w:rFonts w:asciiTheme="minorHAnsi" w:hAnsiTheme="minorHAnsi" w:cstheme="minorHAnsi"/>
          <w:sz w:val="22"/>
          <w:szCs w:val="22"/>
          <w:u w:val="single"/>
          <w:lang w:val="es-PE"/>
        </w:rPr>
      </w:pPr>
    </w:p>
    <w:p w14:paraId="652B0582" w14:textId="77777777" w:rsidR="00EA799D" w:rsidRPr="00B62815" w:rsidRDefault="00EA799D" w:rsidP="00EA799D">
      <w:pPr>
        <w:jc w:val="both"/>
        <w:rPr>
          <w:rFonts w:asciiTheme="minorHAnsi" w:hAnsiTheme="minorHAnsi" w:cstheme="minorHAnsi"/>
          <w:sz w:val="22"/>
          <w:szCs w:val="22"/>
          <w:u w:val="single"/>
          <w:lang w:val="es-ES"/>
        </w:rPr>
      </w:pPr>
      <w:r w:rsidRPr="00B62815">
        <w:rPr>
          <w:rFonts w:asciiTheme="minorHAnsi" w:hAnsiTheme="minorHAnsi" w:cstheme="minorHAnsi"/>
          <w:sz w:val="22"/>
          <w:szCs w:val="22"/>
          <w:u w:val="single"/>
          <w:lang w:val="es-ES"/>
        </w:rPr>
        <w:t>Octubre a diciembre:</w:t>
      </w:r>
    </w:p>
    <w:p w14:paraId="3E7F4815" w14:textId="77777777" w:rsidR="00EA799D" w:rsidRPr="00B62815" w:rsidRDefault="00EA799D" w:rsidP="00EA799D">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Presidencia: Embajadora Rita Claverie De Sciolli, Guatemala.</w:t>
      </w:r>
    </w:p>
    <w:p w14:paraId="33FD3122" w14:textId="77777777" w:rsidR="00EA799D" w:rsidRPr="00B62815" w:rsidRDefault="00EA799D" w:rsidP="00EA799D">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Vicepresidencia: Embajador Fernando Simas Magalhães, Brasil.</w:t>
      </w:r>
    </w:p>
    <w:p w14:paraId="1352C796" w14:textId="77777777" w:rsidR="00EA799D" w:rsidRPr="00B62815" w:rsidRDefault="00EA799D" w:rsidP="00EA799D">
      <w:pPr>
        <w:jc w:val="both"/>
        <w:rPr>
          <w:rFonts w:asciiTheme="minorHAnsi" w:hAnsiTheme="minorHAnsi" w:cstheme="minorHAnsi"/>
          <w:sz w:val="22"/>
          <w:szCs w:val="22"/>
          <w:lang w:val="es-ES"/>
        </w:rPr>
      </w:pPr>
    </w:p>
    <w:p w14:paraId="69BF7DFC" w14:textId="77777777" w:rsidR="00EA799D" w:rsidRPr="00B62815" w:rsidRDefault="00EA799D" w:rsidP="00E67635">
      <w:pPr>
        <w:numPr>
          <w:ilvl w:val="0"/>
          <w:numId w:val="18"/>
        </w:numPr>
        <w:jc w:val="both"/>
        <w:rPr>
          <w:rFonts w:asciiTheme="minorHAnsi" w:hAnsiTheme="minorHAnsi" w:cstheme="minorHAnsi"/>
          <w:b/>
          <w:sz w:val="22"/>
          <w:szCs w:val="22"/>
          <w:lang w:val="es-ES"/>
        </w:rPr>
      </w:pPr>
      <w:r w:rsidRPr="00B62815">
        <w:rPr>
          <w:rFonts w:asciiTheme="minorHAnsi" w:hAnsiTheme="minorHAnsi" w:cstheme="minorHAnsi"/>
          <w:b/>
          <w:sz w:val="22"/>
          <w:szCs w:val="22"/>
          <w:lang w:val="es-ES"/>
        </w:rPr>
        <w:t>Declaraciones y Resoluciones</w:t>
      </w:r>
    </w:p>
    <w:p w14:paraId="72512B19" w14:textId="77777777" w:rsidR="00EA799D" w:rsidRPr="00B62815" w:rsidRDefault="00EA799D" w:rsidP="00EA799D">
      <w:pPr>
        <w:jc w:val="both"/>
        <w:rPr>
          <w:rFonts w:asciiTheme="minorHAnsi" w:hAnsiTheme="minorHAnsi" w:cstheme="minorHAnsi"/>
          <w:sz w:val="22"/>
          <w:szCs w:val="22"/>
          <w:lang w:val="es-ES"/>
        </w:rPr>
      </w:pPr>
    </w:p>
    <w:p w14:paraId="2EEF5645"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Entre enero y diciembre de 2019, el Consejo y sus órganos subsidiarios celebraron alrededor de 200 sesiones de carácter formal e informal. </w:t>
      </w:r>
      <w:hyperlink r:id="rId13" w:history="1">
        <w:r w:rsidRPr="00B62815">
          <w:rPr>
            <w:rStyle w:val="Hyperlink"/>
            <w:rFonts w:asciiTheme="minorHAnsi" w:hAnsiTheme="minorHAnsi" w:cstheme="minorHAnsi"/>
            <w:sz w:val="22"/>
            <w:szCs w:val="22"/>
            <w:lang w:val="es-ES"/>
          </w:rPr>
          <w:t>http://www.oas.org/es/council/</w:t>
        </w:r>
      </w:hyperlink>
    </w:p>
    <w:p w14:paraId="2ECD5608" w14:textId="77777777" w:rsidR="00EA799D" w:rsidRPr="00B62815" w:rsidRDefault="00EA799D" w:rsidP="00EA799D">
      <w:pPr>
        <w:jc w:val="both"/>
        <w:rPr>
          <w:rFonts w:asciiTheme="minorHAnsi" w:hAnsiTheme="minorHAnsi" w:cstheme="minorHAnsi"/>
          <w:sz w:val="22"/>
          <w:szCs w:val="22"/>
          <w:lang w:val="es-ES"/>
        </w:rPr>
      </w:pPr>
    </w:p>
    <w:p w14:paraId="166A36E4" w14:textId="3E3C13A6"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El Consejo Permanente aprobó 2 declaraciones y 26 resoluciones cuyos textos completos se encuentran en la página web </w:t>
      </w:r>
      <w:hyperlink r:id="rId14" w:history="1">
        <w:r w:rsidRPr="00B62815">
          <w:rPr>
            <w:rStyle w:val="Hyperlink"/>
            <w:rFonts w:asciiTheme="minorHAnsi" w:hAnsiTheme="minorHAnsi" w:cstheme="minorHAnsi"/>
            <w:sz w:val="22"/>
            <w:szCs w:val="22"/>
            <w:lang w:val="es-ES"/>
          </w:rPr>
          <w:t>http://www.oas.org/es/council/CP/documentation/res_decs</w:t>
        </w:r>
      </w:hyperlink>
    </w:p>
    <w:p w14:paraId="03C89555" w14:textId="77777777" w:rsidR="00EA799D" w:rsidRPr="00B62815" w:rsidRDefault="00EA799D" w:rsidP="00EA799D">
      <w:pPr>
        <w:jc w:val="both"/>
        <w:rPr>
          <w:rFonts w:asciiTheme="minorHAnsi" w:hAnsiTheme="minorHAnsi" w:cstheme="minorHAnsi"/>
          <w:b/>
          <w:sz w:val="22"/>
          <w:szCs w:val="22"/>
          <w:lang w:val="es-ES"/>
        </w:rPr>
      </w:pPr>
    </w:p>
    <w:p w14:paraId="4115A2D0" w14:textId="77777777" w:rsidR="00EA799D" w:rsidRPr="00B62815" w:rsidRDefault="00EA799D" w:rsidP="00E67635">
      <w:pPr>
        <w:numPr>
          <w:ilvl w:val="0"/>
          <w:numId w:val="18"/>
        </w:numPr>
        <w:jc w:val="both"/>
        <w:rPr>
          <w:rFonts w:asciiTheme="minorHAnsi" w:hAnsiTheme="minorHAnsi" w:cstheme="minorHAnsi"/>
          <w:b/>
          <w:sz w:val="22"/>
          <w:szCs w:val="22"/>
          <w:lang w:val="es-ES"/>
        </w:rPr>
      </w:pPr>
      <w:r w:rsidRPr="00B62815">
        <w:rPr>
          <w:rFonts w:asciiTheme="minorHAnsi" w:hAnsiTheme="minorHAnsi" w:cstheme="minorHAnsi"/>
          <w:b/>
          <w:sz w:val="22"/>
          <w:szCs w:val="22"/>
          <w:lang w:val="es-ES"/>
        </w:rPr>
        <w:t>Temas</w:t>
      </w:r>
    </w:p>
    <w:p w14:paraId="7613E398" w14:textId="77777777" w:rsidR="00EA799D" w:rsidRPr="00B62815" w:rsidRDefault="00EA799D" w:rsidP="00EA799D">
      <w:pPr>
        <w:ind w:left="360"/>
        <w:jc w:val="both"/>
        <w:rPr>
          <w:rFonts w:asciiTheme="minorHAnsi" w:hAnsiTheme="minorHAnsi" w:cstheme="minorHAnsi"/>
          <w:b/>
          <w:sz w:val="22"/>
          <w:szCs w:val="22"/>
          <w:lang w:val="es-ES"/>
        </w:rPr>
      </w:pPr>
    </w:p>
    <w:p w14:paraId="740F3CD8" w14:textId="77777777" w:rsidR="00EA799D" w:rsidRPr="00B62815" w:rsidRDefault="00EA799D" w:rsidP="00EA799D">
      <w:p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Se destacan algunos de los temas abordados por el Consejo Permanente en sus sesiones a lo largo del año:</w:t>
      </w:r>
    </w:p>
    <w:p w14:paraId="079E29C7"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lastRenderedPageBreak/>
        <w:t xml:space="preserve">Asuntos Protocolares </w:t>
      </w:r>
    </w:p>
    <w:p w14:paraId="59B55BC8"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Asuntos administrativos y presupuestales </w:t>
      </w:r>
    </w:p>
    <w:p w14:paraId="1D8EF31B"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Procedimientos parlamentarios </w:t>
      </w:r>
    </w:p>
    <w:p w14:paraId="1011186C"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La situación en la República Bolivariana de Venezuela</w:t>
      </w:r>
    </w:p>
    <w:p w14:paraId="7AE290E4"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La Situación en Nicaragua</w:t>
      </w:r>
    </w:p>
    <w:p w14:paraId="60DD7ABB"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Misiones de Observación Electoral</w:t>
      </w:r>
    </w:p>
    <w:p w14:paraId="2BBA342C"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27 Aniversario de los Acuerdos de Paz de El Salvador</w:t>
      </w:r>
    </w:p>
    <w:p w14:paraId="21704677"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Día Internacional de la Mujer</w:t>
      </w:r>
    </w:p>
    <w:p w14:paraId="6B4C0BD5"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Fortalecimiento del nexo entre la ciencia y las políticas para una cooperación eficaz en la gestión integrada de los recursos hídricos</w:t>
      </w:r>
    </w:p>
    <w:p w14:paraId="5F6EEAF4"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Vulnerabilidad y resiliencia: un enfoque transversal (Cambio climático) </w:t>
      </w:r>
    </w:p>
    <w:p w14:paraId="3D388728"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Recordando la esclavitud:  el poder de las artes por la justicia</w:t>
      </w:r>
    </w:p>
    <w:p w14:paraId="3CA5CE51"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Día Internacional del Derecho a la Verdad en relación con Violaciones Graves de los Derechos Humanos y de la Dignidad de las Víctimas</w:t>
      </w:r>
    </w:p>
    <w:p w14:paraId="3FE8C986"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diálogo con los Observadores Permanentes sobre cooperación, intercambio de información y promoción de alianzas</w:t>
      </w:r>
    </w:p>
    <w:p w14:paraId="6087FA30"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Comunidad de las Democracias</w:t>
      </w:r>
    </w:p>
    <w:p w14:paraId="5B95DB7A"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Día Internacional contra la homofobia, la transfobia y la bifobia</w:t>
      </w:r>
    </w:p>
    <w:p w14:paraId="1F11C192"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Fortaleciendo la coordinación regional en respuesta a los impactos del desplazamiento forzado</w:t>
      </w:r>
    </w:p>
    <w:p w14:paraId="073BC73F"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Avances en los esfuerzos para promover la libertad religiosa internacional</w:t>
      </w:r>
    </w:p>
    <w:p w14:paraId="1B57811F"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conmemoración del nacimiento del Libertador Simón Bolívar</w:t>
      </w:r>
    </w:p>
    <w:p w14:paraId="070155D0"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Conmemoración de la Semana Interamericana de los Pueblos Indígenas y el Año Internacional de las Lenguas Indígenas</w:t>
      </w:r>
    </w:p>
    <w:p w14:paraId="5945ADFB"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Desafíos del narcoterrorismo a la institucionalidad democrática</w:t>
      </w:r>
    </w:p>
    <w:p w14:paraId="61305078"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Convocatoria del Órgano de Consulta del Tratado Interamericano de Asistencia Recíproca</w:t>
      </w:r>
    </w:p>
    <w:p w14:paraId="158C0714"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lastRenderedPageBreak/>
        <w:t>Aniversario de la creación e instalación de la Comisión Interamericana de Derechos Humanos</w:t>
      </w:r>
    </w:p>
    <w:p w14:paraId="37F84AEE"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Encuentro de Dos Mundos</w:t>
      </w:r>
    </w:p>
    <w:p w14:paraId="4B5F5CEF"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Misión de Apoyo al Proceso de Paz en Colombia</w:t>
      </w:r>
    </w:p>
    <w:p w14:paraId="247D19D0"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La importancia de la acción multisectorial para atender con eficacia las enfermedades no transmisibles</w:t>
      </w:r>
    </w:p>
    <w:p w14:paraId="6E5403FF"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Cooperación entre el Consorcio Internacional de Educación Superior, Responsabilidad Cívica y Democracia, el Consejo de Europa y la Organización de los Estados Americanos</w:t>
      </w:r>
    </w:p>
    <w:p w14:paraId="282A39C3"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Prevención y erradicación de la violencia contra la mujer</w:t>
      </w:r>
    </w:p>
    <w:p w14:paraId="76F6A582"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Quincuagésimo aniversario de la adopción de la Convención Americana sobre Derechos Humanos (Pacto de San José de Costa Rica) y el Cuadragésimo aniversario de la instalación de la Corte Interamericana de Derechos Humanos en San José de Costa Rica</w:t>
      </w:r>
    </w:p>
    <w:p w14:paraId="6F386ADA"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Día Internacional de las Personas con Discapacidad</w:t>
      </w:r>
    </w:p>
    <w:p w14:paraId="62682C7F"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Consideración de la propuesta de Plan Estratégico 2020-2021</w:t>
      </w:r>
    </w:p>
    <w:p w14:paraId="517FF55A"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Día Internacional contra la Corrupción</w:t>
      </w:r>
    </w:p>
    <w:p w14:paraId="34F46925" w14:textId="77777777" w:rsidR="00EA799D" w:rsidRPr="00B62815" w:rsidRDefault="00EA799D" w:rsidP="00EA799D">
      <w:pPr>
        <w:ind w:right="-360"/>
        <w:rPr>
          <w:rFonts w:asciiTheme="minorHAnsi" w:hAnsiTheme="minorHAnsi" w:cstheme="minorHAnsi"/>
          <w:b/>
          <w:sz w:val="22"/>
          <w:szCs w:val="22"/>
          <w:lang w:val="es-ES"/>
        </w:rPr>
      </w:pPr>
    </w:p>
    <w:p w14:paraId="1F72760D" w14:textId="77777777" w:rsidR="00EA799D" w:rsidRPr="00B62815" w:rsidRDefault="00EA799D" w:rsidP="00E67635">
      <w:pPr>
        <w:numPr>
          <w:ilvl w:val="0"/>
          <w:numId w:val="18"/>
        </w:numPr>
        <w:jc w:val="both"/>
        <w:rPr>
          <w:rFonts w:asciiTheme="minorHAnsi" w:hAnsiTheme="minorHAnsi" w:cstheme="minorHAnsi"/>
          <w:b/>
          <w:sz w:val="22"/>
          <w:szCs w:val="22"/>
          <w:lang w:val="es-ES"/>
        </w:rPr>
      </w:pPr>
      <w:r w:rsidRPr="00B62815">
        <w:rPr>
          <w:rFonts w:asciiTheme="minorHAnsi" w:hAnsiTheme="minorHAnsi" w:cstheme="minorHAnsi"/>
          <w:b/>
          <w:sz w:val="22"/>
          <w:szCs w:val="22"/>
          <w:lang w:val="es-ES"/>
        </w:rPr>
        <w:t>Presentaciones</w:t>
      </w:r>
    </w:p>
    <w:p w14:paraId="0527A0C0" w14:textId="77777777" w:rsidR="00EA799D" w:rsidRPr="00B62815" w:rsidRDefault="00EA799D" w:rsidP="00EA799D">
      <w:pPr>
        <w:jc w:val="both"/>
        <w:rPr>
          <w:rFonts w:asciiTheme="minorHAnsi" w:hAnsiTheme="minorHAnsi" w:cstheme="minorHAnsi"/>
          <w:sz w:val="22"/>
          <w:szCs w:val="22"/>
          <w:lang w:val="es-ES"/>
        </w:rPr>
      </w:pPr>
    </w:p>
    <w:p w14:paraId="5C4E98ED"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El Secretario General y el Secretario General Adjunto se dirigieron en varias ocasiones al Consejo Permanente para informar sobre diversos asuntos en la agenda de la Organización.</w:t>
      </w:r>
    </w:p>
    <w:p w14:paraId="4E4D9842" w14:textId="77777777" w:rsidR="00EA799D" w:rsidRPr="00B62815" w:rsidRDefault="00EA799D" w:rsidP="00EA799D">
      <w:pPr>
        <w:jc w:val="both"/>
        <w:rPr>
          <w:rFonts w:asciiTheme="minorHAnsi" w:hAnsiTheme="minorHAnsi" w:cstheme="minorHAnsi"/>
          <w:sz w:val="22"/>
          <w:szCs w:val="22"/>
          <w:lang w:val="es-ES"/>
        </w:rPr>
      </w:pPr>
    </w:p>
    <w:p w14:paraId="11D705DA"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El Consejo Permanente recibió los siguientes informes sobre:  </w:t>
      </w:r>
    </w:p>
    <w:p w14:paraId="010848ED" w14:textId="77777777" w:rsidR="00EA799D" w:rsidRPr="00B62815" w:rsidRDefault="00EA799D" w:rsidP="00EA799D">
      <w:pPr>
        <w:jc w:val="both"/>
        <w:rPr>
          <w:rFonts w:asciiTheme="minorHAnsi" w:hAnsiTheme="minorHAnsi" w:cstheme="minorHAnsi"/>
          <w:sz w:val="22"/>
          <w:szCs w:val="22"/>
          <w:lang w:val="es-ES"/>
        </w:rPr>
      </w:pPr>
    </w:p>
    <w:p w14:paraId="35E25F93"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Misiones de Observación Electoral realizadas en Ecuador, Costa Rica, Grenada, Paraguay, Brasil, Colombia, El Salvador. </w:t>
      </w:r>
    </w:p>
    <w:p w14:paraId="48795C13"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Misión de Apoyo Contra la Corrupción y la Impunidad en Honduras (MACCIH-OEA)</w:t>
      </w:r>
    </w:p>
    <w:p w14:paraId="72CE29C1" w14:textId="77777777" w:rsidR="00EA799D" w:rsidRPr="00B62815" w:rsidRDefault="00EA799D"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Misión de Apoyo al Proceso de Paz en Colombia (MAAP/OEA)</w:t>
      </w:r>
    </w:p>
    <w:p w14:paraId="6A24BDAF" w14:textId="77777777" w:rsidR="00EA799D" w:rsidRPr="00B62815" w:rsidRDefault="00EA799D" w:rsidP="00EA799D">
      <w:pPr>
        <w:jc w:val="both"/>
        <w:rPr>
          <w:rFonts w:asciiTheme="minorHAnsi" w:hAnsiTheme="minorHAnsi" w:cstheme="minorHAnsi"/>
          <w:sz w:val="22"/>
          <w:szCs w:val="22"/>
          <w:lang w:val="es-ES_tradnl"/>
        </w:rPr>
      </w:pPr>
    </w:p>
    <w:p w14:paraId="1E8DC40F" w14:textId="77777777" w:rsidR="00EA799D" w:rsidRPr="00B62815" w:rsidRDefault="00EA799D" w:rsidP="00E67635">
      <w:pPr>
        <w:numPr>
          <w:ilvl w:val="0"/>
          <w:numId w:val="18"/>
        </w:numPr>
        <w:jc w:val="both"/>
        <w:rPr>
          <w:rFonts w:asciiTheme="minorHAnsi" w:hAnsiTheme="minorHAnsi" w:cstheme="minorHAnsi"/>
          <w:b/>
          <w:sz w:val="22"/>
          <w:szCs w:val="22"/>
          <w:lang w:val="es-ES"/>
        </w:rPr>
      </w:pPr>
      <w:r w:rsidRPr="00B62815">
        <w:rPr>
          <w:rFonts w:asciiTheme="minorHAnsi" w:hAnsiTheme="minorHAnsi" w:cstheme="minorHAnsi"/>
          <w:b/>
          <w:sz w:val="22"/>
          <w:szCs w:val="22"/>
          <w:lang w:val="es-ES"/>
        </w:rPr>
        <w:lastRenderedPageBreak/>
        <w:t>Visitas al Consejo Permanente</w:t>
      </w:r>
    </w:p>
    <w:p w14:paraId="3FA732FD" w14:textId="77777777" w:rsidR="00EA799D" w:rsidRPr="00B62815" w:rsidRDefault="00EA799D" w:rsidP="00EA799D">
      <w:pPr>
        <w:jc w:val="both"/>
        <w:rPr>
          <w:rFonts w:asciiTheme="minorHAnsi" w:hAnsiTheme="minorHAnsi" w:cstheme="minorHAnsi"/>
          <w:sz w:val="22"/>
          <w:szCs w:val="22"/>
          <w:lang w:val="es-ES"/>
        </w:rPr>
      </w:pPr>
    </w:p>
    <w:p w14:paraId="0C5BEEF4"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El Consejo Permanente, en sesiones ordinarias, extraordinarias y protocolares, recibió las siguientes visitas: Presidente de la República de Colombia, Su Excelencia Iván Duque Márquez; Presidente de Honduras, Su Excelencia Juan Orlando Hernández Alvarado; Presidente del Ecuador, Excelentísimo Señor Lenin Moreno Garcés; Excelentísima Señora, Epsy Campbell Barr, Vicepresidenta de Costa Rica; Excelentísimo Señor Wilfred Elrington, Ministro de Relaciones Exteriores de Belize; Excelentísima Señora Sandra Jovel Polanco, Ministra de Relaciones Exteriores de Guatemala; Excelentísimo Señor Diego Pary, Ministro de Relaciones Exteriores, Estado Plurinacional de Bolivia; Excelentísimo Señor Carlos Holmes Trujillo García, Ministro de Relaciones Exteriores de Colombia; Ministro de Relaciones Exteriores y Movilidad Humana del Ecuador, Embajador José Valencia; Ministra de Relaciones Exteriores y Asuntos de la CARICOM del Commonwealth de Dominica, S.E. Francine Baron; Ministro de Relaciones Exteriores de Chile, S.E. Teodoro Ribera; S.E. Manuel Ventura Robles, Ministro de Relaciones Exteriores y Culto de Costa Rica; Honorable Ancelma Perlacios Peralta, Senadora, Estado Plurinacional de Bolivia; Señora Petita Ayarza, Representante de la Asamblea Nacional; Juez y Presidente de la Corte Interamericana de Derechos Humanos, Eduardo Ferrer Mac-Gregor; Señora Viceministra de Asuntos Multilaterales de Colombia, Adriana Mejía Hernández; Señora Viceministra de Asuntos Multilaterales de Colombia, Adriana Mejía Hernández; Honorable Carmen Vásquez, Ministra de Cultura, Colombia; Señora Sandra Terena, Secretaria de Políticas para la Promoción de la Igualdad Racial, Brasil; Señor Saúl Vicente Vázquez, titular de la Oficina Asuntos Internacionales del Instituto Nacional de los Pueblos Indígenas y Pueblo Afromexicano (INTI); Ministro de Justicia y Transparencia Institucional del Estado Plurinacional del Bolivia, Doctor Héctor Arce Zaconeta; Su Excelencia Danilo Türk, Expresidente de Eslovenia y Presidente del Panel Mundial de Alto Nivel sobre el Agua y la Paz; Sra. Francesca Bernardini, Secretaria del Convenio sobre la protección y uso de los cursos de agua transfronterizos y los lagos internacionales; Sr. François Muenger, Director del Water Hub for Cooperation de la ONU; Sr. Marcos Regis da Silva, Director Ejecutivo del Instituto Interamericano para la Investigación del Cambio Global (IAI); General de Brigada DEM y Presidente del Consejo de Delegados de la Junta Interamericana de Defensa, Luis Rodríguez Bucio; Fundador y Presidente de la Corporación de Ayuda al Niño Quemado (COANIQUEM), Doctor Jorge Rojas Zegers; Señora Lisa Viscidi, Directora del Programa de Energía, Cambio Climático e Industrias Extractivas en el Diálogo Interamericano; Señora Johanna Mendelson Forman, Distinguida miembro del Centro Stimson; Señor Moises Rendon, Director Asociado y </w:t>
      </w:r>
      <w:r w:rsidRPr="00B62815">
        <w:rPr>
          <w:rFonts w:asciiTheme="minorHAnsi" w:hAnsiTheme="minorHAnsi" w:cstheme="minorHAnsi"/>
          <w:sz w:val="22"/>
          <w:szCs w:val="22"/>
          <w:lang w:val="es-ES"/>
        </w:rPr>
        <w:lastRenderedPageBreak/>
        <w:t xml:space="preserve">Miembro Asociado, Programa CSIS; Señor José Pallais – ex-viceministro de Relaciones Exteriores de Nicaragua; Señor Rubén Perina – Profesor Adjunto, George Washington University; Señor Harold Rocha - Presidente, Nicaraguan-American Center for Democracy; exprofesor consultor e investigador (fellow)/profesor visitante de la Facultad de Derecho de la Universidad de Iowa; Señora Haydee Castillo Flores – Presidenta del Instituto de Liderazgo de Las Segovias y del Foro de Mujeres para la Integración Centroamericana y del Caribe; miembro del Consejo Político de la Unidad Nacional Azul y Blanco (Nicaragua); Señor Jaime Aparicio – expresidente del Comité Jurídico Interamericano, exjefe de la Misión Electoral en Nicaragua (Carter Center); Señora Daphne Pellegrino, Reporteros sin Fronteras (RSF); Señor Carlos Alberto Patiño, Profesor, Universidad Nacional de Colombia; Señora Maria Werlau, Directora Ejecutiva, Cuba Archive; Señor Vladimir Rouvinski, Profesor, ICESI, Cali, Colombia; Señor José Gustavo Arocha; Señor Thomas E. Garrett, Secretario General, Comunidad de las Democracias; Embajador Piotr Wilczek, Embajador de Polonia en Estados Unidos; Capitán William Scouten, USNAVSO/IV Flota de Cirujanos de Estados Unidos; Embajador General para la Libertad Religiosa Internacional, Sam Brownback; Señora María Soledad Cisternas, Enviada Especial del Secretario General de Naciones Unidas para Cuestiones de Discapacidad y Accesibilidad; Directora Ejecutiva del World Jewish Congress, Señora Betty Ehrenberg; Señora Valentina Ballesta, Amnesty International; Señora Tamara Taraciuk Broner, Human Rights Watch; Señora Tamara Suju, Directora Ejecutiva del Instituto Casla; Sr. Juan Gregorio Regino, Director General del Instituto Nacional de Lenguas Indígenas (INALI); Sra. Esther Kuisch-Laroche, Directora y Representante, Oficina de la UNESCO para América Central; Sr. Luis Felipe Duchicela, Experto en Asuntos Indígenas, ex asesor del Presidente de Ecuador y Asesor Principal sobre asuntos relativos a pueblos indígenas, Agencia de Estados Unidos para el Desarrollo Internacional (USAID);  Sra. Patricia Velásquez, Embajadora de Buena Voluntad de la OEA por los Derechos de los Pueblos Indígenas; Dr. Eric Patterson, Vicepresidente Ejecutivo, Religious Freedom Institute; Dr. Anselm Hennis, Director, Departamento de Enfermedades No Transmisibles y Salud Mental, OPS/OMS; Dr. Fabio Da Silva Gomes. Asesor en Nutrición y Actividad Física. Unidad de Factores de Riesgo y Nutrición. Departamento de Enfermedades No Transmisibles y Salud Mental, OPS/OMS; Ira Harkavy, Vicepresidente Asociado y Director fundador del “Barbara and Edward Netter Center for Community Partnerships” de la Universidad de Pensilvania; Señor Adrián Russo, Presidente de la Cámara de Comercio y Negocios LGBTI de Uruguay; Señora Bianca Jagger, Fundación por los Derechos Humanos Bianca Jagger; Señor Manuel Orozco, Diálogo Interamericano; Señor Roberto Courtney, Director Ejecutivo de Ética y Transparencia; Señor Edwin Carcache; Señora Susana López </w:t>
      </w:r>
      <w:r w:rsidRPr="00B62815">
        <w:rPr>
          <w:rFonts w:asciiTheme="minorHAnsi" w:hAnsiTheme="minorHAnsi" w:cstheme="minorHAnsi"/>
          <w:sz w:val="22"/>
          <w:szCs w:val="22"/>
          <w:lang w:val="es-ES"/>
        </w:rPr>
        <w:lastRenderedPageBreak/>
        <w:t xml:space="preserve">Gutiérrez; Señora Verónica Ordóñez Obando; José Thompson J, Director Ejecutivo del Instituto Interamericano de Derechos Humanos; Juez Thomas Buergenthal; Señora Ann Cody, Asesora Especial para Derechos Internacionales de Discapacidad; Oficina de Democracia, Derechos Humanos y Trabajo, del Departamento de Estado de los Estados Unidos; Señor Anderson Sant’Anna, Presidente del Comité para la Eliminación de Todas las Formas de Discriminación contra las Personas con Discapacidad (CEDDIS); Señor Javier Vázquez, Asesor Principal de la Enviada Especial del Secretario General de las Naciones Unidas sobre la Discapacidad y la Rehabilitación; Vicepresidenta de la Fundación ONCE, Sra. Patricia Sanz; Señor Ex Presidente de Bolivia, Delegado ante la Comunidad Internacional; Ing. Jorge Quiroga Ramírez; Señor Gualberto Cusi, Exmagistrado del Tribunal Constitucional Plurinacional; Señora Jheanisse Daza, representante de la Organización Ríos a Pié; Señor Álvaro Andrade, experto en tecnología electoral. </w:t>
      </w:r>
    </w:p>
    <w:p w14:paraId="3DEAAE5A" w14:textId="77777777" w:rsidR="00EA799D" w:rsidRPr="00B62815" w:rsidRDefault="00EA799D" w:rsidP="00EA799D">
      <w:pPr>
        <w:jc w:val="both"/>
        <w:rPr>
          <w:rFonts w:asciiTheme="minorHAnsi" w:hAnsiTheme="minorHAnsi" w:cstheme="minorHAnsi"/>
          <w:sz w:val="22"/>
          <w:szCs w:val="22"/>
          <w:lang w:val="es-ES"/>
        </w:rPr>
      </w:pPr>
    </w:p>
    <w:p w14:paraId="6F2F96DF" w14:textId="77777777" w:rsidR="003A5D60" w:rsidRPr="00B62815" w:rsidRDefault="003A5D60" w:rsidP="00F1430D">
      <w:pPr>
        <w:autoSpaceDE w:val="0"/>
        <w:autoSpaceDN w:val="0"/>
        <w:adjustRightInd w:val="0"/>
        <w:jc w:val="both"/>
        <w:rPr>
          <w:rFonts w:asciiTheme="minorHAnsi" w:hAnsiTheme="minorHAnsi" w:cstheme="minorHAnsi"/>
          <w:sz w:val="22"/>
          <w:szCs w:val="22"/>
          <w:lang w:val="es-US"/>
        </w:rPr>
      </w:pPr>
      <w:bookmarkStart w:id="7" w:name="_Toc9258207"/>
      <w:bookmarkEnd w:id="7"/>
    </w:p>
    <w:p w14:paraId="0FBBE399" w14:textId="77777777" w:rsidR="003B5D7E" w:rsidRPr="00B62815" w:rsidRDefault="001B6B1F" w:rsidP="0037172C">
      <w:pPr>
        <w:pStyle w:val="Heading2"/>
        <w:spacing w:before="0" w:after="0"/>
        <w:rPr>
          <w:rFonts w:asciiTheme="minorHAnsi" w:hAnsiTheme="minorHAnsi" w:cstheme="minorHAnsi"/>
          <w:i w:val="0"/>
          <w:color w:val="1F497D"/>
          <w:sz w:val="22"/>
          <w:szCs w:val="22"/>
          <w:lang w:val="es-US"/>
        </w:rPr>
      </w:pPr>
      <w:bookmarkStart w:id="8" w:name="_Toc39675823"/>
      <w:bookmarkStart w:id="9" w:name="_Toc40191046"/>
      <w:r w:rsidRPr="00B62815">
        <w:rPr>
          <w:rFonts w:asciiTheme="minorHAnsi" w:eastAsia="MS Mincho" w:hAnsiTheme="minorHAnsi" w:cstheme="minorHAnsi"/>
          <w:bCs w:val="0"/>
          <w:i w:val="0"/>
          <w:iCs w:val="0"/>
          <w:color w:val="1F497D"/>
          <w:sz w:val="22"/>
          <w:szCs w:val="22"/>
          <w:lang w:val="es-US"/>
        </w:rPr>
        <w:t>1</w:t>
      </w:r>
      <w:r w:rsidR="003B5D7E" w:rsidRPr="00B62815">
        <w:rPr>
          <w:rFonts w:asciiTheme="minorHAnsi" w:eastAsia="MS Mincho" w:hAnsiTheme="minorHAnsi" w:cstheme="minorHAnsi"/>
          <w:bCs w:val="0"/>
          <w:i w:val="0"/>
          <w:iCs w:val="0"/>
          <w:color w:val="1F497D"/>
          <w:sz w:val="22"/>
          <w:szCs w:val="22"/>
          <w:lang w:val="es-US"/>
        </w:rPr>
        <w:t>.3</w:t>
      </w:r>
      <w:r w:rsidR="003B5D7E" w:rsidRPr="00B62815">
        <w:rPr>
          <w:rFonts w:asciiTheme="minorHAnsi" w:eastAsia="MS Mincho" w:hAnsiTheme="minorHAnsi" w:cstheme="minorHAnsi"/>
          <w:bCs w:val="0"/>
          <w:i w:val="0"/>
          <w:iCs w:val="0"/>
          <w:color w:val="1F497D"/>
          <w:sz w:val="22"/>
          <w:szCs w:val="22"/>
          <w:lang w:val="es-US"/>
        </w:rPr>
        <w:tab/>
      </w:r>
      <w:r w:rsidR="003B5D7E" w:rsidRPr="00B62815">
        <w:rPr>
          <w:rFonts w:asciiTheme="minorHAnsi" w:hAnsiTheme="minorHAnsi" w:cstheme="minorHAnsi"/>
          <w:i w:val="0"/>
          <w:color w:val="1F497D"/>
          <w:sz w:val="22"/>
          <w:szCs w:val="22"/>
          <w:lang w:val="es-US"/>
        </w:rPr>
        <w:t>CONSEJO INTERAMERICANO PARA EL DESARROLLO INTEGRAL</w:t>
      </w:r>
      <w:r w:rsidR="003A5D60" w:rsidRPr="00B62815">
        <w:rPr>
          <w:rFonts w:asciiTheme="minorHAnsi" w:hAnsiTheme="minorHAnsi" w:cstheme="minorHAnsi"/>
          <w:i w:val="0"/>
          <w:color w:val="1F497D"/>
          <w:sz w:val="22"/>
          <w:szCs w:val="22"/>
          <w:lang w:val="es-US"/>
        </w:rPr>
        <w:t xml:space="preserve"> (CIDI)</w:t>
      </w:r>
      <w:bookmarkEnd w:id="8"/>
      <w:bookmarkEnd w:id="9"/>
    </w:p>
    <w:p w14:paraId="36171E5A" w14:textId="77777777" w:rsidR="003B5D7E" w:rsidRPr="00B62815" w:rsidRDefault="003B5D7E" w:rsidP="0037172C">
      <w:pPr>
        <w:ind w:left="720"/>
        <w:jc w:val="both"/>
        <w:rPr>
          <w:rFonts w:asciiTheme="minorHAnsi" w:hAnsiTheme="minorHAnsi" w:cstheme="minorHAnsi"/>
          <w:b/>
          <w:sz w:val="22"/>
          <w:szCs w:val="22"/>
          <w:lang w:val="es-US"/>
        </w:rPr>
      </w:pPr>
    </w:p>
    <w:p w14:paraId="2FF43E42" w14:textId="77777777" w:rsidR="00F939B0" w:rsidRPr="00B62815" w:rsidRDefault="00F939B0" w:rsidP="00F939B0">
      <w:pPr>
        <w:ind w:right="-29"/>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Autoridades 2019:</w:t>
      </w:r>
    </w:p>
    <w:p w14:paraId="48054277" w14:textId="77777777" w:rsidR="00F939B0" w:rsidRPr="00B62815" w:rsidRDefault="00F939B0" w:rsidP="00F939B0">
      <w:pPr>
        <w:ind w:right="-29"/>
        <w:jc w:val="both"/>
        <w:rPr>
          <w:rFonts w:asciiTheme="minorHAnsi" w:hAnsiTheme="minorHAnsi" w:cstheme="minorHAnsi"/>
          <w:sz w:val="22"/>
          <w:szCs w:val="22"/>
          <w:lang w:val="es-CO"/>
        </w:rPr>
      </w:pPr>
    </w:p>
    <w:tbl>
      <w:tblPr>
        <w:tblW w:w="4941"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0"/>
        <w:gridCol w:w="1439"/>
        <w:gridCol w:w="6437"/>
      </w:tblGrid>
      <w:tr w:rsidR="001B6B1F" w:rsidRPr="00625659" w14:paraId="0E3A9EB0" w14:textId="77777777" w:rsidTr="00A323B1">
        <w:trPr>
          <w:trHeight w:val="284"/>
        </w:trPr>
        <w:tc>
          <w:tcPr>
            <w:tcW w:w="1403"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D3BCEE"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Enero-junio</w:t>
            </w:r>
          </w:p>
        </w:tc>
        <w:tc>
          <w:tcPr>
            <w:tcW w:w="14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03A6F1"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Presidenta</w:t>
            </w:r>
          </w:p>
        </w:tc>
        <w:tc>
          <w:tcPr>
            <w:tcW w:w="64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283308"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Embajadora Yolande Yvonne Smith, Representante Permanente de Grenada </w:t>
            </w:r>
          </w:p>
        </w:tc>
      </w:tr>
      <w:tr w:rsidR="001B6B1F" w:rsidRPr="00625659" w14:paraId="56B67A60" w14:textId="77777777" w:rsidTr="00A323B1">
        <w:trPr>
          <w:trHeight w:val="149"/>
        </w:trPr>
        <w:tc>
          <w:tcPr>
            <w:tcW w:w="1403" w:type="dxa"/>
            <w:vMerge/>
            <w:tcBorders>
              <w:top w:val="outset" w:sz="6" w:space="0" w:color="auto"/>
              <w:left w:val="outset" w:sz="6" w:space="0" w:color="auto"/>
              <w:bottom w:val="outset" w:sz="6" w:space="0" w:color="auto"/>
              <w:right w:val="outset" w:sz="6" w:space="0" w:color="auto"/>
            </w:tcBorders>
            <w:vAlign w:val="center"/>
            <w:hideMark/>
          </w:tcPr>
          <w:p w14:paraId="79E6852C" w14:textId="77777777" w:rsidR="001B6B1F" w:rsidRPr="00B62815" w:rsidRDefault="001B6B1F">
            <w:pPr>
              <w:rPr>
                <w:rFonts w:asciiTheme="minorHAnsi" w:hAnsiTheme="minorHAnsi" w:cstheme="minorHAnsi"/>
                <w:sz w:val="22"/>
                <w:szCs w:val="22"/>
                <w:lang w:val="es-CO"/>
              </w:rPr>
            </w:pPr>
          </w:p>
        </w:tc>
        <w:tc>
          <w:tcPr>
            <w:tcW w:w="14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8FF4E1"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Vicepresidente</w:t>
            </w:r>
          </w:p>
        </w:tc>
        <w:tc>
          <w:tcPr>
            <w:tcW w:w="64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B21402"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Embajador Denis R. Moncada, Representante Permanente de Nicaragua</w:t>
            </w:r>
          </w:p>
        </w:tc>
      </w:tr>
      <w:tr w:rsidR="001B6B1F" w:rsidRPr="00625659" w14:paraId="7FEBC956" w14:textId="77777777" w:rsidTr="00A323B1">
        <w:trPr>
          <w:trHeight w:val="149"/>
        </w:trPr>
        <w:tc>
          <w:tcPr>
            <w:tcW w:w="1403"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819336"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Julio-diciembre</w:t>
            </w:r>
          </w:p>
        </w:tc>
        <w:tc>
          <w:tcPr>
            <w:tcW w:w="14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F94C64"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Presidenta</w:t>
            </w:r>
          </w:p>
        </w:tc>
        <w:tc>
          <w:tcPr>
            <w:tcW w:w="64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F486FF"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Embajadora  Rita Claverie de Sciolli, Representante Permanente de Guatemala</w:t>
            </w:r>
          </w:p>
        </w:tc>
      </w:tr>
      <w:tr w:rsidR="001B6B1F" w:rsidRPr="00625659" w14:paraId="150E4CB3" w14:textId="77777777" w:rsidTr="00A323B1">
        <w:trPr>
          <w:trHeight w:val="149"/>
        </w:trPr>
        <w:tc>
          <w:tcPr>
            <w:tcW w:w="1403" w:type="dxa"/>
            <w:vMerge/>
            <w:tcBorders>
              <w:top w:val="outset" w:sz="6" w:space="0" w:color="auto"/>
              <w:left w:val="outset" w:sz="6" w:space="0" w:color="auto"/>
              <w:bottom w:val="outset" w:sz="6" w:space="0" w:color="auto"/>
              <w:right w:val="outset" w:sz="6" w:space="0" w:color="auto"/>
            </w:tcBorders>
            <w:vAlign w:val="center"/>
            <w:hideMark/>
          </w:tcPr>
          <w:p w14:paraId="1397ED3E" w14:textId="77777777" w:rsidR="001B6B1F" w:rsidRPr="00B62815" w:rsidRDefault="001B6B1F">
            <w:pPr>
              <w:rPr>
                <w:rFonts w:asciiTheme="minorHAnsi" w:hAnsiTheme="minorHAnsi" w:cstheme="minorHAnsi"/>
                <w:sz w:val="22"/>
                <w:szCs w:val="22"/>
                <w:lang w:val="es-CO"/>
              </w:rPr>
            </w:pPr>
          </w:p>
        </w:tc>
        <w:tc>
          <w:tcPr>
            <w:tcW w:w="14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7526E2"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Vicepresidenta</w:t>
            </w:r>
          </w:p>
        </w:tc>
        <w:tc>
          <w:tcPr>
            <w:tcW w:w="64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619142" w14:textId="77777777" w:rsidR="001B6B1F" w:rsidRPr="00B62815" w:rsidRDefault="001B6B1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Embajadora Luz Elena Baños Rivas, Representante Permanente de México</w:t>
            </w:r>
          </w:p>
        </w:tc>
      </w:tr>
    </w:tbl>
    <w:p w14:paraId="60A11996" w14:textId="77777777" w:rsidR="00F939B0" w:rsidRPr="00B62815" w:rsidRDefault="00F939B0" w:rsidP="00F939B0">
      <w:pPr>
        <w:ind w:right="-29"/>
        <w:jc w:val="both"/>
        <w:rPr>
          <w:rFonts w:asciiTheme="minorHAnsi" w:hAnsiTheme="minorHAnsi" w:cstheme="minorHAnsi"/>
          <w:sz w:val="22"/>
          <w:szCs w:val="22"/>
          <w:lang w:val="es-CO"/>
        </w:rPr>
      </w:pPr>
    </w:p>
    <w:p w14:paraId="1F5F6FED" w14:textId="77777777" w:rsidR="00F939B0" w:rsidRPr="00B62815" w:rsidRDefault="00F939B0" w:rsidP="00F939B0">
      <w:pPr>
        <w:ind w:right="43"/>
        <w:jc w:val="both"/>
        <w:rPr>
          <w:rFonts w:asciiTheme="minorHAnsi" w:hAnsiTheme="minorHAnsi" w:cstheme="minorHAnsi"/>
          <w:sz w:val="22"/>
          <w:szCs w:val="22"/>
          <w:lang w:val="es-ES_tradnl"/>
        </w:rPr>
      </w:pPr>
      <w:r w:rsidRPr="00B62815">
        <w:rPr>
          <w:rFonts w:asciiTheme="minorHAnsi" w:hAnsiTheme="minorHAnsi" w:cstheme="minorHAnsi"/>
          <w:sz w:val="22"/>
          <w:szCs w:val="22"/>
          <w:lang w:val="es-CO"/>
        </w:rPr>
        <w:t>Durante el 2019, e</w:t>
      </w:r>
      <w:r w:rsidRPr="00B62815">
        <w:rPr>
          <w:rFonts w:asciiTheme="minorHAnsi" w:hAnsiTheme="minorHAnsi" w:cstheme="minorHAnsi"/>
          <w:sz w:val="22"/>
          <w:szCs w:val="22"/>
          <w:lang w:val="es-ES_tradnl"/>
        </w:rPr>
        <w:t>l CIDI continuó profundizando su diálogo sustantivo y abordando temas estratégicos de interés para los Estados y en preparación de las reuniones sectoriales de ministros y altas autoridades que tienen lugar en su ámbito.  Los presidentes del CIDI realizaron reuniones periódicas de coordinación con las autoridades de sus órganos subsidiarios. Durante las reuniones ordinarias del CIDI se trataron temas propuestos por sus presidentes y cada una de las sesiones contó con la participación de expertos.</w:t>
      </w:r>
    </w:p>
    <w:p w14:paraId="2B55A82C" w14:textId="77777777" w:rsidR="00F939B0" w:rsidRPr="00B62815" w:rsidRDefault="00F939B0" w:rsidP="00F939B0">
      <w:pPr>
        <w:ind w:right="43"/>
        <w:jc w:val="both"/>
        <w:rPr>
          <w:rFonts w:asciiTheme="minorHAnsi" w:hAnsiTheme="minorHAnsi" w:cstheme="minorHAnsi"/>
          <w:sz w:val="22"/>
          <w:szCs w:val="22"/>
          <w:lang w:val="es-ES_tradnl"/>
        </w:rPr>
      </w:pPr>
    </w:p>
    <w:p w14:paraId="102167FE" w14:textId="77777777" w:rsidR="00F939B0" w:rsidRPr="00B62815" w:rsidRDefault="00F939B0" w:rsidP="00F939B0">
      <w:pPr>
        <w:ind w:right="43"/>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lastRenderedPageBreak/>
        <w:t>Durante el 2019, los Estados Miembros, en sesiones ordinarias, abordaron e intercambiaron experiencias en los siguientes temas:</w:t>
      </w:r>
    </w:p>
    <w:p w14:paraId="6C9F441A" w14:textId="77777777" w:rsidR="00F939B0" w:rsidRPr="00B62815" w:rsidRDefault="00F939B0" w:rsidP="00F939B0">
      <w:pPr>
        <w:ind w:left="270" w:right="43"/>
        <w:jc w:val="both"/>
        <w:rPr>
          <w:rFonts w:asciiTheme="minorHAnsi" w:hAnsiTheme="minorHAnsi" w:cstheme="minorHAnsi"/>
          <w:sz w:val="22"/>
          <w:szCs w:val="22"/>
          <w:lang w:val="es-ES_tradnl"/>
        </w:rPr>
      </w:pPr>
    </w:p>
    <w:p w14:paraId="35048891"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ES"/>
        </w:rPr>
      </w:pPr>
      <w:r w:rsidRPr="00B62815">
        <w:rPr>
          <w:rFonts w:asciiTheme="minorHAnsi" w:hAnsiTheme="minorHAnsi" w:cstheme="minorHAnsi"/>
          <w:sz w:val="22"/>
          <w:szCs w:val="22"/>
          <w:lang w:val="es-CO"/>
        </w:rPr>
        <w:t>Financiación innovadora y sostenible para fomentar la resiliencia para el desarrollo sostenible</w:t>
      </w:r>
    </w:p>
    <w:p w14:paraId="09F7E48B" w14:textId="3AA03C27" w:rsidR="00F939B0" w:rsidRPr="00B62815" w:rsidRDefault="00F939B0" w:rsidP="00F939B0">
      <w:pPr>
        <w:ind w:left="270" w:right="43"/>
        <w:rPr>
          <w:rFonts w:asciiTheme="minorHAnsi" w:eastAsia="Calibri" w:hAnsiTheme="minorHAnsi" w:cstheme="minorHAnsi"/>
          <w:sz w:val="22"/>
          <w:szCs w:val="22"/>
          <w:lang w:val="pt-BR"/>
        </w:rPr>
      </w:pPr>
      <w:r w:rsidRPr="00B62815">
        <w:rPr>
          <w:rFonts w:asciiTheme="minorHAnsi" w:eastAsia="Calibri" w:hAnsiTheme="minorHAnsi" w:cstheme="minorHAnsi"/>
          <w:sz w:val="22"/>
          <w:szCs w:val="22"/>
          <w:lang w:val="pt-BR"/>
        </w:rPr>
        <w:t>CIDI/INF.304/19  rev.2</w:t>
      </w:r>
      <w:r w:rsidRPr="00B62815">
        <w:rPr>
          <w:rFonts w:asciiTheme="minorHAnsi" w:eastAsia="Calibri" w:hAnsiTheme="minorHAnsi" w:cstheme="minorHAnsi"/>
          <w:color w:val="C00000"/>
          <w:sz w:val="22"/>
          <w:szCs w:val="22"/>
          <w:lang w:val="pt-BR"/>
        </w:rPr>
        <w:t xml:space="preserve"> </w:t>
      </w:r>
    </w:p>
    <w:p w14:paraId="616EE780"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color w:val="000000"/>
          <w:sz w:val="22"/>
          <w:szCs w:val="22"/>
          <w:shd w:val="clear" w:color="auto" w:fill="FFFFFF"/>
          <w:lang w:val="es-CO"/>
        </w:rPr>
      </w:pPr>
      <w:r w:rsidRPr="00B62815">
        <w:rPr>
          <w:rFonts w:asciiTheme="minorHAnsi" w:hAnsiTheme="minorHAnsi" w:cstheme="minorHAnsi"/>
          <w:sz w:val="22"/>
          <w:szCs w:val="22"/>
          <w:lang w:val="es-CO"/>
        </w:rPr>
        <w:t xml:space="preserve">Asignación de recursos en 2019 para los Programas de Becas y Capacitación de la OEA que, con base en una decisión de la Junta Directiva de la AICD, dio inicio a la racionalización de los programas para la transición hacia un programa de becas sostenible y eficiente en costos. </w:t>
      </w:r>
    </w:p>
    <w:p w14:paraId="73D55C62"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Construyendo las economías resilientes del futuro: Economías Azules, Verdes y Naranjas</w:t>
      </w:r>
    </w:p>
    <w:p w14:paraId="5B460938" w14:textId="37C4B4DD" w:rsidR="00F939B0" w:rsidRPr="00B62815" w:rsidRDefault="00F939B0" w:rsidP="00F939B0">
      <w:pPr>
        <w:tabs>
          <w:tab w:val="left" w:pos="0"/>
        </w:tabs>
        <w:snapToGrid w:val="0"/>
        <w:ind w:left="270" w:right="43"/>
        <w:jc w:val="both"/>
        <w:rPr>
          <w:rFonts w:asciiTheme="minorHAnsi" w:hAnsiTheme="minorHAnsi" w:cstheme="minorHAnsi"/>
          <w:sz w:val="22"/>
          <w:szCs w:val="22"/>
          <w:lang w:val="pt-BR"/>
        </w:rPr>
      </w:pPr>
      <w:r w:rsidRPr="00B62815">
        <w:rPr>
          <w:rFonts w:asciiTheme="minorHAnsi" w:eastAsia="Calibri" w:hAnsiTheme="minorHAnsi" w:cstheme="minorHAnsi"/>
          <w:sz w:val="22"/>
          <w:szCs w:val="22"/>
          <w:lang w:val="pt-BR"/>
        </w:rPr>
        <w:t xml:space="preserve">CIDI/INF.310/19 </w:t>
      </w:r>
    </w:p>
    <w:p w14:paraId="32E5C29A"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Las alianzas público-privada y la digitalización de las micro, pequeñas y medianas empresas</w:t>
      </w:r>
    </w:p>
    <w:p w14:paraId="6C1F95E7" w14:textId="77777777" w:rsidR="00680BD9" w:rsidRPr="00B62815" w:rsidRDefault="00F939B0" w:rsidP="00680BD9">
      <w:pPr>
        <w:pStyle w:val="ListParagraph"/>
        <w:tabs>
          <w:tab w:val="left" w:pos="0"/>
        </w:tabs>
        <w:snapToGrid w:val="0"/>
        <w:ind w:left="270" w:right="43"/>
        <w:jc w:val="both"/>
        <w:rPr>
          <w:rFonts w:asciiTheme="minorHAnsi" w:hAnsiTheme="minorHAnsi" w:cstheme="minorHAnsi"/>
          <w:sz w:val="22"/>
          <w:szCs w:val="22"/>
          <w:lang w:val="es-US"/>
        </w:rPr>
      </w:pPr>
      <w:r w:rsidRPr="00B62815">
        <w:rPr>
          <w:rFonts w:asciiTheme="minorHAnsi" w:hAnsiTheme="minorHAnsi" w:cstheme="minorHAnsi"/>
          <w:sz w:val="22"/>
          <w:szCs w:val="22"/>
          <w:lang w:val="fr-CA"/>
        </w:rPr>
        <w:t>CIDI/INF.318/19</w:t>
      </w:r>
      <w:r w:rsidRPr="00B62815">
        <w:rPr>
          <w:rFonts w:asciiTheme="minorHAnsi" w:hAnsiTheme="minorHAnsi" w:cstheme="minorHAnsi"/>
          <w:color w:val="1F497D"/>
          <w:sz w:val="22"/>
          <w:szCs w:val="22"/>
          <w:lang w:val="fr-CA"/>
        </w:rPr>
        <w:t xml:space="preserve"> </w:t>
      </w:r>
      <w:r w:rsidRPr="00B62815">
        <w:rPr>
          <w:rFonts w:asciiTheme="minorHAnsi" w:hAnsiTheme="minorHAnsi" w:cstheme="minorHAnsi"/>
          <w:sz w:val="22"/>
          <w:szCs w:val="22"/>
          <w:lang w:val="fr-CA"/>
        </w:rPr>
        <w:t xml:space="preserve">corr. </w:t>
      </w:r>
      <w:r w:rsidR="0000346B" w:rsidRPr="00B62815">
        <w:rPr>
          <w:rFonts w:asciiTheme="minorHAnsi" w:hAnsiTheme="minorHAnsi" w:cstheme="minorHAnsi"/>
          <w:sz w:val="22"/>
          <w:szCs w:val="22"/>
          <w:lang w:val="es-US"/>
        </w:rPr>
        <w:t>1</w:t>
      </w:r>
    </w:p>
    <w:p w14:paraId="32953BF7" w14:textId="0BCDAAD6" w:rsidR="00F939B0" w:rsidRPr="00B62815" w:rsidRDefault="00F939B0" w:rsidP="00680BD9">
      <w:pPr>
        <w:pStyle w:val="ListParagraph"/>
        <w:numPr>
          <w:ilvl w:val="0"/>
          <w:numId w:val="18"/>
        </w:numPr>
        <w:snapToGrid w:val="0"/>
        <w:ind w:left="270" w:right="43"/>
        <w:jc w:val="both"/>
        <w:rPr>
          <w:rFonts w:asciiTheme="minorHAnsi" w:hAnsiTheme="minorHAnsi" w:cstheme="minorHAnsi"/>
          <w:sz w:val="22"/>
          <w:szCs w:val="22"/>
          <w:lang w:val="es-US"/>
        </w:rPr>
      </w:pPr>
      <w:r w:rsidRPr="00B62815">
        <w:rPr>
          <w:rFonts w:asciiTheme="minorHAnsi" w:hAnsiTheme="minorHAnsi" w:cstheme="minorHAnsi"/>
          <w:sz w:val="22"/>
          <w:szCs w:val="22"/>
          <w:lang w:val="es-CO"/>
        </w:rPr>
        <w:t>Descarbonización del desarrollo en las Américas</w:t>
      </w:r>
      <w:r w:rsidR="0000346B" w:rsidRPr="00B62815">
        <w:rPr>
          <w:rFonts w:asciiTheme="minorHAnsi" w:hAnsiTheme="minorHAnsi" w:cstheme="minorHAnsi"/>
          <w:sz w:val="22"/>
          <w:szCs w:val="22"/>
          <w:lang w:val="es-CO"/>
        </w:rPr>
        <w:t xml:space="preserve">: </w:t>
      </w:r>
      <w:r w:rsidRPr="00EB718B">
        <w:rPr>
          <w:rFonts w:asciiTheme="minorHAnsi" w:hAnsiTheme="minorHAnsi" w:cstheme="minorHAnsi"/>
          <w:sz w:val="22"/>
          <w:szCs w:val="22"/>
          <w:lang w:val="es-PE"/>
        </w:rPr>
        <w:t xml:space="preserve">CIDI/INF.324/19 </w:t>
      </w:r>
    </w:p>
    <w:p w14:paraId="4DCF6FB0" w14:textId="68A1E501" w:rsidR="00F939B0" w:rsidRPr="00B62815" w:rsidRDefault="00F939B0" w:rsidP="00680BD9">
      <w:pPr>
        <w:numPr>
          <w:ilvl w:val="0"/>
          <w:numId w:val="25"/>
        </w:numPr>
        <w:tabs>
          <w:tab w:val="left" w:pos="0"/>
        </w:tabs>
        <w:snapToGrid w:val="0"/>
        <w:ind w:left="270" w:right="43"/>
        <w:jc w:val="both"/>
        <w:rPr>
          <w:rFonts w:asciiTheme="minorHAnsi" w:hAnsiTheme="minorHAnsi" w:cstheme="minorHAnsi"/>
          <w:sz w:val="22"/>
          <w:szCs w:val="22"/>
          <w:lang w:val="pt-BR"/>
        </w:rPr>
      </w:pPr>
      <w:r w:rsidRPr="00B62815">
        <w:rPr>
          <w:rFonts w:asciiTheme="minorHAnsi" w:hAnsiTheme="minorHAnsi" w:cstheme="minorHAnsi"/>
          <w:sz w:val="22"/>
          <w:szCs w:val="22"/>
          <w:lang w:val="es-CO"/>
        </w:rPr>
        <w:t>Competitividad</w:t>
      </w:r>
      <w:r w:rsidR="0000346B" w:rsidRPr="00B62815">
        <w:rPr>
          <w:rFonts w:asciiTheme="minorHAnsi" w:hAnsiTheme="minorHAnsi" w:cstheme="minorHAnsi"/>
          <w:sz w:val="22"/>
          <w:szCs w:val="22"/>
          <w:lang w:val="es-CO"/>
        </w:rPr>
        <w:t xml:space="preserve">: </w:t>
      </w:r>
      <w:r w:rsidRPr="00B62815">
        <w:rPr>
          <w:rFonts w:asciiTheme="minorHAnsi" w:hAnsiTheme="minorHAnsi" w:cstheme="minorHAnsi"/>
          <w:sz w:val="22"/>
          <w:szCs w:val="22"/>
          <w:lang w:val="pt-BR"/>
        </w:rPr>
        <w:t>CIDI/INF.331/19</w:t>
      </w:r>
    </w:p>
    <w:p w14:paraId="5741A785" w14:textId="77777777" w:rsidR="00F939B0" w:rsidRPr="00B62815" w:rsidRDefault="00F939B0" w:rsidP="00E67635">
      <w:pPr>
        <w:numPr>
          <w:ilvl w:val="0"/>
          <w:numId w:val="27"/>
        </w:numPr>
        <w:tabs>
          <w:tab w:val="left" w:pos="-270"/>
        </w:tabs>
        <w:snapToGrid w:val="0"/>
        <w:ind w:left="270" w:right="43"/>
        <w:jc w:val="both"/>
        <w:rPr>
          <w:rFonts w:asciiTheme="minorHAnsi" w:hAnsiTheme="minorHAnsi" w:cstheme="minorHAnsi"/>
          <w:sz w:val="22"/>
          <w:szCs w:val="22"/>
          <w:lang w:val="es-ES"/>
        </w:rPr>
      </w:pPr>
      <w:r w:rsidRPr="00B62815">
        <w:rPr>
          <w:rFonts w:asciiTheme="minorHAnsi" w:hAnsiTheme="minorHAnsi" w:cstheme="minorHAnsi"/>
          <w:sz w:val="22"/>
          <w:szCs w:val="22"/>
          <w:lang w:val="es-CO"/>
        </w:rPr>
        <w:t>Desnutrición infantil:</w:t>
      </w:r>
      <w:r w:rsidRPr="00B62815">
        <w:rPr>
          <w:rFonts w:asciiTheme="minorHAnsi" w:hAnsiTheme="minorHAnsi" w:cstheme="minorHAnsi"/>
          <w:sz w:val="22"/>
          <w:szCs w:val="22"/>
          <w:lang w:val="es-ES"/>
        </w:rPr>
        <w:t xml:space="preserve"> La alimentación adecuada como un derecho y objetivo sostenible, el panorama actual y los retos de la inseguridad alimentaria en la región</w:t>
      </w:r>
    </w:p>
    <w:p w14:paraId="0CC4866A" w14:textId="0D16B20E" w:rsidR="00F939B0" w:rsidRPr="00B62815" w:rsidRDefault="00F939B0" w:rsidP="00F939B0">
      <w:pPr>
        <w:tabs>
          <w:tab w:val="left" w:pos="0"/>
        </w:tabs>
        <w:snapToGrid w:val="0"/>
        <w:ind w:left="270" w:right="43" w:hanging="360"/>
        <w:jc w:val="both"/>
        <w:rPr>
          <w:rFonts w:asciiTheme="minorHAnsi" w:hAnsiTheme="minorHAnsi" w:cstheme="minorHAnsi"/>
          <w:sz w:val="22"/>
          <w:szCs w:val="22"/>
          <w:lang w:val="pt-BR"/>
        </w:rPr>
      </w:pPr>
      <w:r w:rsidRPr="00B62815">
        <w:rPr>
          <w:rFonts w:asciiTheme="minorHAnsi" w:hAnsiTheme="minorHAnsi" w:cstheme="minorHAnsi"/>
          <w:sz w:val="22"/>
          <w:szCs w:val="22"/>
          <w:lang w:val="es-ES"/>
        </w:rPr>
        <w:tab/>
      </w:r>
      <w:r w:rsidRPr="00B62815">
        <w:rPr>
          <w:rFonts w:asciiTheme="minorHAnsi" w:hAnsiTheme="minorHAnsi" w:cstheme="minorHAnsi"/>
          <w:sz w:val="22"/>
          <w:szCs w:val="22"/>
          <w:lang w:val="es-US"/>
        </w:rPr>
        <w:tab/>
      </w:r>
      <w:r w:rsidRPr="00B62815">
        <w:rPr>
          <w:rFonts w:asciiTheme="minorHAnsi" w:hAnsiTheme="minorHAnsi" w:cstheme="minorHAnsi"/>
          <w:sz w:val="22"/>
          <w:szCs w:val="22"/>
          <w:lang w:val="pt-BR"/>
        </w:rPr>
        <w:t>CIDI/INF.333/19</w:t>
      </w:r>
    </w:p>
    <w:p w14:paraId="4C9FCD2E"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La crisis del agua, el saneamiento y sus efectos en la salud humana</w:t>
      </w:r>
    </w:p>
    <w:p w14:paraId="298F3F7E" w14:textId="6371402B" w:rsidR="003D1AA6" w:rsidRPr="00EB718B" w:rsidRDefault="00F939B0" w:rsidP="003D1AA6">
      <w:pPr>
        <w:ind w:left="270" w:right="43"/>
        <w:rPr>
          <w:rFonts w:asciiTheme="minorHAnsi" w:hAnsiTheme="minorHAnsi" w:cstheme="minorHAnsi"/>
          <w:sz w:val="22"/>
          <w:szCs w:val="22"/>
          <w:lang w:val="es-PE"/>
        </w:rPr>
      </w:pPr>
      <w:r w:rsidRPr="00EB718B">
        <w:rPr>
          <w:rFonts w:asciiTheme="minorHAnsi" w:hAnsiTheme="minorHAnsi" w:cstheme="minorHAnsi"/>
          <w:sz w:val="22"/>
          <w:szCs w:val="22"/>
          <w:lang w:val="es-PE"/>
        </w:rPr>
        <w:t>CIDI/INF.335/19</w:t>
      </w:r>
    </w:p>
    <w:p w14:paraId="0B813D85" w14:textId="77777777" w:rsidR="00680BD9" w:rsidRPr="00B62815" w:rsidRDefault="00680BD9" w:rsidP="003D1AA6">
      <w:pPr>
        <w:ind w:left="270" w:right="43"/>
        <w:rPr>
          <w:rFonts w:asciiTheme="minorHAnsi" w:hAnsiTheme="minorHAnsi" w:cstheme="minorHAnsi"/>
          <w:sz w:val="22"/>
          <w:szCs w:val="22"/>
          <w:lang w:val="es-US"/>
        </w:rPr>
      </w:pPr>
    </w:p>
    <w:p w14:paraId="0FA51BFF" w14:textId="31E724F3" w:rsidR="00F939B0" w:rsidRPr="00B62815" w:rsidRDefault="00F939B0" w:rsidP="003D1AA6">
      <w:pPr>
        <w:ind w:left="270" w:right="43"/>
        <w:rPr>
          <w:rFonts w:asciiTheme="minorHAnsi" w:hAnsiTheme="minorHAnsi" w:cstheme="minorHAnsi"/>
          <w:sz w:val="22"/>
          <w:szCs w:val="22"/>
          <w:lang w:val="es-US"/>
        </w:rPr>
      </w:pPr>
      <w:r w:rsidRPr="00B62815">
        <w:rPr>
          <w:rFonts w:asciiTheme="minorHAnsi" w:hAnsiTheme="minorHAnsi" w:cstheme="minorHAnsi"/>
          <w:sz w:val="22"/>
          <w:szCs w:val="22"/>
          <w:lang w:val="es-US"/>
        </w:rPr>
        <w:t>El CIDI celebró sesiones conjuntas con el Consejo Permanente para considerar los siguientes temas:</w:t>
      </w:r>
    </w:p>
    <w:p w14:paraId="4C2FAEEC" w14:textId="77777777" w:rsidR="00F939B0" w:rsidRPr="00B62815" w:rsidRDefault="00F939B0" w:rsidP="00F939B0">
      <w:pPr>
        <w:tabs>
          <w:tab w:val="left" w:pos="0"/>
        </w:tabs>
        <w:snapToGrid w:val="0"/>
        <w:ind w:left="270" w:right="43"/>
        <w:jc w:val="both"/>
        <w:rPr>
          <w:rFonts w:asciiTheme="minorHAnsi" w:hAnsiTheme="minorHAnsi" w:cstheme="minorHAnsi"/>
          <w:sz w:val="22"/>
          <w:szCs w:val="22"/>
          <w:lang w:val="es-CO"/>
        </w:rPr>
      </w:pPr>
    </w:p>
    <w:p w14:paraId="7B320C83" w14:textId="3E2CE612" w:rsidR="00F939B0" w:rsidRPr="00214212" w:rsidRDefault="00F939B0" w:rsidP="00214212">
      <w:pPr>
        <w:numPr>
          <w:ilvl w:val="0"/>
          <w:numId w:val="25"/>
        </w:numPr>
        <w:tabs>
          <w:tab w:val="left" w:pos="0"/>
        </w:tabs>
        <w:snapToGrid w:val="0"/>
        <w:ind w:left="270" w:right="43"/>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La importancia de la acción multilateral para atender con eficacia las enfermedades no transmisibles (ENT)</w:t>
      </w:r>
    </w:p>
    <w:p w14:paraId="4A16E597"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El fortalecimiento del nexo entre la ciencia y las políticas para una cooperación eficaz en la gestión integrada de los recursos hídricos </w:t>
      </w:r>
    </w:p>
    <w:p w14:paraId="6B72B030" w14:textId="77777777" w:rsidR="00F939B0" w:rsidRPr="00B62815" w:rsidRDefault="00F939B0" w:rsidP="00F939B0">
      <w:pPr>
        <w:pStyle w:val="ListParagraph"/>
        <w:ind w:left="270" w:right="43"/>
        <w:rPr>
          <w:rFonts w:asciiTheme="minorHAnsi" w:hAnsiTheme="minorHAnsi" w:cstheme="minorHAnsi"/>
          <w:sz w:val="22"/>
          <w:szCs w:val="22"/>
          <w:lang w:val="es-US"/>
        </w:rPr>
      </w:pPr>
    </w:p>
    <w:p w14:paraId="29DE1594" w14:textId="77777777" w:rsidR="00F939B0" w:rsidRPr="00B62815" w:rsidRDefault="00F939B0" w:rsidP="00F939B0">
      <w:pPr>
        <w:tabs>
          <w:tab w:val="left" w:pos="-630"/>
        </w:tabs>
        <w:snapToGrid w:val="0"/>
        <w:ind w:left="270" w:right="43"/>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Durante la sesión celebrada el 27 de agosto de 2019, el CIDI recibió a la Ministra de Relaciones Exteriores de Guatemala, Embajadora Sandra Erica Jovel Polanco.</w:t>
      </w:r>
    </w:p>
    <w:p w14:paraId="47EE9739" w14:textId="77777777" w:rsidR="00F939B0" w:rsidRPr="00B62815" w:rsidRDefault="00F939B0" w:rsidP="00F939B0">
      <w:pPr>
        <w:tabs>
          <w:tab w:val="left" w:pos="-630"/>
        </w:tabs>
        <w:snapToGrid w:val="0"/>
        <w:ind w:left="270" w:right="43"/>
        <w:jc w:val="both"/>
        <w:rPr>
          <w:rFonts w:asciiTheme="minorHAnsi" w:hAnsiTheme="minorHAnsi" w:cstheme="minorHAnsi"/>
          <w:sz w:val="22"/>
          <w:szCs w:val="22"/>
          <w:lang w:val="es-US"/>
        </w:rPr>
      </w:pPr>
    </w:p>
    <w:p w14:paraId="272C31FC" w14:textId="77777777" w:rsidR="00F939B0" w:rsidRPr="00B62815" w:rsidRDefault="00F939B0" w:rsidP="00F939B0">
      <w:pPr>
        <w:tabs>
          <w:tab w:val="left" w:pos="-630"/>
        </w:tabs>
        <w:snapToGrid w:val="0"/>
        <w:ind w:left="270" w:right="43"/>
        <w:jc w:val="both"/>
        <w:rPr>
          <w:rFonts w:asciiTheme="minorHAnsi" w:hAnsiTheme="minorHAnsi" w:cstheme="minorHAnsi"/>
          <w:sz w:val="22"/>
          <w:szCs w:val="22"/>
          <w:lang w:val="es-ES_tradnl"/>
        </w:rPr>
      </w:pPr>
      <w:r w:rsidRPr="00B62815">
        <w:rPr>
          <w:rFonts w:asciiTheme="minorHAnsi" w:hAnsiTheme="minorHAnsi" w:cstheme="minorHAnsi"/>
          <w:color w:val="000000"/>
          <w:sz w:val="22"/>
          <w:szCs w:val="22"/>
          <w:lang w:val="es-CO"/>
        </w:rPr>
        <w:t xml:space="preserve">En el marco del CIDI se realizaron las siguientes reuniones sectoriales de nivel ministerial: </w:t>
      </w:r>
    </w:p>
    <w:p w14:paraId="658666F0" w14:textId="77777777" w:rsidR="00F939B0" w:rsidRPr="00B62815" w:rsidRDefault="00F939B0" w:rsidP="00F939B0">
      <w:pPr>
        <w:tabs>
          <w:tab w:val="num" w:pos="1440"/>
        </w:tabs>
        <w:ind w:left="270" w:right="43"/>
        <w:jc w:val="both"/>
        <w:rPr>
          <w:rFonts w:asciiTheme="minorHAnsi" w:hAnsiTheme="minorHAnsi" w:cstheme="minorHAnsi"/>
          <w:color w:val="000000"/>
          <w:sz w:val="22"/>
          <w:szCs w:val="22"/>
          <w:lang w:val="es-CO"/>
        </w:rPr>
      </w:pPr>
    </w:p>
    <w:p w14:paraId="7027EF95"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VE"/>
        </w:rPr>
      </w:pPr>
      <w:r w:rsidRPr="00B62815">
        <w:rPr>
          <w:rFonts w:asciiTheme="minorHAnsi" w:hAnsiTheme="minorHAnsi" w:cstheme="minorHAnsi"/>
          <w:sz w:val="22"/>
          <w:szCs w:val="22"/>
          <w:lang w:val="es-CO"/>
        </w:rPr>
        <w:t xml:space="preserve">La IV Reunión de Ministros y Altas Autoridades de Desarrollo Social celebrada los días 28 y 29 de marzo de 2019 en la Ciudad de Guatemala, Guatemala. Participaron delegaciones al más alto nivel de 24 </w:t>
      </w:r>
      <w:r w:rsidRPr="00B62815">
        <w:rPr>
          <w:rFonts w:asciiTheme="minorHAnsi" w:hAnsiTheme="minorHAnsi" w:cstheme="minorHAnsi"/>
          <w:sz w:val="22"/>
          <w:szCs w:val="22"/>
          <w:lang w:val="es-VE"/>
        </w:rPr>
        <w:t xml:space="preserve">Estados Miembros. Se adoptaron la </w:t>
      </w:r>
      <w:r w:rsidRPr="00B62815">
        <w:rPr>
          <w:rFonts w:asciiTheme="minorHAnsi" w:hAnsiTheme="minorHAnsi" w:cstheme="minorHAnsi"/>
          <w:sz w:val="22"/>
          <w:szCs w:val="22"/>
          <w:lang w:val="es-SV"/>
        </w:rPr>
        <w:t xml:space="preserve">Declaración Interamericana de Prioridades en Materia de Desarrollo Social y el Plan de Acción de Guatemala 2019-2021 que incluye acciones concretas en temas como pobreza multidimensional, el fortalecimiento de los sistemas de protección social y la promoción de la cooperación regional.  </w:t>
      </w:r>
    </w:p>
    <w:p w14:paraId="10CD3E49"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VE"/>
        </w:rPr>
      </w:pPr>
      <w:r w:rsidRPr="00B62815">
        <w:rPr>
          <w:rFonts w:asciiTheme="minorHAnsi" w:hAnsiTheme="minorHAnsi" w:cstheme="minorHAnsi"/>
          <w:sz w:val="22"/>
          <w:szCs w:val="22"/>
          <w:lang w:val="es-CO"/>
        </w:rPr>
        <w:t>La X Reunión Interamericana de Ministros de Educación, celebrada los días 8 y 9 de julio de 2019 en Washington</w:t>
      </w:r>
      <w:r w:rsidRPr="00B62815">
        <w:rPr>
          <w:rFonts w:asciiTheme="minorHAnsi" w:hAnsiTheme="minorHAnsi" w:cstheme="minorHAnsi"/>
          <w:sz w:val="22"/>
          <w:szCs w:val="22"/>
          <w:lang w:val="es-MX"/>
        </w:rPr>
        <w:t xml:space="preserve">, D.C., en la que se adoptó el Plan de Acción de Antigua y Barbuda: (CIDI/RME/doc.6/19 </w:t>
      </w:r>
      <w:hyperlink r:id="rId15" w:history="1">
        <w:r w:rsidRPr="00B62815">
          <w:rPr>
            <w:rStyle w:val="Hyperlink"/>
            <w:rFonts w:asciiTheme="minorHAnsi" w:hAnsiTheme="minorHAnsi" w:cstheme="minorHAnsi"/>
            <w:sz w:val="22"/>
            <w:szCs w:val="22"/>
            <w:lang w:val="es-MX"/>
          </w:rPr>
          <w:t>Español</w:t>
        </w:r>
      </w:hyperlink>
      <w:r w:rsidRPr="00B62815">
        <w:rPr>
          <w:rFonts w:asciiTheme="minorHAnsi" w:hAnsiTheme="minorHAnsi" w:cstheme="minorHAnsi"/>
          <w:sz w:val="22"/>
          <w:szCs w:val="22"/>
          <w:lang w:val="es-MX"/>
        </w:rPr>
        <w:t xml:space="preserve"> – </w:t>
      </w:r>
      <w:hyperlink r:id="rId16" w:history="1">
        <w:r w:rsidRPr="00B62815">
          <w:rPr>
            <w:rStyle w:val="Hyperlink"/>
            <w:rFonts w:asciiTheme="minorHAnsi" w:hAnsiTheme="minorHAnsi" w:cstheme="minorHAnsi"/>
            <w:sz w:val="22"/>
            <w:szCs w:val="22"/>
            <w:lang w:val="es-MX"/>
          </w:rPr>
          <w:t>English</w:t>
        </w:r>
      </w:hyperlink>
      <w:r w:rsidRPr="00B62815">
        <w:rPr>
          <w:rFonts w:asciiTheme="minorHAnsi" w:hAnsiTheme="minorHAnsi" w:cstheme="minorHAnsi"/>
          <w:sz w:val="22"/>
          <w:szCs w:val="22"/>
          <w:lang w:val="es-MX"/>
        </w:rPr>
        <w:t>). La Reunión se centró en: Compartir iniciativas concretas para la implementación de la Agenda Educativa Interamericana; profundizar sinergias entre las iniciativas globales, hemisféricas y sub-regionales de educación; y promover la cooperación intersectorial con otros actores sociales con la finalidad de contribuir a alcanzar los objetivos planteados por la Agenda 2030 de Desarrollo Sostenible.</w:t>
      </w:r>
    </w:p>
    <w:p w14:paraId="6F1D8AD9"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ES_tradnl" w:eastAsia="es-ES"/>
        </w:rPr>
      </w:pPr>
      <w:r w:rsidRPr="00B62815">
        <w:rPr>
          <w:rFonts w:asciiTheme="minorHAnsi" w:hAnsiTheme="minorHAnsi" w:cstheme="minorHAnsi"/>
          <w:sz w:val="22"/>
          <w:szCs w:val="22"/>
          <w:lang w:val="es-ES_tradnl"/>
        </w:rPr>
        <w:t xml:space="preserve">La VIII Reunión Interamericana de Ministros y Máximas Autoridades de Cultura celebrada en Bridgetown, Barbados, los días 19 y 20 de septiembre de 2019. Contó con la participación de ministros y altas autoridades de alto nivel de 22 Estados Miembros. Las deliberaciones se centraron en el “fortalecimiento de la economía creativa y del sector cultural: Reposicionamiento del sector cultural para asegurar el desarrollo sostenible”. </w:t>
      </w:r>
      <w:hyperlink r:id="rId17" w:history="1">
        <w:r w:rsidRPr="00B62815">
          <w:rPr>
            <w:rStyle w:val="Hyperlink"/>
            <w:rFonts w:asciiTheme="minorHAnsi" w:hAnsiTheme="minorHAnsi" w:cstheme="minorHAnsi"/>
            <w:color w:val="0563C1"/>
            <w:sz w:val="22"/>
            <w:szCs w:val="22"/>
            <w:lang w:val="es-ES_tradnl" w:eastAsia="es-ES"/>
          </w:rPr>
          <w:t>http://www.oas.org/es/sedi/ddes/imc/2019/</w:t>
        </w:r>
      </w:hyperlink>
    </w:p>
    <w:p w14:paraId="5B64A503" w14:textId="77777777" w:rsidR="00F939B0" w:rsidRPr="00B62815" w:rsidRDefault="00F939B0" w:rsidP="00F939B0">
      <w:pPr>
        <w:tabs>
          <w:tab w:val="left" w:pos="0"/>
        </w:tabs>
        <w:snapToGrid w:val="0"/>
        <w:ind w:left="270" w:right="43"/>
        <w:jc w:val="both"/>
        <w:rPr>
          <w:rFonts w:asciiTheme="minorHAnsi" w:hAnsiTheme="minorHAnsi" w:cstheme="minorHAnsi"/>
          <w:sz w:val="22"/>
          <w:szCs w:val="22"/>
          <w:lang w:val="es-ES_tradnl" w:eastAsia="es-ES"/>
        </w:rPr>
      </w:pPr>
    </w:p>
    <w:p w14:paraId="3F1B396F" w14:textId="77777777" w:rsidR="00F939B0" w:rsidRPr="00B62815" w:rsidRDefault="00F939B0" w:rsidP="00F939B0">
      <w:pPr>
        <w:tabs>
          <w:tab w:val="left" w:pos="0"/>
        </w:tabs>
        <w:snapToGrid w:val="0"/>
        <w:ind w:left="270" w:right="43"/>
        <w:jc w:val="both"/>
        <w:rPr>
          <w:rFonts w:asciiTheme="minorHAnsi" w:hAnsiTheme="minorHAnsi" w:cstheme="minorHAnsi"/>
          <w:sz w:val="22"/>
          <w:szCs w:val="22"/>
          <w:lang w:val="es-ES_tradnl" w:eastAsia="es-ES"/>
        </w:rPr>
      </w:pPr>
      <w:r w:rsidRPr="00B62815">
        <w:rPr>
          <w:rFonts w:asciiTheme="minorHAnsi" w:hAnsiTheme="minorHAnsi" w:cstheme="minorHAnsi"/>
          <w:color w:val="000000"/>
          <w:sz w:val="22"/>
          <w:szCs w:val="22"/>
          <w:lang w:val="es-ES"/>
        </w:rPr>
        <w:t>En apoyo a los procesos ministeriales y en preparación a reuniones de nivel ministerial, se realizaron los siguientes eventos sectoriales:</w:t>
      </w:r>
    </w:p>
    <w:p w14:paraId="12772CE5" w14:textId="77777777" w:rsidR="00F939B0" w:rsidRPr="00B62815" w:rsidRDefault="00F939B0" w:rsidP="00F939B0">
      <w:pPr>
        <w:tabs>
          <w:tab w:val="left" w:pos="0"/>
        </w:tabs>
        <w:snapToGrid w:val="0"/>
        <w:ind w:left="270" w:right="43"/>
        <w:jc w:val="both"/>
        <w:rPr>
          <w:rFonts w:asciiTheme="minorHAnsi" w:hAnsiTheme="minorHAnsi" w:cstheme="minorHAnsi"/>
          <w:color w:val="1F497D"/>
          <w:sz w:val="22"/>
          <w:szCs w:val="22"/>
          <w:lang w:val="es-US"/>
        </w:rPr>
      </w:pPr>
    </w:p>
    <w:p w14:paraId="0102114E"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color w:val="1F497D"/>
          <w:sz w:val="22"/>
          <w:szCs w:val="22"/>
          <w:lang w:val="es-US"/>
        </w:rPr>
      </w:pPr>
      <w:r w:rsidRPr="00B62815">
        <w:rPr>
          <w:rFonts w:asciiTheme="minorHAnsi" w:hAnsiTheme="minorHAnsi" w:cstheme="minorHAnsi"/>
          <w:sz w:val="22"/>
          <w:szCs w:val="22"/>
          <w:lang w:val="es-VE"/>
        </w:rPr>
        <w:t xml:space="preserve">Reunión de los Grupos de Trabajo de la XX Conferencia Interamericana de Ministros de Trabajo, del 3 al 5 de diciembre de 2019 en Quito, Ecuador, con delegaciones de 20 ministerios de trabajo, así como </w:t>
      </w:r>
      <w:r w:rsidRPr="00B62815">
        <w:rPr>
          <w:rFonts w:asciiTheme="minorHAnsi" w:hAnsiTheme="minorHAnsi" w:cstheme="minorHAnsi"/>
          <w:sz w:val="22"/>
          <w:szCs w:val="22"/>
          <w:lang w:val="es-CO"/>
        </w:rPr>
        <w:t xml:space="preserve">representantes de trabajadores y empleadores, especialistas de OIT, Banco Mundial, OIM, OEA y CIM, para debatir e intercambiar experiencias sobre temas prioritarios de la administración del Trabajo, tales como economía de las plataformas, equidad de género, inclusión laboral de poblaciones en situación de vulnerabilidad, movilidad laboral, prevención y erradicación del trabajo infantil, entre otros. </w:t>
      </w:r>
    </w:p>
    <w:p w14:paraId="128A25DE"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color w:val="000000"/>
          <w:sz w:val="22"/>
          <w:szCs w:val="22"/>
          <w:lang w:val="es-MX"/>
        </w:rPr>
      </w:pPr>
      <w:r w:rsidRPr="00B62815">
        <w:rPr>
          <w:rFonts w:asciiTheme="minorHAnsi" w:hAnsiTheme="minorHAnsi" w:cstheme="minorHAnsi"/>
          <w:sz w:val="22"/>
          <w:szCs w:val="22"/>
          <w:lang w:val="es-US"/>
        </w:rPr>
        <w:t>Taller Intersectorial “Las habilidades del futuro: Contribuciones desde los Ministerios de</w:t>
      </w:r>
      <w:r w:rsidRPr="00B62815">
        <w:rPr>
          <w:rFonts w:asciiTheme="minorHAnsi" w:hAnsiTheme="minorHAnsi" w:cstheme="minorHAnsi"/>
          <w:bCs/>
          <w:sz w:val="22"/>
          <w:szCs w:val="22"/>
          <w:lang w:val="es-US"/>
        </w:rPr>
        <w:t xml:space="preserve"> Educación y de Trabajo”, del 16 al 17 de mayo de 2019 en Santiago, Chile, que</w:t>
      </w:r>
      <w:r w:rsidRPr="00B62815">
        <w:rPr>
          <w:rFonts w:asciiTheme="minorHAnsi" w:hAnsiTheme="minorHAnsi" w:cstheme="minorHAnsi"/>
          <w:sz w:val="22"/>
          <w:szCs w:val="22"/>
          <w:lang w:val="es-MX"/>
        </w:rPr>
        <w:t xml:space="preserve"> reunió a </w:t>
      </w:r>
      <w:r w:rsidRPr="00B62815">
        <w:rPr>
          <w:rFonts w:asciiTheme="minorHAnsi" w:hAnsiTheme="minorHAnsi" w:cstheme="minorHAnsi"/>
          <w:sz w:val="22"/>
          <w:szCs w:val="22"/>
          <w:lang w:val="es-MX"/>
        </w:rPr>
        <w:lastRenderedPageBreak/>
        <w:t>técnicos de ministerios de educación y/o trabajo de 18 Estados Miembros, representantes de organismos internacionales, instituciones académicas, representantes de trabajadores y empleadores, y del sector privado incluyendo a Google, Fundación Telefónica, Nestlé y Ford.</w:t>
      </w:r>
    </w:p>
    <w:p w14:paraId="58DB6F6B" w14:textId="77777777" w:rsidR="00F939B0" w:rsidRPr="00B62815" w:rsidRDefault="00F939B0" w:rsidP="00F939B0">
      <w:pPr>
        <w:pStyle w:val="ListParagraph"/>
        <w:ind w:left="270" w:right="43"/>
        <w:rPr>
          <w:rFonts w:asciiTheme="minorHAnsi" w:hAnsiTheme="minorHAnsi" w:cstheme="minorHAnsi"/>
          <w:color w:val="000000"/>
          <w:sz w:val="22"/>
          <w:szCs w:val="22"/>
          <w:lang w:val="es-ES_tradnl"/>
        </w:rPr>
      </w:pPr>
    </w:p>
    <w:p w14:paraId="754E376E" w14:textId="77777777" w:rsidR="00F939B0" w:rsidRPr="00B62815" w:rsidRDefault="00F939B0" w:rsidP="00F939B0">
      <w:pPr>
        <w:tabs>
          <w:tab w:val="left" w:pos="-360"/>
        </w:tabs>
        <w:snapToGrid w:val="0"/>
        <w:ind w:left="270" w:right="43"/>
        <w:jc w:val="both"/>
        <w:rPr>
          <w:rFonts w:asciiTheme="minorHAnsi" w:hAnsiTheme="minorHAnsi" w:cstheme="minorHAnsi"/>
          <w:color w:val="000000"/>
          <w:sz w:val="22"/>
          <w:szCs w:val="22"/>
          <w:lang w:val="es-MX"/>
        </w:rPr>
      </w:pPr>
      <w:r w:rsidRPr="00B62815">
        <w:rPr>
          <w:rFonts w:asciiTheme="minorHAnsi" w:hAnsiTheme="minorHAnsi" w:cstheme="minorHAnsi"/>
          <w:color w:val="000000"/>
          <w:sz w:val="22"/>
          <w:szCs w:val="22"/>
          <w:lang w:val="es-ES_tradnl"/>
        </w:rPr>
        <w:t>Por su parte, la Agencia Interamericana de Cooperación para el Desarrollo (AICD) realizó la:</w:t>
      </w:r>
    </w:p>
    <w:p w14:paraId="54B175D0" w14:textId="77777777" w:rsidR="00F939B0" w:rsidRPr="00B62815" w:rsidRDefault="00F939B0" w:rsidP="00F939B0">
      <w:pPr>
        <w:tabs>
          <w:tab w:val="left" w:pos="0"/>
        </w:tabs>
        <w:snapToGrid w:val="0"/>
        <w:ind w:left="270" w:right="43"/>
        <w:jc w:val="both"/>
        <w:rPr>
          <w:rFonts w:asciiTheme="minorHAnsi" w:hAnsiTheme="minorHAnsi" w:cstheme="minorHAnsi"/>
          <w:color w:val="000000"/>
          <w:sz w:val="22"/>
          <w:szCs w:val="22"/>
          <w:lang w:val="es-ES_tradnl"/>
        </w:rPr>
      </w:pPr>
    </w:p>
    <w:p w14:paraId="37019A55" w14:textId="77777777" w:rsidR="00F939B0" w:rsidRPr="00B62815" w:rsidRDefault="00F939B0" w:rsidP="00E67635">
      <w:pPr>
        <w:numPr>
          <w:ilvl w:val="0"/>
          <w:numId w:val="26"/>
        </w:numPr>
        <w:ind w:left="270" w:right="43"/>
        <w:jc w:val="both"/>
        <w:rPr>
          <w:rFonts w:asciiTheme="minorHAnsi" w:hAnsiTheme="minorHAnsi" w:cstheme="minorHAnsi"/>
          <w:sz w:val="22"/>
          <w:szCs w:val="22"/>
          <w:lang w:val="es-CO"/>
        </w:rPr>
      </w:pPr>
      <w:r w:rsidRPr="00B62815">
        <w:rPr>
          <w:rFonts w:asciiTheme="minorHAnsi" w:hAnsiTheme="minorHAnsi" w:cstheme="minorHAnsi"/>
          <w:sz w:val="22"/>
          <w:szCs w:val="22"/>
          <w:lang w:val="es-ES"/>
        </w:rPr>
        <w:t>Reunión Técnica sobre Cooperación para el Desarrollo, en seguimiento a la Segunda Reunión Especializada del CIDI de Altas Autoridades de Cooperación, celebrada los días 31 de octubre y 1º de noviembre de 2019, en Washington, D.C., para considerar, entre otros, el rol de la AICD en la cooperación para el desarrollo; la Red Interamericana de Cooperación (CooperaNet); evaluar la efectividad del Fondo de Cooperación para el Desarrollo (FCD) y el alineamiento de los procesos ministeriales con la cooperación.</w:t>
      </w:r>
    </w:p>
    <w:p w14:paraId="538A8CB0" w14:textId="77777777" w:rsidR="00F939B0" w:rsidRPr="00B62815" w:rsidRDefault="00F939B0" w:rsidP="00F939B0">
      <w:pPr>
        <w:ind w:left="270" w:right="43" w:hanging="720"/>
        <w:jc w:val="both"/>
        <w:rPr>
          <w:rFonts w:asciiTheme="minorHAnsi" w:hAnsiTheme="minorHAnsi" w:cstheme="minorHAnsi"/>
          <w:color w:val="000000"/>
          <w:sz w:val="22"/>
          <w:szCs w:val="22"/>
          <w:lang w:val="es-ES_tradnl"/>
        </w:rPr>
      </w:pPr>
    </w:p>
    <w:p w14:paraId="054425AA" w14:textId="77777777" w:rsidR="00F939B0" w:rsidRPr="00B62815" w:rsidRDefault="00F939B0" w:rsidP="001B6B1F">
      <w:pPr>
        <w:ind w:left="270" w:right="43" w:hanging="360"/>
        <w:jc w:val="both"/>
        <w:rPr>
          <w:rFonts w:asciiTheme="minorHAnsi" w:hAnsiTheme="minorHAnsi" w:cstheme="minorHAnsi"/>
          <w:sz w:val="22"/>
          <w:szCs w:val="22"/>
          <w:lang w:val="es-US"/>
        </w:rPr>
      </w:pPr>
      <w:r w:rsidRPr="00B62815">
        <w:rPr>
          <w:rFonts w:asciiTheme="minorHAnsi" w:hAnsiTheme="minorHAnsi" w:cstheme="minorHAnsi"/>
          <w:color w:val="000000"/>
          <w:sz w:val="22"/>
          <w:szCs w:val="22"/>
          <w:lang w:val="es-ES_tradnl"/>
        </w:rPr>
        <w:t>En otros sectores que apoyan las labores sectoriales del CIDI se realizaron las siguientes actividades:</w:t>
      </w:r>
    </w:p>
    <w:p w14:paraId="2265A98D" w14:textId="77777777" w:rsidR="00F939B0" w:rsidRPr="00B62815" w:rsidRDefault="00F939B0" w:rsidP="00F939B0">
      <w:pPr>
        <w:tabs>
          <w:tab w:val="left" w:pos="0"/>
        </w:tabs>
        <w:snapToGrid w:val="0"/>
        <w:ind w:left="270" w:right="43"/>
        <w:jc w:val="both"/>
        <w:rPr>
          <w:rFonts w:asciiTheme="minorHAnsi" w:hAnsiTheme="minorHAnsi" w:cstheme="minorHAnsi"/>
          <w:sz w:val="22"/>
          <w:szCs w:val="22"/>
          <w:lang w:val="es-ES_tradnl" w:eastAsia="es-ES"/>
        </w:rPr>
      </w:pPr>
    </w:p>
    <w:p w14:paraId="312641F1"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ES_tradnl" w:eastAsia="es-ES"/>
        </w:rPr>
      </w:pPr>
      <w:r w:rsidRPr="00B62815">
        <w:rPr>
          <w:rFonts w:asciiTheme="minorHAnsi" w:hAnsiTheme="minorHAnsi" w:cstheme="minorHAnsi"/>
          <w:sz w:val="22"/>
          <w:szCs w:val="22"/>
          <w:lang w:val="es-US"/>
        </w:rPr>
        <w:t>Primer Seminario Regional de “Prospecta Américas” realizado en Lima, Perú, para mejorar la apropiación</w:t>
      </w:r>
      <w:r w:rsidRPr="00B62815">
        <w:rPr>
          <w:rFonts w:asciiTheme="minorHAnsi" w:hAnsiTheme="minorHAnsi" w:cstheme="minorHAnsi"/>
          <w:sz w:val="22"/>
          <w:szCs w:val="22"/>
          <w:lang w:val="es-ES_tradnl" w:eastAsia="es-ES"/>
        </w:rPr>
        <w:t xml:space="preserve"> social del conocimiento y construir una plataforma para la colaboración regional en 10 tecnologías transformadoras</w:t>
      </w:r>
      <w:r w:rsidRPr="00B62815">
        <w:rPr>
          <w:rFonts w:asciiTheme="minorHAnsi" w:hAnsiTheme="minorHAnsi" w:cstheme="minorHAnsi"/>
          <w:sz w:val="22"/>
          <w:szCs w:val="22"/>
          <w:lang w:val="es-ES" w:eastAsia="es-ES"/>
        </w:rPr>
        <w:t xml:space="preserve">. Contó con </w:t>
      </w:r>
      <w:r w:rsidRPr="00B62815">
        <w:rPr>
          <w:rFonts w:asciiTheme="minorHAnsi" w:hAnsiTheme="minorHAnsi" w:cstheme="minorHAnsi"/>
          <w:sz w:val="22"/>
          <w:szCs w:val="22"/>
          <w:lang w:val="es-ES_tradnl" w:eastAsia="es-ES"/>
        </w:rPr>
        <w:t xml:space="preserve">más de 1,000 participantes </w:t>
      </w:r>
      <w:r w:rsidRPr="00B62815">
        <w:rPr>
          <w:rFonts w:asciiTheme="minorHAnsi" w:hAnsiTheme="minorHAnsi" w:cstheme="minorHAnsi"/>
          <w:i/>
          <w:sz w:val="22"/>
          <w:szCs w:val="22"/>
          <w:lang w:val="es-ES_tradnl" w:eastAsia="es-ES"/>
        </w:rPr>
        <w:t>in situ</w:t>
      </w:r>
      <w:r w:rsidRPr="00B62815">
        <w:rPr>
          <w:rFonts w:asciiTheme="minorHAnsi" w:hAnsiTheme="minorHAnsi" w:cstheme="minorHAnsi"/>
          <w:sz w:val="22"/>
          <w:szCs w:val="22"/>
          <w:lang w:val="es-ES_tradnl" w:eastAsia="es-ES"/>
        </w:rPr>
        <w:t xml:space="preserve"> y más de 20,000 de forma virtual. </w:t>
      </w:r>
    </w:p>
    <w:p w14:paraId="133F8165"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MX" w:eastAsia="es-ES"/>
        </w:rPr>
      </w:pPr>
      <w:r w:rsidRPr="00B62815">
        <w:rPr>
          <w:rFonts w:asciiTheme="minorHAnsi" w:hAnsiTheme="minorHAnsi" w:cstheme="minorHAnsi"/>
          <w:sz w:val="22"/>
          <w:szCs w:val="22"/>
          <w:lang w:val="es-ES_tradnl" w:eastAsia="es-ES"/>
        </w:rPr>
        <w:t xml:space="preserve">Red Interamericana de Competitividad: </w:t>
      </w:r>
      <w:r w:rsidRPr="00B62815">
        <w:rPr>
          <w:rFonts w:asciiTheme="minorHAnsi" w:hAnsiTheme="minorHAnsi" w:cstheme="minorHAnsi"/>
          <w:sz w:val="22"/>
          <w:szCs w:val="22"/>
          <w:lang w:val="es-ES"/>
        </w:rPr>
        <w:t xml:space="preserve">78 </w:t>
      </w:r>
      <w:r w:rsidRPr="00B62815">
        <w:rPr>
          <w:rFonts w:asciiTheme="minorHAnsi" w:hAnsiTheme="minorHAnsi" w:cstheme="minorHAnsi"/>
          <w:sz w:val="22"/>
          <w:szCs w:val="22"/>
          <w:lang w:val="es-ES_tradnl"/>
        </w:rPr>
        <w:t xml:space="preserve">buenas prácticas de </w:t>
      </w:r>
      <w:r w:rsidRPr="00B62815">
        <w:rPr>
          <w:rFonts w:asciiTheme="minorHAnsi" w:hAnsiTheme="minorHAnsi" w:cstheme="minorHAnsi"/>
          <w:i/>
          <w:sz w:val="22"/>
          <w:szCs w:val="22"/>
          <w:lang w:val="es-ES_tradnl"/>
        </w:rPr>
        <w:t>hubs</w:t>
      </w:r>
      <w:r w:rsidRPr="00B62815">
        <w:rPr>
          <w:rFonts w:asciiTheme="minorHAnsi" w:hAnsiTheme="minorHAnsi" w:cstheme="minorHAnsi"/>
          <w:sz w:val="22"/>
          <w:szCs w:val="22"/>
          <w:lang w:val="es-ES_tradnl"/>
        </w:rPr>
        <w:t xml:space="preserve"> de innovación, centros avanzados de investigación, manufactura y tecnología compartidas entre 79 tomadores de decisiones de 22 países durante los dos </w:t>
      </w:r>
      <w:hyperlink r:id="rId18" w:history="1">
        <w:r w:rsidRPr="00B62815">
          <w:rPr>
            <w:rStyle w:val="Hyperlink"/>
            <w:rFonts w:asciiTheme="minorHAnsi" w:hAnsiTheme="minorHAnsi" w:cstheme="minorHAnsi"/>
            <w:color w:val="0563C1"/>
            <w:sz w:val="22"/>
            <w:szCs w:val="22"/>
            <w:lang w:val="es-ES_tradnl"/>
          </w:rPr>
          <w:t>Intercambios para la Competitividad de las Américas (ACE)</w:t>
        </w:r>
      </w:hyperlink>
      <w:r w:rsidRPr="00B62815">
        <w:rPr>
          <w:rFonts w:asciiTheme="minorHAnsi" w:hAnsiTheme="minorHAnsi" w:cstheme="minorHAnsi"/>
          <w:sz w:val="22"/>
          <w:szCs w:val="22"/>
          <w:lang w:val="es-ES_tradnl"/>
        </w:rPr>
        <w:t xml:space="preserve"> realizados en 2019 (Puerto Rico, Estados Unidos y Chile)</w:t>
      </w:r>
    </w:p>
    <w:p w14:paraId="52BCF96C" w14:textId="77777777" w:rsidR="00F939B0" w:rsidRPr="00B62815" w:rsidRDefault="00F939B0" w:rsidP="00E67635">
      <w:pPr>
        <w:numPr>
          <w:ilvl w:val="0"/>
          <w:numId w:val="25"/>
        </w:numPr>
        <w:tabs>
          <w:tab w:val="left" w:pos="0"/>
        </w:tabs>
        <w:snapToGrid w:val="0"/>
        <w:ind w:left="270" w:right="43"/>
        <w:jc w:val="both"/>
        <w:rPr>
          <w:rFonts w:asciiTheme="minorHAnsi" w:hAnsiTheme="minorHAnsi" w:cstheme="minorHAnsi"/>
          <w:sz w:val="22"/>
          <w:szCs w:val="22"/>
          <w:lang w:val="es-MX" w:eastAsia="es-ES"/>
        </w:rPr>
      </w:pPr>
      <w:r w:rsidRPr="00B62815">
        <w:rPr>
          <w:rFonts w:asciiTheme="minorHAnsi" w:hAnsiTheme="minorHAnsi" w:cstheme="minorHAnsi"/>
          <w:sz w:val="22"/>
          <w:szCs w:val="22"/>
          <w:lang w:val="es-ES_tradnl" w:eastAsia="es-ES"/>
        </w:rPr>
        <w:t xml:space="preserve">Lanzamiento de la Iniciativa de Digitalización de MIPYMEs, en asociación con la plataforma digital KOLAU, que permitirá la digitalización de más de 450,000 de MIPYMEs en América Latina y el Caribe en los próximos 3 años </w:t>
      </w:r>
    </w:p>
    <w:p w14:paraId="0859ABB8" w14:textId="77777777" w:rsidR="00F939B0" w:rsidRPr="00B62815" w:rsidRDefault="00F939B0" w:rsidP="00B12E1F">
      <w:pPr>
        <w:numPr>
          <w:ilvl w:val="0"/>
          <w:numId w:val="25"/>
        </w:numPr>
        <w:tabs>
          <w:tab w:val="left" w:pos="0"/>
        </w:tabs>
        <w:snapToGrid w:val="0"/>
        <w:ind w:left="270" w:right="43"/>
        <w:jc w:val="both"/>
        <w:rPr>
          <w:rFonts w:asciiTheme="minorHAnsi" w:hAnsiTheme="minorHAnsi" w:cstheme="minorHAnsi"/>
          <w:sz w:val="22"/>
          <w:szCs w:val="22"/>
          <w:lang w:val="es-ES"/>
        </w:rPr>
      </w:pPr>
      <w:r w:rsidRPr="00B62815">
        <w:rPr>
          <w:rFonts w:asciiTheme="minorHAnsi" w:hAnsiTheme="minorHAnsi" w:cstheme="minorHAnsi"/>
          <w:sz w:val="22"/>
          <w:szCs w:val="22"/>
          <w:lang w:val="es-MX" w:eastAsia="es-ES"/>
        </w:rPr>
        <w:t xml:space="preserve">En el sector del desarrollo sostenible, los programas </w:t>
      </w:r>
      <w:r w:rsidRPr="00B62815">
        <w:rPr>
          <w:rFonts w:asciiTheme="minorHAnsi" w:hAnsiTheme="minorHAnsi" w:cstheme="minorHAnsi"/>
          <w:sz w:val="22"/>
          <w:szCs w:val="22"/>
          <w:lang w:val="es-ES"/>
        </w:rPr>
        <w:t>de gestión de riesgo de desastres; de gestión integrada de recursos hídricos; y el de energía continúan apoyando los esfuerzos de los Estados Miembros para combatir los desafíos de los desastres, la gestión del agua y la adaptación a nuevas tecnologías para combatir la pobreza.</w:t>
      </w:r>
    </w:p>
    <w:p w14:paraId="731D73A1" w14:textId="77777777" w:rsidR="00F939B0" w:rsidRPr="00B62815" w:rsidRDefault="00F939B0" w:rsidP="00F939B0">
      <w:pPr>
        <w:ind w:left="270" w:right="43"/>
        <w:rPr>
          <w:rFonts w:asciiTheme="minorHAnsi" w:hAnsiTheme="minorHAnsi" w:cstheme="minorHAnsi"/>
          <w:sz w:val="22"/>
          <w:szCs w:val="22"/>
          <w:lang w:val="es-ES"/>
        </w:rPr>
      </w:pPr>
    </w:p>
    <w:p w14:paraId="4BE9D3C2" w14:textId="77777777" w:rsidR="00F939B0" w:rsidRPr="00B62815" w:rsidRDefault="00F939B0" w:rsidP="00F939B0">
      <w:pPr>
        <w:ind w:left="270" w:right="43"/>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lastRenderedPageBreak/>
        <w:t xml:space="preserve">El CIDI avanzó sus labores diarias por intermedio de la Comisión de Políticas de Cooperación Solidaria para el Desarrollo, la Comisión de Asuntos Migratorios (CAM), y la Comisión de Programa, Presupuesto y Evaluación. </w:t>
      </w:r>
      <w:r w:rsidRPr="00B62815">
        <w:rPr>
          <w:rFonts w:asciiTheme="minorHAnsi" w:hAnsiTheme="minorHAnsi" w:cstheme="minorHAnsi"/>
          <w:noProof/>
          <w:spacing w:val="-2"/>
          <w:sz w:val="22"/>
          <w:szCs w:val="22"/>
          <w:lang w:val="es-CO"/>
        </w:rPr>
        <w:t xml:space="preserve">Todos los documentos oficiales del CIDI, incluyendo los informes de sus reuniones y el informe extenso a la Asamblea General, se encuentran en su página Web: </w:t>
      </w:r>
      <w:hyperlink r:id="rId19" w:history="1">
        <w:r w:rsidRPr="00B62815">
          <w:rPr>
            <w:rStyle w:val="Hyperlink"/>
            <w:rFonts w:asciiTheme="minorHAnsi" w:hAnsiTheme="minorHAnsi" w:cstheme="minorHAnsi"/>
            <w:noProof/>
            <w:spacing w:val="-2"/>
            <w:sz w:val="22"/>
            <w:szCs w:val="22"/>
            <w:lang w:val="es-CO"/>
          </w:rPr>
          <w:t>www.oas.org/es/cidi</w:t>
        </w:r>
      </w:hyperlink>
    </w:p>
    <w:p w14:paraId="646DA572" w14:textId="77777777" w:rsidR="00C329E8" w:rsidRPr="00B62815" w:rsidRDefault="00C329E8" w:rsidP="00F939B0">
      <w:pPr>
        <w:pStyle w:val="ListParagraph"/>
        <w:spacing w:after="200" w:line="276" w:lineRule="auto"/>
        <w:ind w:left="270" w:right="43" w:hanging="360"/>
        <w:contextualSpacing/>
        <w:rPr>
          <w:rFonts w:asciiTheme="minorHAnsi" w:hAnsiTheme="minorHAnsi" w:cstheme="minorHAnsi"/>
          <w:sz w:val="22"/>
          <w:szCs w:val="22"/>
          <w:lang w:val="es-ES"/>
        </w:rPr>
      </w:pPr>
    </w:p>
    <w:p w14:paraId="5D70FCCD" w14:textId="77777777" w:rsidR="00C329E8" w:rsidRPr="00B62815" w:rsidRDefault="00C329E8" w:rsidP="00F939B0">
      <w:pPr>
        <w:pStyle w:val="ListParagraph"/>
        <w:ind w:left="270" w:right="43"/>
        <w:contextualSpacing/>
        <w:rPr>
          <w:rFonts w:asciiTheme="minorHAnsi" w:hAnsiTheme="minorHAnsi" w:cstheme="minorHAnsi"/>
          <w:sz w:val="22"/>
          <w:szCs w:val="22"/>
          <w:lang w:val="es-ES"/>
        </w:rPr>
      </w:pPr>
      <w:r w:rsidRPr="00B62815">
        <w:rPr>
          <w:rFonts w:asciiTheme="minorHAnsi" w:hAnsiTheme="minorHAnsi" w:cstheme="minorHAnsi"/>
          <w:sz w:val="22"/>
          <w:szCs w:val="22"/>
          <w:lang w:val="es-ES"/>
        </w:rPr>
        <w:br w:type="page"/>
      </w:r>
    </w:p>
    <w:p w14:paraId="529F1E03" w14:textId="77777777" w:rsidR="00C329E8" w:rsidRPr="00B62815" w:rsidRDefault="00C329E8" w:rsidP="0037172C">
      <w:pPr>
        <w:shd w:val="clear" w:color="auto" w:fill="E36C0A"/>
        <w:outlineLvl w:val="0"/>
        <w:rPr>
          <w:rFonts w:asciiTheme="minorHAnsi" w:eastAsia="Calibri" w:hAnsiTheme="minorHAnsi" w:cstheme="minorHAnsi"/>
          <w:b/>
          <w:color w:val="FFFFFF"/>
          <w:sz w:val="22"/>
          <w:szCs w:val="22"/>
          <w:lang w:val="es-ES"/>
        </w:rPr>
      </w:pPr>
      <w:bookmarkStart w:id="10" w:name="_Toc39675824"/>
      <w:bookmarkStart w:id="11" w:name="_Toc40191047"/>
      <w:r w:rsidRPr="00B62815">
        <w:rPr>
          <w:rFonts w:asciiTheme="minorHAnsi" w:eastAsia="Calibri" w:hAnsiTheme="minorHAnsi" w:cstheme="minorHAnsi"/>
          <w:b/>
          <w:color w:val="FFFFFF"/>
          <w:sz w:val="22"/>
          <w:szCs w:val="22"/>
          <w:lang w:val="es-ES"/>
        </w:rPr>
        <w:lastRenderedPageBreak/>
        <w:t>2.  SECRETARÍA GENERAL</w:t>
      </w:r>
      <w:bookmarkEnd w:id="10"/>
      <w:bookmarkEnd w:id="11"/>
    </w:p>
    <w:p w14:paraId="3D4F3541" w14:textId="77777777" w:rsidR="00C329E8" w:rsidRPr="00B62815" w:rsidRDefault="00C329E8" w:rsidP="000A014F">
      <w:pPr>
        <w:pStyle w:val="ListParagraph"/>
        <w:spacing w:after="200" w:line="276" w:lineRule="auto"/>
        <w:ind w:left="0"/>
        <w:contextualSpacing/>
        <w:rPr>
          <w:rFonts w:asciiTheme="minorHAnsi" w:hAnsiTheme="minorHAnsi" w:cstheme="minorHAnsi"/>
          <w:b/>
          <w:color w:val="1F497D"/>
          <w:sz w:val="22"/>
          <w:szCs w:val="22"/>
          <w:lang w:val="es-ES"/>
        </w:rPr>
      </w:pPr>
    </w:p>
    <w:p w14:paraId="5256DF4E" w14:textId="4B320F16" w:rsidR="00214212" w:rsidRDefault="00C329E8" w:rsidP="00214212">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2" w:name="_Toc39675825"/>
      <w:bookmarkStart w:id="13" w:name="_Toc40191048"/>
      <w:r w:rsidRPr="00214212">
        <w:rPr>
          <w:rFonts w:asciiTheme="minorHAnsi" w:hAnsiTheme="minorHAnsi" w:cstheme="minorHAnsi"/>
          <w:b/>
          <w:color w:val="1F497D"/>
          <w:sz w:val="22"/>
          <w:szCs w:val="22"/>
          <w:lang w:val="es-ES"/>
        </w:rPr>
        <w:t>2.1</w:t>
      </w:r>
      <w:r w:rsidRPr="00214212">
        <w:rPr>
          <w:rFonts w:asciiTheme="minorHAnsi" w:hAnsiTheme="minorHAnsi" w:cstheme="minorHAnsi"/>
          <w:b/>
          <w:color w:val="1F497D"/>
          <w:sz w:val="22"/>
          <w:szCs w:val="22"/>
          <w:lang w:val="es-ES"/>
        </w:rPr>
        <w:tab/>
        <w:t>OFICINA DEL SECRETARIO GENERAL</w:t>
      </w:r>
      <w:bookmarkEnd w:id="12"/>
      <w:bookmarkEnd w:id="13"/>
    </w:p>
    <w:p w14:paraId="5A79A724" w14:textId="77777777" w:rsidR="00214212" w:rsidRPr="00214212" w:rsidRDefault="00214212" w:rsidP="00214212">
      <w:pPr>
        <w:pStyle w:val="ListParagraph"/>
        <w:spacing w:after="200" w:line="276" w:lineRule="auto"/>
        <w:ind w:left="0"/>
        <w:contextualSpacing/>
        <w:outlineLvl w:val="1"/>
        <w:rPr>
          <w:rFonts w:asciiTheme="minorHAnsi" w:hAnsiTheme="minorHAnsi" w:cstheme="minorHAnsi"/>
          <w:b/>
          <w:color w:val="1F497D"/>
          <w:sz w:val="22"/>
          <w:szCs w:val="22"/>
          <w:lang w:val="es-ES"/>
        </w:rPr>
      </w:pPr>
    </w:p>
    <w:p w14:paraId="69C1A407"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A lo largo de 2019, el Secretario General Luis Almagro redobló sus esfuerzos para defender y promover los principios y valores de la Carta de la Organización de los Estados Americanos, de la Carta Democrática Interamericana y del sistema interamericano de derechos humanos en toda la región, así como para poner en práctica su visión de conseguir más derechos para más gente en las Américas, todo ello con el fin de promover los cuatro pilares de la Organización: la democracia, los derechos humanos, el desarrollo integral y la seguridad multidimensional.</w:t>
      </w:r>
    </w:p>
    <w:p w14:paraId="44BE8193"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5B7DC6DB"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Además de guiar las responsabilidades temáticas y administrativas de la Organización, el Secretario General prestó particular atención a diversas situaciones especialmente difíciles que surgieron en algunos Estados Miembros.  Sus esfuerzos se encaminaron principalmente a restaurar la democracia en algunos países de la región donde se viven profundas crisis políticas, y en el caso de Venezuela, también una aguda crisis humanitaria.  </w:t>
      </w:r>
    </w:p>
    <w:p w14:paraId="0342B354"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30E642FB"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Venezuela</w:t>
      </w:r>
    </w:p>
    <w:p w14:paraId="0CA46A23"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1A8867C1"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Venezuela atraviesa una crisis política, económica, y humanitaria sin precedentes en la historia reciente latinoamericana.  Se han eliminado por completo los derechos civiles y políticos. Los líderes políticos y los miembros de la sociedad civil son blanco frecuente de las amenazas del régimen, de la violencia, detenciones arbitrarias, tortura y muerte. Las fuerzas de seguridad del régimen persiguen sistemáticamente a todo individuo que no le obedezca.  El sistema judicial sirve sólo a los intereses del Ejecutivo, garantizándole amplios poderes a Maduro, anulando la autoridad constitucional del parlamento, y persiguiendo a individuos y grupos críticos del régimen.  Incluso en aquellas zonas urbanas del país que tradicionalmente eran leales al régimen, el Gobierno envía a las Fuerzas de Acciones Especiales de la Policía Nacional de Venezuela, así como a grupos paramilitares para controlarlas e impedir con ello la disensión.  El mal gobierno, combinado con una Gran Corrupción generalizada ha provocado lo que ahora se reconoce como una catástrofe humanitaria y el peor desastre económico no provocado por una guerra civil.  Años antes de la pandemia del Covid 19, el sistema de salud había colapsado y la escasez de </w:t>
      </w:r>
      <w:r w:rsidRPr="00214212">
        <w:rPr>
          <w:rFonts w:asciiTheme="minorHAnsi" w:hAnsiTheme="minorHAnsi" w:cstheme="minorHAnsi"/>
          <w:sz w:val="22"/>
          <w:szCs w:val="22"/>
          <w:lang w:val="es-ES_tradnl"/>
        </w:rPr>
        <w:lastRenderedPageBreak/>
        <w:t>suministros médicos básicos en todo el país había ya provocado innumerables muertes y complicaciones debido a enfermedades tratables, así como el resurgimiento y propagación de enfermedades que ya eran consideradas como erradicadas.</w:t>
      </w:r>
    </w:p>
    <w:p w14:paraId="7E0122F0"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0CA64A80"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Frente a esta situación, el Secretario General ha seguido sin descanso sus esfuerzos para recuperar la democracia, el estado de derecho y el respeto de los derechos humanos en Venezuela, reuniéndose con líderes políticos, con organizaciones de la sociedad civil venezolana, con actores internacionales, estados y organizaciones internacionales, para documentar y denunciar los abusos del Régimen madurista, y galvanizar la acción internacional en pro de la democracia venezolana.  En 2019, algunas de las acciones especificas tomadas por el Secretario General incluyeron:</w:t>
      </w:r>
    </w:p>
    <w:p w14:paraId="6284C6F9"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1AD21A52"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El 5 de enero de 2019 el Secretario General expresó su apoyo a Juan Guaidó al asumir como nuevo Presidente de la Asamblea Nacional de Venezuela, único poder del Estado en ser elegido por el pueblo venezolano, para iniciar la transición de Venezuela hacia la democracia. Pocos días después, el Consejo Permanente, acordó no reconocer la legitimidad del período del régimen de Nicolás Maduro a partir del 10 de enero de 2019.  El 23 de enero, el Secretario General reconoció a Juan Guaidó como Presidente Encargado de Venezuela, luego de su juramento durante una manifestación masiva en Caracas.  El juramento se hizo en base a un acuerdo de la Asamblea Nacional del 15 de enero sobre la "usurpación de la presidencia" por parte del mandatario Nicolás Maduro.</w:t>
      </w:r>
    </w:p>
    <w:p w14:paraId="094889CB"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 </w:t>
      </w:r>
    </w:p>
    <w:p w14:paraId="3EDAE798"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Frente al bloqueo de ayuda humanitaria los días 22 y 23 de febrero, el Secretario General expresó su condena al bloqueo por parte del Régimen y condenó la violencia ejercida contra manifestantes venezolanos que vieron bloqueado su reingreso al país y que sufrieron múltiples agresiones que resultaron en heridos de diversa gravedad, así como condenamos nuevamente la violencia ejercida contra la comunidad Pemón y los asesinatos de indígenas. </w:t>
      </w:r>
    </w:p>
    <w:p w14:paraId="6EF38A8F"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10176FB6"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El 20 de marzo el Secretario General firmó con el Instituto Centro de Estudios para América Latina (Casla) un acuerdo para unir esfuerzos de ambas instituciones en la prevención de crímenes de lesa humanidad en la región mediante la creación de un sistema de alerta temprana.  El Secretario General sostuvo que el acuerdo busca que ambas organizaciones establezcan me</w:t>
      </w:r>
      <w:r w:rsidRPr="00214212">
        <w:rPr>
          <w:rFonts w:asciiTheme="minorHAnsi" w:hAnsiTheme="minorHAnsi" w:cstheme="minorHAnsi"/>
          <w:sz w:val="22"/>
          <w:szCs w:val="22"/>
          <w:lang w:val="es-ES_tradnl"/>
        </w:rPr>
        <w:lastRenderedPageBreak/>
        <w:t xml:space="preserve">canismos generales de coordinación sobre posibles violaciones masivas a los derechos humanos y crímenes de lesa humanidad en la región.   También en el mes de marzo, el Secretario General condenó una incursión militar rusa en territorio venezolano, la cual no contó con la autorización de la Asamblea Nacional, como lo establece la Constitución de Venezuela, y lo cual se hizo en apoyo de un gobierno declarado ilegítimo.  </w:t>
      </w:r>
    </w:p>
    <w:p w14:paraId="6E2551FC"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28C72B95"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Fruto de ese acuerdo, la Oficina del Secretario General y el Instituto CASLA elaboraron un informe técnico sobre los hechos cometidos por el Régimen de Nicolás Maduro, ocurridos los días 22 de Febrero y siguientes de 2019 en el Municipio Gran Sabana del estado Bolívar, donde distintas comunidades de la etnia Pemón y los habitantes de la capital del municipio, Santa Elena de Uarién, fueron objeto de un ataque militar, así como de un desplazamiento forzoso, dentro del marco de la represión sistemática que el régimen de Nicolás Maduro mantiene contra la mayoría de la población venezolana.  El informe fue elaborado sobre la base de 29 entrevistas directas con víctimas, familiares de las víctimas, testigos, un posible perpetrador y otra información recabada por un equipo técnico SG/OEA-CASLA durante una visita a la zona fronteriza entre Brasil y Venezuela, los días 23 a 27 de abril de 2019.  El informe fue presentado a la Corte Penal Internacional.</w:t>
      </w:r>
    </w:p>
    <w:p w14:paraId="7BDFB07E"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4F82C8E9"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En el marco de la XLIX Asamblea General de la OEA, el Grupo de Trabajo para Abordar la Crisis de Migrantes y Refugiados Venezolanos en la Región presentó un informe que analizó la crisis de migrantes y refugiados venezolanos sin precedentes en la región. A la hora de la publicación, al menos 4 millones de venezolanos habían huido del país, lo que representa poco más de 13% de la población total de la nación. A nivel mundial, solo Siria, que ha padecido una guerra por más de 8 años, supera a Venezuela en el flujo de migrantes y refugiados.  El documento investigó la crisis de salud, la Inseguridad alimentaria, la violación de derechos humanos, la persecución y represión, el colapso de los servicios público en Venezuela, el estatus de los venezolanos en Latinoamérica y el Caribe, el reconocimiento Prima Facie de los refugiados venezolanos, la cooperación internacional, y los desafíos financieros que enfrentan los migrantes venezolanos, entre otros. </w:t>
      </w:r>
    </w:p>
    <w:p w14:paraId="6762654A" w14:textId="77777777" w:rsidR="00214212" w:rsidRPr="00214212" w:rsidRDefault="00214212" w:rsidP="00214212">
      <w:pPr>
        <w:pStyle w:val="ListParagraph"/>
        <w:spacing w:after="200"/>
        <w:ind w:left="0"/>
        <w:contextualSpacing/>
        <w:jc w:val="both"/>
        <w:rPr>
          <w:rFonts w:asciiTheme="minorHAnsi" w:hAnsiTheme="minorHAnsi" w:cstheme="minorHAnsi"/>
          <w:b/>
          <w:bCs/>
          <w:sz w:val="22"/>
          <w:szCs w:val="22"/>
          <w:lang w:val="es-ES_tradnl"/>
        </w:rPr>
      </w:pPr>
    </w:p>
    <w:p w14:paraId="44D4AF22"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El 11 de julio el Secretario General acogió una conferencia de prensa sobre “Crímenes Internacionales en Venezuela: Ejecuciones Extrajudiciales, Tortura, Presos Políticos y Desplazamiento Forzoso”, en la sede de la Organización en Washington, DC.  Además del Secretario General, el </w:t>
      </w:r>
      <w:r w:rsidRPr="00214212">
        <w:rPr>
          <w:rFonts w:asciiTheme="minorHAnsi" w:hAnsiTheme="minorHAnsi" w:cstheme="minorHAnsi"/>
          <w:sz w:val="22"/>
          <w:szCs w:val="22"/>
          <w:lang w:val="es-ES_tradnl"/>
        </w:rPr>
        <w:lastRenderedPageBreak/>
        <w:t>evento incluyó la participación de la Directora Ejecutiva de CASLA Institute, Tamara Suju; el ex-Jefe de Seguridad Ciudadana de la Alcaldía Mayor de Caracas y ex–preso político, Ivan Simonovis; y el Representante Especial para Venezuela de los Estados Unidos de América, Elliott Abrams.</w:t>
      </w:r>
    </w:p>
    <w:p w14:paraId="2E4F90BB"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3D70268F"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El Secretario General participó activamente en las reuniones del Órgano de Consulta del Tratado Interamericano de Asistencia Recíproca (TIAR), luego de que el Consejo Permanente aprobara el 11 de septiembre una resolución para constituir dicho Órgano y convocar a una Reunión de Ministros de Relaciones Exteriores, la cual tuvo lugar el lunes 23 de septiembre en Nueva York.  También participó de la XXX Reunión de Ministros de Relaciones Exteriores de Estados parte del TIAR, celebrada el 3 de diciembre de 2019 en Colombia, donde los ministros aprobaron la resolución “Crisis en la República Bolivariana de Venezuela y sus Impactos desestabilizadores para el Hemisferio”.</w:t>
      </w:r>
    </w:p>
    <w:p w14:paraId="12840083"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6D145CC8"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El 30 de septiembre, el Secretario General alertó en un Comunicado sobre la relación entre la dictadura de Nicolás Maduro y las acciones terroristas de grupos armados.  Expreso que el</w:t>
      </w:r>
      <w:r w:rsidRPr="00214212">
        <w:rPr>
          <w:rFonts w:asciiTheme="minorHAnsi" w:hAnsiTheme="minorHAnsi" w:cstheme="minorHAnsi"/>
          <w:b/>
          <w:bCs/>
          <w:sz w:val="22"/>
          <w:szCs w:val="22"/>
          <w:lang w:val="es-ES_tradnl"/>
        </w:rPr>
        <w:t xml:space="preserve"> </w:t>
      </w:r>
      <w:r w:rsidRPr="00214212">
        <w:rPr>
          <w:rFonts w:asciiTheme="minorHAnsi" w:hAnsiTheme="minorHAnsi" w:cstheme="minorHAnsi"/>
          <w:sz w:val="22"/>
          <w:szCs w:val="22"/>
          <w:lang w:val="es-ES_tradnl"/>
        </w:rPr>
        <w:t>apoyo al terrorismo y narcotráfico en otro país constituye crímenes contra la paz y la seguridad hemisférica. Por ejemplo, la agresión de apoyar las acciones terroristas de disidentes FARC y ELN, así como apoyar su financiamiento constituyen crimen contra la paz. Constituye también crimen contra la paz el apoyo a otras organizaciones terroristas como Hezbollah y su financiamiento a través del narcotráfico.  Mencionó que Colombia había sido el principal país afectado por estos crímenes contra la paz del régimen madurista.</w:t>
      </w:r>
    </w:p>
    <w:p w14:paraId="41385187" w14:textId="77777777" w:rsidR="00214212" w:rsidRPr="00214212" w:rsidRDefault="00214212" w:rsidP="00214212">
      <w:pPr>
        <w:pStyle w:val="ListParagraph"/>
        <w:spacing w:after="200"/>
        <w:ind w:left="0"/>
        <w:contextualSpacing/>
        <w:jc w:val="both"/>
        <w:rPr>
          <w:rFonts w:asciiTheme="minorHAnsi" w:hAnsiTheme="minorHAnsi" w:cstheme="minorHAnsi"/>
          <w:b/>
          <w:bCs/>
          <w:sz w:val="22"/>
          <w:szCs w:val="22"/>
          <w:lang w:val="es-ES_tradnl"/>
        </w:rPr>
      </w:pPr>
    </w:p>
    <w:p w14:paraId="289C7F09"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Finalmente, el 11 de diciembre el Secretario General acogió la presentación del Instituto CASLA sobre nueva represión y torturas en Venezuela, donde CASLA presentó su informe anual 2019 sobre la represión sistemática y torturas, la influencia cubana y los cambios sustanciales en los métodos de tortura en Venezuela.</w:t>
      </w:r>
    </w:p>
    <w:p w14:paraId="16C251B1"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37C4A97A"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Nicaragua</w:t>
      </w:r>
    </w:p>
    <w:p w14:paraId="0EA66D50"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21BC4E30"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Luego de que el Gobierno de Nicaragua confirmara su aceptación a la liberación de los presos políticos (más de 600) en un tiempo determinado, el Secretario General confirmó la asistencia de la Secretaría General a la Mesa de Negociación entre la Alianza Cívica, por la oposición, y el </w:t>
      </w:r>
      <w:r w:rsidRPr="00214212">
        <w:rPr>
          <w:rFonts w:asciiTheme="minorHAnsi" w:hAnsiTheme="minorHAnsi" w:cstheme="minorHAnsi"/>
          <w:sz w:val="22"/>
          <w:szCs w:val="22"/>
          <w:lang w:val="es-ES_tradnl"/>
        </w:rPr>
        <w:lastRenderedPageBreak/>
        <w:t xml:space="preserve">Gobierno de Nicaragua.   El Secretario General designó al Sr. Luis Rosadilla como testigo y acompañante y a la Sra. Tania Pschepiurca como Asesora. </w:t>
      </w:r>
    </w:p>
    <w:p w14:paraId="50103CC9"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19F8D173"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En dicha Mesa de Negociación se logró hacer una Agenda de Negociación de donde se desprendía fortalecer la democracia y reformas electorales para la realización de procesos electorales.  Asimismo, se acordó fortalecer los derechos y garantías ciudadanas; la liberación, dentro de un plazo máximo de 90 días, de conformidad con el ordenamiento jurídico del país, de todas las personas presas y detenidas en el contexto de los hechos ocurridos a partir del 18 de abril del 2018; y trabajar para la verdad, justicia, reparación y no repetición.</w:t>
      </w:r>
    </w:p>
    <w:p w14:paraId="7987E7DD"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6DD7073D"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Únicamente el acuerdo aprobado de la liberación de los presos fue llevado a cabo casi en su totalidad; los demás acuerdos no fueron llevados adelante por decisión política del Gobierno de Nicaragua.  La Mesa de Negociación fue suspendida y luego levantada por la muerte en un establecimiento carcelario de un preso político a mediados de mayo. </w:t>
      </w:r>
    </w:p>
    <w:p w14:paraId="6D3D9609"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6EB1C03E"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A partir de ese momento el Secretario General ha continuado realizando esfuerzos desde la Secretaría General, así como en conjunto con los órganos deliberativos de la Organización, para habilitar posibles mecanismos que permitan la reinstitucionalización del país.</w:t>
      </w:r>
    </w:p>
    <w:p w14:paraId="3428F6CC"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2290B5B8"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A las gestiones e intervenciones del SG ante los órganos políticos debe añadirse la participación política y técnica de la Secretaría General en la Comisión de Alto Nivel de la OEA creada por la Asamblea General en Medellín y que produjo el informe oportunamente presentado ante el Consejo Permanente con recomendaciones respecto a la necesaria reinstitucionalización de Nicaragua.</w:t>
      </w:r>
    </w:p>
    <w:p w14:paraId="249823DF"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7BA4D52F"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Cuba</w:t>
      </w:r>
    </w:p>
    <w:p w14:paraId="7D936E99"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1C06CD9C"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En diciembre de 2018, la Oficina del Secretario General organizó una conferencia sobre derechos humanos en Cuba donde se inició un esfuerzo para la deslegitimización del Régimen cubano señalando la situación de los presos políticos, la persecución de los defensores de los derechos humanos, la criminalización de la libertad de expresión, y hasta los crímenes de lesa humanidad cometidos en distintos momentos de la larga dictadura cubana.</w:t>
      </w:r>
    </w:p>
    <w:p w14:paraId="4C0A8E0C"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4BF83AED"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lastRenderedPageBreak/>
        <w:t>En 2019, el Secretario General siguió insistiendo que los cubanos tienen el derecho a la democracia y a que se les respeten sus derechos humanos y libertades fundamentales; y tienen derecho a vivir bajo un sistema que cumpla plenamente con todos los elementos esenciales de la democracia contemplados en la Carta Democrática Interamericana y los demás instrumentos Interamericanos.</w:t>
      </w:r>
    </w:p>
    <w:p w14:paraId="0CF96467"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568D6FC6"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Al respecto, el 12 de febrero la Oficina del Secretario General organizó una conferencia para analizar si la nueva constitución cubana se apegaba a los principios y elementos de la Carta Democrática Interamericana.  La conferencia contó con presentaciones por parte de tres expertos sobre distintos aspectos del sistema constitucional cubano, y fue moderado por la activista cubana, Rosa María Paya.  Los tres expertos fueron Laritza Diversent, Directora del centro de asistencia legal, Cubalex; el Director Ejecutivo de Transparencia Electoral América Latina, Leandro Querido; así como el ex-Presidente del Comité Jurídico Interamericano, Jaime Aparicio.  Todos coincidieron que la nueva constitución cubana, lejos de apegarse a principios democráticos, consolida el control del Partido Comunista y de sus dirigentes en la isla. Asimismo, el 23 el 24 de mayo, la Oficina del Secretario General organizó una reunión de trabajo con diez activistas de derechos humanos cubanos, residentes en Cuba y en el exterior, para desarrollar una serie de recomendaciones para visibilizar la ausencia de la democracia y los derechos humanos en Cuba.  Estas recomendaciones, entre otras, guiarán el trabajo de la Oficina del Secretario General hacia futuro.  Finalmente, en diciembre de 2019, la Oficina del Secretario General, junto con la Fundación Memorial Contra el Comunismo, organizó una conferencia sobre las misiones medicas cubanas que por muchos años han sido una herramienta de la diplomacia cubana para construir relaciones con otros países y fomentar la ilusión de normalidad y solidaridad, y de ese modo contribuir a evitar cualquier discusión sobre la falta de derechos humanos y democracia en la Isla.  A través de testimonios de médicos cubanos que participaron de las misiones en América Latina, así como de varios expertos, la conferencia demostró como las misiones han sido la máscara para la mayor fuente de ingresos y de divisas extranjeras para el régimen cubano, a costo de la explotación del personal médico que trabaja en condiciones de esclavitud.  La conferencia demostró también como las misiones son utilizadas como herramienta de control y de inteligencia en los esquemas desestabilización política en el continente que se promueven desde la Habana. </w:t>
      </w:r>
    </w:p>
    <w:p w14:paraId="0B05ED27"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7D67AC0F"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Bolivia</w:t>
      </w:r>
    </w:p>
    <w:p w14:paraId="0D40B2D0"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061896AE"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La Secretaría General acompañó el proceso electoral en el Estado Plurinacional de Bolivia desde el comienzo, demostrando en todo momento el más alto compromiso con la democracia. Por indicación del Secretario General, en todas las oportunidades en que las autoridades del país solicitaron la colaboración de la Organización, los equipos técnicos de la OEA fueron puestos a disposición.</w:t>
      </w:r>
    </w:p>
    <w:p w14:paraId="78593EC4"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12C9CFD4"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Así se hizo a comienzos de 2019 cuando, tras recibir invitación del Tribunal Supremo Electoral (TSE), el Secretario General instruyó el despliegue de una Misión Técnica que diera seguimiento a las Elecciones Primarias del 27 de enero. De igual modo, se aceptó la invitación del TSE para observar las Elecciones Generales. El 17 de mayo, el Secretario General viajó a La Paz para firmar, junto con el gobierno, los acuerdos de inmunidades y privilegios que brindarían las garantías necesarias para el trabajo independiente de los observadores.</w:t>
      </w:r>
    </w:p>
    <w:p w14:paraId="6336BDC6"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461B32E4"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Cumpliendo con la solicitud del TSE, la Secretaría General de la OEA desplegó una Misión de Observación para las Elecciones Generales de octubre, la cual estuvo encabezada por el ex canciller de Costa Rica, Manuel A. González Sanz. Compuesta por 92 expertos y observadores de 24 nacionalidades, la MOE/OEA se desplegó en los 9 departamentos del país y en tres de los países donde se implementó el voto en el exterior: Argentina, Brasil y Estados Unidos. </w:t>
      </w:r>
    </w:p>
    <w:p w14:paraId="1C7C2621"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61CF7689"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Días después de las elecciones y ante la falta de confianza ciudadana en la transparencia de los resultados, el Secretario General aceptó una nueva solicitud de las autoridades bolivianas y acordó efectuar un Análisis de Integridad del Proceso Electoral. Por instrucción del Secretario General, se conformó un equipo de 36 especialistas, quienes analizaron los aspectos centrales de los comicios y concluyeron que, dada las numerosas irregularidades y manipulaciones detectadas, era imposible validar los resultados.</w:t>
      </w:r>
    </w:p>
    <w:p w14:paraId="6F034899"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6C0505D2"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Tras la renuncia de los funcionarios implicados, la Secretaría General envió una Misión de exploración para establecer contacto con las nuevas autoridades y conocer los plazos previstos para para la convocatoria a un nuevo proceso electoral. Adicionalmente, se presentó un documento con más de 90 recomendaciones basadas en el trabajo realizado en terreno por los expertos de la Misión de Observación y el equipo auditor. </w:t>
      </w:r>
    </w:p>
    <w:p w14:paraId="17BD4D64"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544EB1CB"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lastRenderedPageBreak/>
        <w:t>El propósito de estas recomendaciones ha sido trazar una hoja de ruta que pudiera servir al Órgano Electoral de cara a la organización de nuevos comicios. A este fin, el Secretario General ha instruido la conformación de un equipo de expertos que continúa apoyando, con absoluto rigor técnico e independencia profesional, a las instituciones bolivianas en sus esfuerzos por llevar adelante un proceso electoral transparente y de calidad de cara a las nuevas elecciones generales.</w:t>
      </w:r>
    </w:p>
    <w:p w14:paraId="6A07A8FD"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42EACF7F"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Honduras</w:t>
      </w:r>
    </w:p>
    <w:p w14:paraId="45270FF5" w14:textId="77777777" w:rsidR="00214212" w:rsidRPr="00214212" w:rsidRDefault="00214212" w:rsidP="00214212">
      <w:pPr>
        <w:pStyle w:val="ListParagraph"/>
        <w:spacing w:after="200"/>
        <w:ind w:left="0"/>
        <w:contextualSpacing/>
        <w:jc w:val="both"/>
        <w:rPr>
          <w:rFonts w:asciiTheme="minorHAnsi" w:hAnsiTheme="minorHAnsi" w:cstheme="minorHAnsi"/>
          <w:b/>
          <w:bCs/>
          <w:sz w:val="22"/>
          <w:szCs w:val="22"/>
          <w:lang w:val="es-ES_tradnl"/>
        </w:rPr>
      </w:pPr>
    </w:p>
    <w:p w14:paraId="069BF529"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Durante el año 2019, la Misión de Apoyo Contra la Corrupción y la Impunidad en Honduras, MACCIH, continuó su colaboración activa y exitosa con la institucionalidad hondureña para enfrentar el problema endémico que representa la corrupción en el país.  Vale resaltar que su trabajo, en conjunto con la Fiscalía General de Honduras, redundó en el procesamiento de 133 personas, en la judicialización de 14 casos y, por sobre todas las cosas, en un fortalecimiento de las capacidades nacionales para combatir la corrupción y la impunidad.</w:t>
      </w:r>
    </w:p>
    <w:p w14:paraId="2818E07E"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5D68F6E5"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No obstante, el 17 de enero de 2020, culminaron sin resultado las negociaciones entre el Gobierno de Honduras y la Secretaría General, llevadas a cabo desde finales de 2019, respecto a la renovación del mandato de la Misión. La falta de acuerdo en las negociaciones se concentró en la imposibilidad de la MACCIH de continuar acompañando y colaborando activamente a través de los equipos MACCIH-UFECIC (Unidad Fiscal Especializada contra la Impunidad y la Corrupción).  Para la Secretaría General resultaba fundamental que el mecanismo de cooperación que constituía la MACCIH siguiera contando con un componente de acompañamiento a las capacidades y actividades investigativas del Ministerio Público.  Para más información sobre el trabajo realizado por la Misión en 2019, ver el capitulo sobre la MACCIH, en la sección 2.3.2 sobre el Departamento de Sustentabilidad Democrática y Misiones Especiales.</w:t>
      </w:r>
    </w:p>
    <w:p w14:paraId="1ED4A714"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5F1A75B8"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Responsabilidad de Proteger</w:t>
      </w:r>
    </w:p>
    <w:p w14:paraId="1522EA50"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7783CA10"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El 21 de marzo de 2019, la Oficina del Secretario General, conjuntamente con la Fundación Stanley, organizó una conferencia sobre la Responsabilidad de Proteger, o R2P, en las Américas.  En dos paneles, se exploro lo que significa la responsabilidad de proteger en las Américas, y cómo poner en práctica la R2P en la región.</w:t>
      </w:r>
      <w:r w:rsidRPr="00214212">
        <w:rPr>
          <w:rFonts w:asciiTheme="minorHAnsi" w:hAnsiTheme="minorHAnsi" w:cstheme="minorHAnsi"/>
          <w:b/>
          <w:bCs/>
          <w:sz w:val="22"/>
          <w:szCs w:val="22"/>
          <w:lang w:val="es-ES_tradnl"/>
        </w:rPr>
        <w:t xml:space="preserve">  </w:t>
      </w:r>
      <w:r w:rsidRPr="00214212">
        <w:rPr>
          <w:rFonts w:asciiTheme="minorHAnsi" w:hAnsiTheme="minorHAnsi" w:cstheme="minorHAnsi"/>
          <w:sz w:val="22"/>
          <w:szCs w:val="22"/>
          <w:lang w:val="es-ES_tradnl"/>
        </w:rPr>
        <w:t xml:space="preserve">Los ponentes incluyeron, en el primer panel, a </w:t>
      </w:r>
      <w:r w:rsidRPr="00214212">
        <w:rPr>
          <w:rFonts w:asciiTheme="minorHAnsi" w:hAnsiTheme="minorHAnsi" w:cstheme="minorHAnsi"/>
          <w:sz w:val="22"/>
          <w:szCs w:val="22"/>
          <w:lang w:val="es-ES_tradnl"/>
        </w:rPr>
        <w:lastRenderedPageBreak/>
        <w:t xml:space="preserve">Jennifer Welsh, ex Asesora Especial del Secretario General de NN.UU. sobre Responsabilidad de Proteger; Mariana Salazar Albornoz, Profesora, Universidad Iberoamericana- Ciudad de México; Andrei Serbin Pont, Director de Investigación, Coordinadora Regional de Investigaciones Económicas y Sociales (CRIES).  En el segundo panel participaron Simon Adams, Director Ejecutivo, </w:t>
      </w:r>
      <w:r w:rsidRPr="00214212">
        <w:rPr>
          <w:rFonts w:asciiTheme="minorHAnsi" w:hAnsiTheme="minorHAnsi" w:cstheme="minorHAnsi"/>
          <w:i/>
          <w:iCs/>
          <w:sz w:val="22"/>
          <w:szCs w:val="22"/>
          <w:lang w:val="es-ES_tradnl"/>
        </w:rPr>
        <w:t>Global Centre for the Responsibility to Protect</w:t>
      </w:r>
      <w:r w:rsidRPr="00214212">
        <w:rPr>
          <w:rFonts w:asciiTheme="minorHAnsi" w:hAnsiTheme="minorHAnsi" w:cstheme="minorHAnsi"/>
          <w:sz w:val="22"/>
          <w:szCs w:val="22"/>
          <w:lang w:val="es-ES_tradnl"/>
        </w:rPr>
        <w:t xml:space="preserve">; Bruno Stagno Ugarte, Director Adjunto, </w:t>
      </w:r>
      <w:r w:rsidRPr="00214212">
        <w:rPr>
          <w:rFonts w:asciiTheme="minorHAnsi" w:hAnsiTheme="minorHAnsi" w:cstheme="minorHAnsi"/>
          <w:i/>
          <w:iCs/>
          <w:sz w:val="22"/>
          <w:szCs w:val="22"/>
          <w:lang w:val="es-ES_tradnl"/>
        </w:rPr>
        <w:t xml:space="preserve">Human Rights Watch; </w:t>
      </w:r>
      <w:r w:rsidRPr="00214212">
        <w:rPr>
          <w:rFonts w:asciiTheme="minorHAnsi" w:hAnsiTheme="minorHAnsi" w:cstheme="minorHAnsi"/>
          <w:sz w:val="22"/>
          <w:szCs w:val="22"/>
          <w:lang w:val="es-ES_tradnl"/>
        </w:rPr>
        <w:t xml:space="preserve">y Diego Arria, ex Gobernador de Caracas, y ex Embajador de Venezuela ante NN.UU. </w:t>
      </w:r>
    </w:p>
    <w:p w14:paraId="15EBC133"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105F7EE6"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 xml:space="preserve">El primer panel reintrodujo el concepto, revisando sus antecedentes y su evolución.  La discusión se centró en cómo el concepto fue establecido y cómo fue entendido históricamente en las Américas.  El segundo panel debatió la aplicación del concepto R2P en la coyuntura política actual. </w:t>
      </w:r>
    </w:p>
    <w:p w14:paraId="3A93E7F7"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5736C13A"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Premios</w:t>
      </w:r>
    </w:p>
    <w:p w14:paraId="6A9FA762"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09E5483A"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Finalmente, en reconocimiento a su labor en defensa de la democracia y los derechos humanos, el Secretario General recibió varios premios en 2019, entre los que se encuentran los siguientes:</w:t>
      </w:r>
    </w:p>
    <w:p w14:paraId="3C108295" w14:textId="77777777" w:rsidR="00214212" w:rsidRPr="00214212" w:rsidRDefault="00214212" w:rsidP="00214212">
      <w:pPr>
        <w:pStyle w:val="ListParagraph"/>
        <w:spacing w:after="200"/>
        <w:ind w:left="0"/>
        <w:contextualSpacing/>
        <w:jc w:val="both"/>
        <w:rPr>
          <w:rFonts w:asciiTheme="minorHAnsi" w:hAnsiTheme="minorHAnsi" w:cstheme="minorHAnsi"/>
          <w:sz w:val="22"/>
          <w:szCs w:val="22"/>
          <w:lang w:val="es-ES_tradnl"/>
        </w:rPr>
      </w:pPr>
    </w:p>
    <w:p w14:paraId="606E59BB" w14:textId="77777777" w:rsidR="00214212" w:rsidRPr="00214212" w:rsidRDefault="00214212" w:rsidP="00214212">
      <w:pPr>
        <w:pStyle w:val="ListParagraph"/>
        <w:numPr>
          <w:ilvl w:val="0"/>
          <w:numId w:val="122"/>
        </w:numPr>
        <w:spacing w:after="200"/>
        <w:ind w:left="36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Premio anual del Foro Usina de Justicia en reconocimiento a la Organización de los Estados Americanos por el Plan Hemisférico de Prevención y Reducción del Homicidio Intencional.</w:t>
      </w:r>
    </w:p>
    <w:p w14:paraId="04753F57" w14:textId="77777777" w:rsidR="00214212" w:rsidRPr="00214212" w:rsidRDefault="00214212" w:rsidP="00214212">
      <w:pPr>
        <w:pStyle w:val="ListParagraph"/>
        <w:spacing w:after="200"/>
        <w:ind w:left="-360"/>
        <w:contextualSpacing/>
        <w:jc w:val="both"/>
        <w:rPr>
          <w:rFonts w:asciiTheme="minorHAnsi" w:hAnsiTheme="minorHAnsi" w:cstheme="minorHAnsi"/>
          <w:sz w:val="22"/>
          <w:szCs w:val="22"/>
          <w:lang w:val="es-ES_tradnl"/>
        </w:rPr>
      </w:pPr>
    </w:p>
    <w:p w14:paraId="210BAF5E" w14:textId="77777777" w:rsidR="00214212" w:rsidRPr="00214212" w:rsidRDefault="00214212" w:rsidP="00214212">
      <w:pPr>
        <w:pStyle w:val="ListParagraph"/>
        <w:numPr>
          <w:ilvl w:val="0"/>
          <w:numId w:val="122"/>
        </w:numPr>
        <w:spacing w:after="200"/>
        <w:ind w:left="36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Premio “Flama de la libertad de expresión” por el Centro de Estudios de las Regulaciones en Telecomunicaciones en América Latina (CERTAL).</w:t>
      </w:r>
    </w:p>
    <w:p w14:paraId="58537CEB" w14:textId="77777777" w:rsidR="00214212" w:rsidRPr="00214212" w:rsidRDefault="00214212" w:rsidP="00214212">
      <w:pPr>
        <w:pStyle w:val="ListParagraph"/>
        <w:spacing w:after="200"/>
        <w:ind w:left="-360"/>
        <w:contextualSpacing/>
        <w:jc w:val="both"/>
        <w:rPr>
          <w:rFonts w:asciiTheme="minorHAnsi" w:hAnsiTheme="minorHAnsi" w:cstheme="minorHAnsi"/>
          <w:sz w:val="22"/>
          <w:szCs w:val="22"/>
          <w:lang w:val="es-ES_tradnl"/>
        </w:rPr>
      </w:pPr>
    </w:p>
    <w:p w14:paraId="15EC200F" w14:textId="77777777" w:rsidR="00214212" w:rsidRPr="00214212" w:rsidRDefault="00214212" w:rsidP="00214212">
      <w:pPr>
        <w:pStyle w:val="ListParagraph"/>
        <w:numPr>
          <w:ilvl w:val="0"/>
          <w:numId w:val="122"/>
        </w:numPr>
        <w:spacing w:after="200"/>
        <w:ind w:left="36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Medalla de Oro de la Sociedad de las Américas.</w:t>
      </w:r>
    </w:p>
    <w:p w14:paraId="1E96AD61" w14:textId="77777777" w:rsidR="00214212" w:rsidRPr="00214212" w:rsidRDefault="00214212" w:rsidP="00214212">
      <w:pPr>
        <w:pStyle w:val="ListParagraph"/>
        <w:spacing w:after="200"/>
        <w:ind w:left="-360"/>
        <w:contextualSpacing/>
        <w:jc w:val="both"/>
        <w:rPr>
          <w:rFonts w:asciiTheme="minorHAnsi" w:hAnsiTheme="minorHAnsi" w:cstheme="minorHAnsi"/>
          <w:sz w:val="22"/>
          <w:szCs w:val="22"/>
          <w:lang w:val="es-ES_tradnl"/>
        </w:rPr>
      </w:pPr>
    </w:p>
    <w:p w14:paraId="1586121F" w14:textId="77777777" w:rsidR="00214212" w:rsidRPr="00214212" w:rsidRDefault="00214212" w:rsidP="00214212">
      <w:pPr>
        <w:pStyle w:val="ListParagraph"/>
        <w:numPr>
          <w:ilvl w:val="0"/>
          <w:numId w:val="122"/>
        </w:numPr>
        <w:spacing w:after="200"/>
        <w:ind w:left="36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Premio "Campeón de la Democracia" por el Comité Judío Estadounidense (American Jewish Committee</w:t>
      </w:r>
      <w:r w:rsidRPr="00214212">
        <w:rPr>
          <w:rFonts w:asciiTheme="minorHAnsi" w:hAnsiTheme="minorHAnsi" w:cstheme="minorHAnsi"/>
          <w:i/>
          <w:iCs/>
          <w:sz w:val="22"/>
          <w:szCs w:val="22"/>
          <w:lang w:val="es-ES_tradnl"/>
        </w:rPr>
        <w:t>, AJC</w:t>
      </w:r>
      <w:r w:rsidRPr="00214212">
        <w:rPr>
          <w:rFonts w:asciiTheme="minorHAnsi" w:hAnsiTheme="minorHAnsi" w:cstheme="minorHAnsi"/>
          <w:sz w:val="22"/>
          <w:szCs w:val="22"/>
          <w:lang w:val="es-ES_tradnl"/>
        </w:rPr>
        <w:t>).</w:t>
      </w:r>
    </w:p>
    <w:p w14:paraId="5371E55C" w14:textId="77777777" w:rsidR="00214212" w:rsidRPr="00214212" w:rsidRDefault="00214212" w:rsidP="00214212">
      <w:pPr>
        <w:pStyle w:val="ListParagraph"/>
        <w:spacing w:after="200"/>
        <w:ind w:left="360"/>
        <w:contextualSpacing/>
        <w:jc w:val="both"/>
        <w:rPr>
          <w:rFonts w:asciiTheme="minorHAnsi" w:hAnsiTheme="minorHAnsi" w:cstheme="minorHAnsi"/>
          <w:sz w:val="22"/>
          <w:szCs w:val="22"/>
          <w:lang w:val="es-ES_tradnl"/>
        </w:rPr>
      </w:pPr>
    </w:p>
    <w:p w14:paraId="5378D9CE" w14:textId="77777777" w:rsidR="00214212" w:rsidRPr="00214212" w:rsidRDefault="00214212" w:rsidP="00214212">
      <w:pPr>
        <w:pStyle w:val="ListParagraph"/>
        <w:numPr>
          <w:ilvl w:val="0"/>
          <w:numId w:val="122"/>
        </w:numPr>
        <w:spacing w:after="200"/>
        <w:ind w:left="36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Premio Internacional Ileana Ros-Lehtinen otorgado por el Congressional Hispanic Leadership Institute (CHLI).</w:t>
      </w:r>
    </w:p>
    <w:p w14:paraId="5E489671" w14:textId="77777777" w:rsidR="00214212" w:rsidRPr="00214212" w:rsidRDefault="00214212" w:rsidP="00214212">
      <w:pPr>
        <w:pStyle w:val="ListParagraph"/>
        <w:spacing w:after="200"/>
        <w:ind w:left="360"/>
        <w:contextualSpacing/>
        <w:jc w:val="both"/>
        <w:rPr>
          <w:rFonts w:asciiTheme="minorHAnsi" w:hAnsiTheme="minorHAnsi" w:cstheme="minorHAnsi"/>
          <w:sz w:val="22"/>
          <w:szCs w:val="22"/>
          <w:lang w:val="es-ES_tradnl"/>
        </w:rPr>
      </w:pPr>
    </w:p>
    <w:p w14:paraId="21C04864" w14:textId="77777777" w:rsidR="00214212" w:rsidRPr="00214212" w:rsidRDefault="00214212" w:rsidP="00214212">
      <w:pPr>
        <w:pStyle w:val="ListParagraph"/>
        <w:numPr>
          <w:ilvl w:val="0"/>
          <w:numId w:val="122"/>
        </w:numPr>
        <w:spacing w:after="200"/>
        <w:ind w:left="36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Campeón para la Equidad Global (</w:t>
      </w:r>
      <w:r w:rsidRPr="00214212">
        <w:rPr>
          <w:rFonts w:asciiTheme="minorHAnsi" w:hAnsiTheme="minorHAnsi" w:cstheme="minorHAnsi"/>
          <w:i/>
          <w:iCs/>
          <w:sz w:val="22"/>
          <w:szCs w:val="22"/>
          <w:lang w:val="es-ES_tradnl"/>
        </w:rPr>
        <w:t>Global Equality Champion</w:t>
      </w:r>
      <w:r w:rsidRPr="00214212">
        <w:rPr>
          <w:rFonts w:asciiTheme="minorHAnsi" w:hAnsiTheme="minorHAnsi" w:cstheme="minorHAnsi"/>
          <w:sz w:val="22"/>
          <w:szCs w:val="22"/>
          <w:lang w:val="es-ES_tradnl"/>
        </w:rPr>
        <w:t>) por el Human Rights Campaign.</w:t>
      </w:r>
    </w:p>
    <w:p w14:paraId="68A5E7E9" w14:textId="77777777" w:rsidR="00214212" w:rsidRPr="00214212" w:rsidRDefault="00214212" w:rsidP="00214212">
      <w:pPr>
        <w:pStyle w:val="ListParagraph"/>
        <w:spacing w:after="200"/>
        <w:ind w:left="360"/>
        <w:contextualSpacing/>
        <w:jc w:val="both"/>
        <w:rPr>
          <w:rFonts w:asciiTheme="minorHAnsi" w:hAnsiTheme="minorHAnsi" w:cstheme="minorHAnsi"/>
          <w:sz w:val="22"/>
          <w:szCs w:val="22"/>
          <w:lang w:val="es-ES_tradnl"/>
        </w:rPr>
      </w:pPr>
    </w:p>
    <w:p w14:paraId="3FBECFB4" w14:textId="77777777" w:rsidR="00214212" w:rsidRPr="00214212" w:rsidRDefault="00214212" w:rsidP="00214212">
      <w:pPr>
        <w:pStyle w:val="ListParagraph"/>
        <w:numPr>
          <w:ilvl w:val="0"/>
          <w:numId w:val="122"/>
        </w:numPr>
        <w:spacing w:after="200"/>
        <w:ind w:left="36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Premio Rómulo Betancourt para la Diplomacia Democrática, Human Rights Foundation.</w:t>
      </w:r>
    </w:p>
    <w:p w14:paraId="1633021D" w14:textId="77777777" w:rsidR="00214212" w:rsidRPr="00214212" w:rsidRDefault="00214212" w:rsidP="00214212">
      <w:pPr>
        <w:pStyle w:val="ListParagraph"/>
        <w:spacing w:after="200"/>
        <w:ind w:left="360"/>
        <w:contextualSpacing/>
        <w:jc w:val="both"/>
        <w:rPr>
          <w:rFonts w:asciiTheme="minorHAnsi" w:hAnsiTheme="minorHAnsi" w:cstheme="minorHAnsi"/>
          <w:sz w:val="22"/>
          <w:szCs w:val="22"/>
          <w:lang w:val="es-ES_tradnl"/>
        </w:rPr>
      </w:pPr>
    </w:p>
    <w:p w14:paraId="3DE4BE38" w14:textId="77777777" w:rsidR="00214212" w:rsidRPr="00214212" w:rsidRDefault="00214212" w:rsidP="00214212">
      <w:pPr>
        <w:pStyle w:val="ListParagraph"/>
        <w:numPr>
          <w:ilvl w:val="0"/>
          <w:numId w:val="122"/>
        </w:numPr>
        <w:spacing w:after="200"/>
        <w:ind w:left="360"/>
        <w:contextualSpacing/>
        <w:jc w:val="both"/>
        <w:rPr>
          <w:rFonts w:asciiTheme="minorHAnsi" w:hAnsiTheme="minorHAnsi" w:cstheme="minorHAnsi"/>
          <w:sz w:val="22"/>
          <w:szCs w:val="22"/>
          <w:lang w:val="es-ES_tradnl"/>
        </w:rPr>
      </w:pPr>
      <w:r w:rsidRPr="00214212">
        <w:rPr>
          <w:rFonts w:asciiTheme="minorHAnsi" w:hAnsiTheme="minorHAnsi" w:cstheme="minorHAnsi"/>
          <w:sz w:val="22"/>
          <w:szCs w:val="22"/>
          <w:lang w:val="es-ES_tradnl"/>
        </w:rPr>
        <w:t>Miembro honorario, Club de Rotarios de Bethesda-Chevy Chase, Rotary International.</w:t>
      </w:r>
    </w:p>
    <w:p w14:paraId="70EAE088" w14:textId="2EE32EAA" w:rsidR="0001494D" w:rsidRDefault="0001494D" w:rsidP="00214212">
      <w:pPr>
        <w:pStyle w:val="ListParagraph"/>
        <w:spacing w:after="200"/>
        <w:ind w:left="360"/>
        <w:contextualSpacing/>
        <w:rPr>
          <w:rFonts w:asciiTheme="minorHAnsi" w:hAnsiTheme="minorHAnsi" w:cstheme="minorHAnsi"/>
          <w:sz w:val="22"/>
          <w:szCs w:val="22"/>
          <w:lang w:val="es-ES"/>
        </w:rPr>
      </w:pPr>
    </w:p>
    <w:p w14:paraId="7DB4B983" w14:textId="1A621A61" w:rsidR="00D5464C" w:rsidRPr="00187ACA" w:rsidRDefault="000A014F" w:rsidP="00187ACA">
      <w:pPr>
        <w:spacing w:after="200"/>
        <w:contextualSpacing/>
        <w:outlineLvl w:val="2"/>
        <w:rPr>
          <w:rFonts w:asciiTheme="minorHAnsi" w:hAnsiTheme="minorHAnsi" w:cstheme="minorHAnsi"/>
          <w:color w:val="E36C0A"/>
          <w:sz w:val="22"/>
          <w:szCs w:val="22"/>
          <w:lang w:val="es-ES"/>
        </w:rPr>
      </w:pPr>
      <w:bookmarkStart w:id="14" w:name="_Toc39675826"/>
      <w:bookmarkStart w:id="15" w:name="_Toc40191049"/>
      <w:r w:rsidRPr="00187ACA">
        <w:rPr>
          <w:rFonts w:asciiTheme="minorHAnsi" w:hAnsiTheme="minorHAnsi" w:cstheme="minorHAnsi"/>
          <w:color w:val="E36C0A"/>
          <w:sz w:val="22"/>
          <w:szCs w:val="22"/>
          <w:lang w:val="es-ES"/>
        </w:rPr>
        <w:t>2.</w:t>
      </w:r>
      <w:r w:rsidR="00E858B6" w:rsidRPr="00187ACA">
        <w:rPr>
          <w:rFonts w:asciiTheme="minorHAnsi" w:hAnsiTheme="minorHAnsi" w:cstheme="minorHAnsi"/>
          <w:color w:val="E36C0A"/>
          <w:sz w:val="22"/>
          <w:szCs w:val="22"/>
          <w:lang w:val="es-ES"/>
        </w:rPr>
        <w:t>1.1</w:t>
      </w:r>
      <w:r w:rsidRPr="00187ACA">
        <w:rPr>
          <w:rFonts w:asciiTheme="minorHAnsi" w:hAnsiTheme="minorHAnsi" w:cstheme="minorHAnsi"/>
          <w:color w:val="E36C0A"/>
          <w:sz w:val="22"/>
          <w:szCs w:val="22"/>
          <w:lang w:val="es-ES"/>
        </w:rPr>
        <w:tab/>
        <w:t>Oficina de Protocolo</w:t>
      </w:r>
      <w:bookmarkEnd w:id="14"/>
      <w:bookmarkEnd w:id="15"/>
    </w:p>
    <w:p w14:paraId="5967F8D9" w14:textId="77777777" w:rsidR="00187ACA" w:rsidRDefault="00187ACA" w:rsidP="00A323B1">
      <w:pPr>
        <w:spacing w:after="160"/>
        <w:jc w:val="both"/>
        <w:rPr>
          <w:rFonts w:asciiTheme="minorHAnsi" w:hAnsiTheme="minorHAnsi" w:cstheme="minorHAnsi"/>
          <w:sz w:val="22"/>
          <w:szCs w:val="22"/>
          <w:lang w:val="es-ES_tradnl"/>
        </w:rPr>
      </w:pPr>
    </w:p>
    <w:p w14:paraId="193DDD63" w14:textId="37F1FC47" w:rsidR="00EA799D" w:rsidRPr="00B62815" w:rsidRDefault="00EA799D" w:rsidP="00A323B1">
      <w:pPr>
        <w:spacing w:after="160"/>
        <w:jc w:val="both"/>
        <w:rPr>
          <w:rFonts w:asciiTheme="minorHAnsi" w:hAnsiTheme="minorHAnsi" w:cstheme="minorHAnsi"/>
          <w:sz w:val="22"/>
          <w:szCs w:val="22"/>
          <w:lang w:val="es-ES"/>
        </w:rPr>
      </w:pPr>
      <w:r w:rsidRPr="00B62815">
        <w:rPr>
          <w:rFonts w:asciiTheme="minorHAnsi" w:hAnsiTheme="minorHAnsi" w:cstheme="minorHAnsi"/>
          <w:sz w:val="22"/>
          <w:szCs w:val="22"/>
          <w:lang w:val="es-ES_tradnl"/>
        </w:rPr>
        <w:t xml:space="preserve">En 2019, la Oficina de Protocolo efectuó los siguientes eventos: sesiones protocolares (6), ceremonias de firma/depósito/ratificación protocolar (42), ofrendas florales (3), </w:t>
      </w:r>
      <w:r w:rsidRPr="00B62815">
        <w:rPr>
          <w:rFonts w:asciiTheme="minorHAnsi" w:hAnsiTheme="minorHAnsi" w:cstheme="minorHAnsi"/>
          <w:sz w:val="22"/>
          <w:szCs w:val="22"/>
          <w:lang w:val="es-ES"/>
        </w:rPr>
        <w:t>presentación de credenciales de (12), despedidas a Embajadores (9), ceremonias de cambio del Presidente del Consejo (4) y del CIDI (2), y planificación/ gestión de donaciones al patrimonio cultural (1).</w:t>
      </w:r>
    </w:p>
    <w:p w14:paraId="6FA25782" w14:textId="1A5C8E75" w:rsidR="00EA799D" w:rsidRPr="00B62815" w:rsidRDefault="00EA799D" w:rsidP="00A323B1">
      <w:pPr>
        <w:spacing w:after="16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Se hicieron gestiones para la acreditación de altas autoridades de la OEA a la Asamblea General de las </w:t>
      </w:r>
      <w:r w:rsidR="00B62815" w:rsidRPr="00B62815">
        <w:rPr>
          <w:rFonts w:asciiTheme="minorHAnsi" w:hAnsiTheme="minorHAnsi" w:cstheme="minorHAnsi"/>
          <w:sz w:val="22"/>
          <w:szCs w:val="22"/>
          <w:lang w:val="es-ES"/>
        </w:rPr>
        <w:t>NN.UU.</w:t>
      </w:r>
      <w:r w:rsidRPr="00B62815">
        <w:rPr>
          <w:rFonts w:asciiTheme="minorHAnsi" w:hAnsiTheme="minorHAnsi" w:cstheme="minorHAnsi"/>
          <w:sz w:val="22"/>
          <w:szCs w:val="22"/>
          <w:lang w:val="es-ES"/>
        </w:rPr>
        <w:t xml:space="preserve"> y otras reuniones.</w:t>
      </w:r>
      <w:r w:rsidR="00B62815" w:rsidRPr="00B62815">
        <w:rPr>
          <w:rFonts w:asciiTheme="minorHAnsi" w:hAnsiTheme="minorHAnsi" w:cstheme="minorHAnsi"/>
          <w:sz w:val="22"/>
          <w:szCs w:val="22"/>
          <w:lang w:val="es-ES"/>
        </w:rPr>
        <w:t xml:space="preserve">  </w:t>
      </w:r>
      <w:r w:rsidRPr="00B62815">
        <w:rPr>
          <w:rFonts w:asciiTheme="minorHAnsi" w:hAnsiTheme="minorHAnsi" w:cstheme="minorHAnsi"/>
          <w:sz w:val="22"/>
          <w:szCs w:val="22"/>
          <w:lang w:val="es-US"/>
        </w:rPr>
        <w:t xml:space="preserve">En la Asamblea General se coordinaron 60 reuniones bilaterales, se organizaron desayunos con CARICOM y SICA, y una donación de OMA con el Secretario General Adjunto. </w:t>
      </w:r>
    </w:p>
    <w:p w14:paraId="42040173" w14:textId="77777777" w:rsidR="00EA799D" w:rsidRPr="00B62815" w:rsidRDefault="00EA799D" w:rsidP="00A323B1">
      <w:pPr>
        <w:spacing w:after="160"/>
        <w:jc w:val="both"/>
        <w:rPr>
          <w:rFonts w:asciiTheme="minorHAnsi" w:hAnsiTheme="minorHAnsi" w:cstheme="minorHAnsi"/>
          <w:sz w:val="22"/>
          <w:szCs w:val="22"/>
          <w:lang w:val="es-AR"/>
        </w:rPr>
      </w:pPr>
      <w:r w:rsidRPr="00B62815">
        <w:rPr>
          <w:rFonts w:asciiTheme="minorHAnsi" w:hAnsiTheme="minorHAnsi" w:cstheme="minorHAnsi"/>
          <w:sz w:val="22"/>
          <w:szCs w:val="22"/>
          <w:lang w:val="es-US"/>
        </w:rPr>
        <w:t xml:space="preserve">En cuanto al manejo del Edificio Principal, se realizaron alrededor de 103 reservas de salones en el MNB para Misiones, organizaciones sin fines de lucro o privadas. Hubo 94 recepciones/almuerzos/cenas/conferencias. </w:t>
      </w:r>
      <w:r w:rsidR="001B6B1F" w:rsidRPr="00B62815">
        <w:rPr>
          <w:rFonts w:asciiTheme="minorHAnsi" w:hAnsiTheme="minorHAnsi" w:cstheme="minorHAnsi"/>
          <w:sz w:val="22"/>
          <w:szCs w:val="22"/>
          <w:lang w:val="es-US"/>
        </w:rPr>
        <w:t>Además,</w:t>
      </w:r>
      <w:r w:rsidRPr="00B62815">
        <w:rPr>
          <w:rFonts w:asciiTheme="minorHAnsi" w:hAnsiTheme="minorHAnsi" w:cstheme="minorHAnsi"/>
          <w:sz w:val="22"/>
          <w:szCs w:val="22"/>
          <w:lang w:val="es-US"/>
        </w:rPr>
        <w:t xml:space="preserve"> se apoyó </w:t>
      </w:r>
      <w:r w:rsidRPr="00B62815">
        <w:rPr>
          <w:rFonts w:asciiTheme="minorHAnsi" w:hAnsiTheme="minorHAnsi" w:cstheme="minorHAnsi"/>
          <w:sz w:val="22"/>
          <w:szCs w:val="22"/>
          <w:lang w:val="es-ES_tradnl"/>
        </w:rPr>
        <w:t>en eventos externos organizados por las Misiones como las “Semanas de los Países”, “Almuerzo con Perú”, entre</w:t>
      </w:r>
      <w:r w:rsidRPr="00B62815">
        <w:rPr>
          <w:rFonts w:asciiTheme="minorHAnsi" w:hAnsiTheme="minorHAnsi" w:cstheme="minorHAnsi"/>
          <w:sz w:val="22"/>
          <w:szCs w:val="22"/>
          <w:lang w:val="es-US"/>
        </w:rPr>
        <w:t xml:space="preserve"> otros, a OMA en organizar el “Festival de Comida de las Américas”, y se coordinó dos tés en la residencia del Secretario General.</w:t>
      </w:r>
    </w:p>
    <w:p w14:paraId="2EB86FEC" w14:textId="77777777" w:rsidR="00EA799D" w:rsidRPr="00B62815" w:rsidRDefault="00EA799D" w:rsidP="00A323B1">
      <w:pPr>
        <w:spacing w:after="16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Con el Departamento de Estado, se ingresó en el sistema E-Gov aproximadamente 2454 solicitudes cursadas para personal de Misiones y personal OEA (detalladas más adelante), incluyendo demás trámites a favor del personal diplomático/administrativo/doméstico/altos funcionarios de la OEA. Igualmente, se enviaron cartas a consulados estadounidenses solicitando visas en el extranjero para personal de Misiones y OEA. Además, se coordinó y gestionó </w:t>
      </w:r>
      <w:r w:rsidRPr="00B62815">
        <w:rPr>
          <w:rFonts w:asciiTheme="minorHAnsi" w:hAnsiTheme="minorHAnsi" w:cstheme="minorHAnsi"/>
          <w:i/>
          <w:sz w:val="22"/>
          <w:szCs w:val="22"/>
          <w:lang w:val="es-US"/>
        </w:rPr>
        <w:t>Escort Services</w:t>
      </w:r>
      <w:r w:rsidRPr="00B62815">
        <w:rPr>
          <w:rFonts w:asciiTheme="minorHAnsi" w:hAnsiTheme="minorHAnsi" w:cstheme="minorHAnsi"/>
          <w:sz w:val="22"/>
          <w:szCs w:val="22"/>
          <w:lang w:val="es-US"/>
        </w:rPr>
        <w:t xml:space="preserve"> para viajes del Secretario General (43 peticiones). </w:t>
      </w:r>
    </w:p>
    <w:p w14:paraId="74AA6DB9" w14:textId="77777777" w:rsidR="00EA799D" w:rsidRPr="00B62815" w:rsidRDefault="00EA799D" w:rsidP="00A323B1">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Finalmente, se enviaron notas verbales a las Misiones sobre trámites del Departamento de Estado, el uso del Edificio, celebraciones patrias, invitaciones de países miembros a eventos </w:t>
      </w:r>
      <w:r w:rsidRPr="00B62815">
        <w:rPr>
          <w:rFonts w:asciiTheme="minorHAnsi" w:hAnsiTheme="minorHAnsi" w:cstheme="minorHAnsi"/>
          <w:sz w:val="22"/>
          <w:szCs w:val="22"/>
          <w:lang w:val="es-US"/>
        </w:rPr>
        <w:lastRenderedPageBreak/>
        <w:t>oficiales/culturales, tarjetas navideñas del Secretario General; y se mantuvo actualizado el “Directorio de Misiones, Jefes de Estado, Altos Oficiales de Gobierno, Órganos de la OEA y Entidades Afiliadas” a través del Intranet, así como un calendario mensual de actividades y la gaceta diplomática bisemanal.</w:t>
      </w:r>
    </w:p>
    <w:p w14:paraId="49404CDD" w14:textId="77777777" w:rsidR="00EA799D" w:rsidRPr="00B62815" w:rsidRDefault="00EA799D" w:rsidP="00A323B1">
      <w:pPr>
        <w:jc w:val="both"/>
        <w:rPr>
          <w:rFonts w:asciiTheme="minorHAnsi" w:hAnsiTheme="minorHAnsi" w:cstheme="minorHAnsi"/>
          <w:sz w:val="22"/>
          <w:szCs w:val="22"/>
          <w:lang w:val="es-US"/>
        </w:rPr>
      </w:pPr>
    </w:p>
    <w:p w14:paraId="42D1A176" w14:textId="77777777" w:rsidR="00EA799D" w:rsidRPr="00B62815" w:rsidRDefault="00EA799D" w:rsidP="00A323B1">
      <w:pPr>
        <w:jc w:val="both"/>
        <w:rPr>
          <w:rFonts w:asciiTheme="minorHAnsi" w:hAnsiTheme="minorHAnsi" w:cstheme="minorHAnsi"/>
          <w:b/>
          <w:sz w:val="22"/>
          <w:szCs w:val="22"/>
          <w:lang w:val="es-ES_tradnl"/>
        </w:rPr>
      </w:pPr>
      <w:r w:rsidRPr="00B62815">
        <w:rPr>
          <w:rFonts w:asciiTheme="minorHAnsi" w:hAnsiTheme="minorHAnsi" w:cstheme="minorHAnsi"/>
          <w:b/>
          <w:sz w:val="22"/>
          <w:szCs w:val="22"/>
          <w:lang w:val="es-ES_tradnl"/>
        </w:rPr>
        <w:t>Listado y especificaciones de logros discutidos en la sección anterior:</w:t>
      </w:r>
    </w:p>
    <w:p w14:paraId="7F2C0A46" w14:textId="77777777" w:rsidR="00EA799D" w:rsidRPr="00B62815" w:rsidRDefault="00EA799D" w:rsidP="00A323B1">
      <w:pPr>
        <w:jc w:val="both"/>
        <w:rPr>
          <w:rFonts w:asciiTheme="minorHAnsi" w:hAnsiTheme="minorHAnsi" w:cstheme="minorHAnsi"/>
          <w:sz w:val="22"/>
          <w:szCs w:val="22"/>
          <w:lang w:val="es-ES_tradnl"/>
        </w:rPr>
      </w:pPr>
    </w:p>
    <w:p w14:paraId="57931A89" w14:textId="77777777" w:rsidR="00EA799D" w:rsidRPr="00B62815" w:rsidRDefault="00EA799D" w:rsidP="00A323B1">
      <w:pPr>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*Detalles de eventos destacados:</w:t>
      </w:r>
    </w:p>
    <w:p w14:paraId="416DE465" w14:textId="77777777" w:rsidR="00EA799D" w:rsidRPr="00B62815" w:rsidRDefault="00EA799D" w:rsidP="00A323B1">
      <w:pPr>
        <w:jc w:val="both"/>
        <w:rPr>
          <w:rFonts w:asciiTheme="minorHAnsi" w:hAnsiTheme="minorHAnsi" w:cstheme="minorHAnsi"/>
          <w:sz w:val="22"/>
          <w:szCs w:val="22"/>
          <w:lang w:val="es-ES_tradnl"/>
        </w:rPr>
      </w:pPr>
    </w:p>
    <w:p w14:paraId="2FDFBC60" w14:textId="77777777" w:rsidR="00EA799D" w:rsidRPr="00B62815" w:rsidRDefault="00EA799D" w:rsidP="00E67635">
      <w:pPr>
        <w:pStyle w:val="ListParagraph"/>
        <w:numPr>
          <w:ilvl w:val="0"/>
          <w:numId w:val="21"/>
        </w:numPr>
        <w:contextualSpacing/>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Sesiones protocolares: Natalicio de Simón Bolívar, Encuentro de Dos Mundos, Semana Panamericana, Visitas de los Presidentes de Colombia, Honduras, Ecuador.</w:t>
      </w:r>
    </w:p>
    <w:p w14:paraId="354A85DE" w14:textId="77777777" w:rsidR="00EA799D" w:rsidRPr="00B62815" w:rsidRDefault="00EA799D" w:rsidP="00E67635">
      <w:pPr>
        <w:pStyle w:val="ListParagraph"/>
        <w:numPr>
          <w:ilvl w:val="0"/>
          <w:numId w:val="21"/>
        </w:numPr>
        <w:contextualSpacing/>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P</w:t>
      </w:r>
      <w:r w:rsidRPr="00B62815">
        <w:rPr>
          <w:rFonts w:asciiTheme="minorHAnsi" w:hAnsiTheme="minorHAnsi" w:cstheme="minorHAnsi"/>
          <w:sz w:val="22"/>
          <w:szCs w:val="22"/>
          <w:lang w:val="es-ES_tradnl"/>
        </w:rPr>
        <w:t>lanificación y gestión de donaciones al patrimonio cultural: “</w:t>
      </w:r>
      <w:r w:rsidRPr="00B62815">
        <w:rPr>
          <w:rFonts w:asciiTheme="minorHAnsi" w:hAnsiTheme="minorHAnsi" w:cstheme="minorHAnsi"/>
          <w:sz w:val="22"/>
          <w:szCs w:val="22"/>
          <w:lang w:val="es-US"/>
        </w:rPr>
        <w:t>Ceremonia de Inauguración de Estatuas en el Jardín del Edificio Principal”.</w:t>
      </w:r>
    </w:p>
    <w:p w14:paraId="06FE6B12" w14:textId="77777777" w:rsidR="00EA799D" w:rsidRPr="00B62815" w:rsidRDefault="00EA799D" w:rsidP="00A323B1">
      <w:pPr>
        <w:jc w:val="both"/>
        <w:rPr>
          <w:rFonts w:asciiTheme="minorHAnsi" w:hAnsiTheme="minorHAnsi" w:cstheme="minorHAnsi"/>
          <w:sz w:val="22"/>
          <w:szCs w:val="22"/>
          <w:lang w:val="es-ES"/>
        </w:rPr>
      </w:pPr>
    </w:p>
    <w:p w14:paraId="695E47B6" w14:textId="77777777" w:rsidR="00EA799D" w:rsidRPr="00B62815" w:rsidRDefault="00EA799D" w:rsidP="00A323B1">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*Trámites ante el Departamento de Estado </w:t>
      </w:r>
      <w:r w:rsidRPr="00B62815">
        <w:rPr>
          <w:rFonts w:asciiTheme="minorHAnsi" w:hAnsiTheme="minorHAnsi" w:cstheme="minorHAnsi"/>
          <w:sz w:val="22"/>
          <w:szCs w:val="22"/>
          <w:lang w:val="es-US"/>
        </w:rPr>
        <w:t>a favor del personal de Misiones y OEA:</w:t>
      </w:r>
    </w:p>
    <w:p w14:paraId="60F1F778" w14:textId="77777777" w:rsidR="00EA799D" w:rsidRPr="00B62815" w:rsidRDefault="00EA799D" w:rsidP="00A323B1">
      <w:pPr>
        <w:jc w:val="both"/>
        <w:rPr>
          <w:rFonts w:asciiTheme="minorHAnsi" w:hAnsiTheme="minorHAnsi" w:cstheme="minorHAnsi"/>
          <w:sz w:val="22"/>
          <w:szCs w:val="22"/>
          <w:lang w:val="es-ES"/>
        </w:rPr>
      </w:pPr>
    </w:p>
    <w:p w14:paraId="3DAF9514" w14:textId="77777777" w:rsidR="00EA799D" w:rsidRPr="00B62815" w:rsidRDefault="00EA799D" w:rsidP="00E67635">
      <w:pPr>
        <w:pStyle w:val="ListParagraph"/>
        <w:numPr>
          <w:ilvl w:val="0"/>
          <w:numId w:val="22"/>
        </w:numPr>
        <w:contextualSpacing/>
        <w:jc w:val="both"/>
        <w:rPr>
          <w:rFonts w:asciiTheme="minorHAnsi" w:hAnsiTheme="minorHAnsi" w:cstheme="minorHAnsi"/>
          <w:sz w:val="22"/>
          <w:szCs w:val="22"/>
          <w:lang w:val="es-AR"/>
        </w:rPr>
      </w:pPr>
      <w:r w:rsidRPr="00B62815">
        <w:rPr>
          <w:rFonts w:asciiTheme="minorHAnsi" w:hAnsiTheme="minorHAnsi" w:cstheme="minorHAnsi"/>
          <w:sz w:val="22"/>
          <w:szCs w:val="22"/>
          <w:lang w:val="es-ES"/>
        </w:rPr>
        <w:t>Personal diplomático de Misiones: A</w:t>
      </w:r>
      <w:r w:rsidRPr="00B62815">
        <w:rPr>
          <w:rFonts w:asciiTheme="minorHAnsi" w:hAnsiTheme="minorHAnsi" w:cstheme="minorHAnsi"/>
          <w:sz w:val="22"/>
          <w:szCs w:val="22"/>
          <w:lang w:val="es-US"/>
        </w:rPr>
        <w:t>creditaciones, terminaciones de funciones, cambios/renovaciones de visas, extensiones de estadías, permisos/renovaciones de trabajo, importación/adquisición de artículos libres de impuestos, obtención/renovación de tarjetas de exoneración de impuesto/carnets de conducir, solicitudes relacionadas con registro/renovación de registros, verificación de seguros, venta/exportación de vehículos.</w:t>
      </w:r>
    </w:p>
    <w:p w14:paraId="13F6FBFB" w14:textId="77777777" w:rsidR="00EA799D" w:rsidRPr="00B62815" w:rsidRDefault="00EA799D" w:rsidP="00E67635">
      <w:pPr>
        <w:pStyle w:val="ListParagraph"/>
        <w:numPr>
          <w:ilvl w:val="0"/>
          <w:numId w:val="22"/>
        </w:numPr>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Personal no diplomático de Misiones: cartas para licencias de conducir.</w:t>
      </w:r>
    </w:p>
    <w:p w14:paraId="052D8C40" w14:textId="77777777" w:rsidR="00EA799D" w:rsidRPr="00B62815" w:rsidRDefault="00EA799D" w:rsidP="00E67635">
      <w:pPr>
        <w:pStyle w:val="ListParagraph"/>
        <w:numPr>
          <w:ilvl w:val="0"/>
          <w:numId w:val="22"/>
        </w:numPr>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Personal OEA: Renovaciones de visa, 660 cartas para licencias de conducir para personal OEA, ocho acreditaciones a reuniones de las NN.UU para el SG y altos funcionarios. </w:t>
      </w:r>
    </w:p>
    <w:p w14:paraId="3F6A3257" w14:textId="77777777" w:rsidR="00EA799D" w:rsidRPr="00B62815" w:rsidRDefault="00EA799D" w:rsidP="00EA799D">
      <w:pPr>
        <w:rPr>
          <w:rFonts w:asciiTheme="minorHAnsi" w:hAnsiTheme="minorHAnsi" w:cstheme="minorHAnsi"/>
          <w:sz w:val="22"/>
          <w:szCs w:val="22"/>
          <w:lang w:val="es-US"/>
        </w:rPr>
      </w:pPr>
    </w:p>
    <w:p w14:paraId="681A0B32" w14:textId="77777777" w:rsidR="00EA799D" w:rsidRPr="00B62815" w:rsidRDefault="00EA799D" w:rsidP="00EA799D">
      <w:pPr>
        <w:rPr>
          <w:rFonts w:asciiTheme="minorHAnsi" w:hAnsiTheme="minorHAnsi" w:cstheme="minorHAnsi"/>
          <w:b/>
          <w:i/>
          <w:sz w:val="22"/>
          <w:szCs w:val="22"/>
          <w:lang w:val="es-US"/>
        </w:rPr>
      </w:pPr>
      <w:r w:rsidRPr="00B62815">
        <w:rPr>
          <w:rFonts w:asciiTheme="minorHAnsi" w:hAnsiTheme="minorHAnsi" w:cstheme="minorHAnsi"/>
          <w:b/>
          <w:i/>
          <w:sz w:val="22"/>
          <w:szCs w:val="22"/>
          <w:lang w:val="es-US"/>
        </w:rPr>
        <w:t>Links con información sobre servicios de la Oficina de Protocolo:</w:t>
      </w:r>
    </w:p>
    <w:p w14:paraId="4A2C63F7" w14:textId="77777777" w:rsidR="00EA799D" w:rsidRPr="00B62815" w:rsidRDefault="00EA799D" w:rsidP="00EA799D">
      <w:pPr>
        <w:rPr>
          <w:rFonts w:asciiTheme="minorHAnsi" w:hAnsiTheme="minorHAnsi" w:cstheme="minorHAnsi"/>
          <w:b/>
          <w:i/>
          <w:sz w:val="22"/>
          <w:szCs w:val="22"/>
          <w:lang w:val="es-US"/>
        </w:rPr>
      </w:pPr>
    </w:p>
    <w:p w14:paraId="2403DCAA" w14:textId="77777777" w:rsidR="00EA799D" w:rsidRPr="00B62815" w:rsidRDefault="00573283" w:rsidP="00EA799D">
      <w:pPr>
        <w:rPr>
          <w:rFonts w:asciiTheme="minorHAnsi" w:hAnsiTheme="minorHAnsi" w:cstheme="minorHAnsi"/>
          <w:b/>
          <w:i/>
          <w:sz w:val="22"/>
          <w:szCs w:val="22"/>
          <w:lang w:val="es-US"/>
        </w:rPr>
      </w:pPr>
      <w:hyperlink r:id="rId20" w:history="1">
        <w:r w:rsidR="00EA799D" w:rsidRPr="00B62815">
          <w:rPr>
            <w:rStyle w:val="Hyperlink"/>
            <w:rFonts w:asciiTheme="minorHAnsi" w:hAnsiTheme="minorHAnsi" w:cstheme="minorHAnsi"/>
            <w:sz w:val="22"/>
            <w:szCs w:val="22"/>
            <w:lang w:val="es-US"/>
          </w:rPr>
          <w:t>http://www.oas.org/en/protocol/</w:t>
        </w:r>
      </w:hyperlink>
      <w:r w:rsidR="00EA799D" w:rsidRPr="00B62815">
        <w:rPr>
          <w:rFonts w:asciiTheme="minorHAnsi" w:hAnsiTheme="minorHAnsi" w:cstheme="minorHAnsi"/>
          <w:sz w:val="22"/>
          <w:szCs w:val="22"/>
          <w:lang w:val="es-US"/>
        </w:rPr>
        <w:t xml:space="preserve"> ; </w:t>
      </w:r>
      <w:hyperlink r:id="rId21" w:history="1">
        <w:r w:rsidR="00EA799D" w:rsidRPr="00B62815">
          <w:rPr>
            <w:rStyle w:val="Hyperlink"/>
            <w:rFonts w:asciiTheme="minorHAnsi" w:hAnsiTheme="minorHAnsi" w:cstheme="minorHAnsi"/>
            <w:sz w:val="22"/>
            <w:szCs w:val="22"/>
            <w:lang w:val="es-US"/>
          </w:rPr>
          <w:t>https://www.oas.org/en/protocol/use_main_building.asp</w:t>
        </w:r>
      </w:hyperlink>
      <w:r w:rsidR="00EA799D" w:rsidRPr="00B62815">
        <w:rPr>
          <w:rFonts w:asciiTheme="minorHAnsi" w:hAnsiTheme="minorHAnsi" w:cstheme="minorHAnsi"/>
          <w:sz w:val="22"/>
          <w:szCs w:val="22"/>
          <w:lang w:val="es-US"/>
        </w:rPr>
        <w:t xml:space="preserve"> </w:t>
      </w:r>
    </w:p>
    <w:p w14:paraId="433528BE" w14:textId="77777777" w:rsidR="00EA799D" w:rsidRPr="00B62815" w:rsidRDefault="00EA799D" w:rsidP="00EA799D">
      <w:pPr>
        <w:rPr>
          <w:rFonts w:asciiTheme="minorHAnsi" w:hAnsiTheme="minorHAnsi" w:cstheme="minorHAnsi"/>
          <w:b/>
          <w:i/>
          <w:sz w:val="22"/>
          <w:szCs w:val="22"/>
          <w:lang w:val="es-US"/>
        </w:rPr>
      </w:pPr>
    </w:p>
    <w:p w14:paraId="6968E9B2" w14:textId="77777777" w:rsidR="00EA799D" w:rsidRPr="00B62815" w:rsidRDefault="00EA799D" w:rsidP="00EA799D">
      <w:pPr>
        <w:rPr>
          <w:rFonts w:asciiTheme="minorHAnsi" w:hAnsiTheme="minorHAnsi" w:cstheme="minorHAnsi"/>
          <w:b/>
          <w:sz w:val="22"/>
          <w:szCs w:val="22"/>
          <w:lang w:val="es-PE"/>
        </w:rPr>
      </w:pPr>
      <w:r w:rsidRPr="00B62815">
        <w:rPr>
          <w:rFonts w:asciiTheme="minorHAnsi" w:hAnsiTheme="minorHAnsi" w:cstheme="minorHAnsi"/>
          <w:b/>
          <w:sz w:val="22"/>
          <w:szCs w:val="22"/>
          <w:lang w:val="es-PE"/>
        </w:rPr>
        <w:t>Imágenes de eventos destacados:</w:t>
      </w:r>
    </w:p>
    <w:p w14:paraId="78DA4859" w14:textId="77777777" w:rsidR="00EA799D" w:rsidRPr="00B62815" w:rsidRDefault="001C2CF3" w:rsidP="00EA799D">
      <w:pPr>
        <w:rPr>
          <w:rFonts w:asciiTheme="minorHAnsi" w:hAnsiTheme="minorHAnsi" w:cstheme="minorHAnsi"/>
          <w:b/>
          <w:i/>
          <w:sz w:val="22"/>
          <w:szCs w:val="22"/>
          <w:lang w:val="es-PE"/>
        </w:rPr>
      </w:pPr>
      <w:r w:rsidRPr="00B62815">
        <w:rPr>
          <w:rFonts w:asciiTheme="minorHAnsi" w:hAnsiTheme="minorHAnsi" w:cstheme="minorHAnsi"/>
          <w:noProof/>
          <w:sz w:val="22"/>
          <w:szCs w:val="22"/>
        </w:rPr>
        <w:lastRenderedPageBreak/>
        <w:drawing>
          <wp:anchor distT="0" distB="0" distL="114300" distR="114300" simplePos="0" relativeHeight="251650048" behindDoc="0" locked="0" layoutInCell="1" allowOverlap="1" wp14:anchorId="4986F132" wp14:editId="58DFF7BC">
            <wp:simplePos x="0" y="0"/>
            <wp:positionH relativeFrom="column">
              <wp:posOffset>3133090</wp:posOffset>
            </wp:positionH>
            <wp:positionV relativeFrom="paragraph">
              <wp:posOffset>78740</wp:posOffset>
            </wp:positionV>
            <wp:extent cx="3040380" cy="2154555"/>
            <wp:effectExtent l="0" t="0" r="0" b="0"/>
            <wp:wrapNone/>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40380" cy="2154555"/>
                    </a:xfrm>
                    <a:prstGeom prst="rect">
                      <a:avLst/>
                    </a:prstGeom>
                    <a:noFill/>
                  </pic:spPr>
                </pic:pic>
              </a:graphicData>
            </a:graphic>
            <wp14:sizeRelH relativeFrom="page">
              <wp14:pctWidth>0</wp14:pctWidth>
            </wp14:sizeRelH>
            <wp14:sizeRelV relativeFrom="page">
              <wp14:pctHeight>0</wp14:pctHeight>
            </wp14:sizeRelV>
          </wp:anchor>
        </w:drawing>
      </w:r>
    </w:p>
    <w:p w14:paraId="691673BE" w14:textId="77777777" w:rsidR="00EA799D" w:rsidRPr="00B62815" w:rsidRDefault="001C2CF3" w:rsidP="00EA799D">
      <w:pPr>
        <w:rPr>
          <w:rFonts w:asciiTheme="minorHAnsi" w:hAnsiTheme="minorHAnsi" w:cstheme="minorHAnsi"/>
          <w:b/>
          <w:i/>
          <w:noProof/>
          <w:sz w:val="22"/>
          <w:szCs w:val="22"/>
          <w:lang w:val="es-PE"/>
        </w:rPr>
      </w:pPr>
      <w:r w:rsidRPr="00B62815">
        <w:rPr>
          <w:rFonts w:asciiTheme="minorHAnsi" w:hAnsiTheme="minorHAnsi" w:cstheme="minorHAnsi"/>
          <w:noProof/>
          <w:sz w:val="22"/>
          <w:szCs w:val="22"/>
        </w:rPr>
        <mc:AlternateContent>
          <mc:Choice Requires="wps">
            <w:drawing>
              <wp:anchor distT="45720" distB="45720" distL="114300" distR="114300" simplePos="0" relativeHeight="251648000" behindDoc="0" locked="0" layoutInCell="1" allowOverlap="1" wp14:anchorId="232FC8B5" wp14:editId="7B338052">
                <wp:simplePos x="0" y="0"/>
                <wp:positionH relativeFrom="column">
                  <wp:posOffset>3132455</wp:posOffset>
                </wp:positionH>
                <wp:positionV relativeFrom="paragraph">
                  <wp:posOffset>2225675</wp:posOffset>
                </wp:positionV>
                <wp:extent cx="3040380" cy="649605"/>
                <wp:effectExtent l="0" t="0" r="1905"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E49B4" w14:textId="77777777" w:rsidR="00B22AF2" w:rsidRPr="00EA799D" w:rsidRDefault="00B22AF2" w:rsidP="00EA799D">
                            <w:pPr>
                              <w:jc w:val="center"/>
                              <w:rPr>
                                <w:rFonts w:cs="Calibri"/>
                                <w:i/>
                                <w:szCs w:val="23"/>
                                <w:lang w:val="es-US"/>
                              </w:rPr>
                            </w:pPr>
                            <w:r w:rsidRPr="00A323B1">
                              <w:rPr>
                                <w:rFonts w:cs="Calibri"/>
                                <w:i/>
                                <w:szCs w:val="23"/>
                                <w:lang w:val="es-US"/>
                              </w:rPr>
                              <w:t>Ceremonia de Inauguración de Estatuas de Greg Wyatt en el Jardín del Edificio Principal OEA</w:t>
                            </w:r>
                            <w:r w:rsidRPr="00EA799D">
                              <w:rPr>
                                <w:rFonts w:cs="Calibri"/>
                                <w:i/>
                                <w:noProof/>
                                <w:szCs w:val="23"/>
                                <w:lang w:val="es-US"/>
                              </w:rPr>
                              <w:t xml:space="preserve"> – 09.04.2019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232FC8B5" id="_x0000_t202" coordsize="21600,21600" o:spt="202" path="m,l,21600r21600,l21600,xe">
                <v:stroke joinstyle="miter"/>
                <v:path gradientshapeok="t" o:connecttype="rect"/>
              </v:shapetype>
              <v:shape id="Text Box 2" o:spid="_x0000_s1026" type="#_x0000_t202" style="position:absolute;margin-left:246.65pt;margin-top:175.25pt;width:239.4pt;height:51.1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" stroked="f">
                <v:textbox style="mso-fit-shape-to-text:t">
                  <w:txbxContent>
                    <w:p w14:paraId="1B1E49B4" w14:textId="77777777" w:rsidR="00B22AF2" w:rsidRPr="00EA799D" w:rsidRDefault="00B22AF2" w:rsidP="00EA799D">
                      <w:pPr>
                        <w:jc w:val="center"/>
                        <w:rPr>
                          <w:rFonts w:cs="Calibri"/>
                          <w:i/>
                          <w:szCs w:val="23"/>
                          <w:lang w:val="es-US"/>
                        </w:rPr>
                      </w:pPr>
                      <w:r w:rsidRPr="00A323B1">
                        <w:rPr>
                          <w:rFonts w:cs="Calibri"/>
                          <w:i/>
                          <w:szCs w:val="23"/>
                          <w:lang w:val="es-US"/>
                        </w:rPr>
                        <w:t xml:space="preserve">Ceremonia de Inauguración de Estatuas de Greg </w:t>
                      </w:r>
                      <w:proofErr w:type="spellStart"/>
                      <w:r w:rsidRPr="00A323B1">
                        <w:rPr>
                          <w:rFonts w:cs="Calibri"/>
                          <w:i/>
                          <w:szCs w:val="23"/>
                          <w:lang w:val="es-US"/>
                        </w:rPr>
                        <w:t>Wyatt</w:t>
                      </w:r>
                      <w:proofErr w:type="spellEnd"/>
                      <w:r w:rsidRPr="00A323B1">
                        <w:rPr>
                          <w:rFonts w:cs="Calibri"/>
                          <w:i/>
                          <w:szCs w:val="23"/>
                          <w:lang w:val="es-US"/>
                        </w:rPr>
                        <w:t xml:space="preserve"> en el Jardín del Edificio Principal OEA</w:t>
                      </w:r>
                      <w:r w:rsidRPr="00EA799D">
                        <w:rPr>
                          <w:rFonts w:cs="Calibri"/>
                          <w:i/>
                          <w:noProof/>
                          <w:szCs w:val="23"/>
                          <w:lang w:val="es-US"/>
                        </w:rPr>
                        <w:t xml:space="preserve"> – 09.04.2019</w:t>
                      </w:r>
                    </w:p>
                  </w:txbxContent>
                </v:textbox>
                <w10:wrap type="square"/>
              </v:shape>
            </w:pict>
          </mc:Fallback>
        </mc:AlternateContent>
      </w:r>
      <w:r w:rsidRPr="00B62815">
        <w:rPr>
          <w:rFonts w:asciiTheme="minorHAnsi" w:hAnsiTheme="minorHAnsi" w:cstheme="minorHAnsi"/>
          <w:b/>
          <w:i/>
          <w:noProof/>
          <w:sz w:val="22"/>
          <w:szCs w:val="22"/>
        </w:rPr>
        <w:drawing>
          <wp:inline distT="0" distB="0" distL="0" distR="0" wp14:anchorId="01CECF51" wp14:editId="75F3FDE9">
            <wp:extent cx="3035300" cy="2146300"/>
            <wp:effectExtent l="0" t="0" r="0" b="0"/>
            <wp:docPr id="1" name="Picture 1" descr="Foto: Nicolás Galeano - Presi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Nicolás Galeano - Presidencia"/>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35300" cy="2146300"/>
                    </a:xfrm>
                    <a:prstGeom prst="rect">
                      <a:avLst/>
                    </a:prstGeom>
                    <a:noFill/>
                    <a:ln>
                      <a:noFill/>
                    </a:ln>
                  </pic:spPr>
                </pic:pic>
              </a:graphicData>
            </a:graphic>
          </wp:inline>
        </w:drawing>
      </w:r>
      <w:r w:rsidR="00EA799D" w:rsidRPr="00B62815">
        <w:rPr>
          <w:rFonts w:asciiTheme="minorHAnsi" w:hAnsiTheme="minorHAnsi" w:cstheme="minorHAnsi"/>
          <w:b/>
          <w:i/>
          <w:noProof/>
          <w:sz w:val="22"/>
          <w:szCs w:val="22"/>
          <w:lang w:val="es-PE"/>
        </w:rPr>
        <w:t xml:space="preserve"> </w:t>
      </w:r>
    </w:p>
    <w:p w14:paraId="1D633224" w14:textId="77777777" w:rsidR="000A014F" w:rsidRPr="00B62815" w:rsidRDefault="000A014F" w:rsidP="00D5464C">
      <w:pPr>
        <w:pStyle w:val="ListParagraph"/>
        <w:spacing w:after="200" w:line="276" w:lineRule="auto"/>
        <w:ind w:left="0"/>
        <w:contextualSpacing/>
        <w:rPr>
          <w:rFonts w:asciiTheme="minorHAnsi" w:hAnsiTheme="minorHAnsi" w:cstheme="minorHAnsi"/>
          <w:b/>
          <w:sz w:val="22"/>
          <w:szCs w:val="22"/>
          <w:lang w:val="es-ES"/>
        </w:rPr>
      </w:pPr>
    </w:p>
    <w:p w14:paraId="01875B0F" w14:textId="77777777" w:rsidR="00DF679A" w:rsidRPr="00B62815" w:rsidRDefault="00DF679A" w:rsidP="00D5464C">
      <w:pPr>
        <w:pStyle w:val="ListParagraph"/>
        <w:spacing w:after="200" w:line="276" w:lineRule="auto"/>
        <w:ind w:left="0"/>
        <w:contextualSpacing/>
        <w:rPr>
          <w:rFonts w:asciiTheme="minorHAnsi" w:hAnsiTheme="minorHAnsi" w:cstheme="minorHAnsi"/>
          <w:b/>
          <w:sz w:val="22"/>
          <w:szCs w:val="22"/>
          <w:lang w:val="es-ES"/>
        </w:rPr>
      </w:pPr>
    </w:p>
    <w:p w14:paraId="40BD08F8" w14:textId="77777777" w:rsidR="00EA799D" w:rsidRPr="00B62815" w:rsidRDefault="00EA799D" w:rsidP="00CE4125">
      <w:pPr>
        <w:pStyle w:val="ListParagraph"/>
        <w:spacing w:after="200"/>
        <w:ind w:left="0"/>
        <w:contextualSpacing/>
        <w:outlineLvl w:val="1"/>
        <w:rPr>
          <w:rFonts w:asciiTheme="minorHAnsi" w:hAnsiTheme="minorHAnsi" w:cstheme="minorHAnsi"/>
          <w:b/>
          <w:color w:val="1F497D"/>
          <w:sz w:val="22"/>
          <w:szCs w:val="22"/>
          <w:lang w:val="es-ES"/>
        </w:rPr>
      </w:pPr>
    </w:p>
    <w:p w14:paraId="2F0DE69E" w14:textId="77777777" w:rsidR="00EA799D" w:rsidRPr="00B62815" w:rsidRDefault="00EA799D" w:rsidP="00CE4125">
      <w:pPr>
        <w:pStyle w:val="ListParagraph"/>
        <w:spacing w:after="200"/>
        <w:ind w:left="0"/>
        <w:contextualSpacing/>
        <w:outlineLvl w:val="1"/>
        <w:rPr>
          <w:rFonts w:asciiTheme="minorHAnsi" w:hAnsiTheme="minorHAnsi" w:cstheme="minorHAnsi"/>
          <w:b/>
          <w:color w:val="1F497D"/>
          <w:sz w:val="22"/>
          <w:szCs w:val="22"/>
          <w:lang w:val="es-ES"/>
        </w:rPr>
      </w:pPr>
    </w:p>
    <w:p w14:paraId="49AD9A25" w14:textId="77777777" w:rsidR="001B6B1F" w:rsidRPr="00B62815" w:rsidRDefault="001B6B1F" w:rsidP="00CE4125">
      <w:pPr>
        <w:pStyle w:val="ListParagraph"/>
        <w:spacing w:after="200"/>
        <w:ind w:left="0"/>
        <w:contextualSpacing/>
        <w:outlineLvl w:val="1"/>
        <w:rPr>
          <w:rFonts w:asciiTheme="minorHAnsi" w:hAnsiTheme="minorHAnsi" w:cstheme="minorHAnsi"/>
          <w:b/>
          <w:color w:val="1F497D"/>
          <w:sz w:val="22"/>
          <w:szCs w:val="22"/>
          <w:lang w:val="es-ES"/>
        </w:rPr>
      </w:pPr>
    </w:p>
    <w:p w14:paraId="23FF49A5" w14:textId="77777777" w:rsidR="008646CD" w:rsidRPr="00B62815" w:rsidRDefault="00C329E8" w:rsidP="00CE4125">
      <w:pPr>
        <w:pStyle w:val="ListParagraph"/>
        <w:spacing w:after="200"/>
        <w:ind w:left="0"/>
        <w:contextualSpacing/>
        <w:outlineLvl w:val="1"/>
        <w:rPr>
          <w:rFonts w:asciiTheme="minorHAnsi" w:hAnsiTheme="minorHAnsi" w:cstheme="minorHAnsi"/>
          <w:b/>
          <w:color w:val="1F497D"/>
          <w:sz w:val="22"/>
          <w:szCs w:val="22"/>
          <w:lang w:val="es-ES"/>
        </w:rPr>
      </w:pPr>
      <w:bookmarkStart w:id="16" w:name="_Toc39675827"/>
      <w:bookmarkStart w:id="17" w:name="_Toc40191050"/>
      <w:r w:rsidRPr="00B62815">
        <w:rPr>
          <w:rFonts w:asciiTheme="minorHAnsi" w:hAnsiTheme="minorHAnsi" w:cstheme="minorHAnsi"/>
          <w:b/>
          <w:color w:val="1F497D"/>
          <w:sz w:val="22"/>
          <w:szCs w:val="22"/>
          <w:lang w:val="es-ES"/>
        </w:rPr>
        <w:t>2.2.</w:t>
      </w:r>
      <w:r w:rsidRPr="00B62815">
        <w:rPr>
          <w:rFonts w:asciiTheme="minorHAnsi" w:hAnsiTheme="minorHAnsi" w:cstheme="minorHAnsi"/>
          <w:b/>
          <w:color w:val="1F497D"/>
          <w:sz w:val="22"/>
          <w:szCs w:val="22"/>
          <w:lang w:val="es-ES"/>
        </w:rPr>
        <w:tab/>
        <w:t>OFICINA DEL SECRETARIO GENERAL ADJUNTO</w:t>
      </w:r>
      <w:bookmarkEnd w:id="16"/>
      <w:bookmarkEnd w:id="17"/>
    </w:p>
    <w:p w14:paraId="13B90E5E" w14:textId="77777777" w:rsidR="008646CD" w:rsidRPr="00B62815" w:rsidRDefault="008646CD" w:rsidP="00DF679A">
      <w:pPr>
        <w:pStyle w:val="ListParagraph"/>
        <w:spacing w:after="200"/>
        <w:ind w:left="0"/>
        <w:contextualSpacing/>
        <w:jc w:val="both"/>
        <w:rPr>
          <w:rFonts w:asciiTheme="minorHAnsi" w:hAnsiTheme="minorHAnsi" w:cstheme="minorHAnsi"/>
          <w:b/>
          <w:sz w:val="22"/>
          <w:szCs w:val="22"/>
          <w:lang w:val="es-ES"/>
        </w:rPr>
      </w:pPr>
    </w:p>
    <w:p w14:paraId="3D68F44E" w14:textId="77777777" w:rsidR="00DF679A" w:rsidRPr="00B62815" w:rsidRDefault="00DF679A" w:rsidP="00CE4125">
      <w:pPr>
        <w:pStyle w:val="ListParagraph"/>
        <w:spacing w:after="200"/>
        <w:ind w:left="0"/>
        <w:contextualSpacing/>
        <w:jc w:val="both"/>
        <w:outlineLvl w:val="2"/>
        <w:rPr>
          <w:rFonts w:asciiTheme="minorHAnsi" w:hAnsiTheme="minorHAnsi" w:cstheme="minorHAnsi"/>
          <w:color w:val="E36C0A"/>
          <w:sz w:val="22"/>
          <w:szCs w:val="22"/>
          <w:lang w:val="es-ES"/>
        </w:rPr>
      </w:pPr>
      <w:bookmarkStart w:id="18" w:name="_Toc39675828"/>
      <w:bookmarkStart w:id="19" w:name="_Toc40191051"/>
      <w:r w:rsidRPr="00B62815">
        <w:rPr>
          <w:rFonts w:asciiTheme="minorHAnsi" w:hAnsiTheme="minorHAnsi" w:cstheme="minorHAnsi"/>
          <w:color w:val="E36C0A"/>
          <w:sz w:val="22"/>
          <w:szCs w:val="22"/>
          <w:lang w:val="es-ES"/>
        </w:rPr>
        <w:t>2.2.1</w:t>
      </w:r>
      <w:r w:rsidRPr="00B62815">
        <w:rPr>
          <w:rFonts w:asciiTheme="minorHAnsi" w:hAnsiTheme="minorHAnsi" w:cstheme="minorHAnsi"/>
          <w:color w:val="E36C0A"/>
          <w:sz w:val="22"/>
          <w:szCs w:val="22"/>
          <w:lang w:val="es-ES"/>
        </w:rPr>
        <w:tab/>
        <w:t>Jefatura de Gabinete del Secretario General Adjunto</w:t>
      </w:r>
      <w:bookmarkEnd w:id="18"/>
      <w:bookmarkEnd w:id="19"/>
    </w:p>
    <w:p w14:paraId="7E712B19" w14:textId="77777777" w:rsidR="00190B0E" w:rsidRPr="00B62815" w:rsidRDefault="00190B0E" w:rsidP="00190B0E">
      <w:pPr>
        <w:spacing w:after="160" w:line="256" w:lineRule="auto"/>
        <w:jc w:val="both"/>
        <w:rPr>
          <w:rFonts w:asciiTheme="minorHAnsi" w:eastAsia="Calibri" w:hAnsiTheme="minorHAnsi" w:cstheme="minorHAnsi"/>
          <w:b/>
          <w:sz w:val="22"/>
          <w:szCs w:val="22"/>
          <w:lang w:val="es-EC"/>
        </w:rPr>
      </w:pPr>
      <w:r w:rsidRPr="00B62815">
        <w:rPr>
          <w:rFonts w:asciiTheme="minorHAnsi" w:eastAsia="Calibri" w:hAnsiTheme="minorHAnsi" w:cstheme="minorHAnsi"/>
          <w:b/>
          <w:sz w:val="22"/>
          <w:szCs w:val="22"/>
          <w:lang w:val="es-EC"/>
        </w:rPr>
        <w:lastRenderedPageBreak/>
        <w:t xml:space="preserve">Semana Interamericana para los Afrodescendientes en las Américas  </w:t>
      </w:r>
    </w:p>
    <w:p w14:paraId="568F6B52" w14:textId="77777777" w:rsidR="00190B0E" w:rsidRPr="00B62815" w:rsidRDefault="00190B0E" w:rsidP="00190B0E">
      <w:pPr>
        <w:spacing w:after="160" w:line="256" w:lineRule="auto"/>
        <w:jc w:val="both"/>
        <w:rPr>
          <w:rFonts w:asciiTheme="minorHAnsi" w:eastAsia="Calibri" w:hAnsiTheme="minorHAnsi" w:cstheme="minorHAnsi"/>
          <w:sz w:val="22"/>
          <w:szCs w:val="22"/>
          <w:lang w:val="es-EC"/>
        </w:rPr>
      </w:pPr>
      <w:r w:rsidRPr="00B62815">
        <w:rPr>
          <w:rFonts w:asciiTheme="minorHAnsi" w:eastAsia="Calibri" w:hAnsiTheme="minorHAnsi" w:cstheme="minorHAnsi"/>
          <w:sz w:val="22"/>
          <w:szCs w:val="22"/>
          <w:lang w:val="es-EC"/>
        </w:rPr>
        <w:t xml:space="preserve">En 2019 la Oficina del Secretario General Adjunto continuó su papel de liderazgo en la planificación y ejecución de actividades para conmemorar la Segunda Semana Interamericana para los Afrodescendientes en las Américas. Con el tema “Recordando la esclavitud: El poder de las artes para la Justicia,” la Semana Interamericana se celebró del 25 al 29 de marzo, en colaboración con la Secretaría para el Acceso a los Derechos y la Equidad (SARE). </w:t>
      </w:r>
    </w:p>
    <w:p w14:paraId="571511C3" w14:textId="77777777" w:rsidR="00190B0E" w:rsidRPr="00B62815" w:rsidRDefault="00190B0E" w:rsidP="00190B0E">
      <w:pPr>
        <w:spacing w:line="256" w:lineRule="auto"/>
        <w:jc w:val="both"/>
        <w:rPr>
          <w:rFonts w:asciiTheme="minorHAnsi" w:eastAsia="Calibri" w:hAnsiTheme="minorHAnsi" w:cstheme="minorHAnsi"/>
          <w:sz w:val="22"/>
          <w:szCs w:val="22"/>
          <w:lang w:val="es-EC"/>
        </w:rPr>
      </w:pPr>
      <w:r w:rsidRPr="00B62815">
        <w:rPr>
          <w:rFonts w:asciiTheme="minorHAnsi" w:eastAsia="Calibri" w:hAnsiTheme="minorHAnsi" w:cstheme="minorHAnsi"/>
          <w:sz w:val="22"/>
          <w:szCs w:val="22"/>
          <w:lang w:val="es-EC"/>
        </w:rPr>
        <w:t>La II Semana Interamericana contó con varias actividades, todas ellas diseñadas para avanzar la implementación del Plan de Acción de la OEA para el Decenio de las Personas de Ascendencia Africana en las Américas (2016-2025), AG/RES.2891 (XL VI-O/16):</w:t>
      </w:r>
    </w:p>
    <w:p w14:paraId="5E575209" w14:textId="77777777" w:rsidR="00190B0E" w:rsidRPr="00B62815" w:rsidRDefault="00190B0E" w:rsidP="00190B0E">
      <w:pPr>
        <w:spacing w:line="256" w:lineRule="auto"/>
        <w:jc w:val="both"/>
        <w:rPr>
          <w:rFonts w:asciiTheme="minorHAnsi" w:eastAsia="Calibri" w:hAnsiTheme="minorHAnsi" w:cstheme="minorHAnsi"/>
          <w:sz w:val="22"/>
          <w:szCs w:val="22"/>
          <w:lang w:val="es-EC"/>
        </w:rPr>
      </w:pPr>
    </w:p>
    <w:p w14:paraId="56F30832" w14:textId="77777777" w:rsidR="00190B0E" w:rsidRPr="00B62815" w:rsidRDefault="00190B0E" w:rsidP="00E67635">
      <w:pPr>
        <w:numPr>
          <w:ilvl w:val="0"/>
          <w:numId w:val="23"/>
        </w:numPr>
        <w:spacing w:before="240" w:line="256" w:lineRule="auto"/>
        <w:contextualSpacing/>
        <w:jc w:val="both"/>
        <w:rPr>
          <w:rFonts w:asciiTheme="minorHAnsi" w:eastAsia="Calibri" w:hAnsiTheme="minorHAnsi" w:cstheme="minorHAnsi"/>
          <w:sz w:val="22"/>
          <w:szCs w:val="22"/>
          <w:lang w:val="es-EC"/>
        </w:rPr>
      </w:pPr>
      <w:r w:rsidRPr="00B62815">
        <w:rPr>
          <w:rFonts w:asciiTheme="minorHAnsi" w:hAnsiTheme="minorHAnsi" w:cstheme="minorHAnsi"/>
          <w:b/>
          <w:sz w:val="22"/>
          <w:szCs w:val="22"/>
          <w:lang w:val="es-EC"/>
        </w:rPr>
        <w:t>Sesión Extraordinaria del Consejo Permanente</w:t>
      </w:r>
      <w:r w:rsidRPr="00B62815">
        <w:rPr>
          <w:rFonts w:asciiTheme="minorHAnsi" w:hAnsiTheme="minorHAnsi" w:cstheme="minorHAnsi"/>
          <w:sz w:val="22"/>
          <w:szCs w:val="22"/>
          <w:lang w:val="es-EC"/>
        </w:rPr>
        <w:t xml:space="preserve">: En conmemoración del Día Internacional de Recuerdo de las Víctimas de la Esclavitud y la Trata Transatlántica de Esclavos, se celebró una sesión extraordinaria del Consejo Permanente el 25 de marzo. El panel de oradores incluyó a S.E. Epsy Campbell-Barr, Vicepresidenta de Costa Rica; S.E. Carmen Vásquez, Ministra de Cultura de Colombia; S.E. Ancelma Perlacios Peralta, Senadora de Bolivia; S.E. Sandra Terena, Secretaria de Promoción de la Igualdad Racial del Brasil; y el Sr. Saúl Vicente Vázquez, Jefe de la Oficina de Asuntos Internacionales del Instituto Nacional de Pueblos Indígenas y Afro mexicanos (INTI). </w:t>
      </w:r>
    </w:p>
    <w:p w14:paraId="448E59B4" w14:textId="77777777" w:rsidR="00190B0E" w:rsidRPr="00B62815" w:rsidRDefault="00190B0E" w:rsidP="00190B0E">
      <w:pPr>
        <w:spacing w:line="256" w:lineRule="auto"/>
        <w:ind w:left="720"/>
        <w:contextualSpacing/>
        <w:jc w:val="both"/>
        <w:rPr>
          <w:rFonts w:asciiTheme="minorHAnsi" w:eastAsia="Calibri" w:hAnsiTheme="minorHAnsi" w:cstheme="minorHAnsi"/>
          <w:sz w:val="22"/>
          <w:szCs w:val="22"/>
          <w:lang w:val="es-EC"/>
        </w:rPr>
      </w:pPr>
    </w:p>
    <w:p w14:paraId="24142BAE" w14:textId="77777777" w:rsidR="00190B0E" w:rsidRPr="00EB718B" w:rsidRDefault="00190B0E" w:rsidP="00190B0E">
      <w:pPr>
        <w:pStyle w:val="ListParagraph"/>
        <w:jc w:val="both"/>
        <w:rPr>
          <w:rFonts w:asciiTheme="minorHAnsi" w:hAnsiTheme="minorHAnsi" w:cstheme="minorHAnsi"/>
          <w:sz w:val="22"/>
          <w:szCs w:val="22"/>
          <w:lang w:val="pt-BR"/>
        </w:rPr>
      </w:pPr>
      <w:r w:rsidRPr="00EB718B">
        <w:rPr>
          <w:rFonts w:asciiTheme="minorHAnsi" w:hAnsiTheme="minorHAnsi" w:cstheme="minorHAnsi"/>
          <w:sz w:val="22"/>
          <w:szCs w:val="22"/>
          <w:lang w:val="pt-BR"/>
        </w:rPr>
        <w:t xml:space="preserve">Fotos: </w:t>
      </w:r>
      <w:hyperlink r:id="rId24" w:history="1">
        <w:r w:rsidRPr="00EB718B">
          <w:rPr>
            <w:rStyle w:val="Hyperlink"/>
            <w:rFonts w:asciiTheme="minorHAnsi" w:hAnsiTheme="minorHAnsi" w:cstheme="minorHAnsi"/>
            <w:sz w:val="22"/>
            <w:szCs w:val="22"/>
            <w:lang w:val="pt-BR"/>
          </w:rPr>
          <w:t>https://www.flickr.com/photos/oasoea/albums/72157690575792773</w:t>
        </w:r>
      </w:hyperlink>
    </w:p>
    <w:p w14:paraId="34DC6B28" w14:textId="77777777" w:rsidR="00190B0E" w:rsidRPr="00EB718B" w:rsidRDefault="00190B0E" w:rsidP="00190B0E">
      <w:pPr>
        <w:pStyle w:val="ListParagraph"/>
        <w:jc w:val="both"/>
        <w:rPr>
          <w:rFonts w:asciiTheme="minorHAnsi" w:hAnsiTheme="minorHAnsi" w:cstheme="minorHAnsi"/>
          <w:sz w:val="22"/>
          <w:szCs w:val="22"/>
          <w:lang w:val="pt-BR"/>
        </w:rPr>
      </w:pPr>
    </w:p>
    <w:p w14:paraId="0707B92C" w14:textId="77777777" w:rsidR="00190B0E" w:rsidRPr="00EB718B" w:rsidRDefault="001C2CF3" w:rsidP="00190B0E">
      <w:pPr>
        <w:pStyle w:val="ListParagraph"/>
        <w:jc w:val="both"/>
        <w:rPr>
          <w:rFonts w:asciiTheme="minorHAnsi" w:hAnsiTheme="minorHAnsi" w:cstheme="minorHAnsi"/>
          <w:sz w:val="22"/>
          <w:szCs w:val="22"/>
          <w:lang w:val="pt-BR"/>
        </w:rPr>
      </w:pPr>
      <w:r w:rsidRPr="00B62815">
        <w:rPr>
          <w:rFonts w:asciiTheme="minorHAnsi" w:hAnsiTheme="minorHAnsi" w:cstheme="minorHAnsi"/>
          <w:noProof/>
          <w:sz w:val="22"/>
          <w:szCs w:val="22"/>
        </w:rPr>
        <w:lastRenderedPageBreak/>
        <w:drawing>
          <wp:anchor distT="0" distB="0" distL="114300" distR="114300" simplePos="0" relativeHeight="251654144" behindDoc="0" locked="0" layoutInCell="1" allowOverlap="1" wp14:anchorId="2C60C949" wp14:editId="0C140824">
            <wp:simplePos x="0" y="0"/>
            <wp:positionH relativeFrom="margin">
              <wp:posOffset>627380</wp:posOffset>
            </wp:positionH>
            <wp:positionV relativeFrom="paragraph">
              <wp:posOffset>47625</wp:posOffset>
            </wp:positionV>
            <wp:extent cx="4689475" cy="3038475"/>
            <wp:effectExtent l="0" t="0" r="0" b="9525"/>
            <wp:wrapSquare wrapText="bothSides"/>
            <wp:docPr id="125" name="Picture 125" descr="32523178807_0e6c56f6d8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32523178807_0e6c56f6d8_k"/>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689475" cy="3038475"/>
                    </a:xfrm>
                    <a:prstGeom prst="rect">
                      <a:avLst/>
                    </a:prstGeom>
                    <a:noFill/>
                  </pic:spPr>
                </pic:pic>
              </a:graphicData>
            </a:graphic>
            <wp14:sizeRelH relativeFrom="page">
              <wp14:pctWidth>0</wp14:pctWidth>
            </wp14:sizeRelH>
            <wp14:sizeRelV relativeFrom="page">
              <wp14:pctHeight>0</wp14:pctHeight>
            </wp14:sizeRelV>
          </wp:anchor>
        </w:drawing>
      </w:r>
    </w:p>
    <w:p w14:paraId="4E578614" w14:textId="77777777" w:rsidR="00190B0E" w:rsidRPr="00EB718B" w:rsidRDefault="00190B0E" w:rsidP="00190B0E">
      <w:pPr>
        <w:pStyle w:val="ListParagraph"/>
        <w:jc w:val="both"/>
        <w:rPr>
          <w:rFonts w:asciiTheme="minorHAnsi" w:hAnsiTheme="minorHAnsi" w:cstheme="minorHAnsi"/>
          <w:sz w:val="22"/>
          <w:szCs w:val="22"/>
          <w:lang w:val="pt-BR"/>
        </w:rPr>
      </w:pPr>
    </w:p>
    <w:p w14:paraId="0EBF96D8" w14:textId="77777777" w:rsidR="00190B0E" w:rsidRPr="00EB718B" w:rsidRDefault="00190B0E" w:rsidP="00190B0E">
      <w:pPr>
        <w:pStyle w:val="ListParagraph"/>
        <w:jc w:val="both"/>
        <w:rPr>
          <w:rFonts w:asciiTheme="minorHAnsi" w:hAnsiTheme="minorHAnsi" w:cstheme="minorHAnsi"/>
          <w:sz w:val="22"/>
          <w:szCs w:val="22"/>
          <w:lang w:val="pt-BR"/>
        </w:rPr>
      </w:pPr>
    </w:p>
    <w:p w14:paraId="670A8D52" w14:textId="77777777" w:rsidR="00190B0E" w:rsidRPr="00EB718B" w:rsidRDefault="00190B0E" w:rsidP="00190B0E">
      <w:pPr>
        <w:pStyle w:val="ListParagraph"/>
        <w:jc w:val="both"/>
        <w:rPr>
          <w:rFonts w:asciiTheme="minorHAnsi" w:hAnsiTheme="minorHAnsi" w:cstheme="minorHAnsi"/>
          <w:sz w:val="22"/>
          <w:szCs w:val="22"/>
          <w:lang w:val="pt-BR"/>
        </w:rPr>
      </w:pPr>
    </w:p>
    <w:p w14:paraId="1ADC6D1D" w14:textId="77777777" w:rsidR="00190B0E" w:rsidRPr="00EB718B" w:rsidRDefault="00190B0E" w:rsidP="00190B0E">
      <w:pPr>
        <w:pStyle w:val="ListParagraph"/>
        <w:jc w:val="both"/>
        <w:rPr>
          <w:rFonts w:asciiTheme="minorHAnsi" w:hAnsiTheme="minorHAnsi" w:cstheme="minorHAnsi"/>
          <w:sz w:val="22"/>
          <w:szCs w:val="22"/>
          <w:lang w:val="pt-BR"/>
        </w:rPr>
      </w:pPr>
    </w:p>
    <w:p w14:paraId="1552C1B6" w14:textId="77777777" w:rsidR="00190B0E" w:rsidRPr="00EB718B" w:rsidRDefault="00190B0E" w:rsidP="00190B0E">
      <w:pPr>
        <w:pStyle w:val="ListParagraph"/>
        <w:jc w:val="both"/>
        <w:rPr>
          <w:rFonts w:asciiTheme="minorHAnsi" w:hAnsiTheme="minorHAnsi" w:cstheme="minorHAnsi"/>
          <w:sz w:val="22"/>
          <w:szCs w:val="22"/>
          <w:lang w:val="pt-BR"/>
        </w:rPr>
      </w:pPr>
    </w:p>
    <w:p w14:paraId="22DE243B" w14:textId="77777777" w:rsidR="00190B0E" w:rsidRPr="00EB718B" w:rsidRDefault="00190B0E" w:rsidP="00190B0E">
      <w:pPr>
        <w:pStyle w:val="ListParagraph"/>
        <w:jc w:val="both"/>
        <w:rPr>
          <w:rFonts w:asciiTheme="minorHAnsi" w:hAnsiTheme="minorHAnsi" w:cstheme="minorHAnsi"/>
          <w:sz w:val="22"/>
          <w:szCs w:val="22"/>
          <w:lang w:val="pt-BR"/>
        </w:rPr>
      </w:pPr>
    </w:p>
    <w:p w14:paraId="3F20BF5B" w14:textId="77777777" w:rsidR="00190B0E" w:rsidRPr="00EB718B" w:rsidRDefault="00190B0E" w:rsidP="00190B0E">
      <w:pPr>
        <w:pStyle w:val="ListParagraph"/>
        <w:jc w:val="both"/>
        <w:rPr>
          <w:rFonts w:asciiTheme="minorHAnsi" w:hAnsiTheme="minorHAnsi" w:cstheme="minorHAnsi"/>
          <w:sz w:val="22"/>
          <w:szCs w:val="22"/>
          <w:lang w:val="pt-BR"/>
        </w:rPr>
      </w:pPr>
    </w:p>
    <w:p w14:paraId="6659CA51" w14:textId="77777777" w:rsidR="00190B0E" w:rsidRPr="00EB718B" w:rsidRDefault="00190B0E" w:rsidP="00190B0E">
      <w:pPr>
        <w:pStyle w:val="ListParagraph"/>
        <w:jc w:val="both"/>
        <w:rPr>
          <w:rFonts w:asciiTheme="minorHAnsi" w:hAnsiTheme="minorHAnsi" w:cstheme="minorHAnsi"/>
          <w:sz w:val="22"/>
          <w:szCs w:val="22"/>
          <w:lang w:val="pt-BR"/>
        </w:rPr>
      </w:pPr>
    </w:p>
    <w:p w14:paraId="1DB3717A" w14:textId="77777777" w:rsidR="00190B0E" w:rsidRPr="00EB718B" w:rsidRDefault="00190B0E" w:rsidP="00190B0E">
      <w:pPr>
        <w:pStyle w:val="ListParagraph"/>
        <w:jc w:val="both"/>
        <w:rPr>
          <w:rFonts w:asciiTheme="minorHAnsi" w:hAnsiTheme="minorHAnsi" w:cstheme="minorHAnsi"/>
          <w:sz w:val="22"/>
          <w:szCs w:val="22"/>
          <w:lang w:val="pt-BR"/>
        </w:rPr>
      </w:pPr>
    </w:p>
    <w:p w14:paraId="081505F4" w14:textId="77777777" w:rsidR="00190B0E" w:rsidRPr="00EB718B" w:rsidRDefault="00190B0E" w:rsidP="00190B0E">
      <w:pPr>
        <w:pStyle w:val="ListParagraph"/>
        <w:jc w:val="both"/>
        <w:rPr>
          <w:rFonts w:asciiTheme="minorHAnsi" w:hAnsiTheme="minorHAnsi" w:cstheme="minorHAnsi"/>
          <w:sz w:val="22"/>
          <w:szCs w:val="22"/>
          <w:lang w:val="pt-BR"/>
        </w:rPr>
      </w:pPr>
    </w:p>
    <w:p w14:paraId="299210B3" w14:textId="77777777" w:rsidR="00190B0E" w:rsidRPr="00EB718B" w:rsidRDefault="00190B0E" w:rsidP="00190B0E">
      <w:pPr>
        <w:pStyle w:val="ListParagraph"/>
        <w:jc w:val="both"/>
        <w:rPr>
          <w:rFonts w:asciiTheme="minorHAnsi" w:hAnsiTheme="minorHAnsi" w:cstheme="minorHAnsi"/>
          <w:sz w:val="22"/>
          <w:szCs w:val="22"/>
          <w:lang w:val="pt-BR"/>
        </w:rPr>
      </w:pPr>
    </w:p>
    <w:p w14:paraId="63975933" w14:textId="77777777" w:rsidR="00190B0E" w:rsidRPr="00EB718B" w:rsidRDefault="00190B0E" w:rsidP="00190B0E">
      <w:pPr>
        <w:pStyle w:val="ListParagraph"/>
        <w:jc w:val="both"/>
        <w:rPr>
          <w:rFonts w:asciiTheme="minorHAnsi" w:hAnsiTheme="minorHAnsi" w:cstheme="minorHAnsi"/>
          <w:sz w:val="22"/>
          <w:szCs w:val="22"/>
          <w:lang w:val="pt-BR"/>
        </w:rPr>
      </w:pPr>
    </w:p>
    <w:p w14:paraId="4045DFE1" w14:textId="77777777" w:rsidR="00190B0E" w:rsidRPr="00EB718B" w:rsidRDefault="00190B0E" w:rsidP="00190B0E">
      <w:pPr>
        <w:pStyle w:val="ListParagraph"/>
        <w:jc w:val="both"/>
        <w:rPr>
          <w:rFonts w:asciiTheme="minorHAnsi" w:hAnsiTheme="minorHAnsi" w:cstheme="minorHAnsi"/>
          <w:sz w:val="22"/>
          <w:szCs w:val="22"/>
          <w:lang w:val="pt-BR"/>
        </w:rPr>
      </w:pPr>
    </w:p>
    <w:p w14:paraId="53AA9939" w14:textId="77777777" w:rsidR="00190B0E" w:rsidRPr="00EB718B" w:rsidRDefault="00190B0E" w:rsidP="00190B0E">
      <w:pPr>
        <w:pStyle w:val="ListParagraph"/>
        <w:jc w:val="both"/>
        <w:rPr>
          <w:rFonts w:asciiTheme="minorHAnsi" w:hAnsiTheme="minorHAnsi" w:cstheme="minorHAnsi"/>
          <w:sz w:val="22"/>
          <w:szCs w:val="22"/>
          <w:lang w:val="pt-BR"/>
        </w:rPr>
      </w:pPr>
    </w:p>
    <w:p w14:paraId="52C4FB6B" w14:textId="77777777" w:rsidR="00190B0E" w:rsidRPr="00EB718B" w:rsidRDefault="00190B0E" w:rsidP="00190B0E">
      <w:pPr>
        <w:pStyle w:val="ListParagraph"/>
        <w:jc w:val="both"/>
        <w:rPr>
          <w:rFonts w:asciiTheme="minorHAnsi" w:hAnsiTheme="minorHAnsi" w:cstheme="minorHAnsi"/>
          <w:sz w:val="22"/>
          <w:szCs w:val="22"/>
          <w:lang w:val="pt-BR"/>
        </w:rPr>
      </w:pPr>
    </w:p>
    <w:p w14:paraId="69EE1E4C" w14:textId="77777777" w:rsidR="00190B0E" w:rsidRPr="00EB718B" w:rsidRDefault="00190B0E" w:rsidP="00190B0E">
      <w:pPr>
        <w:pStyle w:val="ListParagraph"/>
        <w:jc w:val="both"/>
        <w:rPr>
          <w:rFonts w:asciiTheme="minorHAnsi" w:hAnsiTheme="minorHAnsi" w:cstheme="minorHAnsi"/>
          <w:sz w:val="22"/>
          <w:szCs w:val="22"/>
          <w:lang w:val="pt-BR"/>
        </w:rPr>
      </w:pPr>
    </w:p>
    <w:p w14:paraId="67300F13" w14:textId="77777777" w:rsidR="00C561DA" w:rsidRPr="00573283" w:rsidRDefault="00C561DA" w:rsidP="00C561DA">
      <w:pPr>
        <w:spacing w:after="160" w:line="256" w:lineRule="auto"/>
        <w:ind w:left="720"/>
        <w:contextualSpacing/>
        <w:jc w:val="both"/>
        <w:rPr>
          <w:rFonts w:asciiTheme="minorHAnsi" w:eastAsia="Calibri" w:hAnsiTheme="minorHAnsi" w:cstheme="minorHAnsi"/>
          <w:sz w:val="22"/>
          <w:szCs w:val="22"/>
          <w:lang w:val="pt-BR"/>
        </w:rPr>
      </w:pPr>
    </w:p>
    <w:p w14:paraId="54B4B69E" w14:textId="77777777" w:rsidR="00C561DA" w:rsidRPr="00573283" w:rsidRDefault="00C561DA" w:rsidP="00C561DA">
      <w:pPr>
        <w:spacing w:after="160" w:line="256" w:lineRule="auto"/>
        <w:ind w:left="720"/>
        <w:contextualSpacing/>
        <w:jc w:val="both"/>
        <w:rPr>
          <w:rFonts w:asciiTheme="minorHAnsi" w:eastAsia="Calibri" w:hAnsiTheme="minorHAnsi" w:cstheme="minorHAnsi"/>
          <w:sz w:val="22"/>
          <w:szCs w:val="22"/>
          <w:lang w:val="pt-BR"/>
        </w:rPr>
      </w:pPr>
    </w:p>
    <w:p w14:paraId="6F0D2F0F" w14:textId="03E3C978" w:rsidR="00190B0E" w:rsidRPr="00B62815" w:rsidRDefault="00190B0E" w:rsidP="00E67635">
      <w:pPr>
        <w:numPr>
          <w:ilvl w:val="0"/>
          <w:numId w:val="23"/>
        </w:numPr>
        <w:spacing w:after="160" w:line="256" w:lineRule="auto"/>
        <w:contextualSpacing/>
        <w:jc w:val="both"/>
        <w:rPr>
          <w:rFonts w:asciiTheme="minorHAnsi" w:eastAsia="Calibri" w:hAnsiTheme="minorHAnsi" w:cstheme="minorHAnsi"/>
          <w:sz w:val="22"/>
          <w:szCs w:val="22"/>
          <w:lang w:val="es-EC"/>
        </w:rPr>
      </w:pPr>
      <w:r w:rsidRPr="00B62815">
        <w:rPr>
          <w:rFonts w:asciiTheme="minorHAnsi" w:eastAsia="Calibri" w:hAnsiTheme="minorHAnsi" w:cstheme="minorHAnsi"/>
          <w:b/>
          <w:sz w:val="22"/>
          <w:szCs w:val="22"/>
          <w:lang w:val="es-EC"/>
        </w:rPr>
        <w:t>Presentación de una pintura conmemorativa</w:t>
      </w:r>
      <w:r w:rsidRPr="00B62815">
        <w:rPr>
          <w:rFonts w:asciiTheme="minorHAnsi" w:eastAsia="Calibri" w:hAnsiTheme="minorHAnsi" w:cstheme="minorHAnsi"/>
          <w:sz w:val="22"/>
          <w:szCs w:val="22"/>
          <w:lang w:val="es-EC"/>
        </w:rPr>
        <w:t xml:space="preserve">: Al terminar la sesión extraordinaria del Consejo Permanente, el Secretario General Adjunto presentó a los asistentes un tríptico encargado por su Oficina para honrar a las víctimas de la esclavitud y la trata de esclavos. La obra, valorada en 30 mil dólares, fue pintada por la artista haitiana Vanessa Craan y pagada por un donante privado conseguido por la Oficina del Secretario General Adjunto. </w:t>
      </w:r>
    </w:p>
    <w:p w14:paraId="67D35067" w14:textId="77777777" w:rsidR="00190B0E" w:rsidRPr="00B62815" w:rsidRDefault="00190B0E" w:rsidP="00190B0E">
      <w:pPr>
        <w:ind w:firstLine="720"/>
        <w:rPr>
          <w:rFonts w:asciiTheme="minorHAnsi" w:hAnsiTheme="minorHAnsi" w:cstheme="minorHAnsi"/>
          <w:color w:val="1F497D"/>
          <w:sz w:val="22"/>
          <w:szCs w:val="22"/>
          <w:lang w:val="es-ES"/>
        </w:rPr>
      </w:pPr>
    </w:p>
    <w:p w14:paraId="30C0664C" w14:textId="77777777" w:rsidR="00190B0E" w:rsidRPr="00B62815" w:rsidRDefault="00190B0E" w:rsidP="00E67635">
      <w:pPr>
        <w:numPr>
          <w:ilvl w:val="0"/>
          <w:numId w:val="23"/>
        </w:numPr>
        <w:spacing w:after="160" w:line="256" w:lineRule="auto"/>
        <w:contextualSpacing/>
        <w:jc w:val="both"/>
        <w:rPr>
          <w:rFonts w:asciiTheme="minorHAnsi" w:eastAsia="Calibri" w:hAnsiTheme="minorHAnsi" w:cstheme="minorHAnsi"/>
          <w:b/>
          <w:sz w:val="22"/>
          <w:szCs w:val="22"/>
          <w:lang w:val="es-EC"/>
        </w:rPr>
      </w:pPr>
      <w:r w:rsidRPr="00B62815">
        <w:rPr>
          <w:rFonts w:asciiTheme="minorHAnsi" w:eastAsia="Calibri" w:hAnsiTheme="minorHAnsi" w:cstheme="minorHAnsi"/>
          <w:b/>
          <w:sz w:val="22"/>
          <w:szCs w:val="22"/>
          <w:lang w:val="es-EC"/>
        </w:rPr>
        <w:t xml:space="preserve">Vista privada al Museo Nacional de Historia y Cultura Afroamericana (NMAAHC): </w:t>
      </w:r>
      <w:r w:rsidRPr="00B62815">
        <w:rPr>
          <w:rFonts w:asciiTheme="minorHAnsi" w:eastAsia="Calibri" w:hAnsiTheme="minorHAnsi" w:cstheme="minorHAnsi"/>
          <w:sz w:val="22"/>
          <w:szCs w:val="22"/>
          <w:lang w:val="es-EC"/>
        </w:rPr>
        <w:t xml:space="preserve">Por tercer año consecutivo, en colaboración con la Institución Smithsonian, el Secretario General Adjunto organizó una visita guiada privada para los Representantes Permanentes, Representantes Alternos, Observadores Permanentes y altos funcionarios de la OEA. La visita tuvo lugar el 26 de marzo y asistieron 48 personas. </w:t>
      </w:r>
    </w:p>
    <w:p w14:paraId="60213425" w14:textId="77777777" w:rsidR="00190B0E" w:rsidRPr="00B62815" w:rsidRDefault="00190B0E" w:rsidP="00190B0E">
      <w:pPr>
        <w:spacing w:after="160" w:line="256" w:lineRule="auto"/>
        <w:contextualSpacing/>
        <w:jc w:val="both"/>
        <w:rPr>
          <w:rFonts w:asciiTheme="minorHAnsi" w:eastAsia="Calibri" w:hAnsiTheme="minorHAnsi" w:cstheme="minorHAnsi"/>
          <w:b/>
          <w:sz w:val="22"/>
          <w:szCs w:val="22"/>
          <w:lang w:val="es-EC"/>
        </w:rPr>
      </w:pPr>
    </w:p>
    <w:p w14:paraId="74DA54AB" w14:textId="77777777" w:rsidR="00190B0E" w:rsidRPr="00EB718B" w:rsidRDefault="00190B0E" w:rsidP="00190B0E">
      <w:pPr>
        <w:ind w:firstLine="720"/>
        <w:rPr>
          <w:rStyle w:val="Hyperlink"/>
          <w:rFonts w:asciiTheme="minorHAnsi" w:hAnsiTheme="minorHAnsi" w:cstheme="minorHAnsi"/>
          <w:sz w:val="22"/>
          <w:szCs w:val="22"/>
          <w:lang w:val="pt-BR"/>
        </w:rPr>
      </w:pPr>
      <w:r w:rsidRPr="00EB718B">
        <w:rPr>
          <w:rFonts w:asciiTheme="minorHAnsi" w:hAnsiTheme="minorHAnsi" w:cstheme="minorHAnsi"/>
          <w:sz w:val="22"/>
          <w:szCs w:val="22"/>
          <w:lang w:val="pt-BR"/>
        </w:rPr>
        <w:lastRenderedPageBreak/>
        <w:t xml:space="preserve">Fotos: </w:t>
      </w:r>
      <w:hyperlink r:id="rId26" w:history="1">
        <w:r w:rsidRPr="00EB718B">
          <w:rPr>
            <w:rStyle w:val="Hyperlink"/>
            <w:rFonts w:asciiTheme="minorHAnsi" w:hAnsiTheme="minorHAnsi" w:cstheme="minorHAnsi"/>
            <w:sz w:val="22"/>
            <w:szCs w:val="22"/>
            <w:lang w:val="pt-BR"/>
          </w:rPr>
          <w:t>https://www.flickr.com/photos/oasoea/albums/72157677410095937</w:t>
        </w:r>
      </w:hyperlink>
    </w:p>
    <w:p w14:paraId="76EF0D2B" w14:textId="77777777" w:rsidR="00190B0E" w:rsidRPr="00EB718B" w:rsidRDefault="00190B0E" w:rsidP="00190B0E">
      <w:pPr>
        <w:ind w:firstLine="720"/>
        <w:rPr>
          <w:rFonts w:asciiTheme="minorHAnsi" w:hAnsiTheme="minorHAnsi" w:cstheme="minorHAnsi"/>
          <w:sz w:val="22"/>
          <w:szCs w:val="22"/>
          <w:lang w:val="pt-BR"/>
        </w:rPr>
      </w:pPr>
    </w:p>
    <w:p w14:paraId="4BD91DEF" w14:textId="77777777" w:rsidR="00190B0E" w:rsidRPr="00B62815" w:rsidRDefault="00190B0E" w:rsidP="00E67635">
      <w:pPr>
        <w:numPr>
          <w:ilvl w:val="0"/>
          <w:numId w:val="23"/>
        </w:numPr>
        <w:spacing w:after="160" w:line="256" w:lineRule="auto"/>
        <w:contextualSpacing/>
        <w:jc w:val="both"/>
        <w:rPr>
          <w:rFonts w:asciiTheme="minorHAnsi" w:eastAsia="Calibri" w:hAnsiTheme="minorHAnsi" w:cstheme="minorHAnsi"/>
          <w:b/>
          <w:sz w:val="22"/>
          <w:szCs w:val="22"/>
          <w:lang w:val="es-EC"/>
        </w:rPr>
      </w:pPr>
      <w:r w:rsidRPr="00B62815">
        <w:rPr>
          <w:rFonts w:asciiTheme="minorHAnsi" w:eastAsia="Calibri" w:hAnsiTheme="minorHAnsi" w:cstheme="minorHAnsi"/>
          <w:b/>
          <w:sz w:val="22"/>
          <w:szCs w:val="22"/>
          <w:lang w:val="es-EC"/>
        </w:rPr>
        <w:t xml:space="preserve">Foro sobre el poder de las artes para la justicia: </w:t>
      </w:r>
      <w:r w:rsidRPr="00B62815">
        <w:rPr>
          <w:rFonts w:asciiTheme="minorHAnsi" w:eastAsia="Calibri" w:hAnsiTheme="minorHAnsi" w:cstheme="minorHAnsi"/>
          <w:sz w:val="22"/>
          <w:szCs w:val="22"/>
          <w:lang w:val="es-EC"/>
        </w:rPr>
        <w:t>De acuerdo con el tema de la II Semana Interamericana</w:t>
      </w:r>
      <w:r w:rsidRPr="00B62815">
        <w:rPr>
          <w:rFonts w:asciiTheme="minorHAnsi" w:hAnsiTheme="minorHAnsi" w:cstheme="minorHAnsi"/>
          <w:sz w:val="22"/>
          <w:szCs w:val="22"/>
          <w:lang w:val="es-CO"/>
        </w:rPr>
        <w:t xml:space="preserve"> se l</w:t>
      </w:r>
      <w:r w:rsidRPr="00B62815">
        <w:rPr>
          <w:rFonts w:asciiTheme="minorHAnsi" w:eastAsia="Calibri" w:hAnsiTheme="minorHAnsi" w:cstheme="minorHAnsi"/>
          <w:sz w:val="22"/>
          <w:szCs w:val="22"/>
          <w:lang w:val="es-EC"/>
        </w:rPr>
        <w:t>llevaron a cabo discusiones sobre el uso de las artes para la defensa y la sensibilización sobre las injusticias pasadas y actuales que enfrentan las comunidades afrodescendientes. El Foro concluy</w:t>
      </w:r>
      <w:r w:rsidRPr="00B62815">
        <w:rPr>
          <w:rFonts w:asciiTheme="minorHAnsi" w:hAnsiTheme="minorHAnsi" w:cstheme="minorHAnsi"/>
          <w:sz w:val="22"/>
          <w:szCs w:val="22"/>
          <w:lang w:val="es-EC"/>
        </w:rPr>
        <w:t>ó</w:t>
      </w:r>
      <w:r w:rsidRPr="00B62815">
        <w:rPr>
          <w:rFonts w:asciiTheme="minorHAnsi" w:eastAsia="Calibri" w:hAnsiTheme="minorHAnsi" w:cstheme="minorHAnsi"/>
          <w:sz w:val="22"/>
          <w:szCs w:val="22"/>
          <w:lang w:val="es-EC"/>
        </w:rPr>
        <w:t xml:space="preserve"> con la actuación de un artista brasileño. </w:t>
      </w:r>
    </w:p>
    <w:p w14:paraId="635E48A4" w14:textId="77777777" w:rsidR="00190B0E" w:rsidRPr="00B62815" w:rsidRDefault="00190B0E" w:rsidP="00190B0E">
      <w:pPr>
        <w:spacing w:line="256" w:lineRule="auto"/>
        <w:rPr>
          <w:rFonts w:asciiTheme="minorHAnsi" w:eastAsia="Calibri" w:hAnsiTheme="minorHAnsi" w:cstheme="minorHAnsi"/>
          <w:sz w:val="22"/>
          <w:szCs w:val="22"/>
          <w:lang w:val="es-EC"/>
        </w:rPr>
      </w:pPr>
    </w:p>
    <w:p w14:paraId="3315AE38" w14:textId="77777777" w:rsidR="00190B0E" w:rsidRPr="00EB718B" w:rsidRDefault="00190B0E" w:rsidP="00190B0E">
      <w:pPr>
        <w:ind w:firstLine="720"/>
        <w:rPr>
          <w:rFonts w:asciiTheme="minorHAnsi" w:hAnsiTheme="minorHAnsi" w:cstheme="minorHAnsi"/>
          <w:sz w:val="22"/>
          <w:szCs w:val="22"/>
          <w:lang w:val="pt-BR"/>
        </w:rPr>
      </w:pPr>
      <w:r w:rsidRPr="00EB718B">
        <w:rPr>
          <w:rFonts w:asciiTheme="minorHAnsi" w:hAnsiTheme="minorHAnsi" w:cstheme="minorHAnsi"/>
          <w:sz w:val="22"/>
          <w:szCs w:val="22"/>
          <w:lang w:val="pt-BR"/>
        </w:rPr>
        <w:t xml:space="preserve">Fotos: </w:t>
      </w:r>
      <w:hyperlink r:id="rId27" w:history="1">
        <w:r w:rsidRPr="00EB718B">
          <w:rPr>
            <w:rStyle w:val="Hyperlink"/>
            <w:rFonts w:asciiTheme="minorHAnsi" w:hAnsiTheme="minorHAnsi" w:cstheme="minorHAnsi"/>
            <w:sz w:val="22"/>
            <w:szCs w:val="22"/>
            <w:lang w:val="pt-BR"/>
          </w:rPr>
          <w:t>https://www.flickr.com/photos/oasoea/albums/72157704298860182</w:t>
        </w:r>
      </w:hyperlink>
    </w:p>
    <w:p w14:paraId="61C970BC" w14:textId="77777777" w:rsidR="00190B0E" w:rsidRPr="00B62815" w:rsidRDefault="00190B0E" w:rsidP="00190B0E">
      <w:pPr>
        <w:spacing w:before="240"/>
        <w:jc w:val="both"/>
        <w:rPr>
          <w:rFonts w:asciiTheme="minorHAnsi" w:hAnsiTheme="minorHAnsi" w:cstheme="minorHAnsi"/>
          <w:b/>
          <w:sz w:val="22"/>
          <w:szCs w:val="22"/>
          <w:lang w:val="es-ES"/>
        </w:rPr>
      </w:pPr>
      <w:r w:rsidRPr="00B62815">
        <w:rPr>
          <w:rFonts w:asciiTheme="minorHAnsi" w:hAnsiTheme="minorHAnsi" w:cstheme="minorHAnsi"/>
          <w:b/>
          <w:sz w:val="22"/>
          <w:szCs w:val="22"/>
          <w:lang w:val="es-ES"/>
        </w:rPr>
        <w:t>Semana Interamericana de los Pueblos Indígenas</w:t>
      </w:r>
    </w:p>
    <w:p w14:paraId="07F6C6B3" w14:textId="77777777" w:rsidR="00190B0E" w:rsidRPr="00B62815" w:rsidRDefault="00190B0E" w:rsidP="00190B0E">
      <w:pPr>
        <w:jc w:val="both"/>
        <w:rPr>
          <w:rFonts w:asciiTheme="minorHAnsi" w:hAnsiTheme="minorHAnsi" w:cstheme="minorHAnsi"/>
          <w:sz w:val="22"/>
          <w:szCs w:val="22"/>
          <w:highlight w:val="yellow"/>
          <w:lang w:val="es-ES"/>
        </w:rPr>
      </w:pPr>
    </w:p>
    <w:p w14:paraId="213171CF" w14:textId="77777777" w:rsidR="00190B0E" w:rsidRPr="00B62815" w:rsidRDefault="00190B0E" w:rsidP="00190B0E">
      <w:pPr>
        <w:spacing w:after="160" w:line="256" w:lineRule="auto"/>
        <w:jc w:val="both"/>
        <w:rPr>
          <w:rFonts w:asciiTheme="minorHAnsi" w:eastAsia="Calibri" w:hAnsiTheme="minorHAnsi" w:cstheme="minorHAnsi"/>
          <w:sz w:val="22"/>
          <w:szCs w:val="22"/>
          <w:lang w:val="es-EC"/>
        </w:rPr>
      </w:pPr>
      <w:r w:rsidRPr="00B62815">
        <w:rPr>
          <w:rFonts w:asciiTheme="minorHAnsi" w:eastAsia="Calibri" w:hAnsiTheme="minorHAnsi" w:cstheme="minorHAnsi"/>
          <w:sz w:val="22"/>
          <w:szCs w:val="22"/>
          <w:lang w:val="es-EC"/>
        </w:rPr>
        <w:t xml:space="preserve">En 2019 la Oficina del Secretario General Adjunto continuó su papel de liderazgo en la planificación y ejecución de actividades para conmemorar la Segunda Semana Interamericana para los Pueblos Indígenas de las Américas. Con el tema “Lenguas indígenas de las Américas,” la Semana Interamericana se llevó a cabo del 5 al 9 de agosto y fue organizada en colaboración con la Secretaría de Acceso a Derechos y Equidad (SARE). </w:t>
      </w:r>
    </w:p>
    <w:p w14:paraId="00E7CF32" w14:textId="241480AB" w:rsidR="00190B0E" w:rsidRPr="00B62815" w:rsidRDefault="00190B0E" w:rsidP="00190B0E">
      <w:pPr>
        <w:spacing w:line="256" w:lineRule="auto"/>
        <w:jc w:val="both"/>
        <w:rPr>
          <w:rFonts w:asciiTheme="minorHAnsi" w:eastAsia="Calibri" w:hAnsiTheme="minorHAnsi" w:cstheme="minorHAnsi"/>
          <w:sz w:val="22"/>
          <w:szCs w:val="22"/>
          <w:lang w:val="es-EC"/>
        </w:rPr>
      </w:pPr>
      <w:r w:rsidRPr="00B62815">
        <w:rPr>
          <w:rFonts w:asciiTheme="minorHAnsi" w:eastAsia="Calibri" w:hAnsiTheme="minorHAnsi" w:cstheme="minorHAnsi"/>
          <w:sz w:val="22"/>
          <w:szCs w:val="22"/>
          <w:lang w:val="es-EC"/>
        </w:rPr>
        <w:t>La II Semana Interamericana incluyó diversas actividades, todas ellas diseñadas para avanzar en el Plan de Acción de la OEA para la Implementación de la Declaración Americana sobre los Derechos de los Pueblos Indígenas (2001-2011) y la Resolución PC/RES 1094 (2144/18) del Consejo Permanente de febrero de 2018, que declara alrededor del 9 de agosto de cada año como la Semana Interamericana de los Pueblos Indígenas de las Américas.</w:t>
      </w:r>
    </w:p>
    <w:p w14:paraId="58045F18" w14:textId="52ECBBA9" w:rsidR="00190B0E" w:rsidRPr="00B62815" w:rsidRDefault="00190B0E" w:rsidP="00190B0E">
      <w:pPr>
        <w:spacing w:line="256" w:lineRule="auto"/>
        <w:jc w:val="both"/>
        <w:rPr>
          <w:rFonts w:asciiTheme="minorHAnsi" w:eastAsia="Calibri" w:hAnsiTheme="minorHAnsi" w:cstheme="minorHAnsi"/>
          <w:sz w:val="22"/>
          <w:szCs w:val="22"/>
          <w:lang w:val="es-EC"/>
        </w:rPr>
      </w:pPr>
    </w:p>
    <w:p w14:paraId="3AC102D2" w14:textId="4F9ABBCA" w:rsidR="00190B0E" w:rsidRPr="00B62815" w:rsidRDefault="00190B0E" w:rsidP="00E67635">
      <w:pPr>
        <w:numPr>
          <w:ilvl w:val="0"/>
          <w:numId w:val="23"/>
        </w:numPr>
        <w:spacing w:line="256" w:lineRule="auto"/>
        <w:contextualSpacing/>
        <w:jc w:val="both"/>
        <w:rPr>
          <w:rFonts w:asciiTheme="minorHAnsi" w:hAnsiTheme="minorHAnsi" w:cstheme="minorHAnsi"/>
          <w:b/>
          <w:sz w:val="22"/>
          <w:szCs w:val="22"/>
          <w:lang w:val="es-EC"/>
        </w:rPr>
      </w:pPr>
      <w:r w:rsidRPr="00B62815">
        <w:rPr>
          <w:rFonts w:asciiTheme="minorHAnsi" w:hAnsiTheme="minorHAnsi" w:cstheme="minorHAnsi"/>
          <w:b/>
          <w:sz w:val="22"/>
          <w:szCs w:val="22"/>
          <w:lang w:val="es-EC"/>
        </w:rPr>
        <w:t xml:space="preserve">Apertura de la exposición de arte y libros: </w:t>
      </w:r>
      <w:r w:rsidRPr="00B62815">
        <w:rPr>
          <w:rFonts w:asciiTheme="minorHAnsi" w:hAnsiTheme="minorHAnsi" w:cstheme="minorHAnsi"/>
          <w:sz w:val="22"/>
          <w:szCs w:val="22"/>
          <w:lang w:val="es-EC"/>
        </w:rPr>
        <w:t xml:space="preserve">El objetivo de esta exposición fue destacar la importancia de la lengua como conducto para la expresión y la preservación cultural. En la Sala de Cultura Marcus Garvey se exhibieron pinturas, fotografías, libros, esculturas e instrumentos musicales prestados por las Delegaciones Permanentes de la OEA, las Delegaciones Observadoras Permanentes ante la OEA, la Secretaría General de la OEA y funcionarios de la Organización. </w:t>
      </w:r>
    </w:p>
    <w:p w14:paraId="19961532" w14:textId="4A28AC88" w:rsidR="00190B0E" w:rsidRPr="00B62815" w:rsidRDefault="00190B0E" w:rsidP="00190B0E">
      <w:pPr>
        <w:spacing w:line="256" w:lineRule="auto"/>
        <w:ind w:left="720"/>
        <w:contextualSpacing/>
        <w:jc w:val="both"/>
        <w:rPr>
          <w:rFonts w:asciiTheme="minorHAnsi" w:hAnsiTheme="minorHAnsi" w:cstheme="minorHAnsi"/>
          <w:b/>
          <w:sz w:val="22"/>
          <w:szCs w:val="22"/>
          <w:lang w:val="es-EC"/>
        </w:rPr>
      </w:pPr>
    </w:p>
    <w:p w14:paraId="2DB7F003" w14:textId="3B13C43C" w:rsidR="00190B0E" w:rsidRPr="00B62815" w:rsidRDefault="00190B0E" w:rsidP="00E67635">
      <w:pPr>
        <w:numPr>
          <w:ilvl w:val="0"/>
          <w:numId w:val="23"/>
        </w:numPr>
        <w:spacing w:line="256" w:lineRule="auto"/>
        <w:contextualSpacing/>
        <w:jc w:val="both"/>
        <w:rPr>
          <w:rFonts w:asciiTheme="minorHAnsi" w:hAnsiTheme="minorHAnsi" w:cstheme="minorHAnsi"/>
          <w:sz w:val="22"/>
          <w:szCs w:val="22"/>
          <w:lang w:val="es-EC"/>
        </w:rPr>
      </w:pPr>
      <w:r w:rsidRPr="00B62815">
        <w:rPr>
          <w:rFonts w:asciiTheme="minorHAnsi" w:hAnsiTheme="minorHAnsi" w:cstheme="minorHAnsi"/>
          <w:b/>
          <w:sz w:val="22"/>
          <w:szCs w:val="22"/>
          <w:lang w:val="es-EC"/>
        </w:rPr>
        <w:t xml:space="preserve">Sesión Extraordinaria Conjunta del Consejo Permanente y el CIDI: </w:t>
      </w:r>
      <w:r w:rsidRPr="00B62815">
        <w:rPr>
          <w:rFonts w:asciiTheme="minorHAnsi" w:hAnsiTheme="minorHAnsi" w:cstheme="minorHAnsi"/>
          <w:sz w:val="22"/>
          <w:szCs w:val="22"/>
          <w:lang w:val="es-EC"/>
        </w:rPr>
        <w:t xml:space="preserve">Esta sesión conjunta se celebró para conmemorar la Semana Interamericana de los Pueblos Indígenas y el </w:t>
      </w:r>
      <w:r w:rsidRPr="00B62815">
        <w:rPr>
          <w:rFonts w:asciiTheme="minorHAnsi" w:hAnsiTheme="minorHAnsi" w:cstheme="minorHAnsi"/>
          <w:sz w:val="22"/>
          <w:szCs w:val="22"/>
          <w:lang w:val="es-EC"/>
        </w:rPr>
        <w:lastRenderedPageBreak/>
        <w:t>Año Internacional de las Lenguas Indígenas con la asistencia de los pueblos indígenas y las autoridades nacionales de los Estados Miembros responsables de la política sobre pueblos indígenas para discutir la preservación, promoción y revitalización de las lenguas indígenas de las Américas.</w:t>
      </w:r>
    </w:p>
    <w:p w14:paraId="047F7C8F" w14:textId="6A86DE50" w:rsidR="00190B0E" w:rsidRPr="00B62815" w:rsidRDefault="00190B0E" w:rsidP="00190B0E">
      <w:pPr>
        <w:pStyle w:val="ListParagraph"/>
        <w:rPr>
          <w:rFonts w:asciiTheme="minorHAnsi" w:hAnsiTheme="minorHAnsi" w:cstheme="minorHAnsi"/>
          <w:sz w:val="22"/>
          <w:szCs w:val="22"/>
          <w:lang w:val="es-EC"/>
        </w:rPr>
      </w:pPr>
    </w:p>
    <w:p w14:paraId="29DA28C8" w14:textId="2D23044A" w:rsidR="00190B0E" w:rsidRPr="00EB718B" w:rsidRDefault="00190B0E" w:rsidP="00190B0E">
      <w:pPr>
        <w:ind w:firstLine="720"/>
        <w:rPr>
          <w:rFonts w:asciiTheme="minorHAnsi" w:hAnsiTheme="minorHAnsi" w:cstheme="minorHAnsi"/>
          <w:color w:val="1F497D"/>
          <w:sz w:val="22"/>
          <w:szCs w:val="22"/>
          <w:lang w:val="pt-BR"/>
        </w:rPr>
      </w:pPr>
      <w:r w:rsidRPr="00EB718B">
        <w:rPr>
          <w:rFonts w:asciiTheme="minorHAnsi" w:hAnsiTheme="minorHAnsi" w:cstheme="minorHAnsi"/>
          <w:sz w:val="22"/>
          <w:szCs w:val="22"/>
          <w:lang w:val="pt-BR"/>
        </w:rPr>
        <w:t xml:space="preserve">Fotos: </w:t>
      </w:r>
      <w:hyperlink r:id="rId28" w:history="1">
        <w:r w:rsidRPr="00EB718B">
          <w:rPr>
            <w:rStyle w:val="Hyperlink"/>
            <w:rFonts w:asciiTheme="minorHAnsi" w:hAnsiTheme="minorHAnsi" w:cstheme="minorHAnsi"/>
            <w:sz w:val="22"/>
            <w:szCs w:val="22"/>
            <w:lang w:val="pt-BR"/>
          </w:rPr>
          <w:t>https://www.flickr.com/photos/oasoea/albums/72157704298860182</w:t>
        </w:r>
      </w:hyperlink>
    </w:p>
    <w:p w14:paraId="315B484A" w14:textId="7FE837B2" w:rsidR="00190B0E" w:rsidRPr="00EB718B" w:rsidRDefault="00190B0E" w:rsidP="00190B0E">
      <w:pPr>
        <w:ind w:firstLine="720"/>
        <w:rPr>
          <w:rFonts w:asciiTheme="minorHAnsi" w:hAnsiTheme="minorHAnsi" w:cstheme="minorHAnsi"/>
          <w:color w:val="1F497D"/>
          <w:sz w:val="22"/>
          <w:szCs w:val="22"/>
          <w:lang w:val="pt-BR"/>
        </w:rPr>
      </w:pPr>
    </w:p>
    <w:p w14:paraId="5B48DA28" w14:textId="7BEFE1C7" w:rsidR="00190B0E" w:rsidRPr="00B62815" w:rsidRDefault="00190B0E" w:rsidP="00E67635">
      <w:pPr>
        <w:numPr>
          <w:ilvl w:val="0"/>
          <w:numId w:val="23"/>
        </w:numPr>
        <w:spacing w:line="256" w:lineRule="auto"/>
        <w:contextualSpacing/>
        <w:jc w:val="both"/>
        <w:rPr>
          <w:rFonts w:asciiTheme="minorHAnsi" w:hAnsiTheme="minorHAnsi" w:cstheme="minorHAnsi"/>
          <w:sz w:val="22"/>
          <w:szCs w:val="22"/>
          <w:lang w:val="es-EC"/>
        </w:rPr>
      </w:pPr>
      <w:r w:rsidRPr="00B62815">
        <w:rPr>
          <w:rFonts w:asciiTheme="minorHAnsi" w:hAnsiTheme="minorHAnsi" w:cstheme="minorHAnsi"/>
          <w:b/>
          <w:sz w:val="22"/>
          <w:szCs w:val="22"/>
          <w:lang w:val="es-EC"/>
        </w:rPr>
        <w:t xml:space="preserve">Foro sobre la globalización y la preservación de las lenguas y culturas indígenas: el papel de la juventud y la tecnología: </w:t>
      </w:r>
      <w:r w:rsidRPr="00B62815">
        <w:rPr>
          <w:rFonts w:asciiTheme="minorHAnsi" w:hAnsiTheme="minorHAnsi" w:cstheme="minorHAnsi"/>
          <w:sz w:val="22"/>
          <w:szCs w:val="22"/>
          <w:lang w:val="es-EC"/>
        </w:rPr>
        <w:t>Se hicieron presentaciones por parte de voceros de pueblos indígenas, autoridades nacionales encargadas de la política sobre los pueblos indígenas y representantes de organizaciones especializadas. El evento incluyó las actuaciones musicales de un cantante de ópera chileno y una joven pianista guatemalteca.</w:t>
      </w:r>
    </w:p>
    <w:p w14:paraId="14E616D0" w14:textId="596FF68C" w:rsidR="00190B0E" w:rsidRPr="00B62815" w:rsidRDefault="00190B0E" w:rsidP="00190B0E">
      <w:pPr>
        <w:spacing w:line="256" w:lineRule="auto"/>
        <w:jc w:val="both"/>
        <w:rPr>
          <w:rFonts w:asciiTheme="minorHAnsi" w:hAnsiTheme="minorHAnsi" w:cstheme="minorHAnsi"/>
          <w:sz w:val="22"/>
          <w:szCs w:val="22"/>
          <w:lang w:val="es-EC"/>
        </w:rPr>
      </w:pPr>
    </w:p>
    <w:p w14:paraId="5A05DAB7" w14:textId="710511D4" w:rsidR="00190B0E" w:rsidRPr="00EB718B" w:rsidRDefault="00190B0E" w:rsidP="00190B0E">
      <w:pPr>
        <w:ind w:firstLine="720"/>
        <w:rPr>
          <w:rFonts w:asciiTheme="minorHAnsi" w:hAnsiTheme="minorHAnsi" w:cstheme="minorHAnsi"/>
          <w:color w:val="1F497D"/>
          <w:sz w:val="22"/>
          <w:szCs w:val="22"/>
          <w:lang w:val="pt-BR"/>
        </w:rPr>
      </w:pPr>
      <w:r w:rsidRPr="00EB718B">
        <w:rPr>
          <w:rFonts w:asciiTheme="minorHAnsi" w:hAnsiTheme="minorHAnsi" w:cstheme="minorHAnsi"/>
          <w:sz w:val="22"/>
          <w:szCs w:val="22"/>
          <w:lang w:val="pt-BR"/>
        </w:rPr>
        <w:t xml:space="preserve">Fotos: </w:t>
      </w:r>
      <w:hyperlink r:id="rId29" w:history="1">
        <w:r w:rsidRPr="00EB718B">
          <w:rPr>
            <w:rStyle w:val="Hyperlink"/>
            <w:rFonts w:asciiTheme="minorHAnsi" w:hAnsiTheme="minorHAnsi" w:cstheme="minorHAnsi"/>
            <w:sz w:val="22"/>
            <w:szCs w:val="22"/>
            <w:lang w:val="pt-BR"/>
          </w:rPr>
          <w:t>https://www.flickr.com/photos/oasoea/sets/72157710184492097/</w:t>
        </w:r>
      </w:hyperlink>
    </w:p>
    <w:p w14:paraId="2DA47E51" w14:textId="01F51510" w:rsidR="00F939B0" w:rsidRPr="00EB718B" w:rsidRDefault="00F939B0" w:rsidP="00190B0E">
      <w:pPr>
        <w:spacing w:line="256" w:lineRule="auto"/>
        <w:jc w:val="both"/>
        <w:rPr>
          <w:rFonts w:asciiTheme="minorHAnsi" w:hAnsiTheme="minorHAnsi" w:cstheme="minorHAnsi"/>
          <w:sz w:val="22"/>
          <w:szCs w:val="22"/>
          <w:lang w:val="pt-BR"/>
        </w:rPr>
      </w:pPr>
    </w:p>
    <w:p w14:paraId="1A8EA91E" w14:textId="0BB61C52" w:rsidR="001B6B1F" w:rsidRPr="00EB718B" w:rsidRDefault="00C561DA" w:rsidP="00190B0E">
      <w:pPr>
        <w:spacing w:line="256" w:lineRule="auto"/>
        <w:jc w:val="both"/>
        <w:rPr>
          <w:rFonts w:asciiTheme="minorHAnsi" w:hAnsiTheme="minorHAnsi" w:cstheme="minorHAnsi"/>
          <w:sz w:val="22"/>
          <w:szCs w:val="22"/>
          <w:lang w:val="pt-BR"/>
        </w:rPr>
      </w:pPr>
      <w:r w:rsidRPr="00B62815">
        <w:rPr>
          <w:rFonts w:asciiTheme="minorHAnsi" w:hAnsiTheme="minorHAnsi" w:cstheme="minorHAnsi"/>
          <w:noProof/>
          <w:sz w:val="22"/>
          <w:szCs w:val="22"/>
        </w:rPr>
        <w:drawing>
          <wp:anchor distT="0" distB="0" distL="114300" distR="114300" simplePos="0" relativeHeight="251656192" behindDoc="0" locked="0" layoutInCell="1" allowOverlap="1" wp14:anchorId="3CD61CD6" wp14:editId="65B63E33">
            <wp:simplePos x="0" y="0"/>
            <wp:positionH relativeFrom="margin">
              <wp:posOffset>970280</wp:posOffset>
            </wp:positionH>
            <wp:positionV relativeFrom="margin">
              <wp:posOffset>5081270</wp:posOffset>
            </wp:positionV>
            <wp:extent cx="3661410" cy="2376170"/>
            <wp:effectExtent l="0" t="0" r="0" b="5080"/>
            <wp:wrapSquare wrapText="bothSides"/>
            <wp:docPr id="127" name="Picture 127" descr="48481156427_25f3196c94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48481156427_25f3196c94_k"/>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661410" cy="2376170"/>
                    </a:xfrm>
                    <a:prstGeom prst="rect">
                      <a:avLst/>
                    </a:prstGeom>
                    <a:noFill/>
                  </pic:spPr>
                </pic:pic>
              </a:graphicData>
            </a:graphic>
            <wp14:sizeRelH relativeFrom="page">
              <wp14:pctWidth>0</wp14:pctWidth>
            </wp14:sizeRelH>
            <wp14:sizeRelV relativeFrom="page">
              <wp14:pctHeight>0</wp14:pctHeight>
            </wp14:sizeRelV>
          </wp:anchor>
        </w:drawing>
      </w:r>
    </w:p>
    <w:p w14:paraId="6DFAA682" w14:textId="3759D110" w:rsidR="001B6B1F" w:rsidRPr="00EB718B" w:rsidRDefault="001B6B1F" w:rsidP="00190B0E">
      <w:pPr>
        <w:spacing w:line="256" w:lineRule="auto"/>
        <w:jc w:val="both"/>
        <w:rPr>
          <w:rFonts w:asciiTheme="minorHAnsi" w:hAnsiTheme="minorHAnsi" w:cstheme="minorHAnsi"/>
          <w:sz w:val="22"/>
          <w:szCs w:val="22"/>
          <w:lang w:val="pt-BR"/>
        </w:rPr>
      </w:pPr>
    </w:p>
    <w:p w14:paraId="43D2B56C" w14:textId="77777777" w:rsidR="001B6B1F" w:rsidRPr="00EB718B" w:rsidRDefault="001B6B1F" w:rsidP="00190B0E">
      <w:pPr>
        <w:spacing w:line="256" w:lineRule="auto"/>
        <w:jc w:val="both"/>
        <w:rPr>
          <w:rFonts w:asciiTheme="minorHAnsi" w:hAnsiTheme="minorHAnsi" w:cstheme="minorHAnsi"/>
          <w:sz w:val="22"/>
          <w:szCs w:val="22"/>
          <w:lang w:val="pt-BR"/>
        </w:rPr>
      </w:pPr>
    </w:p>
    <w:p w14:paraId="0586D52B" w14:textId="77777777" w:rsidR="001B6B1F" w:rsidRPr="00EB718B" w:rsidRDefault="001B6B1F" w:rsidP="00190B0E">
      <w:pPr>
        <w:spacing w:line="256" w:lineRule="auto"/>
        <w:jc w:val="both"/>
        <w:rPr>
          <w:rFonts w:asciiTheme="minorHAnsi" w:hAnsiTheme="minorHAnsi" w:cstheme="minorHAnsi"/>
          <w:sz w:val="22"/>
          <w:szCs w:val="22"/>
          <w:lang w:val="pt-BR"/>
        </w:rPr>
      </w:pPr>
    </w:p>
    <w:p w14:paraId="20AC7970" w14:textId="77777777" w:rsidR="001B6B1F" w:rsidRPr="00EB718B" w:rsidRDefault="001B6B1F" w:rsidP="00190B0E">
      <w:pPr>
        <w:spacing w:line="256" w:lineRule="auto"/>
        <w:jc w:val="both"/>
        <w:rPr>
          <w:rFonts w:asciiTheme="minorHAnsi" w:hAnsiTheme="minorHAnsi" w:cstheme="minorHAnsi"/>
          <w:sz w:val="22"/>
          <w:szCs w:val="22"/>
          <w:lang w:val="pt-BR"/>
        </w:rPr>
      </w:pPr>
    </w:p>
    <w:p w14:paraId="13BB749D" w14:textId="3C371CFE" w:rsidR="001B6B1F" w:rsidRPr="00EB718B" w:rsidRDefault="001B6B1F" w:rsidP="00190B0E">
      <w:pPr>
        <w:spacing w:line="256" w:lineRule="auto"/>
        <w:jc w:val="both"/>
        <w:rPr>
          <w:rFonts w:asciiTheme="minorHAnsi" w:hAnsiTheme="minorHAnsi" w:cstheme="minorHAnsi"/>
          <w:sz w:val="22"/>
          <w:szCs w:val="22"/>
          <w:lang w:val="pt-BR"/>
        </w:rPr>
      </w:pPr>
    </w:p>
    <w:p w14:paraId="197563FC" w14:textId="77777777" w:rsidR="001B6B1F" w:rsidRPr="00EB718B" w:rsidRDefault="001B6B1F" w:rsidP="00190B0E">
      <w:pPr>
        <w:spacing w:line="256" w:lineRule="auto"/>
        <w:jc w:val="both"/>
        <w:rPr>
          <w:rFonts w:asciiTheme="minorHAnsi" w:hAnsiTheme="minorHAnsi" w:cstheme="minorHAnsi"/>
          <w:sz w:val="22"/>
          <w:szCs w:val="22"/>
          <w:lang w:val="pt-BR"/>
        </w:rPr>
      </w:pPr>
    </w:p>
    <w:p w14:paraId="47896FD2" w14:textId="77777777" w:rsidR="001B6B1F" w:rsidRPr="00EB718B" w:rsidRDefault="001B6B1F" w:rsidP="00190B0E">
      <w:pPr>
        <w:spacing w:line="256" w:lineRule="auto"/>
        <w:jc w:val="both"/>
        <w:rPr>
          <w:rFonts w:asciiTheme="minorHAnsi" w:hAnsiTheme="minorHAnsi" w:cstheme="minorHAnsi"/>
          <w:sz w:val="22"/>
          <w:szCs w:val="22"/>
          <w:lang w:val="pt-BR"/>
        </w:rPr>
      </w:pPr>
    </w:p>
    <w:p w14:paraId="7E93AABF" w14:textId="77777777" w:rsidR="001B6B1F" w:rsidRPr="00EB718B" w:rsidRDefault="001B6B1F" w:rsidP="00190B0E">
      <w:pPr>
        <w:spacing w:line="256" w:lineRule="auto"/>
        <w:jc w:val="both"/>
        <w:rPr>
          <w:rFonts w:asciiTheme="minorHAnsi" w:hAnsiTheme="minorHAnsi" w:cstheme="minorHAnsi"/>
          <w:sz w:val="22"/>
          <w:szCs w:val="22"/>
          <w:lang w:val="pt-BR"/>
        </w:rPr>
      </w:pPr>
    </w:p>
    <w:p w14:paraId="020A4AF7" w14:textId="77777777" w:rsidR="001B6B1F" w:rsidRPr="00EB718B" w:rsidRDefault="001B6B1F" w:rsidP="00190B0E">
      <w:pPr>
        <w:spacing w:line="256" w:lineRule="auto"/>
        <w:jc w:val="both"/>
        <w:rPr>
          <w:rFonts w:asciiTheme="minorHAnsi" w:hAnsiTheme="minorHAnsi" w:cstheme="minorHAnsi"/>
          <w:sz w:val="22"/>
          <w:szCs w:val="22"/>
          <w:lang w:val="pt-BR"/>
        </w:rPr>
      </w:pPr>
    </w:p>
    <w:p w14:paraId="5FEA96A8" w14:textId="77777777" w:rsidR="00F939B0" w:rsidRPr="00EB718B" w:rsidRDefault="00F939B0" w:rsidP="00190B0E">
      <w:pPr>
        <w:spacing w:line="256" w:lineRule="auto"/>
        <w:jc w:val="both"/>
        <w:rPr>
          <w:rFonts w:asciiTheme="minorHAnsi" w:hAnsiTheme="minorHAnsi" w:cstheme="minorHAnsi"/>
          <w:sz w:val="22"/>
          <w:szCs w:val="22"/>
          <w:lang w:val="pt-BR"/>
        </w:rPr>
      </w:pPr>
    </w:p>
    <w:p w14:paraId="45A29C53" w14:textId="77777777" w:rsidR="001B6B1F" w:rsidRPr="00EB718B" w:rsidRDefault="001B6B1F" w:rsidP="00190B0E">
      <w:pPr>
        <w:spacing w:line="256" w:lineRule="auto"/>
        <w:jc w:val="both"/>
        <w:rPr>
          <w:rFonts w:asciiTheme="minorHAnsi" w:hAnsiTheme="minorHAnsi" w:cstheme="minorHAnsi"/>
          <w:sz w:val="22"/>
          <w:szCs w:val="22"/>
          <w:lang w:val="pt-BR"/>
        </w:rPr>
      </w:pPr>
    </w:p>
    <w:p w14:paraId="0A53FF36" w14:textId="77777777" w:rsidR="001B6B1F" w:rsidRPr="00EB718B" w:rsidRDefault="001B6B1F" w:rsidP="00190B0E">
      <w:pPr>
        <w:spacing w:line="256" w:lineRule="auto"/>
        <w:jc w:val="both"/>
        <w:rPr>
          <w:rFonts w:asciiTheme="minorHAnsi" w:hAnsiTheme="minorHAnsi" w:cstheme="minorHAnsi"/>
          <w:sz w:val="22"/>
          <w:szCs w:val="22"/>
          <w:lang w:val="pt-BR"/>
        </w:rPr>
      </w:pPr>
    </w:p>
    <w:p w14:paraId="5372730A" w14:textId="77777777" w:rsidR="001B6B1F" w:rsidRPr="00EB718B" w:rsidRDefault="001B6B1F" w:rsidP="00190B0E">
      <w:pPr>
        <w:spacing w:line="256" w:lineRule="auto"/>
        <w:jc w:val="both"/>
        <w:rPr>
          <w:rFonts w:asciiTheme="minorHAnsi" w:hAnsiTheme="minorHAnsi" w:cstheme="minorHAnsi"/>
          <w:sz w:val="22"/>
          <w:szCs w:val="22"/>
          <w:lang w:val="pt-BR"/>
        </w:rPr>
      </w:pPr>
    </w:p>
    <w:p w14:paraId="68B417DA" w14:textId="6AB3B59E" w:rsidR="00F939B0" w:rsidRDefault="00F939B0" w:rsidP="00190B0E">
      <w:pPr>
        <w:spacing w:line="256" w:lineRule="auto"/>
        <w:jc w:val="both"/>
        <w:rPr>
          <w:rFonts w:asciiTheme="minorHAnsi" w:hAnsiTheme="minorHAnsi" w:cstheme="minorHAnsi"/>
          <w:sz w:val="22"/>
          <w:szCs w:val="22"/>
          <w:lang w:val="pt-BR"/>
        </w:rPr>
      </w:pPr>
    </w:p>
    <w:p w14:paraId="0B4B5D25" w14:textId="77777777" w:rsidR="00C561DA" w:rsidRPr="00EB718B" w:rsidRDefault="00C561DA" w:rsidP="00190B0E">
      <w:pPr>
        <w:spacing w:line="256" w:lineRule="auto"/>
        <w:jc w:val="both"/>
        <w:rPr>
          <w:rFonts w:asciiTheme="minorHAnsi" w:hAnsiTheme="minorHAnsi" w:cstheme="minorHAnsi"/>
          <w:sz w:val="22"/>
          <w:szCs w:val="22"/>
          <w:lang w:val="pt-BR"/>
        </w:rPr>
      </w:pPr>
    </w:p>
    <w:p w14:paraId="60040280" w14:textId="77777777" w:rsidR="00190B0E" w:rsidRPr="00B62815" w:rsidRDefault="00190B0E" w:rsidP="00E67635">
      <w:pPr>
        <w:numPr>
          <w:ilvl w:val="0"/>
          <w:numId w:val="23"/>
        </w:numPr>
        <w:spacing w:line="256" w:lineRule="auto"/>
        <w:contextualSpacing/>
        <w:jc w:val="both"/>
        <w:rPr>
          <w:rFonts w:asciiTheme="minorHAnsi" w:hAnsiTheme="minorHAnsi" w:cstheme="minorHAnsi"/>
          <w:b/>
          <w:sz w:val="22"/>
          <w:szCs w:val="22"/>
          <w:lang w:val="es-EC"/>
        </w:rPr>
      </w:pPr>
      <w:r w:rsidRPr="00B62815">
        <w:rPr>
          <w:rFonts w:asciiTheme="minorHAnsi" w:hAnsiTheme="minorHAnsi" w:cstheme="minorHAnsi"/>
          <w:b/>
          <w:sz w:val="22"/>
          <w:szCs w:val="22"/>
          <w:lang w:val="es-EC"/>
        </w:rPr>
        <w:t xml:space="preserve">Visita guiada privada al Museo Nacional del Indígena Americano: </w:t>
      </w:r>
      <w:r w:rsidRPr="00B62815">
        <w:rPr>
          <w:rFonts w:asciiTheme="minorHAnsi" w:hAnsiTheme="minorHAnsi" w:cstheme="minorHAnsi"/>
          <w:sz w:val="22"/>
          <w:szCs w:val="22"/>
          <w:lang w:val="es-EC"/>
        </w:rPr>
        <w:t>Por segundo año consecutivo, en colaboración con la Institución Smithsonian, el Secretario General Adjunto organizó una visita guiada privada para los Representantes Permanentes y delegados alternos de los Estados Miembros ante la OEA, las Delegaciones Observadoras Permanentes y altos funcionarios de la OEA. La visita tuvo lugar el 6 de agosto y asistieron 50 personas.</w:t>
      </w:r>
    </w:p>
    <w:p w14:paraId="14E0CF74" w14:textId="77777777" w:rsidR="00190B0E" w:rsidRPr="00B62815" w:rsidRDefault="00190B0E" w:rsidP="00190B0E">
      <w:pPr>
        <w:spacing w:line="256" w:lineRule="auto"/>
        <w:jc w:val="both"/>
        <w:rPr>
          <w:rFonts w:asciiTheme="minorHAnsi" w:hAnsiTheme="minorHAnsi" w:cstheme="minorHAnsi"/>
          <w:b/>
          <w:sz w:val="22"/>
          <w:szCs w:val="22"/>
          <w:lang w:val="es-EC"/>
        </w:rPr>
      </w:pPr>
    </w:p>
    <w:p w14:paraId="0F835EA6" w14:textId="77777777" w:rsidR="00190B0E" w:rsidRPr="00EB718B" w:rsidRDefault="00190B0E" w:rsidP="00190B0E">
      <w:pPr>
        <w:ind w:firstLine="720"/>
        <w:rPr>
          <w:rFonts w:asciiTheme="minorHAnsi" w:hAnsiTheme="minorHAnsi" w:cstheme="minorHAnsi"/>
          <w:sz w:val="22"/>
          <w:szCs w:val="22"/>
          <w:lang w:val="pt-BR"/>
        </w:rPr>
      </w:pPr>
      <w:r w:rsidRPr="00EB718B">
        <w:rPr>
          <w:rFonts w:asciiTheme="minorHAnsi" w:hAnsiTheme="minorHAnsi" w:cstheme="minorHAnsi"/>
          <w:sz w:val="22"/>
          <w:szCs w:val="22"/>
          <w:lang w:val="pt-BR"/>
        </w:rPr>
        <w:t xml:space="preserve">Fotos: </w:t>
      </w:r>
      <w:hyperlink r:id="rId31" w:history="1">
        <w:r w:rsidRPr="00EB718B">
          <w:rPr>
            <w:rStyle w:val="Hyperlink"/>
            <w:rFonts w:asciiTheme="minorHAnsi" w:hAnsiTheme="minorHAnsi" w:cstheme="minorHAnsi"/>
            <w:sz w:val="22"/>
            <w:szCs w:val="22"/>
            <w:lang w:val="pt-BR"/>
          </w:rPr>
          <w:t>https://www.flickr.com/photos/oasoea/albums/72157710141467096</w:t>
        </w:r>
      </w:hyperlink>
    </w:p>
    <w:p w14:paraId="3DD2C10D" w14:textId="77777777" w:rsidR="00F939B0" w:rsidRPr="00EB718B" w:rsidRDefault="00F939B0" w:rsidP="00190B0E">
      <w:pPr>
        <w:pStyle w:val="ListParagraph"/>
        <w:spacing w:before="240" w:after="200"/>
        <w:ind w:left="0"/>
        <w:contextualSpacing/>
        <w:jc w:val="both"/>
        <w:rPr>
          <w:rFonts w:asciiTheme="minorHAnsi" w:hAnsiTheme="minorHAnsi" w:cstheme="minorHAnsi"/>
          <w:b/>
          <w:sz w:val="22"/>
          <w:szCs w:val="22"/>
          <w:lang w:val="pt-BR"/>
        </w:rPr>
      </w:pPr>
    </w:p>
    <w:p w14:paraId="5944D2C8" w14:textId="77777777" w:rsidR="00190B0E" w:rsidRPr="00B62815" w:rsidRDefault="00190B0E" w:rsidP="00190B0E">
      <w:pPr>
        <w:pStyle w:val="ListParagraph"/>
        <w:spacing w:before="240" w:after="200"/>
        <w:ind w:left="0"/>
        <w:contextualSpacing/>
        <w:jc w:val="both"/>
        <w:rPr>
          <w:rFonts w:asciiTheme="minorHAnsi" w:hAnsiTheme="minorHAnsi" w:cstheme="minorHAnsi"/>
          <w:b/>
          <w:sz w:val="22"/>
          <w:szCs w:val="22"/>
          <w:lang w:val="es-ES"/>
        </w:rPr>
      </w:pPr>
      <w:r w:rsidRPr="00B62815">
        <w:rPr>
          <w:rFonts w:asciiTheme="minorHAnsi" w:hAnsiTheme="minorHAnsi" w:cstheme="minorHAnsi"/>
          <w:b/>
          <w:sz w:val="22"/>
          <w:szCs w:val="22"/>
          <w:lang w:val="es-ES"/>
        </w:rPr>
        <w:t>Modelo de la Asamblea General de la OEA (MOEA)</w:t>
      </w:r>
    </w:p>
    <w:p w14:paraId="4057324D" w14:textId="77777777" w:rsidR="00190B0E" w:rsidRPr="00B62815" w:rsidRDefault="00190B0E" w:rsidP="00190B0E">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En el año 2019, el Programa Modelo de la Organización de Estados Americanos (MOEA) orientado hacia la juventud del Hemisferio, contó con la participación de aproximadamente 1,150 estudiantes y más de 150 docentes, tanto de Universidades como de Colegios, de los distintos Estados Miembros de la Organización. Específicamente, se llevaron a cabo 4 ediciones de Modelos:</w:t>
      </w:r>
    </w:p>
    <w:p w14:paraId="6C31802C" w14:textId="77777777" w:rsidR="00190B0E" w:rsidRPr="00B62815" w:rsidRDefault="00190B0E" w:rsidP="00190B0E">
      <w:pPr>
        <w:jc w:val="both"/>
        <w:rPr>
          <w:rFonts w:asciiTheme="minorHAnsi" w:hAnsiTheme="minorHAnsi" w:cstheme="minorHAnsi"/>
          <w:sz w:val="22"/>
          <w:szCs w:val="22"/>
          <w:lang w:val="es-US"/>
        </w:rPr>
      </w:pPr>
    </w:p>
    <w:p w14:paraId="420F0DC6" w14:textId="77777777" w:rsidR="00190B0E" w:rsidRPr="00B62815" w:rsidRDefault="00190B0E" w:rsidP="00E67635">
      <w:pPr>
        <w:pStyle w:val="ListParagraph"/>
        <w:numPr>
          <w:ilvl w:val="0"/>
          <w:numId w:val="24"/>
        </w:numPr>
        <w:spacing w:after="160"/>
        <w:contextualSpacing/>
        <w:jc w:val="both"/>
        <w:rPr>
          <w:rFonts w:asciiTheme="minorHAnsi" w:hAnsiTheme="minorHAnsi" w:cstheme="minorHAnsi"/>
          <w:sz w:val="22"/>
          <w:szCs w:val="22"/>
          <w:lang w:val="es-US"/>
        </w:rPr>
      </w:pPr>
      <w:r w:rsidRPr="00B62815">
        <w:rPr>
          <w:rFonts w:asciiTheme="minorHAnsi" w:hAnsiTheme="minorHAnsi" w:cstheme="minorHAnsi"/>
          <w:b/>
          <w:sz w:val="22"/>
          <w:szCs w:val="22"/>
          <w:lang w:val="es-US"/>
        </w:rPr>
        <w:t>34 Modelo OEA para Universidades del Hemisferio:</w:t>
      </w:r>
      <w:r w:rsidRPr="00B62815">
        <w:rPr>
          <w:rFonts w:asciiTheme="minorHAnsi" w:hAnsiTheme="minorHAnsi" w:cstheme="minorHAnsi"/>
          <w:sz w:val="22"/>
          <w:szCs w:val="22"/>
          <w:lang w:val="es-US"/>
        </w:rPr>
        <w:t xml:space="preserve"> este año, se reactivó el Modelo OEA para Universidades en español en Costa Rica. El Modelo se llevó a cabo del 11 al 13 de marzo organizado junto con la Universidad Latina de Costa Rica, en el campus de dicha Universidad. </w:t>
      </w:r>
    </w:p>
    <w:p w14:paraId="56902D16" w14:textId="77777777" w:rsidR="00190B0E" w:rsidRPr="00B62815" w:rsidRDefault="00190B0E" w:rsidP="00190B0E">
      <w:pPr>
        <w:pStyle w:val="ListParagraph"/>
        <w:spacing w:after="160"/>
        <w:contextualSpacing/>
        <w:jc w:val="both"/>
        <w:rPr>
          <w:rFonts w:asciiTheme="minorHAnsi" w:hAnsiTheme="minorHAnsi" w:cstheme="minorHAnsi"/>
          <w:sz w:val="22"/>
          <w:szCs w:val="22"/>
          <w:lang w:val="es-US"/>
        </w:rPr>
      </w:pPr>
    </w:p>
    <w:p w14:paraId="741E7BC2" w14:textId="77777777" w:rsidR="00190B0E" w:rsidRPr="00EB718B" w:rsidRDefault="00190B0E" w:rsidP="00190B0E">
      <w:pPr>
        <w:pStyle w:val="ListParagraph"/>
        <w:spacing w:after="160"/>
        <w:contextualSpacing/>
        <w:jc w:val="both"/>
        <w:rPr>
          <w:rFonts w:asciiTheme="minorHAnsi" w:hAnsiTheme="minorHAnsi" w:cstheme="minorHAnsi"/>
          <w:sz w:val="22"/>
          <w:szCs w:val="22"/>
          <w:lang w:val="pt-BR"/>
        </w:rPr>
      </w:pPr>
      <w:r w:rsidRPr="00EB718B">
        <w:rPr>
          <w:rFonts w:asciiTheme="minorHAnsi" w:hAnsiTheme="minorHAnsi" w:cstheme="minorHAnsi"/>
          <w:sz w:val="22"/>
          <w:szCs w:val="22"/>
          <w:lang w:val="pt-BR"/>
        </w:rPr>
        <w:t xml:space="preserve">Fotos: </w:t>
      </w:r>
      <w:hyperlink r:id="rId32" w:history="1">
        <w:r w:rsidRPr="00EB718B">
          <w:rPr>
            <w:rStyle w:val="Hyperlink"/>
            <w:rFonts w:asciiTheme="minorHAnsi" w:hAnsiTheme="minorHAnsi" w:cstheme="minorHAnsi"/>
            <w:sz w:val="22"/>
            <w:szCs w:val="22"/>
            <w:lang w:val="pt-BR"/>
          </w:rPr>
          <w:t>https://www.flickr.com/photos/modelooea/albums/72157708174243395</w:t>
        </w:r>
      </w:hyperlink>
    </w:p>
    <w:p w14:paraId="507EA85A" w14:textId="77777777" w:rsidR="00190B0E" w:rsidRPr="00EB718B" w:rsidRDefault="00190B0E" w:rsidP="00190B0E">
      <w:pPr>
        <w:pStyle w:val="ListParagraph"/>
        <w:spacing w:after="160"/>
        <w:contextualSpacing/>
        <w:jc w:val="both"/>
        <w:rPr>
          <w:rFonts w:asciiTheme="minorHAnsi" w:hAnsiTheme="minorHAnsi" w:cstheme="minorHAnsi"/>
          <w:sz w:val="22"/>
          <w:szCs w:val="22"/>
          <w:lang w:val="pt-BR"/>
        </w:rPr>
      </w:pPr>
    </w:p>
    <w:p w14:paraId="260D6DAC" w14:textId="77777777" w:rsidR="00190B0E" w:rsidRPr="00B62815" w:rsidRDefault="00190B0E" w:rsidP="00E67635">
      <w:pPr>
        <w:pStyle w:val="ListParagraph"/>
        <w:numPr>
          <w:ilvl w:val="0"/>
          <w:numId w:val="24"/>
        </w:numPr>
        <w:spacing w:after="160"/>
        <w:contextualSpacing/>
        <w:jc w:val="both"/>
        <w:rPr>
          <w:rFonts w:asciiTheme="minorHAnsi" w:hAnsiTheme="minorHAnsi" w:cstheme="minorHAnsi"/>
          <w:sz w:val="22"/>
          <w:szCs w:val="22"/>
          <w:lang w:val="es-US"/>
        </w:rPr>
      </w:pPr>
      <w:r w:rsidRPr="00B62815">
        <w:rPr>
          <w:rFonts w:asciiTheme="minorHAnsi" w:hAnsiTheme="minorHAnsi" w:cstheme="minorHAnsi"/>
          <w:b/>
          <w:sz w:val="22"/>
          <w:szCs w:val="22"/>
          <w:lang w:val="es-US"/>
        </w:rPr>
        <w:t>2019 Washington Model OAS (WMOAS</w:t>
      </w:r>
      <w:r w:rsidRPr="00B62815">
        <w:rPr>
          <w:rFonts w:asciiTheme="minorHAnsi" w:hAnsiTheme="minorHAnsi" w:cstheme="minorHAnsi"/>
          <w:sz w:val="22"/>
          <w:szCs w:val="22"/>
          <w:lang w:val="es-US"/>
        </w:rPr>
        <w:t xml:space="preserve">): El Modelo de la OEA para Universidades del Hemisferio en inglés, desarrollado del 1 al 5 de abril en la sede de la OEA, fue exitosamente organizado por el Instituto para el Diálogo Democrático en las Américas (IDDA) y la SG/OEA. </w:t>
      </w:r>
    </w:p>
    <w:p w14:paraId="6C352551" w14:textId="77777777" w:rsidR="00190B0E" w:rsidRPr="00B62815" w:rsidRDefault="00190B0E" w:rsidP="00190B0E">
      <w:pPr>
        <w:pStyle w:val="ListParagraph"/>
        <w:spacing w:after="160"/>
        <w:contextualSpacing/>
        <w:jc w:val="both"/>
        <w:rPr>
          <w:rFonts w:asciiTheme="minorHAnsi" w:hAnsiTheme="minorHAnsi" w:cstheme="minorHAnsi"/>
          <w:sz w:val="22"/>
          <w:szCs w:val="22"/>
          <w:lang w:val="es-US"/>
        </w:rPr>
      </w:pPr>
    </w:p>
    <w:p w14:paraId="4DE5795B" w14:textId="77777777" w:rsidR="00190B0E" w:rsidRPr="00B62815" w:rsidRDefault="00190B0E" w:rsidP="00E67635">
      <w:pPr>
        <w:pStyle w:val="ListParagraph"/>
        <w:numPr>
          <w:ilvl w:val="0"/>
          <w:numId w:val="24"/>
        </w:numPr>
        <w:spacing w:after="160"/>
        <w:contextualSpacing/>
        <w:jc w:val="both"/>
        <w:rPr>
          <w:rFonts w:asciiTheme="minorHAnsi" w:hAnsiTheme="minorHAnsi" w:cstheme="minorHAnsi"/>
          <w:sz w:val="22"/>
          <w:szCs w:val="22"/>
          <w:lang w:val="es-ES"/>
        </w:rPr>
      </w:pPr>
      <w:r w:rsidRPr="00B62815">
        <w:rPr>
          <w:rFonts w:asciiTheme="minorHAnsi" w:hAnsiTheme="minorHAnsi" w:cstheme="minorHAnsi"/>
          <w:b/>
          <w:sz w:val="22"/>
          <w:szCs w:val="22"/>
          <w:lang w:val="es-US"/>
        </w:rPr>
        <w:lastRenderedPageBreak/>
        <w:t>Primer MOEA para Colegios Secundarios de la Región Andina de Colombia:</w:t>
      </w:r>
      <w:r w:rsidRPr="00B62815">
        <w:rPr>
          <w:rFonts w:asciiTheme="minorHAnsi" w:hAnsiTheme="minorHAnsi" w:cstheme="minorHAnsi"/>
          <w:sz w:val="22"/>
          <w:szCs w:val="22"/>
          <w:lang w:val="es-US"/>
        </w:rPr>
        <w:t xml:space="preserve"> este MOEA se llevó a cabo del 5 al 7 de junio en la Universidad EAFIT, en Medellín, Colombia. El Modelo contó con la participación de estudiantes, en su mayoría, de colegios públicos y algunos privados, y se realizó con el apoyo de la Alcaldía de Medellín, la Secretaría de Educación y el Ministerio de Relaciones Exteriores de Colombia. El objetivo principal fue familiarizar a la juventud con los temas que abordarían los Estados Miembros en el 49 Período Ordinario de la Asamblea General de la OEA en Medellín.</w:t>
      </w:r>
    </w:p>
    <w:p w14:paraId="776D654E" w14:textId="77777777" w:rsidR="00190B0E" w:rsidRPr="00B62815" w:rsidRDefault="00190B0E" w:rsidP="00190B0E">
      <w:pPr>
        <w:pStyle w:val="ListParagraph"/>
        <w:rPr>
          <w:rFonts w:asciiTheme="minorHAnsi" w:hAnsiTheme="minorHAnsi" w:cstheme="minorHAnsi"/>
          <w:sz w:val="22"/>
          <w:szCs w:val="22"/>
          <w:lang w:val="es-ES"/>
        </w:rPr>
      </w:pPr>
    </w:p>
    <w:p w14:paraId="3AD46BF4" w14:textId="77777777" w:rsidR="00190B0E" w:rsidRPr="00B62815" w:rsidRDefault="00190B0E" w:rsidP="00190B0E">
      <w:pPr>
        <w:spacing w:line="276" w:lineRule="auto"/>
        <w:ind w:left="720"/>
        <w:jc w:val="both"/>
        <w:rPr>
          <w:rFonts w:asciiTheme="minorHAnsi" w:hAnsiTheme="minorHAnsi" w:cstheme="minorHAnsi"/>
          <w:sz w:val="22"/>
          <w:szCs w:val="22"/>
          <w:lang w:val="pt-BR"/>
        </w:rPr>
      </w:pPr>
      <w:r w:rsidRPr="00B62815">
        <w:rPr>
          <w:rFonts w:asciiTheme="minorHAnsi" w:hAnsiTheme="minorHAnsi" w:cstheme="minorHAnsi"/>
          <w:sz w:val="22"/>
          <w:szCs w:val="22"/>
          <w:lang w:val="pt-BR"/>
        </w:rPr>
        <w:t xml:space="preserve">Fotos: </w:t>
      </w:r>
      <w:hyperlink r:id="rId33" w:history="1">
        <w:r w:rsidRPr="00B62815">
          <w:rPr>
            <w:rStyle w:val="Hyperlink"/>
            <w:rFonts w:asciiTheme="minorHAnsi" w:hAnsiTheme="minorHAnsi" w:cstheme="minorHAnsi"/>
            <w:sz w:val="22"/>
            <w:szCs w:val="22"/>
            <w:lang w:val="pt-BR"/>
          </w:rPr>
          <w:t>https://www.flickr.com/photos/modelooea/albums/72157709144793452</w:t>
        </w:r>
      </w:hyperlink>
      <w:r w:rsidRPr="00B62815">
        <w:rPr>
          <w:rFonts w:asciiTheme="minorHAnsi" w:hAnsiTheme="minorHAnsi" w:cstheme="minorHAnsi"/>
          <w:sz w:val="22"/>
          <w:szCs w:val="22"/>
          <w:lang w:val="pt-BR"/>
        </w:rPr>
        <w:t xml:space="preserve"> </w:t>
      </w:r>
    </w:p>
    <w:p w14:paraId="023E4AFB" w14:textId="77777777" w:rsidR="00190B0E" w:rsidRPr="00B62815" w:rsidRDefault="00190B0E" w:rsidP="00190B0E">
      <w:pPr>
        <w:spacing w:line="276" w:lineRule="auto"/>
        <w:ind w:left="720"/>
        <w:jc w:val="both"/>
        <w:rPr>
          <w:rFonts w:asciiTheme="minorHAnsi" w:hAnsiTheme="minorHAnsi" w:cstheme="minorHAnsi"/>
          <w:sz w:val="22"/>
          <w:szCs w:val="22"/>
          <w:lang w:val="pt-BR"/>
        </w:rPr>
      </w:pPr>
    </w:p>
    <w:p w14:paraId="2ACF42C5" w14:textId="77777777" w:rsidR="00190B0E" w:rsidRPr="00B62815" w:rsidRDefault="001C2CF3" w:rsidP="00190B0E">
      <w:pPr>
        <w:spacing w:line="276" w:lineRule="auto"/>
        <w:ind w:left="720"/>
        <w:jc w:val="both"/>
        <w:rPr>
          <w:rFonts w:asciiTheme="minorHAnsi" w:hAnsiTheme="minorHAnsi" w:cstheme="minorHAnsi"/>
          <w:sz w:val="22"/>
          <w:szCs w:val="22"/>
          <w:lang w:val="pt-BR"/>
        </w:rPr>
      </w:pPr>
      <w:r w:rsidRPr="00B62815">
        <w:rPr>
          <w:rFonts w:asciiTheme="minorHAnsi" w:hAnsiTheme="minorHAnsi" w:cstheme="minorHAnsi"/>
          <w:noProof/>
          <w:sz w:val="22"/>
          <w:szCs w:val="22"/>
        </w:rPr>
        <w:drawing>
          <wp:anchor distT="0" distB="0" distL="114300" distR="114300" simplePos="0" relativeHeight="251652096" behindDoc="0" locked="0" layoutInCell="1" allowOverlap="1" wp14:anchorId="61777148" wp14:editId="3E41B4E4">
            <wp:simplePos x="0" y="0"/>
            <wp:positionH relativeFrom="margin">
              <wp:align>center</wp:align>
            </wp:positionH>
            <wp:positionV relativeFrom="paragraph">
              <wp:posOffset>4445</wp:posOffset>
            </wp:positionV>
            <wp:extent cx="4667250" cy="3038475"/>
            <wp:effectExtent l="0" t="0" r="0" b="0"/>
            <wp:wrapTopAndBottom/>
            <wp:docPr id="124" name="Picture 124" descr="MOEA Medelli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OEA Medellin Colombia"/>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667250" cy="3038475"/>
                    </a:xfrm>
                    <a:prstGeom prst="rect">
                      <a:avLst/>
                    </a:prstGeom>
                    <a:noFill/>
                  </pic:spPr>
                </pic:pic>
              </a:graphicData>
            </a:graphic>
            <wp14:sizeRelH relativeFrom="page">
              <wp14:pctWidth>0</wp14:pctWidth>
            </wp14:sizeRelH>
            <wp14:sizeRelV relativeFrom="page">
              <wp14:pctHeight>0</wp14:pctHeight>
            </wp14:sizeRelV>
          </wp:anchor>
        </w:drawing>
      </w:r>
    </w:p>
    <w:p w14:paraId="6C415343" w14:textId="77777777" w:rsidR="00190B0E" w:rsidRPr="00B62815" w:rsidRDefault="00190B0E"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b/>
          <w:sz w:val="22"/>
          <w:szCs w:val="22"/>
          <w:lang w:val="es-US"/>
        </w:rPr>
        <w:t>38 MOAS para colegios secundarios</w:t>
      </w:r>
      <w:r w:rsidRPr="00B62815">
        <w:rPr>
          <w:rFonts w:asciiTheme="minorHAnsi" w:hAnsiTheme="minorHAnsi" w:cstheme="minorHAnsi"/>
          <w:sz w:val="22"/>
          <w:szCs w:val="22"/>
          <w:lang w:val="es-US"/>
        </w:rPr>
        <w:t xml:space="preserve">: del 13 al 15 de noviembre se llevó a cabo en la sede de la OEA en Washington la trigésimo octava edición del MOEA Hemisférico para estudiantes de escuelas secundarias en inglés. </w:t>
      </w:r>
    </w:p>
    <w:p w14:paraId="21241E10" w14:textId="77777777" w:rsidR="00190B0E" w:rsidRPr="00B62815" w:rsidRDefault="00190B0E" w:rsidP="00190B0E">
      <w:pPr>
        <w:spacing w:line="276" w:lineRule="auto"/>
        <w:ind w:left="720"/>
        <w:jc w:val="both"/>
        <w:rPr>
          <w:rFonts w:asciiTheme="minorHAnsi" w:hAnsiTheme="minorHAnsi" w:cstheme="minorHAnsi"/>
          <w:sz w:val="22"/>
          <w:szCs w:val="22"/>
          <w:lang w:val="pt-BR"/>
        </w:rPr>
      </w:pPr>
      <w:r w:rsidRPr="00B62815">
        <w:rPr>
          <w:rFonts w:asciiTheme="minorHAnsi" w:hAnsiTheme="minorHAnsi" w:cstheme="minorHAnsi"/>
          <w:sz w:val="22"/>
          <w:szCs w:val="22"/>
          <w:lang w:val="pt-BR"/>
        </w:rPr>
        <w:t xml:space="preserve">Fotos: </w:t>
      </w:r>
      <w:hyperlink r:id="rId35" w:history="1">
        <w:r w:rsidRPr="00B62815">
          <w:rPr>
            <w:rStyle w:val="Hyperlink"/>
            <w:rFonts w:asciiTheme="minorHAnsi" w:hAnsiTheme="minorHAnsi" w:cstheme="minorHAnsi"/>
            <w:sz w:val="22"/>
            <w:szCs w:val="22"/>
            <w:lang w:val="pt-BR"/>
          </w:rPr>
          <w:t>https://www.flickr.com/photos/modelooea/albums/72157711782092106</w:t>
        </w:r>
      </w:hyperlink>
      <w:r w:rsidRPr="00B62815">
        <w:rPr>
          <w:rFonts w:asciiTheme="minorHAnsi" w:hAnsiTheme="minorHAnsi" w:cstheme="minorHAnsi"/>
          <w:sz w:val="22"/>
          <w:szCs w:val="22"/>
          <w:lang w:val="pt-BR"/>
        </w:rPr>
        <w:t xml:space="preserve"> </w:t>
      </w:r>
    </w:p>
    <w:p w14:paraId="01A214DF" w14:textId="77777777" w:rsidR="00190B0E" w:rsidRPr="00B62815" w:rsidRDefault="00190B0E" w:rsidP="00190B0E">
      <w:pPr>
        <w:spacing w:line="276" w:lineRule="auto"/>
        <w:ind w:left="720"/>
        <w:jc w:val="both"/>
        <w:rPr>
          <w:rFonts w:asciiTheme="minorHAnsi" w:hAnsiTheme="minorHAnsi" w:cstheme="minorHAnsi"/>
          <w:sz w:val="22"/>
          <w:szCs w:val="22"/>
          <w:lang w:val="pt-BR"/>
        </w:rPr>
      </w:pPr>
    </w:p>
    <w:p w14:paraId="4207664F" w14:textId="77777777" w:rsidR="00190B0E" w:rsidRPr="00B62815" w:rsidRDefault="00190B0E" w:rsidP="00190B0E">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Adicionalmente, se estrecharon lazos con diversas Universidades que dieron por resultado:</w:t>
      </w:r>
    </w:p>
    <w:p w14:paraId="30ECC07D" w14:textId="77777777" w:rsidR="00190B0E" w:rsidRPr="00B62815" w:rsidRDefault="00190B0E" w:rsidP="00190B0E">
      <w:pPr>
        <w:jc w:val="both"/>
        <w:rPr>
          <w:rFonts w:asciiTheme="minorHAnsi" w:hAnsiTheme="minorHAnsi" w:cstheme="minorHAnsi"/>
          <w:sz w:val="22"/>
          <w:szCs w:val="22"/>
          <w:lang w:val="es-US"/>
        </w:rPr>
      </w:pPr>
    </w:p>
    <w:p w14:paraId="05A14DE9" w14:textId="77777777" w:rsidR="00190B0E" w:rsidRPr="00B62815" w:rsidRDefault="00190B0E"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lastRenderedPageBreak/>
        <w:t xml:space="preserve">Acuerdo de Cooperación entre la Universidad Euro Hispanoamericana y la Secretaría General de la OEA para la ejecución del 35 MOEA para Universidades del Hemisferio, a celebrarse en Xalapa, Veracruz, México del 22 al 24 de abril de 2020. </w:t>
      </w:r>
    </w:p>
    <w:p w14:paraId="18369699" w14:textId="77777777" w:rsidR="00190B0E" w:rsidRPr="00B62815" w:rsidRDefault="00190B0E"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Invitación al Programa MOEA para participar nuevamente en el Día Global de Ética organizado por Texas Tech University, el 16 de octubre de 2019. </w:t>
      </w:r>
    </w:p>
    <w:p w14:paraId="013C32D8" w14:textId="77777777" w:rsidR="00F939B0" w:rsidRPr="00B62815" w:rsidRDefault="00190B0E" w:rsidP="00E67635">
      <w:pPr>
        <w:pStyle w:val="ListParagraph"/>
        <w:numPr>
          <w:ilvl w:val="0"/>
          <w:numId w:val="19"/>
        </w:numPr>
        <w:spacing w:after="160" w:line="276" w:lineRule="auto"/>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Interés de realizar diversos MOEAs en el año 2020. Entre ellos: MOEA Nacional Honduras: junto con la Universidad Tecnológica Centroamericana UNITEC; OEA para escuelas secundarias junto con la Universidad de San Martín de Porres (USMP) en Lima, Perú; Modelo Hemisférico para universidades junto con la USMP; MOEA Centroamericano junto con la Universidad de El Salvador, en conmemoración de su 50 Aniversario.</w:t>
      </w:r>
    </w:p>
    <w:p w14:paraId="60C535C9" w14:textId="77777777" w:rsidR="008646CD" w:rsidRPr="00B62815" w:rsidRDefault="00F939B0" w:rsidP="0037172C">
      <w:pPr>
        <w:pStyle w:val="Heading3"/>
        <w:spacing w:after="0"/>
        <w:rPr>
          <w:rFonts w:asciiTheme="minorHAnsi" w:hAnsiTheme="minorHAnsi" w:cstheme="minorHAnsi"/>
          <w:b w:val="0"/>
          <w:color w:val="E36C0A"/>
          <w:sz w:val="22"/>
          <w:szCs w:val="22"/>
          <w:lang w:val="es-ES"/>
        </w:rPr>
      </w:pPr>
      <w:bookmarkStart w:id="20" w:name="_Toc39675829"/>
      <w:bookmarkStart w:id="21" w:name="_Toc40191052"/>
      <w:r w:rsidRPr="00B62815">
        <w:rPr>
          <w:rFonts w:asciiTheme="minorHAnsi" w:hAnsiTheme="minorHAnsi" w:cstheme="minorHAnsi"/>
          <w:b w:val="0"/>
          <w:color w:val="E36C0A"/>
          <w:sz w:val="22"/>
          <w:szCs w:val="22"/>
          <w:lang w:val="es-ES"/>
        </w:rPr>
        <w:t>2</w:t>
      </w:r>
      <w:r w:rsidR="008646CD" w:rsidRPr="00B62815">
        <w:rPr>
          <w:rFonts w:asciiTheme="minorHAnsi" w:hAnsiTheme="minorHAnsi" w:cstheme="minorHAnsi"/>
          <w:b w:val="0"/>
          <w:color w:val="E36C0A"/>
          <w:sz w:val="22"/>
          <w:szCs w:val="22"/>
          <w:lang w:val="es-ES"/>
        </w:rPr>
        <w:t>.2.</w:t>
      </w:r>
      <w:r w:rsidR="00CC76E7" w:rsidRPr="00B62815">
        <w:rPr>
          <w:rFonts w:asciiTheme="minorHAnsi" w:hAnsiTheme="minorHAnsi" w:cstheme="minorHAnsi"/>
          <w:b w:val="0"/>
          <w:color w:val="E36C0A"/>
          <w:sz w:val="22"/>
          <w:szCs w:val="22"/>
          <w:lang w:val="es-ES"/>
        </w:rPr>
        <w:t>2</w:t>
      </w:r>
      <w:r w:rsidR="008646CD" w:rsidRPr="00B62815">
        <w:rPr>
          <w:rFonts w:asciiTheme="minorHAnsi" w:hAnsiTheme="minorHAnsi" w:cstheme="minorHAnsi"/>
          <w:b w:val="0"/>
          <w:color w:val="E36C0A"/>
          <w:sz w:val="22"/>
          <w:szCs w:val="22"/>
          <w:lang w:val="es-ES"/>
        </w:rPr>
        <w:tab/>
        <w:t>Departamento de Gestión de Conferencias y Reuniones</w:t>
      </w:r>
      <w:bookmarkEnd w:id="20"/>
      <w:bookmarkEnd w:id="21"/>
    </w:p>
    <w:p w14:paraId="08AD500B" w14:textId="77777777" w:rsidR="008646CD" w:rsidRPr="00B62815" w:rsidRDefault="008646CD" w:rsidP="008646CD">
      <w:pPr>
        <w:jc w:val="both"/>
        <w:rPr>
          <w:rFonts w:asciiTheme="minorHAnsi" w:hAnsiTheme="minorHAnsi" w:cstheme="minorHAnsi"/>
          <w:sz w:val="22"/>
          <w:szCs w:val="22"/>
          <w:lang w:val="es-ES"/>
        </w:rPr>
      </w:pPr>
    </w:p>
    <w:p w14:paraId="7BE4584F"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El Departamento de Gestión de Conferencias y Reuniones (DGCR), gestionó la realización de un total de 765 reuniones en 2019. </w:t>
      </w:r>
    </w:p>
    <w:p w14:paraId="021CD640" w14:textId="77777777" w:rsidR="00EA799D" w:rsidRPr="00B62815" w:rsidRDefault="00EA799D" w:rsidP="00EA799D">
      <w:pPr>
        <w:jc w:val="both"/>
        <w:rPr>
          <w:rFonts w:asciiTheme="minorHAnsi" w:hAnsiTheme="minorHAnsi" w:cstheme="minorHAnsi"/>
          <w:sz w:val="22"/>
          <w:szCs w:val="22"/>
          <w:lang w:val="es-ES"/>
        </w:rPr>
      </w:pPr>
    </w:p>
    <w:p w14:paraId="2753F8FE"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El DGCR brindó los servicios necesarios para 253 reuniones del Consejo Permanente, sus Comisiones y grupos de trabajo; 66 reuniones del CIDI; así como para el XLIX Período Ordinario de Sesiones de la Asamblea General, así como las demás reuniones y conferencias efectuadas en relación con los cuatro pilares de la Organización.</w:t>
      </w:r>
    </w:p>
    <w:p w14:paraId="5B83F467" w14:textId="77777777" w:rsidR="00EA799D" w:rsidRPr="00B62815" w:rsidRDefault="00EA799D" w:rsidP="00EA799D">
      <w:pPr>
        <w:jc w:val="both"/>
        <w:rPr>
          <w:rFonts w:asciiTheme="minorHAnsi" w:hAnsiTheme="minorHAnsi" w:cstheme="minorHAnsi"/>
          <w:sz w:val="22"/>
          <w:szCs w:val="22"/>
          <w:lang w:val="es-ES"/>
        </w:rPr>
      </w:pPr>
    </w:p>
    <w:p w14:paraId="7043F2E0" w14:textId="77777777" w:rsidR="00EA799D" w:rsidRPr="00B62815" w:rsidRDefault="00EA799D" w:rsidP="00EA799D">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Adicionalmente apoyó ofreciendo los servicios de conferencias necesarios para la realización de Reuniones de Altas autoridades o Ministeriales y Reuniones de Consulta de Ministros de Relaciones Exteriores para servir de Órgano de Consulta en Aplicación del Tratado Interamericano de Asistencia Recíproca (TIAR):</w:t>
      </w:r>
    </w:p>
    <w:p w14:paraId="79C964F2" w14:textId="77777777" w:rsidR="00EA799D" w:rsidRPr="00B62815" w:rsidRDefault="00EA799D" w:rsidP="00EA799D">
      <w:pPr>
        <w:jc w:val="both"/>
        <w:rPr>
          <w:rFonts w:asciiTheme="minorHAnsi" w:hAnsiTheme="minorHAnsi" w:cstheme="minorHAnsi"/>
          <w:sz w:val="22"/>
          <w:szCs w:val="22"/>
          <w:lang w:val="es-CO"/>
        </w:rPr>
      </w:pPr>
    </w:p>
    <w:p w14:paraId="3E329592"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IV Reunión de Ministros y Altas Autoridades de Desarrollo Social en el Ámbito del CIDI. Ciudad de Guatemala, 28 y 29 de marzo de 2019.</w:t>
      </w:r>
    </w:p>
    <w:p w14:paraId="35A0CD0B"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Seminario Internacional sobre Mecanismos y Herramientas de Cooperación sobre los Servicios de Emergencia en la Región (ECU 911). Quito, 25 y 26 de abril de 2019. </w:t>
      </w:r>
    </w:p>
    <w:p w14:paraId="74E6F204"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lastRenderedPageBreak/>
        <w:t>Sexagésimo Quinto Período Ordinario de Sesiones de la Comisión Interamericana para el Control del Abuso de Drogas (CICAD). Buenos Aires, 8 al 10 de mayo de 2019.</w:t>
      </w:r>
    </w:p>
    <w:p w14:paraId="5ADF672E"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Décima Reunión Interamericana de Ministros de Educación en el Ámbito del CIDI. Washington, DC 8 y 9 de julio de 2019.</w:t>
      </w:r>
    </w:p>
    <w:p w14:paraId="478646EC"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Trigésima Reunión de Consulta de Ministros de Relaciones Exteriores para servir de Órgano de Consulta en Aplicación del Tratado Interamericano de Asistencia Recíproca (TIAR). Nueva York, 23 de septiembre de 2019.</w:t>
      </w:r>
    </w:p>
    <w:p w14:paraId="055BA534"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Octava Reunión Interamericana de Ministros y Máximas Autoridades de Cultura en el ámbito del CIDI. Bridgetown, 19 y 20 de septiembre de 2019.</w:t>
      </w:r>
    </w:p>
    <w:p w14:paraId="27DD6AB9"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VII Reunión de Ministros en Materia de Seguridad Pública de las Américas (MISPA VII). Quito, 30 y 31 de octubre de 2019. </w:t>
      </w:r>
    </w:p>
    <w:p w14:paraId="745402D6"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Sexagésimo Sexto Período Ordinario de Sesiones Comisión Interamericana para el Control del Abuso de Drogas. Miami, 19 al 21 de noviembre de 2019. </w:t>
      </w:r>
    </w:p>
    <w:p w14:paraId="55FDBE75"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Trigésima Reunión de Consulta de Ministros de Relaciones Exteriores para servir de Órgano de Consulta en Aplicación del Tratado Interamericano de Asistencia Recíproca (TIAR). Bogotá, 3 de diciembre de 2019. </w:t>
      </w:r>
    </w:p>
    <w:p w14:paraId="02806BF2" w14:textId="77777777" w:rsidR="00EA799D" w:rsidRPr="00B62815" w:rsidRDefault="00EA799D" w:rsidP="00E67635">
      <w:pPr>
        <w:numPr>
          <w:ilvl w:val="0"/>
          <w:numId w:val="20"/>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Novena Reunión ordinaria de la Comisión Interamericana de Ciencia y Tecnología (COMCyT). Washington, DC, 11 y 12 de diciembre de 2019.</w:t>
      </w:r>
    </w:p>
    <w:p w14:paraId="13B9C370" w14:textId="77777777" w:rsidR="00EA799D" w:rsidRPr="00B62815" w:rsidRDefault="00EA799D" w:rsidP="00EA799D">
      <w:pPr>
        <w:jc w:val="both"/>
        <w:rPr>
          <w:rFonts w:asciiTheme="minorHAnsi" w:hAnsiTheme="minorHAnsi" w:cstheme="minorHAnsi"/>
          <w:sz w:val="22"/>
          <w:szCs w:val="22"/>
          <w:lang w:val="es-ES"/>
        </w:rPr>
      </w:pPr>
    </w:p>
    <w:p w14:paraId="588B4CB8"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DGCR brindó mantenimiento constante a los 10 salones de conferencias y reuniones en la sede. DGCR ha modernizado sus servicios satisfaciendo la demanda de las áreas de la OEA, organizando reuniones con video conferencias en dos idiomas.</w:t>
      </w:r>
    </w:p>
    <w:p w14:paraId="730B260D" w14:textId="77777777" w:rsidR="00EA799D" w:rsidRPr="00B62815" w:rsidRDefault="00EA799D" w:rsidP="00EA799D">
      <w:pPr>
        <w:jc w:val="both"/>
        <w:rPr>
          <w:rFonts w:asciiTheme="minorHAnsi" w:hAnsiTheme="minorHAnsi" w:cstheme="minorHAnsi"/>
          <w:sz w:val="22"/>
          <w:szCs w:val="22"/>
          <w:lang w:val="es-ES"/>
        </w:rPr>
      </w:pPr>
    </w:p>
    <w:p w14:paraId="0DBFC08E"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De la misma manera, DGCR le prestó servicios de conferencias a Estados Miembros, otros Organismos del sistema Interamericano, y otras Organizaciones.</w:t>
      </w:r>
    </w:p>
    <w:p w14:paraId="104AB692" w14:textId="77777777" w:rsidR="00EA799D" w:rsidRPr="00B62815" w:rsidRDefault="00EA799D" w:rsidP="00EA799D">
      <w:pPr>
        <w:jc w:val="both"/>
        <w:rPr>
          <w:rFonts w:asciiTheme="minorHAnsi" w:hAnsiTheme="minorHAnsi" w:cstheme="minorHAnsi"/>
          <w:sz w:val="22"/>
          <w:szCs w:val="22"/>
          <w:lang w:val="es-ES"/>
        </w:rPr>
      </w:pPr>
    </w:p>
    <w:p w14:paraId="1D4AAE3F"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La Sección de Documentos, prestó sus servicios de reproducción y distribución de documentos para las diferentes reuniones efectuadas en 2019, y continúa potenciando principalmente en el área de diseño gráfico y digital, incrementando en conjunto las solicitudes de las áreas de la OEA, en comparación con las del 2018.  Se han completado cerca de 400 órdenes para la impresión de publicaciones y folletería, aumentando la reproducción en un 10% para este año.  Se diseñaron productos de mercadeo para la promoción de programas, proyectos y/o actividades, </w:t>
      </w:r>
      <w:r w:rsidRPr="00B62815">
        <w:rPr>
          <w:rFonts w:asciiTheme="minorHAnsi" w:hAnsiTheme="minorHAnsi" w:cstheme="minorHAnsi"/>
          <w:sz w:val="22"/>
          <w:szCs w:val="22"/>
          <w:lang w:val="es-ES"/>
        </w:rPr>
        <w:lastRenderedPageBreak/>
        <w:t>incluyendo, postales, banners, logotipos, invitaciones digitales, calendarios, entre otros.  Así también, se reprodujo alrededor de 634 documentos, aproximado de 17,262 copias para las reuniones del Consejo Permanente y sus comisiones.</w:t>
      </w:r>
    </w:p>
    <w:p w14:paraId="550B6AFF"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La Sección de Documentos continúa contribuyendo al fortalecimiento de la imagen institucional de la Organización, colaborando con el Departamento de Prensa y Comunicaciones para la estandarización y unificación de documentos y papelería de la OEA.</w:t>
      </w:r>
    </w:p>
    <w:p w14:paraId="5AE7FC9F" w14:textId="234F7CF1"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La Sección de Idiomas brindó servicios de interpretación simultánea en español, francés, inglés y portugués para 384 reuniones de los diversos órganos, organismos y entidades de la Organización, tanto en la sede como fuera de ésta. Al ofrecer estos servicios de interpretación con recursos internos generó un ahorro para la OEA de US$23,100. </w:t>
      </w:r>
    </w:p>
    <w:p w14:paraId="10D3346F" w14:textId="77777777" w:rsidR="00EA799D" w:rsidRPr="00B62815" w:rsidRDefault="00EA799D" w:rsidP="00EA799D">
      <w:pPr>
        <w:jc w:val="both"/>
        <w:rPr>
          <w:rFonts w:asciiTheme="minorHAnsi" w:hAnsiTheme="minorHAnsi" w:cstheme="minorHAnsi"/>
          <w:sz w:val="22"/>
          <w:szCs w:val="22"/>
          <w:lang w:val="es-ES"/>
        </w:rPr>
      </w:pPr>
    </w:p>
    <w:p w14:paraId="118F438B"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En cuanto a la traducción de documentos, con el apoyo del software de memoria de traducción SDL Trados, se tradujeron casi 8 millones de palabras en los cuatro idiomas oficiales de la Organización. Al ofrecer estos servicios de traducción con recursos internos se generó un ahorro para la OEA de US$388,222.06. </w:t>
      </w:r>
    </w:p>
    <w:p w14:paraId="401EEE55" w14:textId="77777777" w:rsidR="00EA799D" w:rsidRPr="00B62815" w:rsidRDefault="00EA799D" w:rsidP="00EA799D">
      <w:pPr>
        <w:jc w:val="both"/>
        <w:rPr>
          <w:rFonts w:asciiTheme="minorHAnsi" w:hAnsiTheme="minorHAnsi" w:cstheme="minorHAnsi"/>
          <w:sz w:val="22"/>
          <w:szCs w:val="22"/>
          <w:lang w:val="es-ES"/>
        </w:rPr>
      </w:pPr>
    </w:p>
    <w:p w14:paraId="7DAA0D9D"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Además, la Sección de Idiomas actualizó y publicó en su sitio web dos documentos relevantes: el Glosario Institucional de la OEA y el Manual de Estilo de la OEA, en los cuatro idiomas de la Organización. </w:t>
      </w:r>
    </w:p>
    <w:p w14:paraId="7FD93EF6" w14:textId="77777777" w:rsidR="00EA799D" w:rsidRPr="00B62815" w:rsidRDefault="00EA799D" w:rsidP="00EA799D">
      <w:pPr>
        <w:jc w:val="both"/>
        <w:rPr>
          <w:rFonts w:asciiTheme="minorHAnsi" w:hAnsiTheme="minorHAnsi" w:cstheme="minorHAnsi"/>
          <w:sz w:val="22"/>
          <w:szCs w:val="22"/>
          <w:lang w:val="es-ES"/>
        </w:rPr>
      </w:pPr>
    </w:p>
    <w:p w14:paraId="4C51582E"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Adicionalmente, la Sección de Idiomas colaboró con el Departamento de Servicios de Información y Tecnología (DOITS) para el desarrollo de nuevos recursos del sistema de manejo de documentos (EDMS). Para el 2020 se realizará el entrenamiento necesario para el uso del nuevo software.</w:t>
      </w:r>
    </w:p>
    <w:p w14:paraId="67B0BD71" w14:textId="77777777" w:rsidR="00EA799D" w:rsidRPr="00B62815" w:rsidRDefault="00EA799D" w:rsidP="00EA799D">
      <w:pPr>
        <w:jc w:val="both"/>
        <w:rPr>
          <w:rFonts w:asciiTheme="minorHAnsi" w:hAnsiTheme="minorHAnsi" w:cstheme="minorHAnsi"/>
          <w:sz w:val="22"/>
          <w:szCs w:val="22"/>
          <w:lang w:val="es-ES"/>
        </w:rPr>
      </w:pPr>
    </w:p>
    <w:p w14:paraId="02608500" w14:textId="77777777" w:rsidR="00EA799D" w:rsidRPr="00B62815" w:rsidRDefault="00EA799D" w:rsidP="00EA799D">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La Sección de Idiomas también recibió una visita de estudios del </w:t>
      </w:r>
      <w:r w:rsidRPr="00B62815">
        <w:rPr>
          <w:rFonts w:asciiTheme="minorHAnsi" w:hAnsiTheme="minorHAnsi" w:cstheme="minorHAnsi"/>
          <w:i/>
          <w:sz w:val="22"/>
          <w:szCs w:val="22"/>
          <w:lang w:val="es-ES"/>
        </w:rPr>
        <w:t>Middlebury Institute of International Studies (MIIS)</w:t>
      </w:r>
      <w:r w:rsidRPr="00B62815">
        <w:rPr>
          <w:rFonts w:asciiTheme="minorHAnsi" w:hAnsiTheme="minorHAnsi" w:cstheme="minorHAnsi"/>
          <w:sz w:val="22"/>
          <w:szCs w:val="22"/>
          <w:lang w:val="es-ES"/>
        </w:rPr>
        <w:t>. Asimismo, acogió y capacitó a pasantes provenientes del Programa de Pasantías de la OEA.</w:t>
      </w:r>
    </w:p>
    <w:p w14:paraId="4BDB0885" w14:textId="77777777" w:rsidR="00EA799D" w:rsidRPr="00B62815" w:rsidRDefault="00EA799D" w:rsidP="00EA799D">
      <w:pPr>
        <w:jc w:val="both"/>
        <w:rPr>
          <w:rFonts w:asciiTheme="minorHAnsi" w:hAnsiTheme="minorHAnsi" w:cstheme="minorHAnsi"/>
          <w:sz w:val="22"/>
          <w:szCs w:val="22"/>
          <w:lang w:val="es-ES"/>
        </w:rPr>
      </w:pPr>
    </w:p>
    <w:p w14:paraId="2CE2C703" w14:textId="77777777" w:rsidR="00F91170" w:rsidRPr="00B62815" w:rsidRDefault="00F91170" w:rsidP="00CE4125">
      <w:pPr>
        <w:pStyle w:val="NoSpacing"/>
        <w:outlineLvl w:val="2"/>
        <w:rPr>
          <w:rFonts w:asciiTheme="minorHAnsi" w:hAnsiTheme="minorHAnsi" w:cstheme="minorHAnsi"/>
          <w:color w:val="E36C0A"/>
          <w:lang w:val="es-ES"/>
        </w:rPr>
      </w:pPr>
    </w:p>
    <w:p w14:paraId="12F98FC4" w14:textId="77777777" w:rsidR="008646CD" w:rsidRPr="00F73AAA" w:rsidRDefault="008646CD" w:rsidP="00CE4125">
      <w:pPr>
        <w:pStyle w:val="NoSpacing"/>
        <w:outlineLvl w:val="2"/>
        <w:rPr>
          <w:rFonts w:asciiTheme="minorHAnsi" w:hAnsiTheme="minorHAnsi" w:cstheme="minorHAnsi"/>
          <w:color w:val="E36C0A"/>
          <w:lang w:val="es-ES"/>
        </w:rPr>
      </w:pPr>
      <w:bookmarkStart w:id="22" w:name="_Toc39675830"/>
      <w:bookmarkStart w:id="23" w:name="_Toc40191053"/>
      <w:r w:rsidRPr="00F73AAA">
        <w:rPr>
          <w:rFonts w:asciiTheme="minorHAnsi" w:hAnsiTheme="minorHAnsi" w:cstheme="minorHAnsi"/>
          <w:color w:val="E36C0A"/>
          <w:lang w:val="es-ES"/>
        </w:rPr>
        <w:t>2.2.</w:t>
      </w:r>
      <w:r w:rsidR="00CC76E7" w:rsidRPr="00F73AAA">
        <w:rPr>
          <w:rFonts w:asciiTheme="minorHAnsi" w:hAnsiTheme="minorHAnsi" w:cstheme="minorHAnsi"/>
          <w:color w:val="E36C0A"/>
          <w:lang w:val="es-ES"/>
        </w:rPr>
        <w:t>3</w:t>
      </w:r>
      <w:r w:rsidRPr="00F73AAA">
        <w:rPr>
          <w:rFonts w:asciiTheme="minorHAnsi" w:hAnsiTheme="minorHAnsi" w:cstheme="minorHAnsi"/>
          <w:color w:val="E36C0A"/>
          <w:lang w:val="es-ES"/>
        </w:rPr>
        <w:tab/>
        <w:t>Oficina de Coordinación de las Oficinas y Unidades de la Secretaría General en los Estados Miembros</w:t>
      </w:r>
      <w:bookmarkEnd w:id="22"/>
      <w:bookmarkEnd w:id="23"/>
      <w:r w:rsidRPr="00F73AAA">
        <w:rPr>
          <w:rFonts w:asciiTheme="minorHAnsi" w:hAnsiTheme="minorHAnsi" w:cstheme="minorHAnsi"/>
          <w:color w:val="E36C0A"/>
          <w:lang w:val="es-ES"/>
        </w:rPr>
        <w:t xml:space="preserve"> </w:t>
      </w:r>
    </w:p>
    <w:p w14:paraId="0B0D053C" w14:textId="77777777" w:rsidR="008646CD" w:rsidRPr="00F73AAA" w:rsidRDefault="008646CD" w:rsidP="008646CD">
      <w:pPr>
        <w:pStyle w:val="NoSpacing"/>
        <w:rPr>
          <w:rFonts w:asciiTheme="minorHAnsi" w:hAnsiTheme="minorHAnsi" w:cstheme="minorHAnsi"/>
          <w:lang w:val="es-ES"/>
        </w:rPr>
      </w:pPr>
    </w:p>
    <w:p w14:paraId="53130BB0" w14:textId="77777777" w:rsidR="00F73AAA" w:rsidRPr="00F73AAA" w:rsidRDefault="00F73AAA" w:rsidP="00F73AAA">
      <w:pPr>
        <w:jc w:val="both"/>
        <w:rPr>
          <w:rFonts w:asciiTheme="minorHAnsi" w:hAnsiTheme="minorHAnsi" w:cstheme="minorHAnsi"/>
          <w:sz w:val="22"/>
          <w:szCs w:val="22"/>
          <w:lang w:val="es-ES"/>
        </w:rPr>
      </w:pPr>
      <w:r w:rsidRPr="00F73AAA">
        <w:rPr>
          <w:rFonts w:asciiTheme="minorHAnsi" w:hAnsiTheme="minorHAnsi" w:cstheme="minorHAnsi"/>
          <w:sz w:val="22"/>
          <w:szCs w:val="22"/>
          <w:lang w:val="es-ES"/>
        </w:rPr>
        <w:lastRenderedPageBreak/>
        <w:t xml:space="preserve">La Oficina de Coordinación redobló sus esfuerzos en 2019 para maximizar la eficiencia de sus operaciones a través de una mayor supervisión de las Oficinas Nacionales, aprovechando la mejora en infraestructura técnica y oportunidades para la formación uno a uno, y optimizando los procesos establecidos para la presentación de informes administrativos y financieros.  El déficit de comunicación e información con la Sede se abordó mediante un impulso concertado para una mayor interacción con otras dependencias de la Secretaría General y la presentación a la CAAP de la Estrategia Integral Revisada proporcionando un espacio para responder a las inquietudes de los Estados Miembros.  Ante las severas limitaciones fiscales, las Oficinas Nacionales siguieron apoyando los programas de cooperación técnica, y a simbolizar el impacto visible de la Organización a través de su proactiva promoción de valores, rol y relevancia en el hemisferio.  </w:t>
      </w:r>
    </w:p>
    <w:p w14:paraId="1CB44BF6" w14:textId="77777777" w:rsidR="00F73AAA" w:rsidRPr="00F73AAA" w:rsidRDefault="00F73AAA" w:rsidP="00F73AAA">
      <w:pPr>
        <w:jc w:val="both"/>
        <w:rPr>
          <w:rFonts w:asciiTheme="minorHAnsi" w:hAnsiTheme="minorHAnsi" w:cstheme="minorHAnsi"/>
          <w:sz w:val="22"/>
          <w:szCs w:val="22"/>
          <w:lang w:val="es-ES"/>
        </w:rPr>
      </w:pPr>
    </w:p>
    <w:p w14:paraId="4BD2DADB" w14:textId="77777777" w:rsidR="00F73AAA" w:rsidRPr="00F73AAA" w:rsidRDefault="00F73AAA" w:rsidP="00F73AAA">
      <w:pPr>
        <w:jc w:val="both"/>
        <w:rPr>
          <w:rFonts w:asciiTheme="minorHAnsi" w:hAnsiTheme="minorHAnsi" w:cstheme="minorHAnsi"/>
          <w:sz w:val="22"/>
          <w:szCs w:val="22"/>
          <w:lang w:val="es-ES"/>
        </w:rPr>
      </w:pPr>
      <w:r w:rsidRPr="00F73AAA">
        <w:rPr>
          <w:rFonts w:asciiTheme="minorHAnsi" w:hAnsiTheme="minorHAnsi" w:cstheme="minorHAnsi"/>
          <w:sz w:val="22"/>
          <w:szCs w:val="22"/>
          <w:lang w:val="es-ES"/>
        </w:rPr>
        <w:t>En los siguientes párrafos se presenta una visión general de los principales logros de la Oficina de Coordinación:</w:t>
      </w:r>
    </w:p>
    <w:p w14:paraId="7322F020" w14:textId="77777777" w:rsidR="00F73AAA" w:rsidRPr="00F73AAA" w:rsidRDefault="00F73AAA" w:rsidP="00F73AAA">
      <w:pPr>
        <w:jc w:val="both"/>
        <w:rPr>
          <w:rFonts w:asciiTheme="minorHAnsi" w:hAnsiTheme="minorHAnsi" w:cstheme="minorHAnsi"/>
          <w:sz w:val="22"/>
          <w:szCs w:val="22"/>
          <w:lang w:val="es-ES"/>
        </w:rPr>
      </w:pPr>
    </w:p>
    <w:p w14:paraId="1E630366" w14:textId="77777777" w:rsidR="00F73AAA" w:rsidRPr="00F73AAA" w:rsidRDefault="00F73AAA" w:rsidP="00F73AAA">
      <w:pPr>
        <w:numPr>
          <w:ilvl w:val="0"/>
          <w:numId w:val="23"/>
        </w:numPr>
        <w:jc w:val="both"/>
        <w:rPr>
          <w:rFonts w:asciiTheme="minorHAnsi" w:hAnsiTheme="minorHAnsi" w:cstheme="minorHAnsi"/>
          <w:sz w:val="22"/>
          <w:szCs w:val="22"/>
          <w:lang w:val="es-EC"/>
        </w:rPr>
      </w:pPr>
      <w:r w:rsidRPr="00F73AAA">
        <w:rPr>
          <w:rFonts w:asciiTheme="minorHAnsi" w:hAnsiTheme="minorHAnsi" w:cstheme="minorHAnsi"/>
          <w:b/>
          <w:sz w:val="22"/>
          <w:szCs w:val="22"/>
          <w:lang w:val="es-EC"/>
        </w:rPr>
        <w:t>Estrategia Integral Revisada para las Oficinas de la Secretaria General en los Estados Miembros remitida a la CAAP, en conformidad con AG/RES 1 LIII-E/18:</w:t>
      </w:r>
      <w:r w:rsidRPr="00F73AAA">
        <w:rPr>
          <w:rFonts w:asciiTheme="minorHAnsi" w:hAnsiTheme="minorHAnsi" w:cstheme="minorHAnsi"/>
          <w:sz w:val="22"/>
          <w:szCs w:val="22"/>
          <w:lang w:val="es-EC"/>
        </w:rPr>
        <w:t xml:space="preserve"> La Oficina de Coordinación remitió de nuevo a la CAAP la Estrategia Integral Revisada para las Oficinas Nacionales, y se presentó de manera sustantiva el documento en respuesta a las inquietudes y preguntas de los Estados Miembros. La Oficina de Coordinación sigue a la espera de que los Estados aprueben las directrices para continuar el cumplimiento de los objetivos establecidos.  </w:t>
      </w:r>
    </w:p>
    <w:p w14:paraId="578618A0" w14:textId="77777777" w:rsidR="00F73AAA" w:rsidRPr="00F73AAA" w:rsidRDefault="00F73AAA" w:rsidP="00F73AAA">
      <w:pPr>
        <w:jc w:val="both"/>
        <w:rPr>
          <w:rFonts w:asciiTheme="minorHAnsi" w:hAnsiTheme="minorHAnsi" w:cstheme="minorHAnsi"/>
          <w:sz w:val="22"/>
          <w:szCs w:val="22"/>
          <w:lang w:val="es-ES"/>
        </w:rPr>
      </w:pPr>
    </w:p>
    <w:p w14:paraId="4E6B9149" w14:textId="77777777" w:rsidR="00F73AAA" w:rsidRPr="00F73AAA" w:rsidRDefault="00F73AAA" w:rsidP="00F73AAA">
      <w:pPr>
        <w:numPr>
          <w:ilvl w:val="0"/>
          <w:numId w:val="23"/>
        </w:numPr>
        <w:jc w:val="both"/>
        <w:rPr>
          <w:rFonts w:asciiTheme="minorHAnsi" w:hAnsiTheme="minorHAnsi" w:cstheme="minorHAnsi"/>
          <w:b/>
          <w:sz w:val="22"/>
          <w:szCs w:val="22"/>
          <w:lang w:val="es-EC"/>
        </w:rPr>
      </w:pPr>
      <w:r w:rsidRPr="00F73AAA">
        <w:rPr>
          <w:rFonts w:asciiTheme="minorHAnsi" w:hAnsiTheme="minorHAnsi" w:cstheme="minorHAnsi"/>
          <w:b/>
          <w:sz w:val="22"/>
          <w:szCs w:val="22"/>
          <w:lang w:val="es-EC"/>
        </w:rPr>
        <w:t xml:space="preserve">Mecanismo institucional propuesto por la Oficina de Coordinación implementado a través de DHR para llenar vacantes en las Oficinas Nacionales: </w:t>
      </w:r>
      <w:r w:rsidRPr="00F73AAA">
        <w:rPr>
          <w:rFonts w:asciiTheme="minorHAnsi" w:hAnsiTheme="minorHAnsi" w:cstheme="minorHAnsi"/>
          <w:sz w:val="22"/>
          <w:szCs w:val="22"/>
          <w:lang w:val="es-EC"/>
        </w:rPr>
        <w:t>La Oficina de Coordinación en colaboración con el Departamento de Recursos Humanos estableció un mecanismo a través del cual se abrió al personal la posibilidad de indicar su interés en llenar vacantes para los Representantes de la OEA en las Oficinas Nacionales.  Hasta la fecha una de esas vacantes se llenó a través de este mecanismo.</w:t>
      </w:r>
    </w:p>
    <w:p w14:paraId="0FB16B39" w14:textId="77777777" w:rsidR="00F73AAA" w:rsidRPr="00F73AAA" w:rsidRDefault="00F73AAA" w:rsidP="00F73AAA">
      <w:pPr>
        <w:jc w:val="both"/>
        <w:rPr>
          <w:rFonts w:asciiTheme="minorHAnsi" w:hAnsiTheme="minorHAnsi" w:cstheme="minorHAnsi"/>
          <w:sz w:val="22"/>
          <w:szCs w:val="22"/>
          <w:lang w:val="es-ES"/>
        </w:rPr>
      </w:pPr>
    </w:p>
    <w:p w14:paraId="246B2B0C" w14:textId="77777777" w:rsidR="00F73AAA" w:rsidRPr="00F73AAA" w:rsidRDefault="00F73AAA" w:rsidP="00F73AAA">
      <w:pPr>
        <w:numPr>
          <w:ilvl w:val="0"/>
          <w:numId w:val="23"/>
        </w:numPr>
        <w:jc w:val="both"/>
        <w:rPr>
          <w:rFonts w:asciiTheme="minorHAnsi" w:hAnsiTheme="minorHAnsi" w:cstheme="minorHAnsi"/>
          <w:b/>
          <w:sz w:val="22"/>
          <w:szCs w:val="22"/>
          <w:lang w:val="es-EC"/>
        </w:rPr>
      </w:pPr>
      <w:r w:rsidRPr="00F73AAA">
        <w:rPr>
          <w:rFonts w:asciiTheme="minorHAnsi" w:hAnsiTheme="minorHAnsi" w:cstheme="minorHAnsi"/>
          <w:b/>
          <w:sz w:val="22"/>
          <w:szCs w:val="22"/>
          <w:lang w:val="es-EC"/>
        </w:rPr>
        <w:t xml:space="preserve">Visitas a las Oficinas Nacionales para evaluar operaciones, logísticas y para ofrecer capacitación administrativa al personal: </w:t>
      </w:r>
      <w:r w:rsidRPr="00F73AAA">
        <w:rPr>
          <w:rFonts w:asciiTheme="minorHAnsi" w:hAnsiTheme="minorHAnsi" w:cstheme="minorHAnsi"/>
          <w:sz w:val="22"/>
          <w:szCs w:val="22"/>
          <w:lang w:val="es-EC"/>
        </w:rPr>
        <w:t xml:space="preserve">Visitas de la Oficina de Coordinación a las Oficinas </w:t>
      </w:r>
      <w:r w:rsidRPr="00F73AAA">
        <w:rPr>
          <w:rFonts w:asciiTheme="minorHAnsi" w:hAnsiTheme="minorHAnsi" w:cstheme="minorHAnsi"/>
          <w:sz w:val="22"/>
          <w:szCs w:val="22"/>
          <w:lang w:val="es-EC"/>
        </w:rPr>
        <w:lastRenderedPageBreak/>
        <w:t>Nacionales en México, Ecuador y San Kitts y Nevis para continuar la capacitación al personal y así mismo asesorar rutinas administrativas y operativas. Esto facilitó la revisión de manera global de las necesidades de las Oficinas a pos de optimizar espacios, la seguridad y otras infraestructuras logísticas.</w:t>
      </w:r>
      <w:r w:rsidRPr="00F73AAA">
        <w:rPr>
          <w:rFonts w:asciiTheme="minorHAnsi" w:hAnsiTheme="minorHAnsi" w:cstheme="minorHAnsi"/>
          <w:b/>
          <w:sz w:val="22"/>
          <w:szCs w:val="22"/>
          <w:lang w:val="es-EC"/>
        </w:rPr>
        <w:t xml:space="preserve">  </w:t>
      </w:r>
    </w:p>
    <w:p w14:paraId="3E5F2DD2" w14:textId="77777777" w:rsidR="00F73AAA" w:rsidRPr="00F73AAA" w:rsidRDefault="00F73AAA" w:rsidP="00F73AAA">
      <w:pPr>
        <w:jc w:val="both"/>
        <w:rPr>
          <w:rFonts w:asciiTheme="minorHAnsi" w:hAnsiTheme="minorHAnsi" w:cstheme="minorHAnsi"/>
          <w:sz w:val="22"/>
          <w:szCs w:val="22"/>
          <w:lang w:val="es-ES"/>
        </w:rPr>
      </w:pPr>
    </w:p>
    <w:p w14:paraId="646DAF8C" w14:textId="77777777" w:rsidR="00F73AAA" w:rsidRPr="00F73AAA" w:rsidRDefault="00F73AAA" w:rsidP="00F73AAA">
      <w:pPr>
        <w:numPr>
          <w:ilvl w:val="0"/>
          <w:numId w:val="23"/>
        </w:numPr>
        <w:jc w:val="both"/>
        <w:rPr>
          <w:rFonts w:asciiTheme="minorHAnsi" w:hAnsiTheme="minorHAnsi" w:cstheme="minorHAnsi"/>
          <w:b/>
          <w:sz w:val="22"/>
          <w:szCs w:val="22"/>
          <w:lang w:val="es-EC"/>
        </w:rPr>
      </w:pPr>
      <w:r w:rsidRPr="00F73AAA">
        <w:rPr>
          <w:rFonts w:asciiTheme="minorHAnsi" w:hAnsiTheme="minorHAnsi" w:cstheme="minorHAnsi"/>
          <w:b/>
          <w:sz w:val="22"/>
          <w:szCs w:val="22"/>
          <w:lang w:val="es-EC"/>
        </w:rPr>
        <w:t xml:space="preserve">Inicio del proceso para la actualización del sitio web de las Oficinas Nacionales en consulta con el Departamento de Prensa y Comunicación: </w:t>
      </w:r>
      <w:r w:rsidRPr="00F73AAA">
        <w:rPr>
          <w:rFonts w:asciiTheme="minorHAnsi" w:hAnsiTheme="minorHAnsi" w:cstheme="minorHAnsi"/>
          <w:sz w:val="22"/>
          <w:szCs w:val="22"/>
          <w:lang w:val="es-EC"/>
        </w:rPr>
        <w:t>La Oficina de Coordinación, en consulta con el Departamento de Prensa y Comunicación, inició el proceso de actualización del sitio web de las Oficinas Nacionales con el fin de mejorar la visibilidad de la Organización y fortalecer mecanismos para la promoción de su desempeño, impacto y relevancia en los Estados Miembros.</w:t>
      </w:r>
      <w:r w:rsidRPr="00F73AAA">
        <w:rPr>
          <w:rFonts w:asciiTheme="minorHAnsi" w:hAnsiTheme="minorHAnsi" w:cstheme="minorHAnsi"/>
          <w:b/>
          <w:sz w:val="22"/>
          <w:szCs w:val="22"/>
          <w:lang w:val="es-EC"/>
        </w:rPr>
        <w:t xml:space="preserve">    </w:t>
      </w:r>
    </w:p>
    <w:p w14:paraId="5EF47B07" w14:textId="77777777" w:rsidR="00F73AAA" w:rsidRPr="00F73AAA" w:rsidRDefault="00F73AAA" w:rsidP="00F73AAA">
      <w:pPr>
        <w:jc w:val="both"/>
        <w:rPr>
          <w:rFonts w:asciiTheme="minorHAnsi" w:hAnsiTheme="minorHAnsi" w:cstheme="minorHAnsi"/>
          <w:sz w:val="22"/>
          <w:szCs w:val="22"/>
          <w:lang w:val="es-ES"/>
        </w:rPr>
      </w:pPr>
    </w:p>
    <w:p w14:paraId="6420AE55" w14:textId="77777777" w:rsidR="00F73AAA" w:rsidRPr="00F73AAA" w:rsidRDefault="00F73AAA" w:rsidP="00F73AAA">
      <w:pPr>
        <w:numPr>
          <w:ilvl w:val="0"/>
          <w:numId w:val="23"/>
        </w:numPr>
        <w:jc w:val="both"/>
        <w:rPr>
          <w:rFonts w:asciiTheme="minorHAnsi" w:hAnsiTheme="minorHAnsi" w:cstheme="minorHAnsi"/>
          <w:b/>
          <w:sz w:val="22"/>
          <w:szCs w:val="22"/>
          <w:lang w:val="es-EC"/>
        </w:rPr>
      </w:pPr>
      <w:r w:rsidRPr="00F73AAA">
        <w:rPr>
          <w:rFonts w:asciiTheme="minorHAnsi" w:hAnsiTheme="minorHAnsi" w:cstheme="minorHAnsi"/>
          <w:b/>
          <w:sz w:val="22"/>
          <w:szCs w:val="22"/>
          <w:lang w:val="es-EC"/>
        </w:rPr>
        <w:t xml:space="preserve">Fortalecimiento de las Reuniones Cibernéticas - Dependencias de la Secretaría General, agencias Interamericanas y Oficinas Nacionales para mejorar el intercambio de información, colaboración: </w:t>
      </w:r>
      <w:r w:rsidRPr="00F73AAA">
        <w:rPr>
          <w:rFonts w:asciiTheme="minorHAnsi" w:hAnsiTheme="minorHAnsi" w:cstheme="minorHAnsi"/>
          <w:sz w:val="22"/>
          <w:szCs w:val="22"/>
          <w:lang w:val="es-EC"/>
        </w:rPr>
        <w:t>A través de este proceso, las Oficinas Nacionales se integran en el proceso de intercambio directo de información para actualizarse sobre las actividades llevadas a cabo por otras áreas.  A tal efecto, se las mantienen informadas de la labor de toda la Organización, habilitando un espacio para formular preguntas y divulgar de qué manera las Oficinas pueden ser de mayor apoyo en las actividades y proyectos de las Secretarías y organismos del sistema interamericano.</w:t>
      </w:r>
      <w:r w:rsidRPr="00F73AAA">
        <w:rPr>
          <w:rFonts w:asciiTheme="minorHAnsi" w:hAnsiTheme="minorHAnsi" w:cstheme="minorHAnsi"/>
          <w:b/>
          <w:sz w:val="22"/>
          <w:szCs w:val="22"/>
          <w:lang w:val="es-EC"/>
        </w:rPr>
        <w:t xml:space="preserve">   </w:t>
      </w:r>
    </w:p>
    <w:p w14:paraId="54CCD735" w14:textId="77777777" w:rsidR="00F73AAA" w:rsidRPr="00F73AAA" w:rsidRDefault="00F73AAA" w:rsidP="00F73AAA">
      <w:pPr>
        <w:jc w:val="both"/>
        <w:rPr>
          <w:rFonts w:asciiTheme="minorHAnsi" w:hAnsiTheme="minorHAnsi" w:cstheme="minorHAnsi"/>
          <w:sz w:val="22"/>
          <w:szCs w:val="22"/>
          <w:lang w:val="es-ES"/>
        </w:rPr>
      </w:pPr>
    </w:p>
    <w:p w14:paraId="5168EE69" w14:textId="77777777" w:rsidR="00F73AAA" w:rsidRPr="00F73AAA" w:rsidRDefault="00F73AAA" w:rsidP="00F73AAA">
      <w:pPr>
        <w:numPr>
          <w:ilvl w:val="0"/>
          <w:numId w:val="23"/>
        </w:numPr>
        <w:jc w:val="both"/>
        <w:rPr>
          <w:rFonts w:asciiTheme="minorHAnsi" w:hAnsiTheme="minorHAnsi" w:cstheme="minorHAnsi"/>
          <w:b/>
          <w:sz w:val="22"/>
          <w:szCs w:val="22"/>
          <w:lang w:val="es-EC"/>
        </w:rPr>
      </w:pPr>
      <w:r w:rsidRPr="00F73AAA">
        <w:rPr>
          <w:rFonts w:asciiTheme="minorHAnsi" w:hAnsiTheme="minorHAnsi" w:cstheme="minorHAnsi"/>
          <w:b/>
          <w:sz w:val="22"/>
          <w:szCs w:val="22"/>
          <w:lang w:val="es-EC"/>
        </w:rPr>
        <w:t xml:space="preserve">Acuerdos para el reparto de costos y espacios: </w:t>
      </w:r>
      <w:r w:rsidRPr="00F73AAA">
        <w:rPr>
          <w:rFonts w:asciiTheme="minorHAnsi" w:hAnsiTheme="minorHAnsi" w:cstheme="minorHAnsi"/>
          <w:sz w:val="22"/>
          <w:szCs w:val="22"/>
          <w:lang w:val="es-EC"/>
        </w:rPr>
        <w:t xml:space="preserve"> Cinco con el Programa Interamericano de Facilitadores Judiciales (Oficinas Nacionales en Costa Rica, Guatemala, El Salvador, Honduras, Panamá); Uno con CIDH (Oficina Nacional en México); y uno con PADF (Oficina Nacional en Haití) </w:t>
      </w:r>
    </w:p>
    <w:p w14:paraId="418F0A09" w14:textId="77777777" w:rsidR="00F73AAA" w:rsidRPr="00F73AAA" w:rsidRDefault="00F73AAA" w:rsidP="00F73AAA">
      <w:pPr>
        <w:jc w:val="both"/>
        <w:rPr>
          <w:rFonts w:asciiTheme="minorHAnsi" w:hAnsiTheme="minorHAnsi" w:cstheme="minorHAnsi"/>
          <w:sz w:val="22"/>
          <w:szCs w:val="22"/>
          <w:lang w:val="es-ES"/>
        </w:rPr>
      </w:pPr>
    </w:p>
    <w:p w14:paraId="2780D795" w14:textId="77777777" w:rsidR="00F73AAA" w:rsidRPr="00F73AAA" w:rsidRDefault="00F73AAA" w:rsidP="00F73AAA">
      <w:pPr>
        <w:numPr>
          <w:ilvl w:val="0"/>
          <w:numId w:val="23"/>
        </w:numPr>
        <w:jc w:val="both"/>
        <w:rPr>
          <w:rFonts w:asciiTheme="minorHAnsi" w:hAnsiTheme="minorHAnsi" w:cstheme="minorHAnsi"/>
          <w:b/>
          <w:sz w:val="22"/>
          <w:szCs w:val="22"/>
          <w:lang w:val="es-EC"/>
        </w:rPr>
      </w:pPr>
      <w:r w:rsidRPr="00F73AAA">
        <w:rPr>
          <w:rFonts w:asciiTheme="minorHAnsi" w:hAnsiTheme="minorHAnsi" w:cstheme="minorHAnsi"/>
          <w:b/>
          <w:sz w:val="22"/>
          <w:szCs w:val="22"/>
          <w:lang w:val="es-EC"/>
        </w:rPr>
        <w:t xml:space="preserve">Proyecto Idiomas como Puentes: </w:t>
      </w:r>
      <w:r w:rsidRPr="00F73AAA">
        <w:rPr>
          <w:rFonts w:asciiTheme="minorHAnsi" w:hAnsiTheme="minorHAnsi" w:cstheme="minorHAnsi"/>
          <w:sz w:val="22"/>
          <w:szCs w:val="22"/>
          <w:lang w:val="es-EC"/>
        </w:rPr>
        <w:t>Proyecto conceptualizado y propuesto institucionalmente como una herramienta de lenguas para el hemisferio, recabando interés preliminar y el apoyo de los Estados Miembros y Observadores.</w:t>
      </w:r>
    </w:p>
    <w:p w14:paraId="6E7D1F5D" w14:textId="77777777" w:rsidR="00B12E1F" w:rsidRPr="00B62815" w:rsidRDefault="00B12E1F" w:rsidP="00EA799D">
      <w:pPr>
        <w:jc w:val="both"/>
        <w:rPr>
          <w:rFonts w:asciiTheme="minorHAnsi" w:hAnsiTheme="minorHAnsi" w:cstheme="minorHAnsi"/>
          <w:sz w:val="22"/>
          <w:szCs w:val="22"/>
          <w:lang w:val="es-ES"/>
        </w:rPr>
      </w:pPr>
    </w:p>
    <w:p w14:paraId="5129305D" w14:textId="77777777" w:rsidR="008646CD" w:rsidRPr="00B62815" w:rsidRDefault="004E72C9" w:rsidP="00CE4125">
      <w:pPr>
        <w:pStyle w:val="Heading2"/>
        <w:rPr>
          <w:rFonts w:asciiTheme="minorHAnsi" w:hAnsiTheme="minorHAnsi" w:cstheme="minorHAnsi"/>
          <w:i w:val="0"/>
          <w:color w:val="1F497D"/>
          <w:sz w:val="22"/>
          <w:szCs w:val="22"/>
          <w:lang w:val="es-ES"/>
        </w:rPr>
      </w:pPr>
      <w:bookmarkStart w:id="24" w:name="_Toc39675831"/>
      <w:bookmarkStart w:id="25" w:name="_Toc40191054"/>
      <w:r w:rsidRPr="00B62815">
        <w:rPr>
          <w:rFonts w:asciiTheme="minorHAnsi" w:hAnsiTheme="minorHAnsi" w:cstheme="minorHAnsi"/>
          <w:i w:val="0"/>
          <w:color w:val="1F497D"/>
          <w:sz w:val="22"/>
          <w:szCs w:val="22"/>
          <w:lang w:val="es-ES"/>
        </w:rPr>
        <w:t xml:space="preserve">2.3 </w:t>
      </w:r>
      <w:r w:rsidR="00230A65" w:rsidRPr="00B62815">
        <w:rPr>
          <w:rFonts w:asciiTheme="minorHAnsi" w:hAnsiTheme="minorHAnsi" w:cstheme="minorHAnsi"/>
          <w:i w:val="0"/>
          <w:color w:val="1F497D"/>
          <w:sz w:val="22"/>
          <w:szCs w:val="22"/>
          <w:lang w:val="es-ES"/>
        </w:rPr>
        <w:tab/>
      </w:r>
      <w:r w:rsidR="00C329E8" w:rsidRPr="00B62815">
        <w:rPr>
          <w:rFonts w:asciiTheme="minorHAnsi" w:hAnsiTheme="minorHAnsi" w:cstheme="minorHAnsi"/>
          <w:i w:val="0"/>
          <w:color w:val="1F497D"/>
          <w:sz w:val="22"/>
          <w:szCs w:val="22"/>
          <w:lang w:val="es-ES"/>
        </w:rPr>
        <w:t>SECRETARÍA PARA EL FORTALECIMIENTO DE LA DEMOCRACIA</w:t>
      </w:r>
      <w:bookmarkEnd w:id="24"/>
      <w:bookmarkEnd w:id="25"/>
    </w:p>
    <w:p w14:paraId="34314A1C" w14:textId="77777777" w:rsidR="008646CD" w:rsidRPr="00B62815" w:rsidRDefault="008646CD" w:rsidP="008646CD">
      <w:pPr>
        <w:ind w:left="480"/>
        <w:jc w:val="both"/>
        <w:rPr>
          <w:rFonts w:asciiTheme="minorHAnsi" w:hAnsiTheme="minorHAnsi" w:cstheme="minorHAnsi"/>
          <w:sz w:val="22"/>
          <w:szCs w:val="22"/>
          <w:lang w:val="es-ES"/>
        </w:rPr>
      </w:pPr>
    </w:p>
    <w:p w14:paraId="61F4E458" w14:textId="77777777" w:rsidR="00CC2BEA" w:rsidRPr="00B62815" w:rsidRDefault="00CC2BEA" w:rsidP="00CC2BEA">
      <w:pPr>
        <w:jc w:val="both"/>
        <w:rPr>
          <w:rFonts w:asciiTheme="minorHAnsi" w:hAnsiTheme="minorHAnsi" w:cstheme="minorHAnsi"/>
          <w:color w:val="000000"/>
          <w:sz w:val="22"/>
          <w:szCs w:val="22"/>
          <w:lang w:val="es-CO"/>
        </w:rPr>
      </w:pPr>
      <w:r w:rsidRPr="00B62815">
        <w:rPr>
          <w:rFonts w:asciiTheme="minorHAnsi" w:hAnsiTheme="minorHAnsi" w:cstheme="minorHAnsi"/>
          <w:color w:val="000000"/>
          <w:sz w:val="22"/>
          <w:szCs w:val="22"/>
          <w:lang w:val="es-CO"/>
        </w:rPr>
        <w:lastRenderedPageBreak/>
        <w:t xml:space="preserve">En cumplimiento de los mandatos e instrumentos establecidos por el Sistema Interamericano, la Secretaría para el Fortalecimiento de la Democracia (SFD) proporcionó dirección política-estratégica para la atención oportuna de las solicitudes recibidas por parte de los Estados miembros con relación al fortalecimiento de la democracia y la paz en el hemisferio. Durante 2019 desde la SFD se planificaron, coordinaron y ejecutaron diferentes actividades en temas de observación y cooperación electoral; se gestionó la creación de una nueva misión contra la impunidad en El Salvador y se continuaron las labores en otras misiones especiales en ejecución como la MAPP en Colombia, la MACCHI en Honduras y la Misión en la Zona de Adyacencia de Belice y Guatemala. Así mismo, se desarrollaron diferentes proyectos y programas en materia de sustentabilidad democrática y promoción de la paz, y se prosiguió con el trabajo con los parlamentos de la región. A </w:t>
      </w:r>
      <w:r w:rsidR="00B12E1F" w:rsidRPr="00B62815">
        <w:rPr>
          <w:rFonts w:asciiTheme="minorHAnsi" w:hAnsiTheme="minorHAnsi" w:cstheme="minorHAnsi"/>
          <w:color w:val="000000"/>
          <w:sz w:val="22"/>
          <w:szCs w:val="22"/>
          <w:lang w:val="es-CO"/>
        </w:rPr>
        <w:t>continuación,</w:t>
      </w:r>
      <w:r w:rsidRPr="00B62815">
        <w:rPr>
          <w:rFonts w:asciiTheme="minorHAnsi" w:hAnsiTheme="minorHAnsi" w:cstheme="minorHAnsi"/>
          <w:color w:val="000000"/>
          <w:sz w:val="22"/>
          <w:szCs w:val="22"/>
          <w:lang w:val="es-CO"/>
        </w:rPr>
        <w:t xml:space="preserve"> se presentan los principales logros alcanzados en 2019.</w:t>
      </w:r>
    </w:p>
    <w:p w14:paraId="0AE8EB73" w14:textId="64476B19" w:rsidR="00CC2BEA" w:rsidRDefault="00CC2BEA" w:rsidP="00CC2BEA">
      <w:pPr>
        <w:pStyle w:val="NoSpacing"/>
        <w:rPr>
          <w:rFonts w:asciiTheme="minorHAnsi" w:hAnsiTheme="minorHAnsi" w:cstheme="minorHAnsi"/>
          <w:lang w:val="es-CO"/>
        </w:rPr>
      </w:pPr>
    </w:p>
    <w:p w14:paraId="22E48D6D" w14:textId="463F2779" w:rsidR="00C561DA" w:rsidRDefault="00C561DA" w:rsidP="00CC2BEA">
      <w:pPr>
        <w:pStyle w:val="NoSpacing"/>
        <w:rPr>
          <w:rFonts w:asciiTheme="minorHAnsi" w:hAnsiTheme="minorHAnsi" w:cstheme="minorHAnsi"/>
          <w:lang w:val="es-CO"/>
        </w:rPr>
      </w:pPr>
    </w:p>
    <w:p w14:paraId="7FDA1A81" w14:textId="77777777" w:rsidR="00C561DA" w:rsidRPr="00B62815" w:rsidRDefault="00C561DA" w:rsidP="00CC2BEA">
      <w:pPr>
        <w:pStyle w:val="NoSpacing"/>
        <w:rPr>
          <w:rFonts w:asciiTheme="minorHAnsi" w:hAnsiTheme="minorHAnsi" w:cstheme="minorHAnsi"/>
          <w:lang w:val="es-CO"/>
        </w:rPr>
      </w:pPr>
    </w:p>
    <w:p w14:paraId="249D4856" w14:textId="77777777" w:rsidR="00CC2BEA" w:rsidRPr="00B62815" w:rsidRDefault="00CC2BEA" w:rsidP="00CC2BEA">
      <w:pPr>
        <w:jc w:val="both"/>
        <w:rPr>
          <w:rFonts w:asciiTheme="minorHAnsi" w:hAnsiTheme="minorHAnsi" w:cstheme="minorHAnsi"/>
          <w:b/>
          <w:color w:val="595959"/>
          <w:sz w:val="22"/>
          <w:szCs w:val="22"/>
          <w:u w:val="single"/>
          <w:lang w:val="es-CO"/>
        </w:rPr>
      </w:pPr>
      <w:r w:rsidRPr="00B62815">
        <w:rPr>
          <w:rFonts w:asciiTheme="minorHAnsi" w:hAnsiTheme="minorHAnsi" w:cstheme="minorHAnsi"/>
          <w:b/>
          <w:color w:val="595959"/>
          <w:sz w:val="22"/>
          <w:szCs w:val="22"/>
          <w:u w:val="single"/>
          <w:lang w:val="es-CO"/>
        </w:rPr>
        <w:t>Oficina Ejecutiva de la SFD</w:t>
      </w:r>
    </w:p>
    <w:p w14:paraId="40ECCF81" w14:textId="77777777" w:rsidR="00CC2BEA" w:rsidRPr="00B62815" w:rsidRDefault="00CC2BEA" w:rsidP="00CC2BEA">
      <w:pPr>
        <w:jc w:val="both"/>
        <w:rPr>
          <w:rFonts w:asciiTheme="minorHAnsi" w:hAnsiTheme="minorHAnsi" w:cstheme="minorHAnsi"/>
          <w:b/>
          <w:color w:val="595959"/>
          <w:sz w:val="22"/>
          <w:szCs w:val="22"/>
          <w:u w:val="single"/>
          <w:lang w:val="es-CO"/>
        </w:rPr>
      </w:pPr>
    </w:p>
    <w:p w14:paraId="57E14D8C" w14:textId="77777777" w:rsidR="00CC2BEA" w:rsidRPr="00B62815" w:rsidRDefault="00CC2BEA" w:rsidP="0082369F">
      <w:pPr>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Comisión Internacional contra la Impunidad en El Salvador (CICIES)</w:t>
      </w:r>
    </w:p>
    <w:p w14:paraId="7968CAD9" w14:textId="77777777" w:rsidR="00A323B1" w:rsidRPr="00B62815" w:rsidRDefault="00A323B1" w:rsidP="00CC2BEA">
      <w:pPr>
        <w:ind w:firstLine="360"/>
        <w:jc w:val="both"/>
        <w:rPr>
          <w:rFonts w:asciiTheme="minorHAnsi" w:hAnsiTheme="minorHAnsi" w:cstheme="minorHAnsi"/>
          <w:b/>
          <w:color w:val="595959"/>
          <w:sz w:val="22"/>
          <w:szCs w:val="22"/>
          <w:lang w:val="es-CO"/>
        </w:rPr>
      </w:pPr>
    </w:p>
    <w:p w14:paraId="072F9F04" w14:textId="032A0986" w:rsidR="00CC2BEA" w:rsidRPr="00B62815" w:rsidRDefault="00CC2BEA" w:rsidP="00B62815">
      <w:pPr>
        <w:numPr>
          <w:ilvl w:val="0"/>
          <w:numId w:val="47"/>
        </w:numPr>
        <w:ind w:left="360"/>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El 6 de septiembre de 2019, la Secretaría General de la Organización de los Estados Americanos (SG/OEA) y el Gobierno de la República de El Salvador crearon la Comisión Internacional contra la Impunidad en El Salvador (CICIES). </w:t>
      </w:r>
      <w:r w:rsidR="00B62815">
        <w:rPr>
          <w:rFonts w:asciiTheme="minorHAnsi" w:hAnsiTheme="minorHAnsi" w:cstheme="minorHAnsi"/>
          <w:sz w:val="22"/>
          <w:szCs w:val="22"/>
          <w:lang w:val="es-CO"/>
        </w:rPr>
        <w:t xml:space="preserve"> </w:t>
      </w:r>
      <w:r w:rsidRPr="00B62815">
        <w:rPr>
          <w:rFonts w:asciiTheme="minorHAnsi" w:hAnsiTheme="minorHAnsi" w:cstheme="minorHAnsi"/>
          <w:sz w:val="22"/>
          <w:szCs w:val="22"/>
          <w:lang w:val="es-CO"/>
        </w:rPr>
        <w:t xml:space="preserve">El propósito de la CICIES es apoyar, fortalecer y colaborar activamente con las instituciones de la República de El Salvador encargadas de prevenir, investigar y castigar actos de corrupción y otros delitos conexos, incluyendo delitos relacionados con las finanzas públicas, el enriquecimiento ilícito, el lavado de dinero y la delincuencia organizada nacional y transnacional, en términos no limitantes. </w:t>
      </w:r>
      <w:r w:rsidR="00B62815">
        <w:rPr>
          <w:rFonts w:asciiTheme="minorHAnsi" w:hAnsiTheme="minorHAnsi" w:cstheme="minorHAnsi"/>
          <w:sz w:val="22"/>
          <w:szCs w:val="22"/>
          <w:lang w:val="es-CO"/>
        </w:rPr>
        <w:t xml:space="preserve"> </w:t>
      </w:r>
      <w:r w:rsidRPr="00B62815">
        <w:rPr>
          <w:rFonts w:asciiTheme="minorHAnsi" w:hAnsiTheme="minorHAnsi" w:cstheme="minorHAnsi"/>
          <w:sz w:val="22"/>
          <w:szCs w:val="22"/>
          <w:lang w:val="es-CO"/>
        </w:rPr>
        <w:t>La CICIES ha firmado acuerdos con las principales instituciones del Estado Salvadoreño: La Fiscalía General de la República, Corte Suprema de Cuentas y con el Ministerio de Justicia y Seguridad.</w:t>
      </w:r>
      <w:r w:rsidR="00B62815">
        <w:rPr>
          <w:rFonts w:asciiTheme="minorHAnsi" w:hAnsiTheme="minorHAnsi" w:cstheme="minorHAnsi"/>
          <w:sz w:val="22"/>
          <w:szCs w:val="22"/>
          <w:lang w:val="es-CO"/>
        </w:rPr>
        <w:t xml:space="preserve">  </w:t>
      </w:r>
      <w:r w:rsidRPr="00B62815">
        <w:rPr>
          <w:rFonts w:asciiTheme="minorHAnsi" w:hAnsiTheme="minorHAnsi" w:cstheme="minorHAnsi"/>
          <w:sz w:val="22"/>
          <w:szCs w:val="22"/>
          <w:lang w:val="es-CO"/>
        </w:rPr>
        <w:t>Esta entidad que con el apoyo salvadoreño inició operaciones y ampliará sus actividades enmarcadas en el Acuerdo de Establecimiento y con la legislación de la República de El Salvador.</w:t>
      </w:r>
    </w:p>
    <w:p w14:paraId="48F40DD5" w14:textId="77777777" w:rsidR="0082369F" w:rsidRPr="00B62815" w:rsidRDefault="0082369F" w:rsidP="0082369F">
      <w:pPr>
        <w:jc w:val="both"/>
        <w:rPr>
          <w:rFonts w:asciiTheme="minorHAnsi" w:hAnsiTheme="minorHAnsi" w:cstheme="minorHAnsi"/>
          <w:sz w:val="22"/>
          <w:szCs w:val="22"/>
          <w:lang w:val="es-CO"/>
        </w:rPr>
      </w:pPr>
    </w:p>
    <w:p w14:paraId="55C372C1" w14:textId="77777777" w:rsidR="00CC2BEA" w:rsidRPr="00B62815" w:rsidRDefault="001C2CF3" w:rsidP="0082369F">
      <w:pPr>
        <w:jc w:val="center"/>
        <w:rPr>
          <w:rFonts w:asciiTheme="minorHAnsi" w:hAnsiTheme="minorHAnsi" w:cstheme="minorHAnsi"/>
          <w:sz w:val="22"/>
          <w:szCs w:val="22"/>
          <w:lang w:val="es-CO"/>
        </w:rPr>
      </w:pPr>
      <w:r w:rsidRPr="00B62815">
        <w:rPr>
          <w:rFonts w:asciiTheme="minorHAnsi" w:hAnsiTheme="minorHAnsi" w:cstheme="minorHAnsi"/>
          <w:noProof/>
          <w:sz w:val="22"/>
          <w:szCs w:val="22"/>
        </w:rPr>
        <w:lastRenderedPageBreak/>
        <w:drawing>
          <wp:inline distT="0" distB="0" distL="0" distR="0" wp14:anchorId="79C57195" wp14:editId="26A34A68">
            <wp:extent cx="2998470" cy="2307590"/>
            <wp:effectExtent l="0" t="0" r="0" b="0"/>
            <wp:docPr id="2" name="Picture 1" descr="Resultado de imagen para CICIES O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CIES OEA"/>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98470" cy="2307590"/>
                    </a:xfrm>
                    <a:prstGeom prst="rect">
                      <a:avLst/>
                    </a:prstGeom>
                    <a:noFill/>
                    <a:ln>
                      <a:noFill/>
                    </a:ln>
                  </pic:spPr>
                </pic:pic>
              </a:graphicData>
            </a:graphic>
          </wp:inline>
        </w:drawing>
      </w:r>
    </w:p>
    <w:p w14:paraId="46162FCD" w14:textId="77777777" w:rsidR="00CC2BEA" w:rsidRPr="00B62815" w:rsidRDefault="00CC2BEA" w:rsidP="00CC2BEA">
      <w:pPr>
        <w:jc w:val="both"/>
        <w:rPr>
          <w:rFonts w:asciiTheme="minorHAnsi" w:hAnsiTheme="minorHAnsi" w:cstheme="minorHAnsi"/>
          <w:b/>
          <w:color w:val="595959"/>
          <w:sz w:val="22"/>
          <w:szCs w:val="22"/>
          <w:u w:val="single"/>
          <w:lang w:val="es-CO"/>
        </w:rPr>
      </w:pPr>
    </w:p>
    <w:p w14:paraId="5C34B592" w14:textId="77777777" w:rsidR="00CC2BEA" w:rsidRPr="00B62815" w:rsidRDefault="00CC2BEA" w:rsidP="0082369F">
      <w:pPr>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 xml:space="preserve">Órgano Internacional de Acreditación Electoral </w:t>
      </w:r>
    </w:p>
    <w:p w14:paraId="6D2683AB" w14:textId="77777777" w:rsidR="00A323B1" w:rsidRPr="00B62815" w:rsidRDefault="00A323B1" w:rsidP="0082369F">
      <w:pPr>
        <w:jc w:val="both"/>
        <w:rPr>
          <w:rFonts w:asciiTheme="minorHAnsi" w:hAnsiTheme="minorHAnsi" w:cstheme="minorHAnsi"/>
          <w:b/>
          <w:sz w:val="22"/>
          <w:szCs w:val="22"/>
          <w:lang w:val="es-CO"/>
        </w:rPr>
      </w:pPr>
    </w:p>
    <w:p w14:paraId="79962AF5" w14:textId="77777777" w:rsidR="00CC2BEA" w:rsidRPr="00B62815" w:rsidRDefault="00CC2BEA" w:rsidP="0082369F">
      <w:pPr>
        <w:jc w:val="both"/>
        <w:rPr>
          <w:rFonts w:asciiTheme="minorHAnsi" w:hAnsiTheme="minorHAnsi" w:cstheme="minorHAnsi"/>
          <w:color w:val="000000"/>
          <w:sz w:val="22"/>
          <w:szCs w:val="22"/>
          <w:lang w:val="es-CO"/>
        </w:rPr>
      </w:pPr>
      <w:r w:rsidRPr="00B62815">
        <w:rPr>
          <w:rFonts w:asciiTheme="minorHAnsi" w:hAnsiTheme="minorHAnsi" w:cstheme="minorHAnsi"/>
          <w:color w:val="000000"/>
          <w:sz w:val="22"/>
          <w:szCs w:val="22"/>
          <w:lang w:val="es-CO"/>
        </w:rPr>
        <w:t xml:space="preserve">Durante 2019 el Órgano Internacional de Acreditación Electoral (IEAB por sus siglas en inglés) llevó adelante su programa de autorización y acreditación electoral, logrando los siguientes resultados: </w:t>
      </w:r>
    </w:p>
    <w:p w14:paraId="10FAF251" w14:textId="77777777" w:rsidR="00A323B1" w:rsidRPr="00B62815" w:rsidRDefault="00A323B1" w:rsidP="00CC2BEA">
      <w:pPr>
        <w:ind w:left="360"/>
        <w:jc w:val="both"/>
        <w:rPr>
          <w:rFonts w:asciiTheme="minorHAnsi" w:hAnsiTheme="minorHAnsi" w:cstheme="minorHAnsi"/>
          <w:color w:val="000000"/>
          <w:sz w:val="22"/>
          <w:szCs w:val="22"/>
          <w:lang w:val="es-CO"/>
        </w:rPr>
      </w:pPr>
    </w:p>
    <w:p w14:paraId="062EC3E7" w14:textId="77777777" w:rsidR="00CC2BEA" w:rsidRPr="00B62815" w:rsidRDefault="00CC2BEA" w:rsidP="00E67635">
      <w:pPr>
        <w:pStyle w:val="ListParagraph"/>
        <w:numPr>
          <w:ilvl w:val="0"/>
          <w:numId w:val="28"/>
        </w:numPr>
        <w:spacing w:line="276" w:lineRule="auto"/>
        <w:ind w:left="360"/>
        <w:contextualSpacing/>
        <w:jc w:val="both"/>
        <w:rPr>
          <w:rFonts w:asciiTheme="minorHAnsi" w:hAnsiTheme="minorHAnsi" w:cstheme="minorHAnsi"/>
          <w:sz w:val="22"/>
          <w:szCs w:val="22"/>
          <w:lang w:val="es-CO"/>
        </w:rPr>
      </w:pPr>
      <w:r w:rsidRPr="00B62815">
        <w:rPr>
          <w:rFonts w:asciiTheme="minorHAnsi" w:hAnsiTheme="minorHAnsi" w:cstheme="minorHAnsi"/>
          <w:sz w:val="22"/>
          <w:szCs w:val="22"/>
          <w:u w:val="single"/>
          <w:lang w:val="es-CO"/>
        </w:rPr>
        <w:t>Certificaciones</w:t>
      </w:r>
      <w:r w:rsidRPr="00B62815">
        <w:rPr>
          <w:rFonts w:asciiTheme="minorHAnsi" w:hAnsiTheme="minorHAnsi" w:cstheme="minorHAnsi"/>
          <w:sz w:val="22"/>
          <w:szCs w:val="22"/>
          <w:lang w:val="es-CO"/>
        </w:rPr>
        <w:t>: Se otorgaron y/o renovaron las certificaciones de</w:t>
      </w:r>
      <w:r w:rsidR="00A323B1" w:rsidRPr="00B62815">
        <w:rPr>
          <w:rFonts w:asciiTheme="minorHAnsi" w:hAnsiTheme="minorHAnsi" w:cstheme="minorHAnsi"/>
          <w:sz w:val="22"/>
          <w:szCs w:val="22"/>
          <w:lang w:val="es-CO"/>
        </w:rPr>
        <w:t xml:space="preserve"> calidad bajo ISO/TS54001:2019 </w:t>
      </w:r>
      <w:r w:rsidRPr="00B62815">
        <w:rPr>
          <w:rFonts w:asciiTheme="minorHAnsi" w:hAnsiTheme="minorHAnsi" w:cstheme="minorHAnsi"/>
          <w:sz w:val="22"/>
          <w:szCs w:val="22"/>
          <w:lang w:val="es-CO"/>
        </w:rPr>
        <w:t>del Instituto Electoral de la Ciudad de México (IEDF), del Jurado Nacional de Elecciones de Perú (JNE), de la Oficina Nacional de Procesos Electorales de Perú (ONPE), y la Registraduría Nacional del Estado Civil de Colombia (RNEC).</w:t>
      </w:r>
    </w:p>
    <w:p w14:paraId="4B1E2A6B" w14:textId="77777777" w:rsidR="00CC2BEA" w:rsidRPr="00B62815" w:rsidRDefault="00CC2BEA" w:rsidP="0082369F">
      <w:pPr>
        <w:pStyle w:val="ListParagraph"/>
        <w:ind w:left="360" w:hanging="360"/>
        <w:jc w:val="both"/>
        <w:rPr>
          <w:rFonts w:asciiTheme="minorHAnsi" w:hAnsiTheme="minorHAnsi" w:cstheme="minorHAnsi"/>
          <w:sz w:val="22"/>
          <w:szCs w:val="22"/>
          <w:lang w:val="es-CO"/>
        </w:rPr>
      </w:pPr>
    </w:p>
    <w:p w14:paraId="5F4E18DF" w14:textId="77777777" w:rsidR="00CC2BEA" w:rsidRPr="00B62815" w:rsidRDefault="00CC2BEA" w:rsidP="00E67635">
      <w:pPr>
        <w:pStyle w:val="ListParagraph"/>
        <w:numPr>
          <w:ilvl w:val="0"/>
          <w:numId w:val="28"/>
        </w:numPr>
        <w:spacing w:line="276" w:lineRule="auto"/>
        <w:ind w:left="360"/>
        <w:contextualSpacing/>
        <w:jc w:val="both"/>
        <w:rPr>
          <w:rFonts w:asciiTheme="minorHAnsi" w:hAnsiTheme="minorHAnsi" w:cstheme="minorHAnsi"/>
          <w:sz w:val="22"/>
          <w:szCs w:val="22"/>
          <w:lang w:val="es-CO"/>
        </w:rPr>
      </w:pPr>
      <w:r w:rsidRPr="00B62815">
        <w:rPr>
          <w:rFonts w:asciiTheme="minorHAnsi" w:hAnsiTheme="minorHAnsi" w:cstheme="minorHAnsi"/>
          <w:sz w:val="22"/>
          <w:szCs w:val="22"/>
          <w:u w:val="single"/>
          <w:lang w:val="es-CO"/>
        </w:rPr>
        <w:t>Capacitaciones</w:t>
      </w:r>
      <w:r w:rsidRPr="00B62815">
        <w:rPr>
          <w:rFonts w:asciiTheme="minorHAnsi" w:hAnsiTheme="minorHAnsi" w:cstheme="minorHAnsi"/>
          <w:sz w:val="22"/>
          <w:szCs w:val="22"/>
          <w:lang w:val="es-CO"/>
        </w:rPr>
        <w:t>: Se capacitaron a 40 funcionarios de órganos electorales de México, Costa Rica, Panamá, Argentina, y Colombia, sobre los Fundamentos de la ISO Electoral. Adicionalmente se creó un nuevo curso para ser Implementadora de la ISO 54001.</w:t>
      </w:r>
    </w:p>
    <w:p w14:paraId="521D0039" w14:textId="77777777" w:rsidR="00CC2BEA" w:rsidRPr="00B62815" w:rsidRDefault="00CC2BEA" w:rsidP="0082369F">
      <w:pPr>
        <w:ind w:left="360" w:hanging="360"/>
        <w:jc w:val="both"/>
        <w:rPr>
          <w:rFonts w:asciiTheme="minorHAnsi" w:hAnsiTheme="minorHAnsi" w:cstheme="minorHAnsi"/>
          <w:sz w:val="22"/>
          <w:szCs w:val="22"/>
          <w:lang w:val="es-CO"/>
        </w:rPr>
      </w:pPr>
    </w:p>
    <w:p w14:paraId="3D9E630C" w14:textId="77777777" w:rsidR="00CC2BEA" w:rsidRPr="00B62815" w:rsidRDefault="00CC2BEA" w:rsidP="00E67635">
      <w:pPr>
        <w:pStyle w:val="ListParagraph"/>
        <w:numPr>
          <w:ilvl w:val="0"/>
          <w:numId w:val="28"/>
        </w:numPr>
        <w:spacing w:line="276" w:lineRule="auto"/>
        <w:ind w:left="360"/>
        <w:contextualSpacing/>
        <w:jc w:val="both"/>
        <w:rPr>
          <w:rFonts w:asciiTheme="minorHAnsi" w:hAnsiTheme="minorHAnsi" w:cstheme="minorHAnsi"/>
          <w:sz w:val="22"/>
          <w:szCs w:val="22"/>
          <w:lang w:val="es-CO"/>
        </w:rPr>
      </w:pPr>
      <w:r w:rsidRPr="00B62815">
        <w:rPr>
          <w:rFonts w:asciiTheme="minorHAnsi" w:hAnsiTheme="minorHAnsi" w:cstheme="minorHAnsi"/>
          <w:sz w:val="22"/>
          <w:szCs w:val="22"/>
          <w:u w:val="single"/>
          <w:lang w:val="es-CO"/>
        </w:rPr>
        <w:lastRenderedPageBreak/>
        <w:t>Autorización de auditores líderes</w:t>
      </w:r>
      <w:r w:rsidRPr="00B62815">
        <w:rPr>
          <w:rFonts w:asciiTheme="minorHAnsi" w:hAnsiTheme="minorHAnsi" w:cstheme="minorHAnsi"/>
          <w:sz w:val="22"/>
          <w:szCs w:val="22"/>
          <w:lang w:val="es-CO"/>
        </w:rPr>
        <w:t>: Se autorizaron diez auditores líderes de Bolivia, México, Colombia, República Dominicana, y Perú que están en capacidad de llevar a cabo auditorías de certificación externa bajo la metodología del IEAB.</w:t>
      </w:r>
    </w:p>
    <w:p w14:paraId="004AA31F" w14:textId="77777777" w:rsidR="00CC2BEA" w:rsidRPr="00B62815" w:rsidRDefault="00CC2BEA" w:rsidP="0082369F">
      <w:pPr>
        <w:ind w:left="360" w:hanging="360"/>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 </w:t>
      </w:r>
    </w:p>
    <w:p w14:paraId="4A6094FB" w14:textId="77777777" w:rsidR="00CC2BEA" w:rsidRPr="00B62815" w:rsidRDefault="00CC2BEA" w:rsidP="00E67635">
      <w:pPr>
        <w:pStyle w:val="ListParagraph"/>
        <w:numPr>
          <w:ilvl w:val="0"/>
          <w:numId w:val="28"/>
        </w:numPr>
        <w:spacing w:line="276" w:lineRule="auto"/>
        <w:ind w:left="360"/>
        <w:contextualSpacing/>
        <w:jc w:val="both"/>
        <w:rPr>
          <w:rFonts w:asciiTheme="minorHAnsi" w:hAnsiTheme="minorHAnsi" w:cstheme="minorHAnsi"/>
          <w:sz w:val="22"/>
          <w:szCs w:val="22"/>
          <w:lang w:val="es-CO"/>
        </w:rPr>
      </w:pPr>
      <w:r w:rsidRPr="00B62815">
        <w:rPr>
          <w:rFonts w:asciiTheme="minorHAnsi" w:hAnsiTheme="minorHAnsi" w:cstheme="minorHAnsi"/>
          <w:sz w:val="22"/>
          <w:szCs w:val="22"/>
          <w:u w:val="single"/>
          <w:lang w:val="es-CO"/>
        </w:rPr>
        <w:t>Asesoría técnica</w:t>
      </w:r>
      <w:r w:rsidRPr="00B62815">
        <w:rPr>
          <w:rFonts w:asciiTheme="minorHAnsi" w:hAnsiTheme="minorHAnsi" w:cstheme="minorHAnsi"/>
          <w:sz w:val="22"/>
          <w:szCs w:val="22"/>
          <w:lang w:val="es-CO"/>
        </w:rPr>
        <w:t xml:space="preserve">: Se brindó asesoría técnica a la Registraduría Nacional del Estado Civil de Colombia cuyo resultado culminó en la certificación de sus procesos electorales claves. </w:t>
      </w:r>
      <w:r w:rsidR="00A323B1" w:rsidRPr="00B62815">
        <w:rPr>
          <w:rFonts w:asciiTheme="minorHAnsi" w:hAnsiTheme="minorHAnsi" w:cstheme="minorHAnsi"/>
          <w:sz w:val="22"/>
          <w:szCs w:val="22"/>
          <w:lang w:val="es-CO"/>
        </w:rPr>
        <w:t>Asimismo,</w:t>
      </w:r>
      <w:r w:rsidRPr="00B62815">
        <w:rPr>
          <w:rFonts w:asciiTheme="minorHAnsi" w:hAnsiTheme="minorHAnsi" w:cstheme="minorHAnsi"/>
          <w:sz w:val="22"/>
          <w:szCs w:val="22"/>
          <w:lang w:val="es-CO"/>
        </w:rPr>
        <w:t xml:space="preserve"> durante el 2019 se brindó asesoría al Tribunal Superior Electoral de República Dominicana.</w:t>
      </w:r>
    </w:p>
    <w:p w14:paraId="76404E47" w14:textId="77777777" w:rsidR="00CC2BEA" w:rsidRPr="00B62815" w:rsidRDefault="00CC2BEA" w:rsidP="0082369F">
      <w:pPr>
        <w:ind w:left="360" w:hanging="360"/>
        <w:jc w:val="both"/>
        <w:rPr>
          <w:rFonts w:asciiTheme="minorHAnsi" w:hAnsiTheme="minorHAnsi" w:cstheme="minorHAnsi"/>
          <w:sz w:val="22"/>
          <w:szCs w:val="22"/>
          <w:lang w:val="es-CO"/>
        </w:rPr>
      </w:pPr>
    </w:p>
    <w:p w14:paraId="053EAF67" w14:textId="668658CC" w:rsidR="001C2CF3" w:rsidRPr="00B62815" w:rsidRDefault="00CC2BEA" w:rsidP="0082369F">
      <w:pPr>
        <w:pStyle w:val="ListParagraph"/>
        <w:numPr>
          <w:ilvl w:val="0"/>
          <w:numId w:val="28"/>
        </w:numPr>
        <w:spacing w:line="276" w:lineRule="auto"/>
        <w:ind w:left="360"/>
        <w:contextualSpacing/>
        <w:jc w:val="both"/>
        <w:rPr>
          <w:rFonts w:asciiTheme="minorHAnsi" w:hAnsiTheme="minorHAnsi" w:cstheme="minorHAnsi"/>
          <w:sz w:val="22"/>
          <w:szCs w:val="22"/>
          <w:lang w:val="es-CO"/>
        </w:rPr>
      </w:pPr>
      <w:r w:rsidRPr="00B62815">
        <w:rPr>
          <w:rFonts w:asciiTheme="minorHAnsi" w:hAnsiTheme="minorHAnsi" w:cstheme="minorHAnsi"/>
          <w:sz w:val="22"/>
          <w:szCs w:val="22"/>
          <w:u w:val="single"/>
          <w:lang w:val="es-CO"/>
        </w:rPr>
        <w:t>Renovación de la norma ISO Electoral</w:t>
      </w:r>
      <w:r w:rsidRPr="00B62815">
        <w:rPr>
          <w:rFonts w:asciiTheme="minorHAnsi" w:hAnsiTheme="minorHAnsi" w:cstheme="minorHAnsi"/>
          <w:sz w:val="22"/>
          <w:szCs w:val="22"/>
          <w:lang w:val="es-CO"/>
        </w:rPr>
        <w:t>: La OEA como institución coordinadora del Grupo de Trabajo ISO-TS176-WG3 lideró el trabajo que culminó en la renovación de la nueva norma ISO Electoral, aprobada como nuevo instrumento de certificación de procesos electorales a nivel mundial, conocida como ISO/TS 54001:2019.</w:t>
      </w:r>
    </w:p>
    <w:p w14:paraId="50DBC34E" w14:textId="77777777" w:rsidR="001C2CF3" w:rsidRPr="00B62815" w:rsidRDefault="001C2CF3" w:rsidP="0082369F">
      <w:pPr>
        <w:jc w:val="both"/>
        <w:rPr>
          <w:rFonts w:asciiTheme="minorHAnsi" w:hAnsiTheme="minorHAnsi" w:cstheme="minorHAnsi"/>
          <w:b/>
          <w:sz w:val="22"/>
          <w:szCs w:val="22"/>
          <w:lang w:val="es-CO"/>
        </w:rPr>
      </w:pPr>
    </w:p>
    <w:p w14:paraId="19E06CB7" w14:textId="77777777" w:rsidR="00CC2BEA" w:rsidRPr="00B62815" w:rsidRDefault="00CC2BEA" w:rsidP="0082369F">
      <w:pPr>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Poderes Legislativos</w:t>
      </w:r>
    </w:p>
    <w:p w14:paraId="51B7791A" w14:textId="77777777" w:rsidR="00A323B1" w:rsidRPr="00B62815" w:rsidRDefault="00A323B1" w:rsidP="00CC2BEA">
      <w:pPr>
        <w:ind w:firstLine="360"/>
        <w:jc w:val="both"/>
        <w:rPr>
          <w:rFonts w:asciiTheme="minorHAnsi" w:hAnsiTheme="minorHAnsi" w:cstheme="minorHAnsi"/>
          <w:b/>
          <w:sz w:val="22"/>
          <w:szCs w:val="22"/>
          <w:lang w:val="es-CO"/>
        </w:rPr>
      </w:pPr>
    </w:p>
    <w:p w14:paraId="06ADC55F" w14:textId="77777777" w:rsidR="00CC2BEA" w:rsidRPr="00B62815" w:rsidRDefault="00CC2BEA" w:rsidP="00B62815">
      <w:pPr>
        <w:spacing w:line="276" w:lineRule="auto"/>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Durante 2019, desde la Oficina Ejecutiva de la SFD, se brindó asistencia técnica a los congresos de Argentina, Paraguay, Perú, República Dominicana y México, en iniciativas dirigidas a la modernización y fortalecimiento institucional, generación de conocimiento, y promoción de cooperación inter-parlamentaria. Concretamente, se llevó a ca</w:t>
      </w:r>
      <w:r w:rsidR="00A323B1" w:rsidRPr="00B62815">
        <w:rPr>
          <w:rFonts w:asciiTheme="minorHAnsi" w:hAnsiTheme="minorHAnsi" w:cstheme="minorHAnsi"/>
          <w:sz w:val="22"/>
          <w:szCs w:val="22"/>
          <w:lang w:val="es-CO"/>
        </w:rPr>
        <w:t xml:space="preserve">bo con el Congreso del Perú el </w:t>
      </w:r>
      <w:r w:rsidRPr="00B62815">
        <w:rPr>
          <w:rFonts w:asciiTheme="minorHAnsi" w:hAnsiTheme="minorHAnsi" w:cstheme="minorHAnsi"/>
          <w:sz w:val="22"/>
          <w:szCs w:val="22"/>
          <w:lang w:val="es-CO"/>
        </w:rPr>
        <w:t xml:space="preserve">proceso de “acreditación en materia de innovación y apertura legislativa”. Así mismo, se realizó en la República Dominicana, el evento de jóvenes políticos para abordar los desafíos de los jóvenes en la democracia del siglo XXI, y con el Senado de México se inició un proyecto sobre el tema de movilidad sustentable. </w:t>
      </w:r>
    </w:p>
    <w:p w14:paraId="537988B4" w14:textId="77777777" w:rsidR="00CC2BEA" w:rsidRPr="00B62815" w:rsidRDefault="00CC2BEA" w:rsidP="0082369F">
      <w:pPr>
        <w:pStyle w:val="ListParagraph"/>
        <w:ind w:left="360"/>
        <w:jc w:val="both"/>
        <w:rPr>
          <w:rFonts w:asciiTheme="minorHAnsi" w:hAnsiTheme="minorHAnsi" w:cstheme="minorHAnsi"/>
          <w:sz w:val="22"/>
          <w:szCs w:val="22"/>
          <w:lang w:val="es-CO"/>
        </w:rPr>
      </w:pPr>
    </w:p>
    <w:p w14:paraId="648DAD6D" w14:textId="490AB79D" w:rsidR="00CC2BEA" w:rsidRPr="00B62815" w:rsidRDefault="00CC2BEA" w:rsidP="00B62815">
      <w:pPr>
        <w:spacing w:line="276" w:lineRule="auto"/>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En colaboración con el Foro de Presidentes de los Poderes Legislativos de Centroamérica y la Cuenca del Caribe (FOPREL), se trabajó en la publicación de la Ley Marco Regional en materia de migraciones con enfoque en Derechos Humanos.</w:t>
      </w:r>
      <w:r w:rsidR="00B62815">
        <w:rPr>
          <w:rFonts w:asciiTheme="minorHAnsi" w:hAnsiTheme="minorHAnsi" w:cstheme="minorHAnsi"/>
          <w:sz w:val="22"/>
          <w:szCs w:val="22"/>
          <w:lang w:val="es-CO"/>
        </w:rPr>
        <w:t xml:space="preserve">  </w:t>
      </w:r>
      <w:r w:rsidRPr="00B62815">
        <w:rPr>
          <w:rFonts w:asciiTheme="minorHAnsi" w:hAnsiTheme="minorHAnsi" w:cstheme="minorHAnsi"/>
          <w:sz w:val="22"/>
          <w:szCs w:val="22"/>
          <w:lang w:val="es-CO"/>
        </w:rPr>
        <w:t xml:space="preserve">Se creó el Laboratorio en Materia de Ciberseguridad para los Poderes Legislativos, un esfuerzo conjunto con el Instituto Tecnológico </w:t>
      </w:r>
      <w:r w:rsidRPr="00B62815">
        <w:rPr>
          <w:rFonts w:asciiTheme="minorHAnsi" w:hAnsiTheme="minorHAnsi" w:cstheme="minorHAnsi"/>
          <w:sz w:val="22"/>
          <w:szCs w:val="22"/>
          <w:lang w:val="es-CO"/>
        </w:rPr>
        <w:lastRenderedPageBreak/>
        <w:t xml:space="preserve">Autónomo de México (ITAM), la Universidad a Distancia de Madrid (UDIMA) y en coordinación con el Comité Interamericano contra el Terrorismo (CICTE). </w:t>
      </w:r>
    </w:p>
    <w:p w14:paraId="2A430F42" w14:textId="77777777" w:rsidR="00CC2BEA" w:rsidRPr="00B62815" w:rsidRDefault="00CC2BEA" w:rsidP="0082369F">
      <w:pPr>
        <w:pStyle w:val="ListParagraph"/>
        <w:ind w:left="360"/>
        <w:jc w:val="both"/>
        <w:rPr>
          <w:rFonts w:asciiTheme="minorHAnsi" w:hAnsiTheme="minorHAnsi" w:cstheme="minorHAnsi"/>
          <w:sz w:val="22"/>
          <w:szCs w:val="22"/>
          <w:lang w:val="es-CO"/>
        </w:rPr>
      </w:pPr>
    </w:p>
    <w:p w14:paraId="2016CD2E" w14:textId="3C3BDAB9" w:rsidR="00CC2BEA" w:rsidRPr="00B62815" w:rsidRDefault="00CC2BEA" w:rsidP="00B62815">
      <w:pPr>
        <w:spacing w:line="276" w:lineRule="auto"/>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Se desarrollaron seis talleres en línea, completamente becados en temas de Transformación Digital y Big Data con la participación de 120 personas de 16 países (México, El Salvador, Ecuador, Venezuela, Costa Rica, Chile, Colombia, Argentina, Perú, Honduras, Paraguay, Bolivia, República Dominicana, Estados Unidos, Guatemala y Nicaragua). Se activó el proyecto de Liderazgo Digital, que tiene como finalidad formar competencias en políticos y parlamentarios que le permitan afrontar la transformación digital en América Latina.</w:t>
      </w:r>
    </w:p>
    <w:p w14:paraId="25CA293E" w14:textId="77777777" w:rsidR="00CC2BEA" w:rsidRPr="00B62815" w:rsidRDefault="001C2CF3" w:rsidP="00CC2BEA">
      <w:pPr>
        <w:pStyle w:val="ListParagraph"/>
        <w:jc w:val="center"/>
        <w:rPr>
          <w:rFonts w:asciiTheme="minorHAnsi" w:hAnsiTheme="minorHAnsi" w:cstheme="minorHAnsi"/>
          <w:sz w:val="22"/>
          <w:szCs w:val="22"/>
          <w:lang w:val="es-CO"/>
        </w:rPr>
      </w:pPr>
      <w:r w:rsidRPr="00B62815">
        <w:rPr>
          <w:rFonts w:asciiTheme="minorHAnsi" w:hAnsiTheme="minorHAnsi" w:cstheme="minorHAnsi"/>
          <w:noProof/>
          <w:color w:val="000000"/>
          <w:sz w:val="22"/>
          <w:szCs w:val="22"/>
        </w:rPr>
        <w:drawing>
          <wp:inline distT="0" distB="0" distL="0" distR="0" wp14:anchorId="616A3333" wp14:editId="423B06F1">
            <wp:extent cx="3539490" cy="2805430"/>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539490" cy="2805430"/>
                    </a:xfrm>
                    <a:prstGeom prst="rect">
                      <a:avLst/>
                    </a:prstGeom>
                    <a:noFill/>
                    <a:ln>
                      <a:noFill/>
                    </a:ln>
                  </pic:spPr>
                </pic:pic>
              </a:graphicData>
            </a:graphic>
          </wp:inline>
        </w:drawing>
      </w:r>
    </w:p>
    <w:p w14:paraId="76516E9A" w14:textId="77777777" w:rsidR="00B22AF2" w:rsidRDefault="00B22AF2" w:rsidP="00CE4125">
      <w:pPr>
        <w:pStyle w:val="Heading3"/>
        <w:rPr>
          <w:rFonts w:asciiTheme="minorHAnsi" w:hAnsiTheme="minorHAnsi" w:cstheme="minorHAnsi"/>
          <w:b w:val="0"/>
          <w:color w:val="E36C0A"/>
          <w:sz w:val="22"/>
          <w:szCs w:val="22"/>
          <w:lang w:val="es-ES"/>
        </w:rPr>
      </w:pPr>
      <w:bookmarkStart w:id="26" w:name="_Toc39675832"/>
      <w:bookmarkStart w:id="27" w:name="_Toc40191055"/>
    </w:p>
    <w:p w14:paraId="579CE698" w14:textId="1CDA1B2E" w:rsidR="008646CD" w:rsidRPr="00B62815" w:rsidRDefault="004E72C9" w:rsidP="00CE4125">
      <w:pPr>
        <w:pStyle w:val="Heading3"/>
        <w:rPr>
          <w:rFonts w:asciiTheme="minorHAnsi" w:hAnsiTheme="minorHAnsi" w:cstheme="minorHAnsi"/>
          <w:b w:val="0"/>
          <w:color w:val="E36C0A"/>
          <w:sz w:val="22"/>
          <w:szCs w:val="22"/>
          <w:lang w:val="es-ES"/>
        </w:rPr>
      </w:pPr>
      <w:r w:rsidRPr="00B62815">
        <w:rPr>
          <w:rFonts w:asciiTheme="minorHAnsi" w:hAnsiTheme="minorHAnsi" w:cstheme="minorHAnsi"/>
          <w:b w:val="0"/>
          <w:color w:val="E36C0A"/>
          <w:sz w:val="22"/>
          <w:szCs w:val="22"/>
          <w:lang w:val="es-ES"/>
        </w:rPr>
        <w:t xml:space="preserve">2.3.1 </w:t>
      </w:r>
      <w:r w:rsidR="008646CD" w:rsidRPr="00B62815">
        <w:rPr>
          <w:rFonts w:asciiTheme="minorHAnsi" w:hAnsiTheme="minorHAnsi" w:cstheme="minorHAnsi"/>
          <w:b w:val="0"/>
          <w:color w:val="E36C0A"/>
          <w:sz w:val="22"/>
          <w:szCs w:val="22"/>
          <w:lang w:val="es-ES"/>
        </w:rPr>
        <w:t>Departamento para la Cooperación y Observación Electoral</w:t>
      </w:r>
      <w:bookmarkEnd w:id="26"/>
      <w:bookmarkEnd w:id="27"/>
    </w:p>
    <w:p w14:paraId="39474277" w14:textId="77777777" w:rsidR="00A323B1" w:rsidRPr="00B62815" w:rsidRDefault="00A323B1" w:rsidP="00A323B1">
      <w:pPr>
        <w:rPr>
          <w:rFonts w:asciiTheme="minorHAnsi" w:hAnsiTheme="minorHAnsi" w:cstheme="minorHAnsi"/>
          <w:sz w:val="22"/>
          <w:szCs w:val="22"/>
          <w:lang w:val="es-ES"/>
        </w:rPr>
      </w:pPr>
    </w:p>
    <w:p w14:paraId="7DCDA29F" w14:textId="77777777" w:rsidR="00A323B1" w:rsidRPr="00B62815" w:rsidRDefault="00A323B1" w:rsidP="00A323B1">
      <w:pPr>
        <w:jc w:val="both"/>
        <w:rPr>
          <w:rFonts w:asciiTheme="minorHAnsi" w:hAnsiTheme="minorHAnsi" w:cstheme="minorHAnsi"/>
          <w:color w:val="000000"/>
          <w:sz w:val="22"/>
          <w:szCs w:val="22"/>
          <w:lang w:val="es-CO"/>
        </w:rPr>
      </w:pPr>
      <w:r w:rsidRPr="00B62815">
        <w:rPr>
          <w:rFonts w:asciiTheme="minorHAnsi" w:hAnsiTheme="minorHAnsi" w:cstheme="minorHAnsi"/>
          <w:color w:val="000000"/>
          <w:sz w:val="22"/>
          <w:szCs w:val="22"/>
          <w:lang w:val="es-CO"/>
        </w:rPr>
        <w:lastRenderedPageBreak/>
        <w:t xml:space="preserve">Los logros más importantes alcanzados por el Departamento para la Cooperación y Observación Electoral en 2019 fueron los siguientes: </w:t>
      </w:r>
    </w:p>
    <w:p w14:paraId="54E4B455" w14:textId="77777777" w:rsidR="00A323B1" w:rsidRPr="00B62815" w:rsidRDefault="00A323B1" w:rsidP="00A323B1">
      <w:pPr>
        <w:jc w:val="both"/>
        <w:rPr>
          <w:rFonts w:asciiTheme="minorHAnsi" w:hAnsiTheme="minorHAnsi" w:cstheme="minorHAnsi"/>
          <w:color w:val="000000"/>
          <w:sz w:val="22"/>
          <w:szCs w:val="22"/>
          <w:lang w:val="es-CO"/>
        </w:rPr>
      </w:pPr>
    </w:p>
    <w:p w14:paraId="64E70368" w14:textId="77777777" w:rsidR="00A323B1" w:rsidRPr="000A4A55" w:rsidRDefault="00A323B1" w:rsidP="000A4A55">
      <w:pPr>
        <w:spacing w:line="276" w:lineRule="auto"/>
        <w:contextualSpacing/>
        <w:jc w:val="both"/>
        <w:rPr>
          <w:rFonts w:asciiTheme="minorHAnsi" w:hAnsiTheme="minorHAnsi" w:cstheme="minorHAnsi"/>
          <w:sz w:val="22"/>
          <w:szCs w:val="22"/>
          <w:lang w:val="es-CO"/>
        </w:rPr>
      </w:pPr>
      <w:r w:rsidRPr="000A4A55">
        <w:rPr>
          <w:rFonts w:asciiTheme="minorHAnsi" w:hAnsiTheme="minorHAnsi" w:cstheme="minorHAnsi"/>
          <w:sz w:val="22"/>
          <w:szCs w:val="22"/>
          <w:lang w:val="es-CO"/>
        </w:rPr>
        <w:t>En 2019 siete países de la región convocaron a las urnas a sus ciudadanos para renovar sus presidentes y gobiernos locales, para su acompañamiento la OEA desplegó ocho Misiones de Observación Electoral en siete países: El Salvador (Elecciones Presidenciales), Ecuador (Elecciones Municipales), Panamá (Elecciones Generales), Guatemala (Elecciones Generales y Segunda vuelta Presidencial), Bolivia (Elecciones Generales), Colombia (Elecciones Locales) y Dominica (Elecciones Presidenciales). Con el apoyo financiero de 22 donantes se desplegaron en total 494 expertos y observadores internacionales que aseguraron la presencia de la OEA en más de 3.600 centros de votación.</w:t>
      </w:r>
    </w:p>
    <w:p w14:paraId="0D7AA784" w14:textId="77777777" w:rsidR="00A323B1" w:rsidRPr="00B62815" w:rsidRDefault="00A323B1" w:rsidP="00A323B1">
      <w:pPr>
        <w:pStyle w:val="ListParagraph"/>
        <w:jc w:val="both"/>
        <w:rPr>
          <w:rFonts w:asciiTheme="minorHAnsi" w:hAnsiTheme="minorHAnsi" w:cstheme="minorHAnsi"/>
          <w:sz w:val="22"/>
          <w:szCs w:val="22"/>
          <w:lang w:val="es-CO"/>
        </w:rPr>
      </w:pPr>
    </w:p>
    <w:p w14:paraId="35793AA9" w14:textId="77777777" w:rsidR="00A323B1" w:rsidRPr="000A4A55" w:rsidRDefault="00A323B1" w:rsidP="000A4A55">
      <w:pPr>
        <w:spacing w:line="276" w:lineRule="auto"/>
        <w:contextualSpacing/>
        <w:jc w:val="both"/>
        <w:rPr>
          <w:rFonts w:asciiTheme="minorHAnsi" w:hAnsiTheme="minorHAnsi" w:cstheme="minorHAnsi"/>
          <w:sz w:val="22"/>
          <w:szCs w:val="22"/>
          <w:lang w:val="es-CO"/>
        </w:rPr>
      </w:pPr>
      <w:r w:rsidRPr="000A4A55">
        <w:rPr>
          <w:rFonts w:asciiTheme="minorHAnsi" w:hAnsiTheme="minorHAnsi" w:cstheme="minorHAnsi"/>
          <w:sz w:val="22"/>
          <w:szCs w:val="22"/>
          <w:lang w:val="es-CO"/>
        </w:rPr>
        <w:t>En materia de cooperación t</w:t>
      </w:r>
      <w:r w:rsidRPr="000A4A55">
        <w:rPr>
          <w:rFonts w:asciiTheme="minorHAnsi" w:hAnsiTheme="minorHAnsi" w:cstheme="minorHAnsi"/>
          <w:sz w:val="22"/>
          <w:szCs w:val="22"/>
          <w:lang w:val="es-CO"/>
        </w:rPr>
        <w:softHyphen/>
        <w:t>écnica-electoral el DECO llevó a cabo un Análisis sobre la Integridad Electoral de las Elecciones Generales del 20 de octubre en Bolivia. Asimismo, a petición del Presidente del Congreso Nacional de Honduras, el DECO redactó una propuesta de reforma electoral cuyo resultado fue la reestructuración del sistema electoral hondureño y la creación de dos nuevas instituciones: el Consejo Nacional Electoral y el Tribunal de Justicia Electoral. Por otro lado, en Dominica el DECO participó de una Misión Especial conjunta con CARICOM y el Commonwealth, para colaborar con los esfuerzos del país por implementar una reforma electoral.</w:t>
      </w:r>
    </w:p>
    <w:p w14:paraId="06CC38B8" w14:textId="77777777" w:rsidR="00A323B1" w:rsidRPr="00B62815" w:rsidRDefault="00A323B1" w:rsidP="0082369F">
      <w:pPr>
        <w:pStyle w:val="ListParagraph"/>
        <w:ind w:left="360"/>
        <w:rPr>
          <w:rFonts w:asciiTheme="minorHAnsi" w:hAnsiTheme="minorHAnsi" w:cstheme="minorHAnsi"/>
          <w:sz w:val="22"/>
          <w:szCs w:val="22"/>
          <w:lang w:val="es-CO"/>
        </w:rPr>
      </w:pPr>
    </w:p>
    <w:p w14:paraId="63A89DB8" w14:textId="77777777" w:rsidR="00A323B1" w:rsidRPr="000A4A55" w:rsidRDefault="00A323B1" w:rsidP="000A4A55">
      <w:pPr>
        <w:spacing w:line="276" w:lineRule="auto"/>
        <w:contextualSpacing/>
        <w:jc w:val="both"/>
        <w:rPr>
          <w:rFonts w:asciiTheme="minorHAnsi" w:hAnsiTheme="minorHAnsi" w:cstheme="minorHAnsi"/>
          <w:sz w:val="22"/>
          <w:szCs w:val="22"/>
          <w:lang w:val="es-CO"/>
        </w:rPr>
      </w:pPr>
      <w:r w:rsidRPr="000A4A55">
        <w:rPr>
          <w:rFonts w:asciiTheme="minorHAnsi" w:hAnsiTheme="minorHAnsi" w:cstheme="minorHAnsi"/>
          <w:sz w:val="22"/>
          <w:szCs w:val="22"/>
          <w:lang w:val="es-CO"/>
        </w:rPr>
        <w:t>El DECO promovió intercambios inter-institucionales con sus contrapartes electorales en la región y a nivel global. En noviembre, la OEA reunió a 30 autoridades y representantes de 29 órganos electorales de 17 países, en la decimocuarta Reunión Interamericana de Autoridades Electorales. El encuentro, que tuvo lugar en Ciudad de Panamá, buscó la implementación de buenas prácticas y lecciones aprendidas sobre las elecciones presidenciales del 2019, así como el intercambio de experiencias en torno a tópicos como reformas electorales, estrategias políticas en medios digitales, violencia en contextos electorales. Además, se llevó a cabo un Taller de Comunicación Política para Autoridades Electorales.</w:t>
      </w:r>
    </w:p>
    <w:p w14:paraId="56B7827F" w14:textId="77777777" w:rsidR="00A323B1" w:rsidRPr="00B62815" w:rsidRDefault="00A323B1" w:rsidP="00A323B1">
      <w:pPr>
        <w:jc w:val="both"/>
        <w:rPr>
          <w:rFonts w:asciiTheme="minorHAnsi" w:hAnsiTheme="minorHAnsi" w:cstheme="minorHAnsi"/>
          <w:sz w:val="22"/>
          <w:szCs w:val="22"/>
          <w:lang w:val="es-CO"/>
        </w:rPr>
      </w:pPr>
    </w:p>
    <w:p w14:paraId="59161621" w14:textId="77777777" w:rsidR="00A323B1" w:rsidRPr="00B62815" w:rsidRDefault="00A323B1" w:rsidP="00A323B1">
      <w:pPr>
        <w:ind w:firstLine="360"/>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Observación Electoral</w:t>
      </w:r>
    </w:p>
    <w:p w14:paraId="3F5BE194"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8 misiones electorales desplegadas en 7 países.</w:t>
      </w:r>
    </w:p>
    <w:p w14:paraId="42E9D2B1"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494 expertos y observadores electorales desplegadas.</w:t>
      </w:r>
    </w:p>
    <w:p w14:paraId="1F44A7AB"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Más de 3.600 centros de votación observados.</w:t>
      </w:r>
    </w:p>
    <w:p w14:paraId="27E11D05"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38 nacionalidades representadas en las Misiones.</w:t>
      </w:r>
    </w:p>
    <w:p w14:paraId="022310C0"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11 metodologías/temas de observación electoral implementadas, incluyendo: justicia electoral, organización electoral, tecnología electoral, financiamiento político-electoral, participación política de la mujer, participación política de los pueblos indígenas y afrodescendientes, violencia electoral, medios de comunicación y redes sociales, seguridad electoral, democracia directa, y educación cívica.</w:t>
      </w:r>
    </w:p>
    <w:p w14:paraId="1646579D"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5 informes preliminares de MOEs presentados a las autoridades electorales y al público. </w:t>
      </w:r>
    </w:p>
    <w:p w14:paraId="239BEEEA"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2 informes finales presentados ante el Consejo Permanente.</w:t>
      </w:r>
    </w:p>
    <w:p w14:paraId="30295F6D" w14:textId="77777777" w:rsidR="00A323B1" w:rsidRPr="00B62815" w:rsidRDefault="00A323B1" w:rsidP="00A323B1">
      <w:pPr>
        <w:pStyle w:val="ListParagraph"/>
        <w:jc w:val="both"/>
        <w:rPr>
          <w:rFonts w:asciiTheme="minorHAnsi" w:hAnsiTheme="minorHAnsi" w:cstheme="minorHAnsi"/>
          <w:sz w:val="22"/>
          <w:szCs w:val="22"/>
          <w:lang w:val="es-CO"/>
        </w:rPr>
      </w:pPr>
    </w:p>
    <w:p w14:paraId="3E3E98F6" w14:textId="77777777" w:rsidR="001C2CF3" w:rsidRPr="00B62815" w:rsidRDefault="001C2CF3" w:rsidP="00A323B1">
      <w:pPr>
        <w:ind w:firstLine="360"/>
        <w:jc w:val="both"/>
        <w:rPr>
          <w:rFonts w:asciiTheme="minorHAnsi" w:hAnsiTheme="minorHAnsi" w:cstheme="minorHAnsi"/>
          <w:b/>
          <w:sz w:val="22"/>
          <w:szCs w:val="22"/>
          <w:lang w:val="es-CO"/>
        </w:rPr>
      </w:pPr>
    </w:p>
    <w:p w14:paraId="027EF056" w14:textId="77777777" w:rsidR="00A323B1" w:rsidRPr="00B62815" w:rsidRDefault="00A323B1" w:rsidP="00A323B1">
      <w:pPr>
        <w:ind w:firstLine="360"/>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Cooperación técnica-electoral</w:t>
      </w:r>
    </w:p>
    <w:p w14:paraId="5AD6B3FC"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El DECO llevó a cabo un Análisis sobre la Integridad Electoral de las Elecciones Generales del 20 de octubre en Bolivia. </w:t>
      </w:r>
    </w:p>
    <w:p w14:paraId="79C3B2D9"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Además, redactó una propuesta de reforma electoral para Honduras, cuyo resultado fue la reestructuración del sistema electoral hondureño y la creación de dos nuevas instituciones: el Consejo Nacional Electoral y el Tribunal de Justicia Electoral. </w:t>
      </w:r>
    </w:p>
    <w:p w14:paraId="63B119AE" w14:textId="77777777" w:rsidR="00A323B1" w:rsidRPr="00B62815" w:rsidRDefault="00A323B1" w:rsidP="00E67635">
      <w:pPr>
        <w:pStyle w:val="ListParagraph"/>
        <w:numPr>
          <w:ilvl w:val="0"/>
          <w:numId w:val="29"/>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Por otro lado, en Dominica el DECO participó de una Misión Especial conjunta con CARICOM y el Commonwealth, para colaborar con los esfuerzos del país por implementar una reforma electoral.</w:t>
      </w:r>
    </w:p>
    <w:p w14:paraId="1C3302F4" w14:textId="77777777" w:rsidR="00A323B1" w:rsidRPr="00B62815" w:rsidRDefault="00A323B1" w:rsidP="00A323B1">
      <w:pPr>
        <w:pStyle w:val="ListParagraph"/>
        <w:jc w:val="both"/>
        <w:rPr>
          <w:rFonts w:asciiTheme="minorHAnsi" w:hAnsiTheme="minorHAnsi" w:cstheme="minorHAnsi"/>
          <w:sz w:val="22"/>
          <w:szCs w:val="22"/>
          <w:lang w:val="es-CO"/>
        </w:rPr>
      </w:pPr>
    </w:p>
    <w:p w14:paraId="6C04FCD7" w14:textId="77777777" w:rsidR="00A323B1" w:rsidRPr="00B62815" w:rsidRDefault="00A323B1" w:rsidP="00A323B1">
      <w:pPr>
        <w:ind w:firstLine="360"/>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Intercambio Inter-institucional</w:t>
      </w:r>
    </w:p>
    <w:p w14:paraId="1664B8C6" w14:textId="77777777" w:rsidR="00A323B1" w:rsidRPr="00B62815" w:rsidRDefault="00A323B1" w:rsidP="00E67635">
      <w:pPr>
        <w:numPr>
          <w:ilvl w:val="0"/>
          <w:numId w:val="30"/>
        </w:numPr>
        <w:jc w:val="both"/>
        <w:rPr>
          <w:rFonts w:asciiTheme="minorHAnsi" w:hAnsiTheme="minorHAnsi" w:cstheme="minorHAnsi"/>
          <w:color w:val="000000"/>
          <w:sz w:val="22"/>
          <w:szCs w:val="22"/>
          <w:lang w:val="es-CO"/>
        </w:rPr>
      </w:pPr>
      <w:r w:rsidRPr="00B62815">
        <w:rPr>
          <w:rFonts w:asciiTheme="minorHAnsi" w:hAnsiTheme="minorHAnsi" w:cstheme="minorHAnsi"/>
          <w:color w:val="000000"/>
          <w:sz w:val="22"/>
          <w:szCs w:val="22"/>
          <w:lang w:val="es-CO"/>
        </w:rPr>
        <w:t xml:space="preserve">Intercambio de desafíos y prácticas exitosas entre </w:t>
      </w:r>
      <w:r w:rsidRPr="00B62815">
        <w:rPr>
          <w:rFonts w:asciiTheme="minorHAnsi" w:hAnsiTheme="minorHAnsi" w:cstheme="minorHAnsi"/>
          <w:bCs/>
          <w:sz w:val="22"/>
          <w:szCs w:val="22"/>
          <w:lang w:val="es-CO"/>
        </w:rPr>
        <w:t xml:space="preserve">30 autoridades y representantes de 29 órganos electorales de 17 países del hemisferio </w:t>
      </w:r>
      <w:r w:rsidRPr="00B62815">
        <w:rPr>
          <w:rFonts w:asciiTheme="minorHAnsi" w:hAnsiTheme="minorHAnsi" w:cstheme="minorHAnsi"/>
          <w:color w:val="000000"/>
          <w:sz w:val="22"/>
          <w:szCs w:val="22"/>
          <w:lang w:val="es-CO"/>
        </w:rPr>
        <w:t>en los temas</w:t>
      </w:r>
      <w:r w:rsidRPr="00B62815">
        <w:rPr>
          <w:rFonts w:asciiTheme="minorHAnsi" w:hAnsiTheme="minorHAnsi" w:cstheme="minorHAnsi"/>
          <w:bCs/>
          <w:sz w:val="22"/>
          <w:szCs w:val="22"/>
          <w:lang w:val="es-CO"/>
        </w:rPr>
        <w:t xml:space="preserve"> como el intercambio de experiencias en torno a tópicos como reformas electorales, estrategias políticas en medios digitales, violencia en contextos electorales.</w:t>
      </w:r>
    </w:p>
    <w:p w14:paraId="3111305D" w14:textId="77777777" w:rsidR="00A323B1" w:rsidRPr="00B62815" w:rsidRDefault="00A323B1" w:rsidP="00E67635">
      <w:pPr>
        <w:numPr>
          <w:ilvl w:val="0"/>
          <w:numId w:val="30"/>
        </w:numPr>
        <w:jc w:val="both"/>
        <w:rPr>
          <w:rFonts w:asciiTheme="minorHAnsi" w:hAnsiTheme="minorHAnsi" w:cstheme="minorHAnsi"/>
          <w:color w:val="000000"/>
          <w:sz w:val="22"/>
          <w:szCs w:val="22"/>
          <w:lang w:val="es-CO"/>
        </w:rPr>
      </w:pPr>
      <w:r w:rsidRPr="00B62815">
        <w:rPr>
          <w:rFonts w:asciiTheme="minorHAnsi" w:hAnsiTheme="minorHAnsi" w:cstheme="minorHAnsi"/>
          <w:color w:val="000000"/>
          <w:sz w:val="22"/>
          <w:szCs w:val="22"/>
          <w:lang w:val="es-CO"/>
        </w:rPr>
        <w:lastRenderedPageBreak/>
        <w:t xml:space="preserve">Publicación de la </w:t>
      </w:r>
      <w:r w:rsidRPr="00B62815">
        <w:rPr>
          <w:rFonts w:asciiTheme="minorHAnsi" w:hAnsiTheme="minorHAnsi" w:cstheme="minorHAnsi"/>
          <w:i/>
          <w:color w:val="000000"/>
          <w:sz w:val="22"/>
          <w:szCs w:val="22"/>
          <w:lang w:val="es-CO"/>
        </w:rPr>
        <w:t>Metodología de Justicia Electoral para las Misiones de Observación Electoral de la OEA</w:t>
      </w:r>
      <w:r w:rsidRPr="00B62815">
        <w:rPr>
          <w:rFonts w:asciiTheme="minorHAnsi" w:hAnsiTheme="minorHAnsi" w:cstheme="minorHAnsi"/>
          <w:color w:val="000000"/>
          <w:sz w:val="22"/>
          <w:szCs w:val="22"/>
          <w:lang w:val="es-CO"/>
        </w:rPr>
        <w:t xml:space="preserve"> y una </w:t>
      </w:r>
      <w:r w:rsidRPr="00B62815">
        <w:rPr>
          <w:rFonts w:asciiTheme="minorHAnsi" w:hAnsiTheme="minorHAnsi" w:cstheme="minorHAnsi"/>
          <w:i/>
          <w:color w:val="000000"/>
          <w:sz w:val="22"/>
          <w:szCs w:val="22"/>
          <w:lang w:val="es-CO"/>
        </w:rPr>
        <w:t>Guía para garantizar la libertad de expresión frente a la desinformación deliberada en contextos electorales</w:t>
      </w:r>
      <w:r w:rsidRPr="00B62815">
        <w:rPr>
          <w:rFonts w:asciiTheme="minorHAnsi" w:hAnsiTheme="minorHAnsi" w:cstheme="minorHAnsi"/>
          <w:color w:val="000000"/>
          <w:sz w:val="22"/>
          <w:szCs w:val="22"/>
          <w:lang w:val="es-CO"/>
        </w:rPr>
        <w:t xml:space="preserve">. Ambos documentos fueron elaborados por especialistas del DECO en colaboración con expertos de otras organizaciones. </w:t>
      </w:r>
    </w:p>
    <w:p w14:paraId="7B792E9B" w14:textId="77777777" w:rsidR="00A323B1" w:rsidRPr="00B62815" w:rsidRDefault="00A323B1" w:rsidP="00E67635">
      <w:pPr>
        <w:numPr>
          <w:ilvl w:val="0"/>
          <w:numId w:val="30"/>
        </w:numPr>
        <w:jc w:val="both"/>
        <w:rPr>
          <w:rFonts w:asciiTheme="minorHAnsi" w:hAnsiTheme="minorHAnsi" w:cstheme="minorHAnsi"/>
          <w:color w:val="000000"/>
          <w:sz w:val="22"/>
          <w:szCs w:val="22"/>
          <w:lang w:val="es-CO"/>
        </w:rPr>
      </w:pPr>
      <w:r w:rsidRPr="00B62815">
        <w:rPr>
          <w:rFonts w:asciiTheme="minorHAnsi" w:hAnsiTheme="minorHAnsi" w:cstheme="minorHAnsi"/>
          <w:color w:val="000000"/>
          <w:sz w:val="22"/>
          <w:szCs w:val="22"/>
          <w:lang w:val="es-CO"/>
        </w:rPr>
        <w:t>Fortalecimiento de la relación del DECO con las autoridades de la región y cooperación horizontal entre las autoridades electorales de la región</w:t>
      </w:r>
    </w:p>
    <w:p w14:paraId="72FDF3CE" w14:textId="77777777" w:rsidR="00A323B1" w:rsidRPr="00B62815" w:rsidRDefault="00A323B1" w:rsidP="00E67635">
      <w:pPr>
        <w:pStyle w:val="ListParagraph"/>
        <w:numPr>
          <w:ilvl w:val="0"/>
          <w:numId w:val="30"/>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Participación de especialistas del DECO en 9 intercambios profesionales/académicos sobre temas electorales en Estados Unidos, América Latina, Europa y Asia. </w:t>
      </w:r>
    </w:p>
    <w:p w14:paraId="137F1DA6" w14:textId="77777777" w:rsidR="00A323B1" w:rsidRPr="00B62815" w:rsidRDefault="00A323B1" w:rsidP="00E67635">
      <w:pPr>
        <w:pStyle w:val="ListParagraph"/>
        <w:numPr>
          <w:ilvl w:val="0"/>
          <w:numId w:val="31"/>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Inauguración del Observatorio de Elecciones en la Universidad de Sao Paulo (USP). Este centro tiene como iniciativa promover los valores de la democracia y el ejercicio de los derechos civiles y políticos de la ciudadanía, por medio del monitoreo y observación electoral de los procesos en Brasil.</w:t>
      </w:r>
    </w:p>
    <w:p w14:paraId="0EA12DDE" w14:textId="77777777" w:rsidR="00A323B1" w:rsidRPr="00B62815" w:rsidRDefault="00A323B1" w:rsidP="00E67635">
      <w:pPr>
        <w:pStyle w:val="ListParagraph"/>
        <w:numPr>
          <w:ilvl w:val="0"/>
          <w:numId w:val="31"/>
        </w:numPr>
        <w:contextualSpacing/>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Reunión de expertos para la creación del Protocolo de Seguridad de las Misiones de Observación Electoral. Este proyecto se está organizando junto al Departamento de Seguridad Pública de la OEA y busca profesionalizar la observación y asistencia técnica en los procedimientos y prácticas en materia de seguridad. </w:t>
      </w:r>
    </w:p>
    <w:p w14:paraId="586958D7" w14:textId="77777777" w:rsidR="00A323B1" w:rsidRPr="00B62815" w:rsidRDefault="00A323B1" w:rsidP="00A323B1">
      <w:pPr>
        <w:jc w:val="both"/>
        <w:rPr>
          <w:rFonts w:asciiTheme="minorHAnsi" w:hAnsiTheme="minorHAnsi" w:cstheme="minorHAnsi"/>
          <w:sz w:val="22"/>
          <w:szCs w:val="22"/>
          <w:lang w:val="es-CO"/>
        </w:rPr>
      </w:pPr>
    </w:p>
    <w:p w14:paraId="5C821CFA" w14:textId="77777777" w:rsidR="00A323B1" w:rsidRPr="00B62815" w:rsidRDefault="00A323B1" w:rsidP="00A323B1">
      <w:pPr>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Departamento para la Cooperación y Observación Electoral: </w:t>
      </w:r>
      <w:hyperlink r:id="rId38" w:history="1">
        <w:r w:rsidRPr="00B62815">
          <w:rPr>
            <w:rStyle w:val="Hyperlink"/>
            <w:rFonts w:asciiTheme="minorHAnsi" w:hAnsiTheme="minorHAnsi" w:cstheme="minorHAnsi"/>
            <w:sz w:val="22"/>
            <w:szCs w:val="22"/>
            <w:lang w:val="es-CO"/>
          </w:rPr>
          <w:t>http://www.oas.org/es/sap/deco/</w:t>
        </w:r>
      </w:hyperlink>
      <w:r w:rsidRPr="00B62815">
        <w:rPr>
          <w:rFonts w:asciiTheme="minorHAnsi" w:hAnsiTheme="minorHAnsi" w:cstheme="minorHAnsi"/>
          <w:sz w:val="22"/>
          <w:szCs w:val="22"/>
          <w:lang w:val="es-CO"/>
        </w:rPr>
        <w:t xml:space="preserve"> </w:t>
      </w:r>
    </w:p>
    <w:p w14:paraId="069E79BE" w14:textId="77777777" w:rsidR="00A323B1" w:rsidRPr="00B62815" w:rsidRDefault="00A323B1" w:rsidP="00A323B1">
      <w:pPr>
        <w:jc w:val="both"/>
        <w:rPr>
          <w:rFonts w:asciiTheme="minorHAnsi" w:hAnsiTheme="minorHAnsi" w:cstheme="minorHAnsi"/>
          <w:sz w:val="22"/>
          <w:szCs w:val="22"/>
          <w:lang w:val="es-CO"/>
        </w:rPr>
      </w:pPr>
    </w:p>
    <w:p w14:paraId="08B1161D" w14:textId="77777777" w:rsidR="00A323B1" w:rsidRPr="00B62815" w:rsidRDefault="00A323B1" w:rsidP="00A323B1">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Base de Datos MOEs/OEA: </w:t>
      </w:r>
      <w:hyperlink r:id="rId39" w:history="1">
        <w:r w:rsidRPr="00B62815">
          <w:rPr>
            <w:rStyle w:val="Hyperlink"/>
            <w:rFonts w:asciiTheme="minorHAnsi" w:hAnsiTheme="minorHAnsi" w:cstheme="minorHAnsi"/>
            <w:sz w:val="22"/>
            <w:szCs w:val="22"/>
            <w:lang w:val="es-CO"/>
          </w:rPr>
          <w:t>http://www.oas.org/eomdatabase/default.aspx?lang=es</w:t>
        </w:r>
      </w:hyperlink>
      <w:r w:rsidRPr="00B62815">
        <w:rPr>
          <w:rFonts w:asciiTheme="minorHAnsi" w:hAnsiTheme="minorHAnsi" w:cstheme="minorHAnsi"/>
          <w:sz w:val="22"/>
          <w:szCs w:val="22"/>
          <w:lang w:val="es-CO"/>
        </w:rPr>
        <w:t xml:space="preserve"> </w:t>
      </w:r>
    </w:p>
    <w:p w14:paraId="0CAA10D5" w14:textId="77777777" w:rsidR="00A323B1" w:rsidRPr="00B62815" w:rsidRDefault="00A323B1" w:rsidP="00A323B1">
      <w:pPr>
        <w:jc w:val="both"/>
        <w:rPr>
          <w:rFonts w:asciiTheme="minorHAnsi" w:hAnsiTheme="minorHAnsi" w:cstheme="minorHAnsi"/>
          <w:sz w:val="22"/>
          <w:szCs w:val="22"/>
          <w:lang w:val="es-CO"/>
        </w:rPr>
      </w:pPr>
    </w:p>
    <w:p w14:paraId="73547AFD" w14:textId="77777777" w:rsidR="00A323B1" w:rsidRPr="00B62815" w:rsidRDefault="00A323B1" w:rsidP="00A323B1">
      <w:pPr>
        <w:jc w:val="both"/>
        <w:rPr>
          <w:rStyle w:val="Hyperlink"/>
          <w:rFonts w:asciiTheme="minorHAnsi" w:hAnsiTheme="minorHAnsi" w:cstheme="minorHAnsi"/>
          <w:sz w:val="22"/>
          <w:szCs w:val="22"/>
          <w:lang w:val="es-US"/>
        </w:rPr>
      </w:pPr>
      <w:r w:rsidRPr="00B62815">
        <w:rPr>
          <w:rFonts w:asciiTheme="minorHAnsi" w:hAnsiTheme="minorHAnsi" w:cstheme="minorHAnsi"/>
          <w:sz w:val="22"/>
          <w:szCs w:val="22"/>
          <w:lang w:val="es-CO"/>
        </w:rPr>
        <w:t xml:space="preserve">Cooperación técnica: </w:t>
      </w:r>
      <w:hyperlink r:id="rId40" w:history="1">
        <w:r w:rsidRPr="00B62815">
          <w:rPr>
            <w:rStyle w:val="Hyperlink"/>
            <w:rFonts w:asciiTheme="minorHAnsi" w:hAnsiTheme="minorHAnsi" w:cstheme="minorHAnsi"/>
            <w:sz w:val="22"/>
            <w:szCs w:val="22"/>
            <w:lang w:val="es-CO"/>
          </w:rPr>
          <w:t>http://www.oas.org/es/sap/deco/Coop_Tecnica.asp</w:t>
        </w:r>
      </w:hyperlink>
    </w:p>
    <w:p w14:paraId="0AFF4449" w14:textId="77777777" w:rsidR="00A323B1" w:rsidRPr="00B62815" w:rsidRDefault="00A323B1" w:rsidP="00A323B1">
      <w:pPr>
        <w:jc w:val="both"/>
        <w:rPr>
          <w:rStyle w:val="Hyperlink"/>
          <w:rFonts w:asciiTheme="minorHAnsi" w:hAnsiTheme="minorHAnsi" w:cstheme="minorHAnsi"/>
          <w:sz w:val="22"/>
          <w:szCs w:val="22"/>
          <w:lang w:val="es-CO"/>
        </w:rPr>
      </w:pPr>
    </w:p>
    <w:p w14:paraId="7DEB481B" w14:textId="77777777" w:rsidR="00A323B1" w:rsidRPr="00B62815" w:rsidRDefault="00A323B1" w:rsidP="00A323B1">
      <w:pPr>
        <w:pStyle w:val="PlainText"/>
        <w:rPr>
          <w:rStyle w:val="Hyperlink"/>
          <w:rFonts w:asciiTheme="minorHAnsi" w:hAnsiTheme="minorHAnsi" w:cstheme="minorHAnsi"/>
          <w:szCs w:val="22"/>
          <w:lang w:val="es-CO"/>
        </w:rPr>
      </w:pPr>
      <w:r w:rsidRPr="00B62815">
        <w:rPr>
          <w:rFonts w:asciiTheme="minorHAnsi" w:hAnsiTheme="minorHAnsi" w:cstheme="minorHAnsi"/>
          <w:szCs w:val="22"/>
          <w:lang w:val="es-CO"/>
        </w:rPr>
        <w:t xml:space="preserve">Redes sociales - Observación y cooperación electoral   </w:t>
      </w:r>
      <w:hyperlink r:id="rId41" w:history="1">
        <w:r w:rsidRPr="00B62815">
          <w:rPr>
            <w:rStyle w:val="Hyperlink"/>
            <w:rFonts w:asciiTheme="minorHAnsi" w:hAnsiTheme="minorHAnsi" w:cstheme="minorHAnsi"/>
            <w:szCs w:val="22"/>
            <w:lang w:val="es-CO"/>
          </w:rPr>
          <w:t>https://www.facebook.com/deco.oea/</w:t>
        </w:r>
      </w:hyperlink>
    </w:p>
    <w:p w14:paraId="463A3EBA" w14:textId="77777777" w:rsidR="00A323B1" w:rsidRPr="00B62815" w:rsidRDefault="00A323B1" w:rsidP="00A323B1">
      <w:pPr>
        <w:pStyle w:val="PlainText"/>
        <w:rPr>
          <w:rStyle w:val="Hyperlink"/>
          <w:rFonts w:asciiTheme="minorHAnsi" w:hAnsiTheme="minorHAnsi" w:cstheme="minorHAnsi"/>
          <w:szCs w:val="22"/>
          <w:lang w:val="es-CO"/>
        </w:rPr>
      </w:pPr>
    </w:p>
    <w:p w14:paraId="4385366B" w14:textId="77777777" w:rsidR="00A323B1" w:rsidRPr="00B62815" w:rsidRDefault="00A323B1" w:rsidP="00A323B1">
      <w:pPr>
        <w:pStyle w:val="PlainText"/>
        <w:rPr>
          <w:rFonts w:asciiTheme="minorHAnsi" w:hAnsiTheme="minorHAnsi" w:cstheme="minorHAnsi"/>
          <w:szCs w:val="22"/>
          <w:lang w:val="es-US"/>
        </w:rPr>
      </w:pPr>
    </w:p>
    <w:p w14:paraId="68858055" w14:textId="77777777" w:rsidR="00A323B1" w:rsidRPr="00B62815" w:rsidRDefault="001C2CF3" w:rsidP="00A323B1">
      <w:pPr>
        <w:jc w:val="both"/>
        <w:rPr>
          <w:rFonts w:asciiTheme="minorHAnsi" w:hAnsiTheme="minorHAnsi" w:cstheme="minorHAnsi"/>
          <w:b/>
          <w:noProof/>
          <w:sz w:val="22"/>
          <w:szCs w:val="22"/>
        </w:rPr>
      </w:pPr>
      <w:r w:rsidRPr="00B62815">
        <w:rPr>
          <w:rFonts w:asciiTheme="minorHAnsi" w:hAnsiTheme="minorHAnsi" w:cstheme="minorHAnsi"/>
          <w:b/>
          <w:noProof/>
          <w:sz w:val="22"/>
          <w:szCs w:val="22"/>
        </w:rPr>
        <w:lastRenderedPageBreak/>
        <w:drawing>
          <wp:inline distT="0" distB="0" distL="0" distR="0" wp14:anchorId="6D86161A" wp14:editId="4C0AD962">
            <wp:extent cx="5866130" cy="2469515"/>
            <wp:effectExtent l="0" t="0" r="0" b="0"/>
            <wp:docPr id="4" name="Picture 3" descr="WhatsApp Image 2020-02-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2-25 at 2"/>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866130" cy="2469515"/>
                    </a:xfrm>
                    <a:prstGeom prst="rect">
                      <a:avLst/>
                    </a:prstGeom>
                    <a:noFill/>
                    <a:ln>
                      <a:noFill/>
                    </a:ln>
                  </pic:spPr>
                </pic:pic>
              </a:graphicData>
            </a:graphic>
          </wp:inline>
        </w:drawing>
      </w:r>
    </w:p>
    <w:p w14:paraId="6499386F" w14:textId="77777777" w:rsidR="00A323B1" w:rsidRPr="00B62815" w:rsidRDefault="00A323B1" w:rsidP="00A323B1">
      <w:pPr>
        <w:jc w:val="both"/>
        <w:rPr>
          <w:rFonts w:asciiTheme="minorHAnsi" w:hAnsiTheme="minorHAnsi" w:cstheme="minorHAnsi"/>
          <w:b/>
          <w:noProof/>
          <w:sz w:val="22"/>
          <w:szCs w:val="22"/>
        </w:rPr>
      </w:pPr>
    </w:p>
    <w:p w14:paraId="6516E851" w14:textId="77777777" w:rsidR="00A323B1" w:rsidRPr="00B62815" w:rsidRDefault="00A323B1" w:rsidP="00A323B1">
      <w:pPr>
        <w:jc w:val="both"/>
        <w:rPr>
          <w:rFonts w:asciiTheme="minorHAnsi" w:hAnsiTheme="minorHAnsi" w:cstheme="minorHAnsi"/>
          <w:b/>
          <w:noProof/>
          <w:sz w:val="22"/>
          <w:szCs w:val="22"/>
        </w:rPr>
      </w:pPr>
    </w:p>
    <w:p w14:paraId="3ADB5E24" w14:textId="77777777" w:rsidR="00A323B1" w:rsidRPr="00B62815" w:rsidRDefault="00A323B1" w:rsidP="00A323B1">
      <w:pPr>
        <w:jc w:val="both"/>
        <w:rPr>
          <w:rFonts w:asciiTheme="minorHAnsi" w:hAnsiTheme="minorHAnsi" w:cstheme="minorHAnsi"/>
          <w:sz w:val="22"/>
          <w:szCs w:val="22"/>
          <w:lang w:val="es-CO"/>
        </w:rPr>
      </w:pPr>
    </w:p>
    <w:p w14:paraId="0CB76871" w14:textId="77777777" w:rsidR="00A323B1" w:rsidRPr="00B62815" w:rsidRDefault="001C2CF3" w:rsidP="00A323B1">
      <w:pPr>
        <w:jc w:val="center"/>
        <w:rPr>
          <w:rFonts w:asciiTheme="minorHAnsi" w:hAnsiTheme="minorHAnsi" w:cstheme="minorHAnsi"/>
          <w:sz w:val="22"/>
          <w:szCs w:val="22"/>
          <w:lang w:val="es-CO"/>
        </w:rPr>
      </w:pPr>
      <w:r w:rsidRPr="00B62815">
        <w:rPr>
          <w:rFonts w:asciiTheme="minorHAnsi" w:hAnsiTheme="minorHAnsi" w:cstheme="minorHAnsi"/>
          <w:b/>
          <w:noProof/>
          <w:sz w:val="22"/>
          <w:szCs w:val="22"/>
        </w:rPr>
        <w:drawing>
          <wp:inline distT="0" distB="0" distL="0" distR="0" wp14:anchorId="57425AD8" wp14:editId="27A3ECEF">
            <wp:extent cx="4951730" cy="235140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951730" cy="2351405"/>
                    </a:xfrm>
                    <a:prstGeom prst="rect">
                      <a:avLst/>
                    </a:prstGeom>
                    <a:noFill/>
                    <a:ln>
                      <a:noFill/>
                    </a:ln>
                  </pic:spPr>
                </pic:pic>
              </a:graphicData>
            </a:graphic>
          </wp:inline>
        </w:drawing>
      </w:r>
    </w:p>
    <w:p w14:paraId="732E76F6" w14:textId="77777777" w:rsidR="00A323B1" w:rsidRPr="00B62815" w:rsidRDefault="001C2CF3" w:rsidP="00A323B1">
      <w:pPr>
        <w:jc w:val="center"/>
        <w:rPr>
          <w:rFonts w:asciiTheme="minorHAnsi" w:hAnsiTheme="minorHAnsi" w:cstheme="minorHAnsi"/>
          <w:b/>
          <w:noProof/>
          <w:sz w:val="22"/>
          <w:szCs w:val="22"/>
        </w:rPr>
      </w:pPr>
      <w:r w:rsidRPr="00B62815">
        <w:rPr>
          <w:rFonts w:asciiTheme="minorHAnsi" w:hAnsiTheme="minorHAnsi" w:cstheme="minorHAnsi"/>
          <w:b/>
          <w:noProof/>
          <w:sz w:val="22"/>
          <w:szCs w:val="22"/>
        </w:rPr>
        <w:lastRenderedPageBreak/>
        <w:drawing>
          <wp:inline distT="0" distB="0" distL="0" distR="0" wp14:anchorId="56C545D8" wp14:editId="69155212">
            <wp:extent cx="3446145" cy="2593975"/>
            <wp:effectExtent l="0" t="0" r="0" b="0"/>
            <wp:docPr id="6" name="Picture 6" descr="2019 Domin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 Dominica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446145" cy="2593975"/>
                    </a:xfrm>
                    <a:prstGeom prst="rect">
                      <a:avLst/>
                    </a:prstGeom>
                    <a:noFill/>
                    <a:ln>
                      <a:noFill/>
                    </a:ln>
                  </pic:spPr>
                </pic:pic>
              </a:graphicData>
            </a:graphic>
          </wp:inline>
        </w:drawing>
      </w:r>
    </w:p>
    <w:p w14:paraId="5896B93F" w14:textId="77777777" w:rsidR="00A323B1" w:rsidRPr="00B62815" w:rsidRDefault="00A323B1" w:rsidP="00A323B1">
      <w:pPr>
        <w:jc w:val="center"/>
        <w:rPr>
          <w:rFonts w:asciiTheme="minorHAnsi" w:hAnsiTheme="minorHAnsi" w:cstheme="minorHAnsi"/>
          <w:b/>
          <w:noProof/>
          <w:sz w:val="22"/>
          <w:szCs w:val="22"/>
        </w:rPr>
      </w:pPr>
    </w:p>
    <w:p w14:paraId="294D85B9" w14:textId="77777777" w:rsidR="00A323B1" w:rsidRPr="00B62815" w:rsidRDefault="001C2CF3" w:rsidP="00A323B1">
      <w:pPr>
        <w:jc w:val="center"/>
        <w:rPr>
          <w:rFonts w:asciiTheme="minorHAnsi" w:hAnsiTheme="minorHAnsi" w:cstheme="minorHAnsi"/>
          <w:sz w:val="22"/>
          <w:szCs w:val="22"/>
          <w:lang w:val="es-CO"/>
        </w:rPr>
      </w:pPr>
      <w:r w:rsidRPr="00B62815">
        <w:rPr>
          <w:rFonts w:asciiTheme="minorHAnsi" w:hAnsiTheme="minorHAnsi" w:cstheme="minorHAnsi"/>
          <w:b/>
          <w:noProof/>
          <w:sz w:val="22"/>
          <w:szCs w:val="22"/>
        </w:rPr>
        <w:drawing>
          <wp:inline distT="0" distB="0" distL="0" distR="0" wp14:anchorId="71FA7E3D" wp14:editId="31C9D41C">
            <wp:extent cx="3477260" cy="2612390"/>
            <wp:effectExtent l="0" t="0" r="0" b="0"/>
            <wp:docPr id="7" name="Picture 5" descr="2019 Colomb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 Colombia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477260" cy="2612390"/>
                    </a:xfrm>
                    <a:prstGeom prst="rect">
                      <a:avLst/>
                    </a:prstGeom>
                    <a:noFill/>
                    <a:ln>
                      <a:noFill/>
                    </a:ln>
                  </pic:spPr>
                </pic:pic>
              </a:graphicData>
            </a:graphic>
          </wp:inline>
        </w:drawing>
      </w:r>
    </w:p>
    <w:p w14:paraId="1E0FC9E6" w14:textId="77777777" w:rsidR="00A323B1" w:rsidRPr="00B62815" w:rsidRDefault="00A323B1" w:rsidP="00A323B1">
      <w:pPr>
        <w:jc w:val="both"/>
        <w:rPr>
          <w:rFonts w:asciiTheme="minorHAnsi" w:hAnsiTheme="minorHAnsi" w:cstheme="minorHAnsi"/>
          <w:sz w:val="22"/>
          <w:szCs w:val="22"/>
          <w:lang w:val="es-CO"/>
        </w:rPr>
      </w:pPr>
    </w:p>
    <w:p w14:paraId="5EC13F2A"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5D80B911" w14:textId="64F5547C" w:rsidR="00A323B1" w:rsidRPr="00680F63" w:rsidRDefault="00491A44" w:rsidP="0040770F">
      <w:pPr>
        <w:jc w:val="both"/>
        <w:outlineLvl w:val="2"/>
        <w:rPr>
          <w:rFonts w:asciiTheme="minorHAnsi" w:eastAsia="Times New Roman" w:hAnsiTheme="minorHAnsi" w:cstheme="minorHAnsi"/>
          <w:bCs/>
          <w:color w:val="E36C0A"/>
          <w:sz w:val="22"/>
          <w:szCs w:val="22"/>
          <w:lang w:val="es-ES"/>
        </w:rPr>
      </w:pPr>
      <w:bookmarkStart w:id="28" w:name="_Toc39675833"/>
      <w:bookmarkStart w:id="29" w:name="_Toc40191056"/>
      <w:r w:rsidRPr="00680F63">
        <w:rPr>
          <w:rFonts w:asciiTheme="minorHAnsi" w:eastAsia="Times New Roman" w:hAnsiTheme="minorHAnsi" w:cstheme="minorHAnsi"/>
          <w:bCs/>
          <w:color w:val="E36C0A"/>
          <w:sz w:val="22"/>
          <w:szCs w:val="22"/>
          <w:lang w:val="es-ES"/>
        </w:rPr>
        <w:t>2</w:t>
      </w:r>
      <w:r w:rsidR="00A323B1" w:rsidRPr="00680F63">
        <w:rPr>
          <w:rFonts w:asciiTheme="minorHAnsi" w:eastAsia="Times New Roman" w:hAnsiTheme="minorHAnsi" w:cstheme="minorHAnsi"/>
          <w:bCs/>
          <w:color w:val="E36C0A"/>
          <w:sz w:val="22"/>
          <w:szCs w:val="22"/>
          <w:lang w:val="es-ES"/>
        </w:rPr>
        <w:t>.</w:t>
      </w:r>
      <w:r w:rsidRPr="00680F63">
        <w:rPr>
          <w:rFonts w:asciiTheme="minorHAnsi" w:eastAsia="Times New Roman" w:hAnsiTheme="minorHAnsi" w:cstheme="minorHAnsi"/>
          <w:bCs/>
          <w:color w:val="E36C0A"/>
          <w:sz w:val="22"/>
          <w:szCs w:val="22"/>
          <w:lang w:val="es-ES"/>
        </w:rPr>
        <w:t>3</w:t>
      </w:r>
      <w:r w:rsidR="00A323B1" w:rsidRPr="00680F63">
        <w:rPr>
          <w:rFonts w:asciiTheme="minorHAnsi" w:eastAsia="Times New Roman" w:hAnsiTheme="minorHAnsi" w:cstheme="minorHAnsi"/>
          <w:bCs/>
          <w:color w:val="E36C0A"/>
          <w:sz w:val="22"/>
          <w:szCs w:val="22"/>
          <w:lang w:val="es-ES"/>
        </w:rPr>
        <w:t>.2 Departamento de Sustentabilidad Democrática y Misiones Especiales (DSDME)</w:t>
      </w:r>
      <w:bookmarkEnd w:id="28"/>
      <w:bookmarkEnd w:id="29"/>
    </w:p>
    <w:p w14:paraId="2E48B4B7" w14:textId="77777777" w:rsidR="00A323B1" w:rsidRPr="00B62815" w:rsidRDefault="00A323B1" w:rsidP="00A323B1">
      <w:pPr>
        <w:jc w:val="both"/>
        <w:rPr>
          <w:rFonts w:asciiTheme="minorHAnsi" w:hAnsiTheme="minorHAnsi" w:cstheme="minorHAnsi"/>
          <w:color w:val="000000"/>
          <w:sz w:val="22"/>
          <w:szCs w:val="22"/>
          <w:lang w:val="es-CO"/>
        </w:rPr>
      </w:pPr>
    </w:p>
    <w:p w14:paraId="3649ADC4" w14:textId="77777777" w:rsidR="00A323B1" w:rsidRPr="00B62815" w:rsidRDefault="00A323B1" w:rsidP="00A323B1">
      <w:pPr>
        <w:jc w:val="both"/>
        <w:rPr>
          <w:rFonts w:asciiTheme="minorHAnsi" w:hAnsiTheme="minorHAnsi" w:cstheme="minorHAnsi"/>
          <w:color w:val="000000"/>
          <w:sz w:val="22"/>
          <w:szCs w:val="22"/>
          <w:lang w:val="es-CO"/>
        </w:rPr>
      </w:pPr>
      <w:r w:rsidRPr="00B62815">
        <w:rPr>
          <w:rFonts w:asciiTheme="minorHAnsi" w:hAnsiTheme="minorHAnsi" w:cstheme="minorHAnsi"/>
          <w:color w:val="000000"/>
          <w:sz w:val="22"/>
          <w:szCs w:val="22"/>
          <w:lang w:val="es-CO"/>
        </w:rPr>
        <w:t xml:space="preserve">El Departamento de Sustentabilidad Democrática y Misiones Especiales ofrece apoyo oportuno a los países que así lo han solicitado para el fortalecimiento y la preservación de la institucionalidad democrática y para la solución pacífica de controversias. Destacan los avances de la Misión de Apoyo contra la Corrupción y la Impunidad en Honduras (MACCIH), la labor de la Misión de Apoyo al Proceso de Paz en Colombia (MAPP) y la implementación de las medidas de fomento de la confianza entre Belice y Guatemala bajo los auspicios de la Oficina de la OEA en la Zona de Adyacencia. </w:t>
      </w:r>
    </w:p>
    <w:p w14:paraId="439C1783" w14:textId="77777777" w:rsidR="00A323B1" w:rsidRPr="00B62815" w:rsidRDefault="00A323B1" w:rsidP="00A323B1">
      <w:pPr>
        <w:jc w:val="both"/>
        <w:rPr>
          <w:rFonts w:asciiTheme="minorHAnsi" w:hAnsiTheme="minorHAnsi" w:cstheme="minorHAnsi"/>
          <w:color w:val="000000"/>
          <w:sz w:val="22"/>
          <w:szCs w:val="22"/>
          <w:lang w:val="es-CO"/>
        </w:rPr>
      </w:pPr>
    </w:p>
    <w:p w14:paraId="563ED83A" w14:textId="77777777" w:rsidR="00A323B1" w:rsidRPr="00B62815" w:rsidRDefault="00A323B1" w:rsidP="00A323B1">
      <w:pPr>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Misión de Apoyo contra la Corrupción y la Impunidad en Honduras (MACCIH)</w:t>
      </w:r>
    </w:p>
    <w:p w14:paraId="43FA0887" w14:textId="77777777" w:rsidR="00A323B1" w:rsidRPr="00B62815" w:rsidRDefault="00A323B1" w:rsidP="00A323B1">
      <w:pPr>
        <w:ind w:firstLine="360"/>
        <w:jc w:val="both"/>
        <w:rPr>
          <w:rFonts w:asciiTheme="minorHAnsi" w:hAnsiTheme="minorHAnsi" w:cstheme="minorHAnsi"/>
          <w:b/>
          <w:sz w:val="22"/>
          <w:szCs w:val="22"/>
          <w:lang w:val="es-CO"/>
        </w:rPr>
      </w:pPr>
    </w:p>
    <w:p w14:paraId="6A260C9D" w14:textId="3D3F2AB9"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Durante el año 2019, la MACC</w:t>
      </w:r>
      <w:r w:rsidR="00B760AE">
        <w:rPr>
          <w:rFonts w:asciiTheme="minorHAnsi" w:hAnsiTheme="minorHAnsi" w:cstheme="minorHAnsi"/>
          <w:sz w:val="22"/>
          <w:szCs w:val="22"/>
          <w:lang w:val="es-CO"/>
        </w:rPr>
        <w:t>IH</w:t>
      </w:r>
      <w:r w:rsidRPr="00B62815">
        <w:rPr>
          <w:rFonts w:asciiTheme="minorHAnsi" w:hAnsiTheme="minorHAnsi" w:cstheme="minorHAnsi"/>
          <w:sz w:val="22"/>
          <w:szCs w:val="22"/>
          <w:lang w:val="es-CO"/>
        </w:rPr>
        <w:t xml:space="preserve"> continuó la consolidación de la Unidad Fiscal Especial contra la Impunidad de la Corrupción del Ministerio Público de Honduras (UFECIC-MP) y de los Equipos Integrados de Investigación y Persecución Penal conformados entre la UFECIC-MP y los expertos internacionales de la MACCIH. Con el acompañamiento activo proporcionado por la MACCIH a la UFECIC-MP para la investigación y prosecución de casos de corrupción de alto nivel, se judicializaron entre enero y diciembre de 2019 cuatro nuevos casos penales de corrupción y tres nuevos casos de extinción de dominio, llevando el total de casos presentados por UFECIC con el apoyo de MACCIH desde su creación a quince.</w:t>
      </w:r>
    </w:p>
    <w:p w14:paraId="50BEE09D" w14:textId="77777777" w:rsidR="00A323B1" w:rsidRPr="00B62815" w:rsidRDefault="00A323B1" w:rsidP="0082369F">
      <w:pPr>
        <w:pStyle w:val="ListParagraph"/>
        <w:ind w:left="360" w:hanging="540"/>
        <w:jc w:val="both"/>
        <w:rPr>
          <w:rFonts w:asciiTheme="minorHAnsi" w:hAnsiTheme="minorHAnsi" w:cstheme="minorHAnsi"/>
          <w:sz w:val="22"/>
          <w:szCs w:val="22"/>
          <w:lang w:val="es-CO"/>
        </w:rPr>
      </w:pPr>
    </w:p>
    <w:p w14:paraId="45BBD15C"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El 20 de agosto de 2019, el Tribunal de Sentencia con Competencia Nacional en Materia de Corrupción dictó su primera sentencia condenatoria por un caso judicializado por la UFECIC-MP con el acompañamiento activo de la MACCIH. Cabe recordar que la creación de la Jurisdicción Nacional Anticorrupción fue una iniciativa promovida por la MACCIH-OEA y aprobada por la Corte Suprema de Justicia mediante el Acuerdo No. 01-2016 del 12 de mayo de 2016. </w:t>
      </w:r>
    </w:p>
    <w:p w14:paraId="515B8698" w14:textId="77777777" w:rsidR="00A323B1" w:rsidRPr="00B62815" w:rsidRDefault="00A323B1" w:rsidP="0082369F">
      <w:pPr>
        <w:pStyle w:val="ListParagraph"/>
        <w:ind w:left="360"/>
        <w:jc w:val="both"/>
        <w:rPr>
          <w:rFonts w:asciiTheme="minorHAnsi" w:hAnsiTheme="minorHAnsi" w:cstheme="minorHAnsi"/>
          <w:sz w:val="22"/>
          <w:szCs w:val="22"/>
          <w:lang w:val="es-CO"/>
        </w:rPr>
      </w:pPr>
    </w:p>
    <w:p w14:paraId="3F475CB2"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En materia de reforma anticorrupción, la MACCIH-OEA preparó y dio seguimiento a varias propuestas de leyes que, de ser aprobadas, permitirán un mejor funcionamiento de las nuevas unidades especializadas, creadas bajo los auspicios de la MACCIH-OEA, tanto en el Ministerio Público como en el Poder Judicial, incluyendo el proyecto de Ley de Colaboración Eficaz, que el Poder Ejecutivo entregó al Congreso Nacional el 22 de abril de 2019, y el proyecto de reforma </w:t>
      </w:r>
      <w:r w:rsidRPr="00B62815">
        <w:rPr>
          <w:rFonts w:asciiTheme="minorHAnsi" w:hAnsiTheme="minorHAnsi" w:cstheme="minorHAnsi"/>
          <w:sz w:val="22"/>
          <w:szCs w:val="22"/>
          <w:lang w:val="es-CO"/>
        </w:rPr>
        <w:lastRenderedPageBreak/>
        <w:t>al Artículo 319 de la Constitución de la República para el establecimiento de garantías de los jueces y los magistrados. La MACCIH también presentó en agosto de 2019 un análisis del nuevo Código Penal hondureño (Decreto Legislativo No. 130-2017) que señala las disposiciones que, de entrar en vigencia tal cual están establecidas, afectarían las acciones de investigación y enjuiciamiento penal frente a delitos vinculados con la corrupción en el país.</w:t>
      </w:r>
    </w:p>
    <w:p w14:paraId="2FBBEC96" w14:textId="77777777" w:rsidR="00A323B1" w:rsidRPr="00B62815" w:rsidRDefault="00A323B1" w:rsidP="0082369F">
      <w:pPr>
        <w:pStyle w:val="ListParagraph"/>
        <w:ind w:left="360"/>
        <w:jc w:val="both"/>
        <w:rPr>
          <w:rFonts w:asciiTheme="minorHAnsi" w:hAnsiTheme="minorHAnsi" w:cstheme="minorHAnsi"/>
          <w:sz w:val="22"/>
          <w:szCs w:val="22"/>
          <w:lang w:val="es-CO"/>
        </w:rPr>
      </w:pPr>
    </w:p>
    <w:p w14:paraId="576FFAC0"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La MACCIH apoyó el fortalecimiento institucional de la UFECIC-MP y de la Procuraduría General de la República (PGR) mediante la implementación de un Diplomado Anticorrupción en colaboración con la Universidad Tecnológica Centroamericana (UNITEC) y la Escuela Fiscal. También se participó en un nuevo proceso de certificación, selección y nombramiento de fiscales, investigadores y analistas para ampliar la capacidad operativa de UFECIC-MP de acuerdo con el Mecanismo Interinstitucional de Cooperación Bilateral firmado entre el Ministerio Público y la SG/OEA. </w:t>
      </w:r>
    </w:p>
    <w:p w14:paraId="7DF383CB" w14:textId="77777777" w:rsidR="00A323B1" w:rsidRPr="00B62815" w:rsidRDefault="00A323B1" w:rsidP="0082369F">
      <w:pPr>
        <w:pStyle w:val="ListParagraph"/>
        <w:ind w:left="360"/>
        <w:jc w:val="both"/>
        <w:rPr>
          <w:rFonts w:asciiTheme="minorHAnsi" w:hAnsiTheme="minorHAnsi" w:cstheme="minorHAnsi"/>
          <w:sz w:val="22"/>
          <w:szCs w:val="22"/>
          <w:lang w:val="es-CO"/>
        </w:rPr>
      </w:pPr>
    </w:p>
    <w:p w14:paraId="0214001B"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Dando seguimiento a sus objetivos en materia de reforma del Sistema de Justicia Penal, la MACCIH presentó en marzo de 2019 el informe </w:t>
      </w:r>
      <w:r w:rsidRPr="00B62815">
        <w:rPr>
          <w:rFonts w:asciiTheme="minorHAnsi" w:hAnsiTheme="minorHAnsi" w:cstheme="minorHAnsi"/>
          <w:i/>
          <w:sz w:val="22"/>
          <w:szCs w:val="22"/>
          <w:lang w:val="es-CO"/>
        </w:rPr>
        <w:t>Propuestas para el sistema de justicia penal hondureño en el tratamiento y gestión de causas de alto impacto social y corrupción</w:t>
      </w:r>
      <w:r w:rsidRPr="00B62815">
        <w:rPr>
          <w:rFonts w:asciiTheme="minorHAnsi" w:hAnsiTheme="minorHAnsi" w:cstheme="minorHAnsi"/>
          <w:sz w:val="22"/>
          <w:szCs w:val="22"/>
          <w:lang w:val="es-CO"/>
        </w:rPr>
        <w:t xml:space="preserve">, elaborado por el Centro de Estudios de Justicia de las Américas (CEJA). </w:t>
      </w:r>
    </w:p>
    <w:p w14:paraId="5454BAF0" w14:textId="77777777" w:rsidR="00A323B1" w:rsidRPr="00B62815" w:rsidRDefault="00A323B1" w:rsidP="00A323B1">
      <w:pPr>
        <w:jc w:val="both"/>
        <w:rPr>
          <w:rFonts w:asciiTheme="minorHAnsi" w:hAnsiTheme="minorHAnsi" w:cstheme="minorHAnsi"/>
          <w:sz w:val="22"/>
          <w:szCs w:val="22"/>
          <w:lang w:val="es-CO"/>
        </w:rPr>
      </w:pPr>
    </w:p>
    <w:p w14:paraId="51946CB2"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El 10 de octubre de 2019 se realizó la primera Asamblea Nacional del Observatorio del Sistema de Justicia Penal (OSJP), dando lugar a la creación del Sistema Descentralizado de Observación y Seguimiento de la Justicia Penal con base en lo establecido en el Convenio de la MACCIH-OEA. La Asamblea Nacional fue la culminación</w:t>
      </w:r>
      <w:bookmarkStart w:id="30" w:name="_Toc22317300"/>
      <w:r w:rsidRPr="00B62815">
        <w:rPr>
          <w:rFonts w:asciiTheme="minorHAnsi" w:hAnsiTheme="minorHAnsi" w:cstheme="minorHAnsi"/>
          <w:sz w:val="22"/>
          <w:szCs w:val="22"/>
          <w:lang w:val="es-CO"/>
        </w:rPr>
        <w:t xml:space="preserve"> de las seis asambleas regionales llevadas a cabo entre julio y agosto con la participación de 267 organizaciones pertenecientes a 19 sectores de la sociedad civil y de la academia, y permitió la elección de los integrantes del Comité Ejecutivo Nacional y Comité Fiscalizador Nacional del OSJP. Adicionalmente, se lanzó una versión rediseñada y actualizada de la página web del Observatorio (</w:t>
      </w:r>
      <w:hyperlink r:id="rId46" w:history="1">
        <w:r w:rsidRPr="00B62815">
          <w:rPr>
            <w:rStyle w:val="Hyperlink"/>
            <w:rFonts w:asciiTheme="minorHAnsi" w:hAnsiTheme="minorHAnsi" w:cstheme="minorHAnsi"/>
            <w:sz w:val="22"/>
            <w:szCs w:val="22"/>
            <w:lang w:val="es-CO"/>
          </w:rPr>
          <w:t>www.observatoriohonduras.org</w:t>
        </w:r>
      </w:hyperlink>
      <w:r w:rsidRPr="00B62815">
        <w:rPr>
          <w:rFonts w:asciiTheme="minorHAnsi" w:hAnsiTheme="minorHAnsi" w:cstheme="minorHAnsi"/>
          <w:sz w:val="22"/>
          <w:szCs w:val="22"/>
          <w:lang w:val="es-CO"/>
        </w:rPr>
        <w:t>).</w:t>
      </w:r>
    </w:p>
    <w:bookmarkEnd w:id="30"/>
    <w:p w14:paraId="461ABB89" w14:textId="77777777" w:rsidR="00A323B1" w:rsidRPr="00B62815" w:rsidRDefault="00A323B1" w:rsidP="0082369F">
      <w:pPr>
        <w:ind w:left="360"/>
        <w:jc w:val="both"/>
        <w:rPr>
          <w:rFonts w:asciiTheme="minorHAnsi" w:hAnsiTheme="minorHAnsi" w:cstheme="minorHAnsi"/>
          <w:sz w:val="22"/>
          <w:szCs w:val="22"/>
          <w:lang w:val="es-CO"/>
        </w:rPr>
      </w:pPr>
    </w:p>
    <w:p w14:paraId="0A994C91"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En cumplimiento de sus objetivos en materia de seguridad pública, la MACCIH apoyó al Poder Judicial de Honduras en la implementación de la Unidad de Protección para funcionarios adscritos al Poder Judicial. La creación de la Unidad y su Reglamento de funcionamiento habían sido aprobados en 2018 por la Corte Suprema de Justicia siguiendo la propuesta de marco re</w:t>
      </w:r>
      <w:r w:rsidRPr="00B62815">
        <w:rPr>
          <w:rFonts w:asciiTheme="minorHAnsi" w:hAnsiTheme="minorHAnsi" w:cstheme="minorHAnsi"/>
          <w:sz w:val="22"/>
          <w:szCs w:val="22"/>
          <w:lang w:val="es-CO"/>
        </w:rPr>
        <w:lastRenderedPageBreak/>
        <w:t xml:space="preserve">gulatorio presentada por la MACCIH para el cumplimiento de la Ley de Protección de Defensores de Derechos Humanos, Periodistas, Comunicadores Sociales y Operadores de Justicia. Finalmente, se presentaron recomendaciones y se llevaron a cabo varias actividades para fortalecer la inclusión de un enfoque de género y de derechos humanos por parte de las instituciones del Sistema Nacional de Seguridad Ciudadana de Honduras. </w:t>
      </w:r>
    </w:p>
    <w:p w14:paraId="361B0954"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4641AD43" w14:textId="77777777" w:rsidR="00A323B1" w:rsidRPr="00B62815" w:rsidRDefault="00A323B1" w:rsidP="00A323B1">
      <w:pPr>
        <w:rPr>
          <w:rFonts w:asciiTheme="minorHAnsi" w:eastAsia="Batang" w:hAnsiTheme="minorHAnsi" w:cstheme="minorHAnsi"/>
          <w:sz w:val="22"/>
          <w:szCs w:val="22"/>
          <w:lang w:val="es-CO"/>
        </w:rPr>
      </w:pPr>
      <w:r w:rsidRPr="00B62815">
        <w:rPr>
          <w:rFonts w:asciiTheme="minorHAnsi" w:eastAsia="Batang" w:hAnsiTheme="minorHAnsi" w:cstheme="minorHAnsi"/>
          <w:sz w:val="22"/>
          <w:szCs w:val="22"/>
          <w:lang w:val="es-CO"/>
        </w:rPr>
        <w:t xml:space="preserve">Centro de Comunicaciones de la MACCIH: </w:t>
      </w:r>
      <w:hyperlink r:id="rId47" w:history="1">
        <w:r w:rsidRPr="00B62815">
          <w:rPr>
            <w:rStyle w:val="Hyperlink"/>
            <w:rFonts w:asciiTheme="minorHAnsi" w:eastAsia="Batang" w:hAnsiTheme="minorHAnsi" w:cstheme="minorHAnsi"/>
            <w:sz w:val="22"/>
            <w:szCs w:val="22"/>
            <w:lang w:val="es-CO"/>
          </w:rPr>
          <w:t>http://www.oas.org/es/sap/dsdme/maccih/new/comunicacion.asp</w:t>
        </w:r>
      </w:hyperlink>
      <w:r w:rsidRPr="00B62815">
        <w:rPr>
          <w:rFonts w:asciiTheme="minorHAnsi" w:eastAsia="Batang" w:hAnsiTheme="minorHAnsi" w:cstheme="minorHAnsi"/>
          <w:sz w:val="22"/>
          <w:szCs w:val="22"/>
          <w:lang w:val="es-CO"/>
        </w:rPr>
        <w:t xml:space="preserve">  </w:t>
      </w:r>
    </w:p>
    <w:p w14:paraId="60A0C3B2" w14:textId="77777777" w:rsidR="00A323B1" w:rsidRPr="00EB718B" w:rsidRDefault="00A323B1" w:rsidP="00A323B1">
      <w:pPr>
        <w:rPr>
          <w:rFonts w:asciiTheme="minorHAnsi" w:eastAsia="Calibri" w:hAnsiTheme="minorHAnsi" w:cstheme="minorHAnsi"/>
          <w:sz w:val="22"/>
          <w:szCs w:val="22"/>
          <w:lang w:val="pt-BR"/>
        </w:rPr>
      </w:pPr>
      <w:r w:rsidRPr="00EB718B">
        <w:rPr>
          <w:rFonts w:asciiTheme="minorHAnsi" w:hAnsiTheme="minorHAnsi" w:cstheme="minorHAnsi"/>
          <w:sz w:val="22"/>
          <w:szCs w:val="22"/>
          <w:lang w:val="pt-BR"/>
        </w:rPr>
        <w:t xml:space="preserve">Sexto Informe Semestral: </w:t>
      </w:r>
      <w:hyperlink r:id="rId48" w:history="1">
        <w:r w:rsidRPr="00EB718B">
          <w:rPr>
            <w:rStyle w:val="Hyperlink"/>
            <w:rFonts w:asciiTheme="minorHAnsi" w:hAnsiTheme="minorHAnsi" w:cstheme="minorHAnsi"/>
            <w:sz w:val="22"/>
            <w:szCs w:val="22"/>
            <w:lang w:val="pt-BR"/>
          </w:rPr>
          <w:t>http://www.oas.org/documents/spa/press/CP40861SSEXTOINFORMEMACCIH.pdf</w:t>
        </w:r>
      </w:hyperlink>
      <w:r w:rsidRPr="00EB718B">
        <w:rPr>
          <w:rFonts w:asciiTheme="minorHAnsi" w:hAnsiTheme="minorHAnsi" w:cstheme="minorHAnsi"/>
          <w:sz w:val="22"/>
          <w:szCs w:val="22"/>
          <w:lang w:val="pt-BR"/>
        </w:rPr>
        <w:t xml:space="preserve"> </w:t>
      </w:r>
    </w:p>
    <w:p w14:paraId="12807422" w14:textId="77777777" w:rsidR="00A323B1" w:rsidRPr="00573283" w:rsidRDefault="00A323B1" w:rsidP="00A323B1">
      <w:pPr>
        <w:pStyle w:val="NoSpacing"/>
        <w:rPr>
          <w:rFonts w:asciiTheme="minorHAnsi" w:hAnsiTheme="minorHAnsi" w:cstheme="minorHAnsi"/>
          <w:lang w:val="es-US"/>
        </w:rPr>
      </w:pPr>
      <w:r w:rsidRPr="00573283">
        <w:rPr>
          <w:rFonts w:asciiTheme="minorHAnsi" w:hAnsiTheme="minorHAnsi" w:cstheme="minorHAnsi"/>
          <w:lang w:val="es-US"/>
        </w:rPr>
        <w:t xml:space="preserve">Redes Sociales: </w:t>
      </w:r>
    </w:p>
    <w:p w14:paraId="64F4087A" w14:textId="77777777" w:rsidR="00A323B1" w:rsidRPr="00573283" w:rsidRDefault="00A323B1" w:rsidP="00A323B1">
      <w:pPr>
        <w:pStyle w:val="NoSpacing"/>
        <w:rPr>
          <w:rFonts w:asciiTheme="minorHAnsi" w:hAnsiTheme="minorHAnsi" w:cstheme="minorHAnsi"/>
          <w:lang w:val="es-US"/>
        </w:rPr>
      </w:pPr>
      <w:r w:rsidRPr="00573283">
        <w:rPr>
          <w:rFonts w:asciiTheme="minorHAnsi" w:hAnsiTheme="minorHAnsi" w:cstheme="minorHAnsi"/>
          <w:lang w:val="es-US"/>
        </w:rPr>
        <w:t xml:space="preserve">Twitter: @OEA_MACCIH </w:t>
      </w:r>
    </w:p>
    <w:p w14:paraId="00F61F25" w14:textId="77777777" w:rsidR="00A323B1" w:rsidRPr="00573283" w:rsidRDefault="00A323B1" w:rsidP="00A323B1">
      <w:pPr>
        <w:pStyle w:val="NoSpacing"/>
        <w:rPr>
          <w:rFonts w:asciiTheme="minorHAnsi" w:hAnsiTheme="minorHAnsi" w:cstheme="minorHAnsi"/>
          <w:lang w:val="es-US"/>
        </w:rPr>
      </w:pPr>
      <w:r w:rsidRPr="00573283">
        <w:rPr>
          <w:rFonts w:asciiTheme="minorHAnsi" w:hAnsiTheme="minorHAnsi" w:cstheme="minorHAnsi"/>
          <w:lang w:val="es-US"/>
        </w:rPr>
        <w:t xml:space="preserve"> </w:t>
      </w:r>
      <w:hyperlink r:id="rId49" w:history="1">
        <w:r w:rsidRPr="00573283">
          <w:rPr>
            <w:rStyle w:val="Hyperlink"/>
            <w:rFonts w:asciiTheme="minorHAnsi" w:hAnsiTheme="minorHAnsi" w:cstheme="minorHAnsi"/>
            <w:lang w:val="es-US"/>
          </w:rPr>
          <w:t>https://www.facebook.com/OEAMACCIH/</w:t>
        </w:r>
      </w:hyperlink>
    </w:p>
    <w:p w14:paraId="7D15745A" w14:textId="77777777" w:rsidR="00A323B1" w:rsidRPr="00573283" w:rsidRDefault="00A323B1" w:rsidP="00A323B1">
      <w:pPr>
        <w:pStyle w:val="NoSpacing"/>
        <w:rPr>
          <w:rFonts w:asciiTheme="minorHAnsi" w:hAnsiTheme="minorHAnsi" w:cstheme="minorHAnsi"/>
          <w:lang w:val="es-US"/>
        </w:rPr>
      </w:pPr>
    </w:p>
    <w:p w14:paraId="3B1D9D74" w14:textId="77777777" w:rsidR="00A323B1" w:rsidRPr="00573283" w:rsidRDefault="001C2CF3" w:rsidP="00A323B1">
      <w:pPr>
        <w:jc w:val="both"/>
        <w:rPr>
          <w:rFonts w:asciiTheme="minorHAnsi" w:hAnsiTheme="minorHAnsi" w:cstheme="minorHAnsi"/>
          <w:b/>
          <w:color w:val="595959"/>
          <w:sz w:val="22"/>
          <w:szCs w:val="22"/>
          <w:u w:val="single"/>
          <w:lang w:val="es-US"/>
        </w:rPr>
      </w:pPr>
      <w:r w:rsidRPr="00B62815">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26DB0A05" wp14:editId="3C1C1F1C">
                <wp:simplePos x="0" y="0"/>
                <wp:positionH relativeFrom="column">
                  <wp:posOffset>3380740</wp:posOffset>
                </wp:positionH>
                <wp:positionV relativeFrom="paragraph">
                  <wp:posOffset>152400</wp:posOffset>
                </wp:positionV>
                <wp:extent cx="2543175" cy="1819275"/>
                <wp:effectExtent l="0" t="0" r="3175"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A726E" w14:textId="77777777" w:rsidR="00B22AF2" w:rsidRDefault="00B22AF2" w:rsidP="00A323B1">
                            <w:r>
                              <w:rPr>
                                <w:noProof/>
                                <w:sz w:val="20"/>
                                <w:szCs w:val="20"/>
                              </w:rPr>
                              <w:drawing>
                                <wp:inline distT="0" distB="0" distL="0" distR="0" wp14:anchorId="51034BFE" wp14:editId="06872F09">
                                  <wp:extent cx="2811780" cy="187833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1780" cy="1878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6DB0A05" id="_x0000_s1027" type="#_x0000_t202" style="position:absolute;left:0;text-align:left;margin-left:266.2pt;margin-top:12pt;width:200.25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Jv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" stroked="f">
                <v:textbox>
                  <w:txbxContent>
                    <w:p w14:paraId="7E0A726E" w14:textId="77777777" w:rsidR="00B22AF2" w:rsidRDefault="00B22AF2" w:rsidP="00A323B1">
                      <w:r>
                        <w:rPr>
                          <w:noProof/>
                          <w:sz w:val="20"/>
                          <w:szCs w:val="20"/>
                        </w:rPr>
                        <w:drawing>
                          <wp:inline distT="0" distB="0" distL="0" distR="0" wp14:anchorId="51034BFE" wp14:editId="06872F09">
                            <wp:extent cx="2811780" cy="187833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1780" cy="1878330"/>
                                    </a:xfrm>
                                    <a:prstGeom prst="rect">
                                      <a:avLst/>
                                    </a:prstGeom>
                                    <a:noFill/>
                                    <a:ln>
                                      <a:noFill/>
                                    </a:ln>
                                  </pic:spPr>
                                </pic:pic>
                              </a:graphicData>
                            </a:graphic>
                          </wp:inline>
                        </w:drawing>
                      </w:r>
                    </w:p>
                  </w:txbxContent>
                </v:textbox>
              </v:shape>
            </w:pict>
          </mc:Fallback>
        </mc:AlternateContent>
      </w:r>
      <w:r w:rsidRPr="00B62815">
        <w:rPr>
          <w:rFonts w:asciiTheme="minorHAnsi" w:hAnsiTheme="minorHAnsi" w:cstheme="minorHAnsi"/>
          <w:noProof/>
          <w:sz w:val="22"/>
          <w:szCs w:val="22"/>
        </w:rPr>
        <w:drawing>
          <wp:anchor distT="0" distB="0" distL="114300" distR="114300" simplePos="0" relativeHeight="251658240" behindDoc="1" locked="0" layoutInCell="1" allowOverlap="1" wp14:anchorId="1DE23EFB" wp14:editId="0B96D371">
            <wp:simplePos x="0" y="0"/>
            <wp:positionH relativeFrom="column">
              <wp:posOffset>337185</wp:posOffset>
            </wp:positionH>
            <wp:positionV relativeFrom="paragraph">
              <wp:posOffset>200025</wp:posOffset>
            </wp:positionV>
            <wp:extent cx="2787015" cy="1714500"/>
            <wp:effectExtent l="0" t="0" r="0" b="0"/>
            <wp:wrapNone/>
            <wp:docPr id="128" name="Picture 9" descr="https://www.observatoriohonduras.org/sitio/wp-content/uploads/2019/08/WhatsApp-Image-2019-08-08-at-19.4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bservatoriohonduras.org/sitio/wp-content/uploads/2019/08/WhatsApp-Image-2019-08-08-at-19.40.19-1.jpe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787015" cy="1714500"/>
                    </a:xfrm>
                    <a:prstGeom prst="rect">
                      <a:avLst/>
                    </a:prstGeom>
                    <a:noFill/>
                  </pic:spPr>
                </pic:pic>
              </a:graphicData>
            </a:graphic>
            <wp14:sizeRelH relativeFrom="page">
              <wp14:pctWidth>0</wp14:pctWidth>
            </wp14:sizeRelH>
            <wp14:sizeRelV relativeFrom="page">
              <wp14:pctHeight>0</wp14:pctHeight>
            </wp14:sizeRelV>
          </wp:anchor>
        </w:drawing>
      </w:r>
    </w:p>
    <w:p w14:paraId="7A2E3AC9" w14:textId="77777777" w:rsidR="00A323B1" w:rsidRPr="00573283" w:rsidRDefault="00A323B1" w:rsidP="00A323B1">
      <w:pPr>
        <w:jc w:val="both"/>
        <w:rPr>
          <w:rFonts w:asciiTheme="minorHAnsi" w:hAnsiTheme="minorHAnsi" w:cstheme="minorHAnsi"/>
          <w:b/>
          <w:color w:val="595959"/>
          <w:sz w:val="22"/>
          <w:szCs w:val="22"/>
          <w:u w:val="single"/>
          <w:lang w:val="es-US"/>
        </w:rPr>
      </w:pPr>
    </w:p>
    <w:p w14:paraId="5A923471" w14:textId="77777777" w:rsidR="00A323B1" w:rsidRPr="00573283" w:rsidRDefault="00A323B1" w:rsidP="00A323B1">
      <w:pPr>
        <w:jc w:val="both"/>
        <w:rPr>
          <w:rFonts w:asciiTheme="minorHAnsi" w:hAnsiTheme="minorHAnsi" w:cstheme="minorHAnsi"/>
          <w:b/>
          <w:color w:val="595959"/>
          <w:sz w:val="22"/>
          <w:szCs w:val="22"/>
          <w:u w:val="single"/>
          <w:lang w:val="es-US"/>
        </w:rPr>
      </w:pPr>
    </w:p>
    <w:p w14:paraId="35F2C3F8" w14:textId="77777777" w:rsidR="00A323B1" w:rsidRPr="00573283" w:rsidRDefault="00A323B1" w:rsidP="00A323B1">
      <w:pPr>
        <w:jc w:val="both"/>
        <w:rPr>
          <w:rFonts w:asciiTheme="minorHAnsi" w:hAnsiTheme="minorHAnsi" w:cstheme="minorHAnsi"/>
          <w:b/>
          <w:color w:val="595959"/>
          <w:sz w:val="22"/>
          <w:szCs w:val="22"/>
          <w:u w:val="single"/>
          <w:lang w:val="es-US"/>
        </w:rPr>
      </w:pPr>
    </w:p>
    <w:p w14:paraId="3D54D0AB" w14:textId="77777777" w:rsidR="00A323B1" w:rsidRPr="00573283" w:rsidRDefault="00A323B1" w:rsidP="00A323B1">
      <w:pPr>
        <w:jc w:val="both"/>
        <w:rPr>
          <w:rFonts w:asciiTheme="minorHAnsi" w:hAnsiTheme="minorHAnsi" w:cstheme="minorHAnsi"/>
          <w:b/>
          <w:color w:val="595959"/>
          <w:sz w:val="22"/>
          <w:szCs w:val="22"/>
          <w:u w:val="single"/>
          <w:lang w:val="es-US"/>
        </w:rPr>
      </w:pPr>
    </w:p>
    <w:p w14:paraId="79D60636" w14:textId="77777777" w:rsidR="00A323B1" w:rsidRPr="00573283" w:rsidRDefault="00A323B1" w:rsidP="00A323B1">
      <w:pPr>
        <w:jc w:val="both"/>
        <w:rPr>
          <w:rFonts w:asciiTheme="minorHAnsi" w:hAnsiTheme="minorHAnsi" w:cstheme="minorHAnsi"/>
          <w:b/>
          <w:color w:val="595959"/>
          <w:sz w:val="22"/>
          <w:szCs w:val="22"/>
          <w:u w:val="single"/>
          <w:lang w:val="es-US"/>
        </w:rPr>
      </w:pPr>
    </w:p>
    <w:p w14:paraId="22B93A82" w14:textId="77777777" w:rsidR="00A323B1" w:rsidRPr="00573283" w:rsidRDefault="00A323B1" w:rsidP="00A323B1">
      <w:pPr>
        <w:jc w:val="both"/>
        <w:rPr>
          <w:rFonts w:asciiTheme="minorHAnsi" w:hAnsiTheme="minorHAnsi" w:cstheme="minorHAnsi"/>
          <w:b/>
          <w:color w:val="595959"/>
          <w:sz w:val="22"/>
          <w:szCs w:val="22"/>
          <w:u w:val="single"/>
          <w:lang w:val="es-US"/>
        </w:rPr>
      </w:pPr>
    </w:p>
    <w:p w14:paraId="37064E7D" w14:textId="77777777" w:rsidR="0082369F" w:rsidRPr="00573283" w:rsidRDefault="0082369F" w:rsidP="00F72E58">
      <w:pPr>
        <w:rPr>
          <w:rFonts w:asciiTheme="minorHAnsi" w:hAnsiTheme="minorHAnsi" w:cstheme="minorHAnsi"/>
          <w:b/>
          <w:sz w:val="22"/>
          <w:szCs w:val="22"/>
          <w:lang w:val="es-US"/>
        </w:rPr>
      </w:pPr>
    </w:p>
    <w:p w14:paraId="07FDF345" w14:textId="77777777" w:rsidR="00B12E1F" w:rsidRPr="00573283" w:rsidRDefault="00B12E1F" w:rsidP="00F72E58">
      <w:pPr>
        <w:rPr>
          <w:rFonts w:asciiTheme="minorHAnsi" w:hAnsiTheme="minorHAnsi" w:cstheme="minorHAnsi"/>
          <w:b/>
          <w:sz w:val="22"/>
          <w:szCs w:val="22"/>
          <w:lang w:val="es-US"/>
        </w:rPr>
      </w:pPr>
    </w:p>
    <w:p w14:paraId="346A5A16" w14:textId="77777777" w:rsidR="00B12E1F" w:rsidRPr="00573283" w:rsidRDefault="00B12E1F" w:rsidP="00F72E58">
      <w:pPr>
        <w:rPr>
          <w:rFonts w:asciiTheme="minorHAnsi" w:hAnsiTheme="minorHAnsi" w:cstheme="minorHAnsi"/>
          <w:b/>
          <w:sz w:val="22"/>
          <w:szCs w:val="22"/>
          <w:lang w:val="es-US"/>
        </w:rPr>
      </w:pPr>
    </w:p>
    <w:p w14:paraId="6F0EC46C" w14:textId="77777777" w:rsidR="00B12E1F" w:rsidRPr="00573283" w:rsidRDefault="00B12E1F" w:rsidP="00F72E58">
      <w:pPr>
        <w:rPr>
          <w:rFonts w:asciiTheme="minorHAnsi" w:hAnsiTheme="minorHAnsi" w:cstheme="minorHAnsi"/>
          <w:b/>
          <w:sz w:val="22"/>
          <w:szCs w:val="22"/>
          <w:lang w:val="es-US"/>
        </w:rPr>
      </w:pPr>
    </w:p>
    <w:p w14:paraId="2492598C" w14:textId="77777777" w:rsidR="00B12E1F" w:rsidRPr="00573283" w:rsidRDefault="00B12E1F" w:rsidP="00F72E58">
      <w:pPr>
        <w:rPr>
          <w:rFonts w:asciiTheme="minorHAnsi" w:hAnsiTheme="minorHAnsi" w:cstheme="minorHAnsi"/>
          <w:b/>
          <w:sz w:val="22"/>
          <w:szCs w:val="22"/>
          <w:lang w:val="es-US"/>
        </w:rPr>
      </w:pPr>
    </w:p>
    <w:p w14:paraId="1D822282" w14:textId="77777777" w:rsidR="00A323B1" w:rsidRPr="00B62815" w:rsidRDefault="00A323B1" w:rsidP="00F72E58">
      <w:pPr>
        <w:rPr>
          <w:rFonts w:asciiTheme="minorHAnsi" w:hAnsiTheme="minorHAnsi" w:cstheme="minorHAnsi"/>
          <w:b/>
          <w:sz w:val="22"/>
          <w:szCs w:val="22"/>
          <w:lang w:val="es-CO"/>
        </w:rPr>
      </w:pPr>
      <w:r w:rsidRPr="00B62815">
        <w:rPr>
          <w:rFonts w:asciiTheme="minorHAnsi" w:hAnsiTheme="minorHAnsi" w:cstheme="minorHAnsi"/>
          <w:b/>
          <w:sz w:val="22"/>
          <w:szCs w:val="22"/>
          <w:lang w:val="es-CO"/>
        </w:rPr>
        <w:t>Belice/Guatemala: Implementación de las Medidas de Fomento de Confianza</w:t>
      </w:r>
    </w:p>
    <w:p w14:paraId="2472961E" w14:textId="77777777" w:rsidR="00F72E58" w:rsidRPr="00B62815" w:rsidRDefault="00F72E58" w:rsidP="00F72E58">
      <w:pPr>
        <w:rPr>
          <w:rFonts w:asciiTheme="minorHAnsi" w:hAnsiTheme="minorHAnsi" w:cstheme="minorHAnsi"/>
          <w:sz w:val="22"/>
          <w:szCs w:val="22"/>
          <w:lang w:val="es-CO"/>
        </w:rPr>
      </w:pPr>
    </w:p>
    <w:p w14:paraId="5AF5BBE9" w14:textId="77777777" w:rsidR="00A323B1" w:rsidRPr="00B62815" w:rsidRDefault="00A323B1" w:rsidP="00F72E58">
      <w:pPr>
        <w:rPr>
          <w:rFonts w:asciiTheme="minorHAnsi" w:hAnsiTheme="minorHAnsi" w:cstheme="minorHAnsi"/>
          <w:color w:val="000000"/>
          <w:sz w:val="22"/>
          <w:szCs w:val="22"/>
          <w:lang w:val="es-CO"/>
        </w:rPr>
      </w:pPr>
      <w:r w:rsidRPr="00B62815">
        <w:rPr>
          <w:rFonts w:asciiTheme="minorHAnsi" w:hAnsiTheme="minorHAnsi" w:cstheme="minorHAnsi"/>
          <w:color w:val="000000"/>
          <w:sz w:val="22"/>
          <w:szCs w:val="22"/>
          <w:lang w:val="es-CO"/>
        </w:rPr>
        <w:t xml:space="preserve">La OEA brinda apoyo político y técnico en la búsqueda de una solución pacífica y definitiva al diferendo territorial, marítimo e insular entre Belice y Guatemala. </w:t>
      </w:r>
    </w:p>
    <w:p w14:paraId="2036D0A2" w14:textId="77777777" w:rsidR="00A323B1" w:rsidRPr="00B62815" w:rsidRDefault="00A323B1" w:rsidP="00A323B1">
      <w:pPr>
        <w:jc w:val="both"/>
        <w:rPr>
          <w:rFonts w:asciiTheme="minorHAnsi" w:eastAsia="Times New Roman" w:hAnsiTheme="minorHAnsi" w:cstheme="minorHAnsi"/>
          <w:sz w:val="22"/>
          <w:szCs w:val="22"/>
          <w:lang w:val="es-CO"/>
        </w:rPr>
      </w:pPr>
    </w:p>
    <w:p w14:paraId="71EE9B69" w14:textId="77777777" w:rsidR="00A323B1" w:rsidRPr="00B62815" w:rsidRDefault="00A323B1" w:rsidP="000A4A55">
      <w:pPr>
        <w:jc w:val="both"/>
        <w:rPr>
          <w:rFonts w:asciiTheme="minorHAnsi" w:eastAsia="Calibri" w:hAnsiTheme="minorHAnsi" w:cstheme="minorHAnsi"/>
          <w:sz w:val="22"/>
          <w:szCs w:val="22"/>
          <w:lang w:val="es-CO"/>
        </w:rPr>
      </w:pPr>
      <w:r w:rsidRPr="00B62815">
        <w:rPr>
          <w:rFonts w:asciiTheme="minorHAnsi" w:hAnsiTheme="minorHAnsi" w:cstheme="minorHAnsi"/>
          <w:sz w:val="22"/>
          <w:szCs w:val="22"/>
          <w:lang w:val="es-CO"/>
        </w:rPr>
        <w:t xml:space="preserve">Los gobiernos de Belice y Guatemala reafirmaron su voluntad política de cumplir con lo suscrito en el Acuerdo Especial de 2008 y resolver la disputa a través de la Corte Internacional de Justicia </w:t>
      </w:r>
      <w:r w:rsidRPr="00B62815">
        <w:rPr>
          <w:rFonts w:asciiTheme="minorHAnsi" w:hAnsiTheme="minorHAnsi" w:cstheme="minorHAnsi"/>
          <w:sz w:val="22"/>
          <w:szCs w:val="22"/>
          <w:lang w:val="es-CO"/>
        </w:rPr>
        <w:lastRenderedPageBreak/>
        <w:t>(CIJ). El 8 de mayo de 2019, Belice realizó su referéndum, en el cual el 53.38% de la población aprobó que cualquier reclamo territorial, marítimo o insular contra Belice debe ser resuelto por la CIJ. En Guatemala, la consulta popular tuvo lugar en abril de 2018 y resultó en un voto de "sí" por una abrumadora mayoría del 95% de la población que acordó enviar la disputa a la CIJ para una decisión final. La Misión apoyó actividades para promover la participación en el Referéndum en Belice, especialmente mediante campañas informativas sobre el proceso.</w:t>
      </w:r>
    </w:p>
    <w:p w14:paraId="69CCECB3" w14:textId="77777777" w:rsidR="00A323B1" w:rsidRPr="00B62815" w:rsidRDefault="00A323B1" w:rsidP="00A323B1">
      <w:pPr>
        <w:pStyle w:val="ListParagraph"/>
        <w:jc w:val="both"/>
        <w:rPr>
          <w:rFonts w:asciiTheme="minorHAnsi" w:hAnsiTheme="minorHAnsi" w:cstheme="minorHAnsi"/>
          <w:sz w:val="22"/>
          <w:szCs w:val="22"/>
          <w:lang w:val="es-CO"/>
        </w:rPr>
      </w:pPr>
    </w:p>
    <w:p w14:paraId="3607AD57" w14:textId="3E946BEF"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Con el fin de crear canales de cooperación para reducir las tensiones entre los funcionarios públicos de ambos países en la zona adyacente, la Oficina de la SG/OEA en la Zona de Adyacencia (OEA-ZA) organizó 28 reuniones de coordinación interinstitucional entre diferentes autoridades e instituciones de ambos países sobre seguimiento de acuerdos, seguridad, medio ambiente, turismo, entre otros.</w:t>
      </w:r>
      <w:r w:rsidR="000A4A55">
        <w:rPr>
          <w:rFonts w:asciiTheme="minorHAnsi" w:hAnsiTheme="minorHAnsi" w:cstheme="minorHAnsi"/>
          <w:sz w:val="22"/>
          <w:szCs w:val="22"/>
          <w:lang w:val="es-CO"/>
        </w:rPr>
        <w:t xml:space="preserve">  </w:t>
      </w:r>
      <w:r w:rsidRPr="00B62815">
        <w:rPr>
          <w:rFonts w:asciiTheme="minorHAnsi" w:hAnsiTheme="minorHAnsi" w:cstheme="minorHAnsi"/>
          <w:sz w:val="22"/>
          <w:szCs w:val="22"/>
          <w:lang w:val="es-CO"/>
        </w:rPr>
        <w:t xml:space="preserve">Entre enero y diciembre de 2019, la OEA-ZA recibió un total de 26 solicitudes de verificación, de las cuales 32.5% fueron por plantaciones y pasturas para ganado, 22.5% por construcciones y 20% por deforestación. De las 26 verificaciones el 5% fueron incidentes con detenciones. </w:t>
      </w:r>
    </w:p>
    <w:p w14:paraId="5F91AB96" w14:textId="77777777" w:rsidR="00A323B1" w:rsidRPr="00B62815" w:rsidRDefault="00A323B1" w:rsidP="00A323B1">
      <w:pPr>
        <w:pStyle w:val="ListParagraph"/>
        <w:jc w:val="both"/>
        <w:rPr>
          <w:rFonts w:asciiTheme="minorHAnsi" w:hAnsiTheme="minorHAnsi" w:cstheme="minorHAnsi"/>
          <w:sz w:val="22"/>
          <w:szCs w:val="22"/>
          <w:lang w:val="es-CO"/>
        </w:rPr>
      </w:pPr>
    </w:p>
    <w:p w14:paraId="7270702E"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Para reducir la tensión y promover un ambiente de colaboración entre el Ejército de Guatemala y las Fuerzas de Defensa de Belice en la ZA, la Misión realizó 18 reuniones entre sus oficiales (6 reuniones de altos mandos y 12 reuniones de mandos medios) para intercambiar información sobre el estado actual de seguridad en la Zona de Adyacencia, tener un desempeño más efectivo y eficiente al patrullar la Zona, así como una mayor comunicación entre las fuerzas armadas y los oficiales de seguridad.</w:t>
      </w:r>
    </w:p>
    <w:p w14:paraId="5E8C9AFB" w14:textId="77777777" w:rsidR="00A323B1" w:rsidRPr="00B62815" w:rsidRDefault="00A323B1" w:rsidP="00F72E58">
      <w:pPr>
        <w:ind w:left="360"/>
        <w:jc w:val="both"/>
        <w:rPr>
          <w:rFonts w:asciiTheme="minorHAnsi" w:hAnsiTheme="minorHAnsi" w:cstheme="minorHAnsi"/>
          <w:sz w:val="22"/>
          <w:szCs w:val="22"/>
          <w:lang w:val="es-CO"/>
        </w:rPr>
      </w:pPr>
    </w:p>
    <w:p w14:paraId="53227C34"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Para mejorar el sustento de las comunidades en la ZA, la Misión organizó acciones de ayuda humanitaria para familias e individuos afectados por el conflicto, en el que se entregaron materiales deportivos y se brindó asistencia sobre procedimientos migratorios.</w:t>
      </w:r>
    </w:p>
    <w:p w14:paraId="6D03BBBE" w14:textId="77777777" w:rsidR="00A323B1" w:rsidRPr="00B62815" w:rsidRDefault="00A323B1" w:rsidP="00F72E58">
      <w:pPr>
        <w:ind w:left="360"/>
        <w:jc w:val="both"/>
        <w:rPr>
          <w:rFonts w:asciiTheme="minorHAnsi" w:hAnsiTheme="minorHAnsi" w:cstheme="minorHAnsi"/>
          <w:sz w:val="22"/>
          <w:szCs w:val="22"/>
          <w:lang w:val="es-CO"/>
        </w:rPr>
      </w:pPr>
    </w:p>
    <w:p w14:paraId="43465498"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Durante este período la Misión continuó implementando el Programa de Cultura de Paz, para propiciar la confianza entre las comunidades, en 4 sedes (casa de la cultura de Melchor, Benque, El Arenal y OEA/ZA). A través de este programa se formaron 592 alumnos en programas de pintura, música, idiomas, madera, y entomología. </w:t>
      </w:r>
    </w:p>
    <w:p w14:paraId="7C282CB2" w14:textId="77777777" w:rsidR="00A323B1" w:rsidRPr="00B62815" w:rsidRDefault="00A323B1" w:rsidP="00F72E58">
      <w:pPr>
        <w:ind w:left="360"/>
        <w:jc w:val="both"/>
        <w:rPr>
          <w:rFonts w:asciiTheme="minorHAnsi" w:hAnsiTheme="minorHAnsi" w:cstheme="minorHAnsi"/>
          <w:sz w:val="22"/>
          <w:szCs w:val="22"/>
          <w:lang w:val="es-CO"/>
        </w:rPr>
      </w:pPr>
    </w:p>
    <w:p w14:paraId="2C47B4EE"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lastRenderedPageBreak/>
        <w:t>Durante el último trimestre de 2019, la Misión llevó a cabo un diagnóstico sobre la situación de las comunidades en la Zona de Adyacencia, para así desarrollar proyectos productivos que se adapten a las necesidades de estas comunidades. Este diagnóstico cubre varios aspectos, incluyendo: forma de vida, acceso a los servicios públicos (agua, electricidad, salud, entre otros), educación, actividades productivas que se llevan a cabo en las comunidades y una evaluación de las organizaciones gubernamentales o no gubernamentales e instituciones que trabajan en estos temas.</w:t>
      </w:r>
    </w:p>
    <w:p w14:paraId="55F4E97F" w14:textId="77777777" w:rsidR="00A323B1" w:rsidRPr="00B62815" w:rsidRDefault="00A323B1" w:rsidP="00F72E58">
      <w:pPr>
        <w:ind w:left="360"/>
        <w:jc w:val="both"/>
        <w:rPr>
          <w:rFonts w:asciiTheme="minorHAnsi" w:hAnsiTheme="minorHAnsi" w:cstheme="minorHAnsi"/>
          <w:sz w:val="22"/>
          <w:szCs w:val="22"/>
          <w:lang w:val="es-CO"/>
        </w:rPr>
      </w:pPr>
    </w:p>
    <w:p w14:paraId="2FAEA194"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Durante 2019, la oficina inició un proceso de sistematización de las verificaciones y del Programa de Cultura de Paz.  En 2019 se sistematizó la información de las verificaciones de 2011 a 2019. Asimismo, se ha automatizado la información sobre los diferentes cursos impartidos en 2019 del programa de Cultura de Paz. Esta información servirá para determinar el impacto del trabajo de la oficina en la AZ.</w:t>
      </w:r>
    </w:p>
    <w:p w14:paraId="59796895" w14:textId="77777777" w:rsidR="00A323B1" w:rsidRPr="00B62815" w:rsidRDefault="00A323B1" w:rsidP="00A323B1">
      <w:pPr>
        <w:pStyle w:val="NoSpacing"/>
        <w:rPr>
          <w:rFonts w:asciiTheme="minorHAnsi" w:hAnsiTheme="minorHAnsi" w:cstheme="minorHAnsi"/>
          <w:lang w:val="es-CO"/>
        </w:rPr>
      </w:pPr>
    </w:p>
    <w:p w14:paraId="21ADF05A" w14:textId="77777777" w:rsidR="00A323B1" w:rsidRPr="00B62815" w:rsidRDefault="00A323B1" w:rsidP="00A323B1">
      <w:pPr>
        <w:pStyle w:val="NoSpacing"/>
        <w:rPr>
          <w:rFonts w:asciiTheme="minorHAnsi" w:hAnsiTheme="minorHAnsi" w:cstheme="minorHAnsi"/>
          <w:lang w:val="es-CO"/>
        </w:rPr>
      </w:pPr>
      <w:r w:rsidRPr="00B62815">
        <w:rPr>
          <w:rFonts w:asciiTheme="minorHAnsi" w:hAnsiTheme="minorHAnsi" w:cstheme="minorHAnsi"/>
          <w:lang w:val="es-CO"/>
        </w:rPr>
        <w:t>Redes sociales:</w:t>
      </w:r>
    </w:p>
    <w:p w14:paraId="28EA6677" w14:textId="77777777" w:rsidR="00A323B1" w:rsidRPr="00B62815" w:rsidRDefault="00A323B1" w:rsidP="00A323B1">
      <w:pPr>
        <w:pStyle w:val="NoSpacing"/>
        <w:rPr>
          <w:rFonts w:asciiTheme="minorHAnsi" w:hAnsiTheme="minorHAnsi" w:cstheme="minorHAnsi"/>
          <w:lang w:val="es-CO"/>
        </w:rPr>
      </w:pPr>
      <w:r w:rsidRPr="00B62815">
        <w:rPr>
          <w:rFonts w:asciiTheme="minorHAnsi" w:hAnsiTheme="minorHAnsi" w:cstheme="minorHAnsi"/>
          <w:lang w:val="es-CO"/>
        </w:rPr>
        <w:t>Twitter: @OEA_BelizeGuate</w:t>
      </w:r>
    </w:p>
    <w:p w14:paraId="4369BECB" w14:textId="77777777" w:rsidR="00F72E58" w:rsidRPr="00B62815" w:rsidRDefault="00F72E58" w:rsidP="00A323B1">
      <w:pPr>
        <w:pStyle w:val="NoSpacing"/>
        <w:rPr>
          <w:rFonts w:asciiTheme="minorHAnsi" w:hAnsiTheme="minorHAnsi" w:cstheme="minorHAnsi"/>
          <w:lang w:val="es-CO"/>
        </w:rPr>
      </w:pPr>
    </w:p>
    <w:p w14:paraId="4AC94A3C" w14:textId="77777777" w:rsidR="00A323B1" w:rsidRPr="00B62815" w:rsidRDefault="001C2CF3" w:rsidP="00A323B1">
      <w:pPr>
        <w:jc w:val="center"/>
        <w:rPr>
          <w:rFonts w:asciiTheme="minorHAnsi" w:hAnsiTheme="minorHAnsi" w:cstheme="minorHAnsi"/>
          <w:sz w:val="22"/>
          <w:szCs w:val="22"/>
          <w:u w:val="single"/>
          <w:lang w:val="es-CO"/>
        </w:rPr>
      </w:pPr>
      <w:r w:rsidRPr="00B62815">
        <w:rPr>
          <w:rFonts w:asciiTheme="minorHAnsi" w:hAnsiTheme="minorHAnsi" w:cstheme="minorHAnsi"/>
          <w:noProof/>
          <w:sz w:val="22"/>
          <w:szCs w:val="22"/>
        </w:rPr>
        <w:drawing>
          <wp:anchor distT="0" distB="0" distL="114300" distR="114300" simplePos="0" relativeHeight="251662336" behindDoc="1" locked="0" layoutInCell="1" allowOverlap="1" wp14:anchorId="343A48A1" wp14:editId="3B011344">
            <wp:simplePos x="0" y="0"/>
            <wp:positionH relativeFrom="column">
              <wp:posOffset>1714500</wp:posOffset>
            </wp:positionH>
            <wp:positionV relativeFrom="paragraph">
              <wp:posOffset>123825</wp:posOffset>
            </wp:positionV>
            <wp:extent cx="3000375" cy="2026920"/>
            <wp:effectExtent l="0" t="0" r="0" b="0"/>
            <wp:wrapNone/>
            <wp:docPr id="130" name="Picture 14" descr="cid:image016.png@01D58B49.EF57C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16.png@01D58B49.EF57CD80"/>
                    <pic:cNvPicPr>
                      <a:picLocks noChangeAspect="1" noChangeArrowheads="1"/>
                    </pic:cNvPicPr>
                  </pic:nvPicPr>
                  <pic:blipFill>
                    <a:blip r:embed="rId53" r:link="rId54" cstate="screen">
                      <a:extLst>
                        <a:ext uri="{28A0092B-C50C-407E-A947-70E740481C1C}">
                          <a14:useLocalDpi xmlns:a14="http://schemas.microsoft.com/office/drawing/2010/main"/>
                        </a:ext>
                      </a:extLst>
                    </a:blip>
                    <a:srcRect/>
                    <a:stretch>
                      <a:fillRect/>
                    </a:stretch>
                  </pic:blipFill>
                  <pic:spPr bwMode="auto">
                    <a:xfrm>
                      <a:off x="0" y="0"/>
                      <a:ext cx="3000375" cy="2026920"/>
                    </a:xfrm>
                    <a:prstGeom prst="rect">
                      <a:avLst/>
                    </a:prstGeom>
                    <a:noFill/>
                  </pic:spPr>
                </pic:pic>
              </a:graphicData>
            </a:graphic>
            <wp14:sizeRelH relativeFrom="page">
              <wp14:pctWidth>0</wp14:pctWidth>
            </wp14:sizeRelH>
            <wp14:sizeRelV relativeFrom="page">
              <wp14:pctHeight>0</wp14:pctHeight>
            </wp14:sizeRelV>
          </wp:anchor>
        </w:drawing>
      </w:r>
    </w:p>
    <w:p w14:paraId="2731CD7E" w14:textId="77777777" w:rsidR="00A323B1" w:rsidRPr="00B62815" w:rsidRDefault="00A323B1" w:rsidP="00A323B1">
      <w:pPr>
        <w:jc w:val="center"/>
        <w:rPr>
          <w:rFonts w:asciiTheme="minorHAnsi" w:hAnsiTheme="minorHAnsi" w:cstheme="minorHAnsi"/>
          <w:b/>
          <w:sz w:val="22"/>
          <w:szCs w:val="22"/>
          <w:lang w:val="es-CO"/>
        </w:rPr>
      </w:pPr>
    </w:p>
    <w:p w14:paraId="3CA5319E" w14:textId="77777777" w:rsidR="00A323B1" w:rsidRPr="00B62815" w:rsidRDefault="00A323B1" w:rsidP="00A323B1">
      <w:pPr>
        <w:jc w:val="both"/>
        <w:rPr>
          <w:rFonts w:asciiTheme="minorHAnsi" w:hAnsiTheme="minorHAnsi" w:cstheme="minorHAnsi"/>
          <w:b/>
          <w:sz w:val="22"/>
          <w:szCs w:val="22"/>
          <w:lang w:val="es-CO"/>
        </w:rPr>
      </w:pPr>
    </w:p>
    <w:p w14:paraId="286D41E2" w14:textId="77777777" w:rsidR="00A323B1" w:rsidRPr="00B62815" w:rsidRDefault="00A323B1" w:rsidP="00A323B1">
      <w:pPr>
        <w:jc w:val="both"/>
        <w:rPr>
          <w:rFonts w:asciiTheme="minorHAnsi" w:hAnsiTheme="minorHAnsi" w:cstheme="minorHAnsi"/>
          <w:b/>
          <w:sz w:val="22"/>
          <w:szCs w:val="22"/>
          <w:lang w:val="es-CO"/>
        </w:rPr>
      </w:pPr>
    </w:p>
    <w:p w14:paraId="02853985" w14:textId="77777777" w:rsidR="00A323B1" w:rsidRPr="00B62815" w:rsidRDefault="00A323B1" w:rsidP="00A323B1">
      <w:pPr>
        <w:jc w:val="both"/>
        <w:rPr>
          <w:rFonts w:asciiTheme="minorHAnsi" w:hAnsiTheme="minorHAnsi" w:cstheme="minorHAnsi"/>
          <w:b/>
          <w:sz w:val="22"/>
          <w:szCs w:val="22"/>
          <w:lang w:val="es-CO"/>
        </w:rPr>
      </w:pPr>
    </w:p>
    <w:p w14:paraId="4BFC628E" w14:textId="77777777" w:rsidR="00A323B1" w:rsidRPr="00B62815" w:rsidRDefault="00A323B1" w:rsidP="00A323B1">
      <w:pPr>
        <w:jc w:val="both"/>
        <w:rPr>
          <w:rFonts w:asciiTheme="minorHAnsi" w:hAnsiTheme="minorHAnsi" w:cstheme="minorHAnsi"/>
          <w:b/>
          <w:sz w:val="22"/>
          <w:szCs w:val="22"/>
          <w:lang w:val="es-CO"/>
        </w:rPr>
      </w:pPr>
    </w:p>
    <w:p w14:paraId="2C5DC71E" w14:textId="77777777" w:rsidR="00A323B1" w:rsidRPr="00B62815" w:rsidRDefault="00A323B1" w:rsidP="00A323B1">
      <w:pPr>
        <w:jc w:val="both"/>
        <w:rPr>
          <w:rFonts w:asciiTheme="minorHAnsi" w:hAnsiTheme="minorHAnsi" w:cstheme="minorHAnsi"/>
          <w:b/>
          <w:sz w:val="22"/>
          <w:szCs w:val="22"/>
          <w:lang w:val="es-CO"/>
        </w:rPr>
      </w:pPr>
    </w:p>
    <w:p w14:paraId="24AC991A" w14:textId="77777777" w:rsidR="00A323B1" w:rsidRPr="00B62815" w:rsidRDefault="00A323B1" w:rsidP="00A323B1">
      <w:pPr>
        <w:jc w:val="both"/>
        <w:rPr>
          <w:rFonts w:asciiTheme="minorHAnsi" w:hAnsiTheme="minorHAnsi" w:cstheme="minorHAnsi"/>
          <w:b/>
          <w:sz w:val="22"/>
          <w:szCs w:val="22"/>
          <w:lang w:val="es-CO"/>
        </w:rPr>
      </w:pPr>
    </w:p>
    <w:p w14:paraId="0C7A2DB3" w14:textId="77777777" w:rsidR="00F72E58" w:rsidRPr="00B62815" w:rsidRDefault="00F72E58" w:rsidP="00A323B1">
      <w:pPr>
        <w:ind w:firstLine="360"/>
        <w:jc w:val="both"/>
        <w:rPr>
          <w:rFonts w:asciiTheme="minorHAnsi" w:hAnsiTheme="minorHAnsi" w:cstheme="minorHAnsi"/>
          <w:b/>
          <w:sz w:val="22"/>
          <w:szCs w:val="22"/>
          <w:lang w:val="es-CO"/>
        </w:rPr>
      </w:pPr>
    </w:p>
    <w:p w14:paraId="4637E8CB" w14:textId="77777777" w:rsidR="00F72E58" w:rsidRPr="00B62815" w:rsidRDefault="00F72E58" w:rsidP="00A323B1">
      <w:pPr>
        <w:ind w:firstLine="360"/>
        <w:jc w:val="both"/>
        <w:rPr>
          <w:rFonts w:asciiTheme="minorHAnsi" w:hAnsiTheme="minorHAnsi" w:cstheme="minorHAnsi"/>
          <w:b/>
          <w:sz w:val="22"/>
          <w:szCs w:val="22"/>
          <w:lang w:val="es-CO"/>
        </w:rPr>
      </w:pPr>
    </w:p>
    <w:p w14:paraId="69EA997F" w14:textId="77777777" w:rsidR="009A735C" w:rsidRPr="00B62815" w:rsidRDefault="009A735C" w:rsidP="0082369F">
      <w:pPr>
        <w:jc w:val="both"/>
        <w:rPr>
          <w:rFonts w:asciiTheme="minorHAnsi" w:hAnsiTheme="minorHAnsi" w:cstheme="minorHAnsi"/>
          <w:b/>
          <w:sz w:val="22"/>
          <w:szCs w:val="22"/>
          <w:lang w:val="es-CO"/>
        </w:rPr>
      </w:pPr>
    </w:p>
    <w:p w14:paraId="680F9099" w14:textId="77777777" w:rsidR="009A735C" w:rsidRPr="00B62815" w:rsidRDefault="009A735C" w:rsidP="0082369F">
      <w:pPr>
        <w:jc w:val="both"/>
        <w:rPr>
          <w:rFonts w:asciiTheme="minorHAnsi" w:hAnsiTheme="minorHAnsi" w:cstheme="minorHAnsi"/>
          <w:b/>
          <w:sz w:val="22"/>
          <w:szCs w:val="22"/>
          <w:lang w:val="es-CO"/>
        </w:rPr>
      </w:pPr>
    </w:p>
    <w:p w14:paraId="382B3A43" w14:textId="77777777" w:rsidR="009A735C" w:rsidRPr="00B62815" w:rsidRDefault="009A735C" w:rsidP="0082369F">
      <w:pPr>
        <w:jc w:val="both"/>
        <w:rPr>
          <w:rFonts w:asciiTheme="minorHAnsi" w:hAnsiTheme="minorHAnsi" w:cstheme="minorHAnsi"/>
          <w:b/>
          <w:sz w:val="22"/>
          <w:szCs w:val="22"/>
          <w:lang w:val="es-CO"/>
        </w:rPr>
      </w:pPr>
    </w:p>
    <w:p w14:paraId="3C529610" w14:textId="77777777" w:rsidR="000A4A55" w:rsidRDefault="000A4A55" w:rsidP="0082369F">
      <w:pPr>
        <w:jc w:val="both"/>
        <w:rPr>
          <w:rFonts w:asciiTheme="minorHAnsi" w:hAnsiTheme="minorHAnsi" w:cstheme="minorHAnsi"/>
          <w:b/>
          <w:sz w:val="22"/>
          <w:szCs w:val="22"/>
          <w:lang w:val="es-CO"/>
        </w:rPr>
      </w:pPr>
    </w:p>
    <w:p w14:paraId="6D66FFC4" w14:textId="5EFD73DC" w:rsidR="00A323B1" w:rsidRPr="00B62815" w:rsidRDefault="00A323B1" w:rsidP="0082369F">
      <w:pPr>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Programa Interamericano de Facilitadores Judiciales (PIFJ/OEA)</w:t>
      </w:r>
    </w:p>
    <w:p w14:paraId="236F03D5" w14:textId="77777777" w:rsidR="00F72E58" w:rsidRPr="00B62815" w:rsidRDefault="00F72E58" w:rsidP="0082369F">
      <w:pPr>
        <w:ind w:firstLine="360"/>
        <w:jc w:val="both"/>
        <w:rPr>
          <w:rFonts w:asciiTheme="minorHAnsi" w:hAnsiTheme="minorHAnsi" w:cstheme="minorHAnsi"/>
          <w:b/>
          <w:sz w:val="22"/>
          <w:szCs w:val="22"/>
          <w:lang w:val="es-CO"/>
        </w:rPr>
      </w:pPr>
    </w:p>
    <w:p w14:paraId="74F2BF25" w14:textId="77777777" w:rsidR="00A323B1" w:rsidRPr="00B62815" w:rsidRDefault="00A323B1" w:rsidP="0082369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lastRenderedPageBreak/>
        <w:t xml:space="preserve">En el marco de la línea estratégica número 3 de la Secretaría para el Fortalecimiento de la Democracia “Contribuir al fortalecimiento de las instituciones democráticas y promover diálogo inclusivo en el hemisferio”, el Programa Interamericano de Facilitadores Judiciales (PIFJ/OEA) ha contribuido al establecimiento del Servicio Nacional de Facilitadores Judiciales en Argentina (2011), Costa Rica (2013), El Salvador (2014), Guatemala (2010), Honduras (2012), Nicaragua (2003), Paraguay (2007) y Panamá (2008). Para finales de 2019, se cuentan alrededor de 13,000 personas facilitadoras judiciales en la región. </w:t>
      </w:r>
    </w:p>
    <w:p w14:paraId="1F9BD432" w14:textId="77777777" w:rsidR="00A323B1" w:rsidRPr="00B62815" w:rsidRDefault="00A323B1" w:rsidP="0082369F">
      <w:pPr>
        <w:jc w:val="both"/>
        <w:rPr>
          <w:rFonts w:asciiTheme="minorHAnsi" w:hAnsiTheme="minorHAnsi" w:cstheme="minorHAnsi"/>
          <w:sz w:val="22"/>
          <w:szCs w:val="22"/>
          <w:lang w:val="es-CO"/>
        </w:rPr>
      </w:pPr>
    </w:p>
    <w:p w14:paraId="38284F6A" w14:textId="77777777" w:rsidR="00A323B1" w:rsidRPr="00B62815" w:rsidRDefault="00A323B1" w:rsidP="0082369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Durante 2019, el PIFJ/OEA desarrolló diversos esfuerzos con el fin de contribuir a la institucionalización de los Servicios Nacionales de Facilitadores Judiciales en la región. En este sentido, es particularmente importante resaltar la elaboración de un estudio de diagnóstico sobre el estado del Servicio Nacional de Facilitadores Judiciales a nivel centroamericano y la organización del Primer Encuentro Interamericano del Servicio Nacional de Facilitadores Judiciales en San José Costa Rica para intercambio de buenas prácticas y lecciones aprendidas en la región. Es oportuno señalar que no todos los Servicios poseen las mismas características y mecanismos, ya que cada uno inició en tiempos distintos, con problemáticas y contextos propios y, por ende, el Servicio se ha desarrollado de manera diferente (si bien conservan algunos puntos comunes).</w:t>
      </w:r>
    </w:p>
    <w:p w14:paraId="7D7B79C2" w14:textId="77777777" w:rsidR="00A323B1" w:rsidRPr="00B62815" w:rsidRDefault="00A323B1" w:rsidP="0082369F">
      <w:pPr>
        <w:jc w:val="both"/>
        <w:rPr>
          <w:rFonts w:asciiTheme="minorHAnsi" w:hAnsiTheme="minorHAnsi" w:cstheme="minorHAnsi"/>
          <w:sz w:val="22"/>
          <w:szCs w:val="22"/>
          <w:lang w:val="es-CO"/>
        </w:rPr>
      </w:pPr>
    </w:p>
    <w:p w14:paraId="04FB0908" w14:textId="77777777" w:rsidR="00A323B1" w:rsidRPr="00B62815" w:rsidRDefault="00A323B1" w:rsidP="0082369F">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Redes Sociales:</w:t>
      </w:r>
    </w:p>
    <w:p w14:paraId="2D962DA2" w14:textId="77777777" w:rsidR="00A323B1" w:rsidRPr="00B62815" w:rsidRDefault="00573283" w:rsidP="0082369F">
      <w:pPr>
        <w:rPr>
          <w:rFonts w:asciiTheme="minorHAnsi" w:hAnsiTheme="minorHAnsi" w:cstheme="minorHAnsi"/>
          <w:sz w:val="22"/>
          <w:szCs w:val="22"/>
          <w:lang w:val="es-CO"/>
        </w:rPr>
      </w:pPr>
      <w:hyperlink r:id="rId55" w:history="1">
        <w:r w:rsidR="00A323B1" w:rsidRPr="00B62815">
          <w:rPr>
            <w:rStyle w:val="Hyperlink"/>
            <w:rFonts w:asciiTheme="minorHAnsi" w:hAnsiTheme="minorHAnsi" w:cstheme="minorHAnsi"/>
            <w:sz w:val="22"/>
            <w:szCs w:val="22"/>
            <w:lang w:val="es-CO"/>
          </w:rPr>
          <w:t>https://twitter.com/PIFJOEA</w:t>
        </w:r>
      </w:hyperlink>
    </w:p>
    <w:p w14:paraId="75615C64" w14:textId="77777777" w:rsidR="00A323B1" w:rsidRPr="00B62815" w:rsidRDefault="00573283" w:rsidP="0082369F">
      <w:pPr>
        <w:rPr>
          <w:rFonts w:asciiTheme="minorHAnsi" w:hAnsiTheme="minorHAnsi" w:cstheme="minorHAnsi"/>
          <w:sz w:val="22"/>
          <w:szCs w:val="22"/>
          <w:lang w:val="es-CO"/>
        </w:rPr>
      </w:pPr>
      <w:hyperlink r:id="rId56" w:history="1">
        <w:r w:rsidR="00A323B1" w:rsidRPr="00B62815">
          <w:rPr>
            <w:rStyle w:val="Hyperlink"/>
            <w:rFonts w:asciiTheme="minorHAnsi" w:hAnsiTheme="minorHAnsi" w:cstheme="minorHAnsi"/>
            <w:sz w:val="22"/>
            <w:szCs w:val="22"/>
            <w:lang w:val="es-CO"/>
          </w:rPr>
          <w:t>https://www.facebook.com/FacilitadoresJudicialesOEA/</w:t>
        </w:r>
      </w:hyperlink>
    </w:p>
    <w:p w14:paraId="33225F8A" w14:textId="77777777" w:rsidR="00A323B1" w:rsidRPr="00B62815" w:rsidRDefault="00A323B1" w:rsidP="0082369F">
      <w:pPr>
        <w:rPr>
          <w:rFonts w:asciiTheme="minorHAnsi" w:hAnsiTheme="minorHAnsi" w:cstheme="minorHAnsi"/>
          <w:sz w:val="22"/>
          <w:szCs w:val="22"/>
          <w:lang w:val="es-CO"/>
        </w:rPr>
      </w:pPr>
    </w:p>
    <w:p w14:paraId="48B80AAC" w14:textId="77777777" w:rsidR="00A323B1" w:rsidRPr="00B62815" w:rsidRDefault="001C2CF3" w:rsidP="00A323B1">
      <w:pPr>
        <w:rPr>
          <w:rFonts w:asciiTheme="minorHAnsi" w:hAnsiTheme="minorHAnsi" w:cstheme="minorHAnsi"/>
          <w:b/>
          <w:color w:val="595959"/>
          <w:sz w:val="22"/>
          <w:szCs w:val="22"/>
          <w:u w:val="single"/>
          <w:lang w:val="es-CO"/>
        </w:rPr>
      </w:pPr>
      <w:r w:rsidRPr="00B62815">
        <w:rPr>
          <w:rFonts w:asciiTheme="minorHAnsi" w:hAnsiTheme="minorHAnsi" w:cstheme="minorHAnsi"/>
          <w:noProof/>
          <w:sz w:val="22"/>
          <w:szCs w:val="22"/>
        </w:rPr>
        <w:drawing>
          <wp:anchor distT="0" distB="0" distL="114300" distR="114300" simplePos="0" relativeHeight="251664384" behindDoc="1" locked="0" layoutInCell="1" allowOverlap="1" wp14:anchorId="334CFC2F" wp14:editId="2B7360CE">
            <wp:simplePos x="0" y="0"/>
            <wp:positionH relativeFrom="margin">
              <wp:posOffset>1543050</wp:posOffset>
            </wp:positionH>
            <wp:positionV relativeFrom="paragraph">
              <wp:posOffset>188595</wp:posOffset>
            </wp:positionV>
            <wp:extent cx="3524250" cy="2642870"/>
            <wp:effectExtent l="0" t="0" r="0" b="0"/>
            <wp:wrapNone/>
            <wp:docPr id="131" name="Picture 8" descr="eade80cf-4d08-43b1-9d25-fc0ba5325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de80cf-4d08-43b1-9d25-fc0ba532597e"/>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524250" cy="2642870"/>
                    </a:xfrm>
                    <a:prstGeom prst="rect">
                      <a:avLst/>
                    </a:prstGeom>
                    <a:noFill/>
                  </pic:spPr>
                </pic:pic>
              </a:graphicData>
            </a:graphic>
            <wp14:sizeRelH relativeFrom="page">
              <wp14:pctWidth>0</wp14:pctWidth>
            </wp14:sizeRelH>
            <wp14:sizeRelV relativeFrom="page">
              <wp14:pctHeight>0</wp14:pctHeight>
            </wp14:sizeRelV>
          </wp:anchor>
        </w:drawing>
      </w:r>
    </w:p>
    <w:p w14:paraId="577E44A5"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221C57D1"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3461B9A7"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241C1582"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6471EDE6"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01C069F3"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4DAD3724"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09292BD6"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0B836D5D" w14:textId="77777777" w:rsidR="00A323B1" w:rsidRPr="00B62815" w:rsidRDefault="00A323B1" w:rsidP="00A323B1">
      <w:pPr>
        <w:jc w:val="both"/>
        <w:rPr>
          <w:rFonts w:asciiTheme="minorHAnsi" w:hAnsiTheme="minorHAnsi" w:cstheme="minorHAnsi"/>
          <w:b/>
          <w:color w:val="595959"/>
          <w:sz w:val="22"/>
          <w:szCs w:val="22"/>
          <w:u w:val="single"/>
          <w:lang w:val="es-CO"/>
        </w:rPr>
      </w:pPr>
    </w:p>
    <w:p w14:paraId="4C073A3D" w14:textId="77777777" w:rsidR="00F72E58" w:rsidRPr="00B62815" w:rsidRDefault="00F72E58" w:rsidP="00A323B1">
      <w:pPr>
        <w:ind w:firstLine="360"/>
        <w:jc w:val="both"/>
        <w:rPr>
          <w:rFonts w:asciiTheme="minorHAnsi" w:hAnsiTheme="minorHAnsi" w:cstheme="minorHAnsi"/>
          <w:b/>
          <w:sz w:val="22"/>
          <w:szCs w:val="22"/>
          <w:lang w:val="es-CO"/>
        </w:rPr>
      </w:pPr>
    </w:p>
    <w:p w14:paraId="4C520B81" w14:textId="77777777" w:rsidR="00F72E58" w:rsidRPr="00B62815" w:rsidRDefault="00F72E58" w:rsidP="00A323B1">
      <w:pPr>
        <w:ind w:firstLine="360"/>
        <w:jc w:val="both"/>
        <w:rPr>
          <w:rFonts w:asciiTheme="minorHAnsi" w:hAnsiTheme="minorHAnsi" w:cstheme="minorHAnsi"/>
          <w:b/>
          <w:sz w:val="22"/>
          <w:szCs w:val="22"/>
          <w:lang w:val="es-CO"/>
        </w:rPr>
      </w:pPr>
    </w:p>
    <w:p w14:paraId="0290296F" w14:textId="77777777" w:rsidR="00F72E58" w:rsidRPr="00B62815" w:rsidRDefault="00F72E58" w:rsidP="00A323B1">
      <w:pPr>
        <w:ind w:firstLine="360"/>
        <w:jc w:val="both"/>
        <w:rPr>
          <w:rFonts w:asciiTheme="minorHAnsi" w:hAnsiTheme="minorHAnsi" w:cstheme="minorHAnsi"/>
          <w:b/>
          <w:sz w:val="22"/>
          <w:szCs w:val="22"/>
          <w:lang w:val="es-CO"/>
        </w:rPr>
      </w:pPr>
    </w:p>
    <w:p w14:paraId="6F924B6E" w14:textId="77777777" w:rsidR="00F72E58" w:rsidRPr="00B62815" w:rsidRDefault="00F72E58" w:rsidP="00A323B1">
      <w:pPr>
        <w:ind w:firstLine="360"/>
        <w:jc w:val="both"/>
        <w:rPr>
          <w:rFonts w:asciiTheme="minorHAnsi" w:hAnsiTheme="minorHAnsi" w:cstheme="minorHAnsi"/>
          <w:b/>
          <w:sz w:val="22"/>
          <w:szCs w:val="22"/>
          <w:lang w:val="es-CO"/>
        </w:rPr>
      </w:pPr>
    </w:p>
    <w:p w14:paraId="5A64BF6F" w14:textId="77777777" w:rsidR="00F72E58" w:rsidRPr="00B62815" w:rsidRDefault="00F72E58" w:rsidP="00A323B1">
      <w:pPr>
        <w:ind w:firstLine="360"/>
        <w:jc w:val="both"/>
        <w:rPr>
          <w:rFonts w:asciiTheme="minorHAnsi" w:hAnsiTheme="minorHAnsi" w:cstheme="minorHAnsi"/>
          <w:b/>
          <w:sz w:val="22"/>
          <w:szCs w:val="22"/>
          <w:lang w:val="es-CO"/>
        </w:rPr>
      </w:pPr>
    </w:p>
    <w:p w14:paraId="6610FBA2" w14:textId="77777777" w:rsidR="00F72E58" w:rsidRPr="00B62815" w:rsidRDefault="00F72E58" w:rsidP="00A323B1">
      <w:pPr>
        <w:ind w:firstLine="360"/>
        <w:jc w:val="both"/>
        <w:rPr>
          <w:rFonts w:asciiTheme="minorHAnsi" w:hAnsiTheme="minorHAnsi" w:cstheme="minorHAnsi"/>
          <w:b/>
          <w:sz w:val="22"/>
          <w:szCs w:val="22"/>
          <w:lang w:val="es-CO"/>
        </w:rPr>
      </w:pPr>
    </w:p>
    <w:p w14:paraId="34926EC9" w14:textId="77777777" w:rsidR="00F72E58" w:rsidRPr="00B62815" w:rsidRDefault="00F72E58" w:rsidP="00A323B1">
      <w:pPr>
        <w:ind w:firstLine="360"/>
        <w:jc w:val="both"/>
        <w:rPr>
          <w:rFonts w:asciiTheme="minorHAnsi" w:hAnsiTheme="minorHAnsi" w:cstheme="minorHAnsi"/>
          <w:b/>
          <w:sz w:val="22"/>
          <w:szCs w:val="22"/>
          <w:lang w:val="es-CO"/>
        </w:rPr>
      </w:pPr>
    </w:p>
    <w:p w14:paraId="740C90EA" w14:textId="77777777" w:rsidR="000A4A55" w:rsidRDefault="000A4A55" w:rsidP="00F72E58">
      <w:pPr>
        <w:jc w:val="both"/>
        <w:rPr>
          <w:rFonts w:asciiTheme="minorHAnsi" w:hAnsiTheme="minorHAnsi" w:cstheme="minorHAnsi"/>
          <w:b/>
          <w:sz w:val="22"/>
          <w:szCs w:val="22"/>
          <w:lang w:val="es-CO"/>
        </w:rPr>
      </w:pPr>
    </w:p>
    <w:p w14:paraId="70B0F54D" w14:textId="4753C72B" w:rsidR="00A323B1" w:rsidRPr="00B62815" w:rsidRDefault="00A323B1" w:rsidP="00F72E58">
      <w:pPr>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Portafolio de proyectos en Haití</w:t>
      </w:r>
    </w:p>
    <w:p w14:paraId="4FBF7479" w14:textId="77777777" w:rsidR="00F72E58" w:rsidRPr="00B62815" w:rsidRDefault="00F72E58" w:rsidP="00F72E58">
      <w:pPr>
        <w:jc w:val="both"/>
        <w:rPr>
          <w:rFonts w:asciiTheme="minorHAnsi" w:hAnsiTheme="minorHAnsi" w:cstheme="minorHAnsi"/>
          <w:sz w:val="22"/>
          <w:szCs w:val="22"/>
          <w:lang w:val="es-CO"/>
        </w:rPr>
      </w:pPr>
    </w:p>
    <w:p w14:paraId="7EE41634" w14:textId="77777777" w:rsidR="00A323B1" w:rsidRPr="00B62815" w:rsidRDefault="00A323B1" w:rsidP="00F72E58">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El DSDME y la Oficina de la OEA en Haití han promovido una serie de proyectos destinados a la creación de una agenda para el fortalecimiento de las instituciones haitianas y de la democracia.</w:t>
      </w:r>
    </w:p>
    <w:p w14:paraId="0F34B757" w14:textId="77777777" w:rsidR="00A323B1" w:rsidRPr="00B62815" w:rsidRDefault="00A323B1" w:rsidP="00F72E58">
      <w:pPr>
        <w:jc w:val="both"/>
        <w:rPr>
          <w:rFonts w:asciiTheme="minorHAnsi" w:hAnsiTheme="minorHAnsi" w:cstheme="minorHAnsi"/>
          <w:sz w:val="22"/>
          <w:szCs w:val="22"/>
          <w:lang w:val="es-CO"/>
        </w:rPr>
      </w:pPr>
    </w:p>
    <w:p w14:paraId="746A2E30"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u w:val="single"/>
          <w:lang w:val="es-CO"/>
        </w:rPr>
        <w:t>Fondo de Pequeños Subsidios</w:t>
      </w:r>
      <w:r w:rsidRPr="00B62815">
        <w:rPr>
          <w:rFonts w:asciiTheme="minorHAnsi" w:hAnsiTheme="minorHAnsi" w:cstheme="minorHAnsi"/>
          <w:sz w:val="22"/>
          <w:szCs w:val="22"/>
          <w:lang w:val="es-CO"/>
        </w:rPr>
        <w:t>: la OEA unió esfuerzos con la Fundación Panamericana para el desarrollo (FUPAD) para apoyar a las organizaciones locales en Haití con donaciones y asistencia técnica en pro de desarrollar su capacidad en abordar desafíos clave en materia de desarrollo. La primera actividad bajo el Fondo de Pequeños Subsidios es el Fondo de Subsidios de Reforestación, que tiene como objetivo proteger los ecosistemas en las comunidades alrededor de las reservas forestales clave de Haití. Entre los principales logros alcanzados al finalizar 2019, se encuentran: 11 instituciones con capacidad mejorada para abordar problemas del paisaje sostenible; $127.980 USD en inversiones movilizadas para paisajes sostenibles; y 188,14 hectáreas de tierra bajo cubierta forestal, agroforestal y vegetal perenne.</w:t>
      </w:r>
    </w:p>
    <w:p w14:paraId="287AE060" w14:textId="77777777" w:rsidR="00A323B1" w:rsidRPr="00B62815" w:rsidRDefault="00A323B1" w:rsidP="00F72E58">
      <w:pPr>
        <w:ind w:left="360"/>
        <w:jc w:val="both"/>
        <w:rPr>
          <w:rFonts w:asciiTheme="minorHAnsi" w:hAnsiTheme="minorHAnsi" w:cstheme="minorHAnsi"/>
          <w:sz w:val="22"/>
          <w:szCs w:val="22"/>
          <w:lang w:val="es-CO"/>
        </w:rPr>
      </w:pPr>
    </w:p>
    <w:p w14:paraId="0CFE7CF3"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u w:val="single"/>
          <w:lang w:val="es-CO"/>
        </w:rPr>
        <w:t>Desarrollo impulsado por la comunidad</w:t>
      </w:r>
      <w:r w:rsidRPr="00B62815">
        <w:rPr>
          <w:rFonts w:asciiTheme="minorHAnsi" w:hAnsiTheme="minorHAnsi" w:cstheme="minorHAnsi"/>
          <w:sz w:val="22"/>
          <w:szCs w:val="22"/>
          <w:lang w:val="es-CO"/>
        </w:rPr>
        <w:t xml:space="preserve">: la OEA unió esfuerzos con FUPAD para aumentar la participación ciudadana en la planificación y toma de decisiones del gobierno local y mejorar la prestación pública de servicios como agua limpia, saneamiento y educación.  Esta iniciativa se implementará en 15 comunas alrededor del país. En 2019 se crearon de aproximadamente 2.000 empleos a través de actividades de este proyecto. </w:t>
      </w:r>
    </w:p>
    <w:p w14:paraId="1A0C20FD" w14:textId="77777777" w:rsidR="00A323B1" w:rsidRPr="00B62815" w:rsidRDefault="00A323B1" w:rsidP="00F72E58">
      <w:pPr>
        <w:ind w:left="360"/>
        <w:jc w:val="both"/>
        <w:rPr>
          <w:rFonts w:asciiTheme="minorHAnsi" w:hAnsiTheme="minorHAnsi" w:cstheme="minorHAnsi"/>
          <w:sz w:val="22"/>
          <w:szCs w:val="22"/>
          <w:lang w:val="es-CO"/>
        </w:rPr>
      </w:pPr>
    </w:p>
    <w:p w14:paraId="5E5A51EA" w14:textId="77777777" w:rsidR="00A323B1" w:rsidRPr="00B62815" w:rsidRDefault="00A323B1" w:rsidP="000A4A55">
      <w:pPr>
        <w:jc w:val="both"/>
        <w:rPr>
          <w:rFonts w:asciiTheme="minorHAnsi" w:hAnsiTheme="minorHAnsi" w:cstheme="minorHAnsi"/>
          <w:sz w:val="22"/>
          <w:szCs w:val="22"/>
          <w:lang w:val="es-CO"/>
        </w:rPr>
      </w:pPr>
      <w:r w:rsidRPr="00B62815">
        <w:rPr>
          <w:rFonts w:asciiTheme="minorHAnsi" w:hAnsiTheme="minorHAnsi" w:cstheme="minorHAnsi"/>
          <w:sz w:val="22"/>
          <w:szCs w:val="22"/>
          <w:u w:val="single"/>
          <w:lang w:val="es-CO"/>
        </w:rPr>
        <w:t>Fortalecimiento institucional para apoyar la lucha contra la corrupción en Haití</w:t>
      </w:r>
      <w:r w:rsidRPr="00B62815">
        <w:rPr>
          <w:rFonts w:asciiTheme="minorHAnsi" w:hAnsiTheme="minorHAnsi" w:cstheme="minorHAnsi"/>
          <w:sz w:val="22"/>
          <w:szCs w:val="22"/>
          <w:lang w:val="es-CO"/>
        </w:rPr>
        <w:t xml:space="preserve">: tras la solicitud del Gobierno de Haití de recibir apoyo para el establecimiento de infraestructura anticorrupción en Haití, la SG/OEA desarrolló durante 2019 un proyecto que será implementado conjuntamente con las instituciones haitianas para establecer equipos integrados de investigación en materia de delitos de corrupción. Dentro del sistema anticorrupción destacan los siguientes </w:t>
      </w:r>
      <w:r w:rsidRPr="00B62815">
        <w:rPr>
          <w:rFonts w:asciiTheme="minorHAnsi" w:hAnsiTheme="minorHAnsi" w:cstheme="minorHAnsi"/>
          <w:sz w:val="22"/>
          <w:szCs w:val="22"/>
          <w:lang w:val="es-CO"/>
        </w:rPr>
        <w:lastRenderedPageBreak/>
        <w:t>objetivos: revisar la legislación nacional para garantizar que brinde los medios suficientes para luchar contra la corrupción, promover la participación de las organizaciones de la sociedad civil en asuntos anticorrupción y mejorar las capacidades de las autoridades nacionales para gestionar la ayuda humanitaria de acuerdo con los protocolos anticorrupción al incorporar la gestión del riesgo de corrupción en las estrategias de preparación para emergencias.</w:t>
      </w:r>
    </w:p>
    <w:p w14:paraId="4A056D33" w14:textId="77777777" w:rsidR="00A323B1" w:rsidRPr="00B62815" w:rsidRDefault="00A323B1" w:rsidP="00F72E58">
      <w:pPr>
        <w:ind w:left="360"/>
        <w:jc w:val="both"/>
        <w:rPr>
          <w:rFonts w:asciiTheme="minorHAnsi" w:hAnsiTheme="minorHAnsi" w:cstheme="minorHAnsi"/>
          <w:sz w:val="22"/>
          <w:szCs w:val="22"/>
          <w:lang w:val="es-CO"/>
        </w:rPr>
      </w:pPr>
    </w:p>
    <w:p w14:paraId="4D3B2CA5" w14:textId="77777777" w:rsidR="00A323B1" w:rsidRPr="00B62815" w:rsidRDefault="00A323B1" w:rsidP="00F72E58">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Redes sociales: </w:t>
      </w:r>
    </w:p>
    <w:p w14:paraId="722C9E17" w14:textId="77777777" w:rsidR="00A323B1" w:rsidRPr="00B62815" w:rsidRDefault="00573283" w:rsidP="00F72E58">
      <w:pPr>
        <w:jc w:val="both"/>
        <w:rPr>
          <w:rFonts w:asciiTheme="minorHAnsi" w:hAnsiTheme="minorHAnsi" w:cstheme="minorHAnsi"/>
          <w:sz w:val="22"/>
          <w:szCs w:val="22"/>
          <w:lang w:val="es-PE"/>
        </w:rPr>
      </w:pPr>
      <w:hyperlink r:id="rId58" w:history="1">
        <w:r w:rsidR="00A323B1" w:rsidRPr="00B62815">
          <w:rPr>
            <w:rStyle w:val="Hyperlink"/>
            <w:rFonts w:asciiTheme="minorHAnsi" w:hAnsiTheme="minorHAnsi" w:cstheme="minorHAnsi"/>
            <w:sz w:val="22"/>
            <w:szCs w:val="22"/>
            <w:lang w:val="es-CO"/>
          </w:rPr>
          <w:t>https://twitter.com/OEAHaiti</w:t>
        </w:r>
      </w:hyperlink>
    </w:p>
    <w:p w14:paraId="34B9C4A1" w14:textId="77777777" w:rsidR="00F72E58" w:rsidRPr="00B62815" w:rsidRDefault="00F72E58" w:rsidP="00F72E58">
      <w:pPr>
        <w:jc w:val="both"/>
        <w:rPr>
          <w:rStyle w:val="Hyperlink"/>
          <w:rFonts w:asciiTheme="minorHAnsi" w:hAnsiTheme="minorHAnsi" w:cstheme="minorHAnsi"/>
          <w:sz w:val="22"/>
          <w:szCs w:val="22"/>
          <w:lang w:val="es-US"/>
        </w:rPr>
      </w:pPr>
    </w:p>
    <w:p w14:paraId="55B91A18" w14:textId="77777777" w:rsidR="00A323B1" w:rsidRPr="00B62815" w:rsidRDefault="00A323B1" w:rsidP="00A323B1">
      <w:pPr>
        <w:pStyle w:val="NoSpacing"/>
        <w:rPr>
          <w:rFonts w:asciiTheme="minorHAnsi" w:hAnsiTheme="minorHAnsi" w:cstheme="minorHAnsi"/>
          <w:lang w:val="es-US"/>
        </w:rPr>
      </w:pPr>
    </w:p>
    <w:p w14:paraId="392B011B" w14:textId="77777777" w:rsidR="00A323B1" w:rsidRPr="00B62815" w:rsidRDefault="00A323B1" w:rsidP="00F72E58">
      <w:pPr>
        <w:jc w:val="both"/>
        <w:rPr>
          <w:rFonts w:asciiTheme="minorHAnsi" w:hAnsiTheme="minorHAnsi" w:cstheme="minorHAnsi"/>
          <w:b/>
          <w:sz w:val="22"/>
          <w:szCs w:val="22"/>
          <w:lang w:val="es-CO"/>
        </w:rPr>
      </w:pPr>
      <w:r w:rsidRPr="00B62815">
        <w:rPr>
          <w:rFonts w:asciiTheme="minorHAnsi" w:hAnsiTheme="minorHAnsi" w:cstheme="minorHAnsi"/>
          <w:b/>
          <w:sz w:val="22"/>
          <w:szCs w:val="22"/>
          <w:lang w:val="es-CO"/>
        </w:rPr>
        <w:t>Misión de Apoyo al Proceso de Paz en Colombia (MAPP/OEA)</w:t>
      </w:r>
    </w:p>
    <w:p w14:paraId="41D64259" w14:textId="77777777" w:rsidR="00F72E58" w:rsidRPr="00B62815" w:rsidRDefault="00F72E58" w:rsidP="00F72E58">
      <w:pPr>
        <w:jc w:val="both"/>
        <w:rPr>
          <w:rFonts w:asciiTheme="minorHAnsi" w:hAnsiTheme="minorHAnsi" w:cstheme="minorHAnsi"/>
          <w:sz w:val="22"/>
          <w:szCs w:val="22"/>
          <w:lang w:val="es-CO"/>
        </w:rPr>
      </w:pPr>
    </w:p>
    <w:p w14:paraId="53BC2C7E" w14:textId="77777777" w:rsidR="00A323B1" w:rsidRPr="00B62815" w:rsidRDefault="00A323B1" w:rsidP="00F72E58">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Durante 2019 la MAPP/OEA conmemoró los 15 años de su creación para lo cual realizó diversas actividades como el evento paralelo al 49 período ordinario de sesiones de la Asamblea General de la OEA que se llevó a cabo en Medellín en julio de 2019; la semana de la MAPP/OEA en la Biblioteca Colón de la Secretaría General en la sede de la OEA en Washington, y otros eventos de carácter regional. </w:t>
      </w:r>
    </w:p>
    <w:p w14:paraId="7503C7A5" w14:textId="77777777" w:rsidR="00A323B1" w:rsidRPr="00B62815" w:rsidRDefault="00A323B1" w:rsidP="00F72E58">
      <w:pPr>
        <w:jc w:val="both"/>
        <w:rPr>
          <w:rFonts w:asciiTheme="minorHAnsi" w:hAnsiTheme="minorHAnsi" w:cstheme="minorHAnsi"/>
          <w:sz w:val="22"/>
          <w:szCs w:val="22"/>
          <w:lang w:val="es-CO"/>
        </w:rPr>
      </w:pPr>
    </w:p>
    <w:p w14:paraId="2D0EF808" w14:textId="77777777" w:rsidR="00A323B1" w:rsidRPr="00B62815" w:rsidRDefault="00A323B1" w:rsidP="00F72E58">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Con el fin de adaptarse a las necesidades del proceso de paz, la MAPP/OEA abrió dos nuevas oficinas regionales en Caucasia y en Ocaña y mantuvo un equipo móvil en Bogotá. Así mismo, creo el área de fortalecimiento de capacidades que se encargará de mejorar las capacidades de actores clave de la institucionalidad estatal y de la sociedad civil para el diálogo, la negociación, la transformación de conflictos sociales y la construcción de consensos.</w:t>
      </w:r>
    </w:p>
    <w:p w14:paraId="324E24BF" w14:textId="77777777" w:rsidR="00A323B1" w:rsidRPr="00B62815" w:rsidRDefault="00A323B1" w:rsidP="00F72E58">
      <w:pPr>
        <w:jc w:val="both"/>
        <w:rPr>
          <w:rFonts w:asciiTheme="minorHAnsi" w:hAnsiTheme="minorHAnsi" w:cstheme="minorHAnsi"/>
          <w:sz w:val="22"/>
          <w:szCs w:val="22"/>
          <w:lang w:val="es-CO"/>
        </w:rPr>
      </w:pPr>
    </w:p>
    <w:p w14:paraId="7AE4850E" w14:textId="77777777" w:rsidR="00A323B1" w:rsidRPr="00B62815" w:rsidRDefault="00A323B1" w:rsidP="00F72E58">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En 2019 la MAPP/OEA realizó 2.721 misiones a terreno, aumentando levemente las misiones de monitoreo frente a las misiones de acompañamiento y otorgando especial importancia al monitoreo de las ciudades fronterizas, cabeceras municipales de frontera, particularmente aquellos pasos de tránsito migratorio terrestres y fluviales, tanto formales como no formales. </w:t>
      </w:r>
    </w:p>
    <w:p w14:paraId="2BD169D7" w14:textId="77777777" w:rsidR="00A323B1" w:rsidRPr="00B62815" w:rsidRDefault="00A323B1" w:rsidP="00F72E58">
      <w:pPr>
        <w:jc w:val="both"/>
        <w:rPr>
          <w:rFonts w:asciiTheme="minorHAnsi" w:hAnsiTheme="minorHAnsi" w:cstheme="minorHAnsi"/>
          <w:sz w:val="22"/>
          <w:szCs w:val="22"/>
          <w:lang w:val="es-CO"/>
        </w:rPr>
      </w:pPr>
    </w:p>
    <w:p w14:paraId="1BD62B68" w14:textId="77777777" w:rsidR="00A323B1" w:rsidRPr="00B62815" w:rsidRDefault="00A323B1" w:rsidP="00F72E58">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La MAPP/OEA mantuvo su relevancia en la generación de incidencia a favor del proceso de paz, gracias al modelo de gestión cercano con la institucionalidad y la sociedad civil, que permite estrechar lazos y tender puentes entre estos y fortalecer procesos de participación de toma de decisiones.</w:t>
      </w:r>
    </w:p>
    <w:p w14:paraId="024C0782" w14:textId="77777777" w:rsidR="00A323B1" w:rsidRPr="00B62815" w:rsidRDefault="00A323B1" w:rsidP="00F72E58">
      <w:pPr>
        <w:jc w:val="both"/>
        <w:rPr>
          <w:rFonts w:asciiTheme="minorHAnsi" w:hAnsiTheme="minorHAnsi" w:cstheme="minorHAnsi"/>
          <w:sz w:val="22"/>
          <w:szCs w:val="22"/>
          <w:lang w:val="es-CO"/>
        </w:rPr>
      </w:pPr>
    </w:p>
    <w:p w14:paraId="39C8A7B8" w14:textId="77777777" w:rsidR="00A323B1" w:rsidRPr="00B62815" w:rsidRDefault="00A323B1" w:rsidP="00F72E58">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 xml:space="preserve">Redes Sociales: </w:t>
      </w:r>
    </w:p>
    <w:p w14:paraId="61D71F1A" w14:textId="77777777" w:rsidR="00A323B1" w:rsidRPr="00B62815" w:rsidRDefault="00573283" w:rsidP="00F72E58">
      <w:pPr>
        <w:jc w:val="both"/>
        <w:rPr>
          <w:rFonts w:asciiTheme="minorHAnsi" w:hAnsiTheme="minorHAnsi" w:cstheme="minorHAnsi"/>
          <w:sz w:val="22"/>
          <w:szCs w:val="22"/>
          <w:lang w:val="es-CO"/>
        </w:rPr>
      </w:pPr>
      <w:hyperlink r:id="rId59" w:history="1">
        <w:r w:rsidR="00A323B1" w:rsidRPr="00B62815">
          <w:rPr>
            <w:rStyle w:val="Hyperlink"/>
            <w:rFonts w:asciiTheme="minorHAnsi" w:hAnsiTheme="minorHAnsi" w:cstheme="minorHAnsi"/>
            <w:sz w:val="22"/>
            <w:szCs w:val="22"/>
            <w:lang w:val="es-CO"/>
          </w:rPr>
          <w:t>https://twitter.com/MAPPOEA</w:t>
        </w:r>
      </w:hyperlink>
    </w:p>
    <w:p w14:paraId="14D11073" w14:textId="77777777" w:rsidR="00A323B1" w:rsidRPr="00B62815" w:rsidRDefault="00573283" w:rsidP="00F72E58">
      <w:pPr>
        <w:jc w:val="both"/>
        <w:rPr>
          <w:rFonts w:asciiTheme="minorHAnsi" w:hAnsiTheme="minorHAnsi" w:cstheme="minorHAnsi"/>
          <w:sz w:val="22"/>
          <w:szCs w:val="22"/>
          <w:lang w:val="es-CO"/>
        </w:rPr>
      </w:pPr>
      <w:hyperlink r:id="rId60" w:history="1">
        <w:r w:rsidR="00A323B1" w:rsidRPr="00B62815">
          <w:rPr>
            <w:rStyle w:val="Hyperlink"/>
            <w:rFonts w:asciiTheme="minorHAnsi" w:hAnsiTheme="minorHAnsi" w:cstheme="minorHAnsi"/>
            <w:sz w:val="22"/>
            <w:szCs w:val="22"/>
            <w:lang w:val="es-CO"/>
          </w:rPr>
          <w:t>https://www.mapp-oea.org</w:t>
        </w:r>
      </w:hyperlink>
    </w:p>
    <w:p w14:paraId="3370C3C0" w14:textId="77777777" w:rsidR="00A323B1" w:rsidRPr="00B62815" w:rsidRDefault="00A323B1" w:rsidP="00A323B1">
      <w:pPr>
        <w:rPr>
          <w:rFonts w:asciiTheme="minorHAnsi" w:hAnsiTheme="minorHAnsi" w:cstheme="minorHAnsi"/>
          <w:sz w:val="22"/>
          <w:szCs w:val="22"/>
          <w:lang w:val="es-ES"/>
        </w:rPr>
      </w:pPr>
    </w:p>
    <w:p w14:paraId="08126A88" w14:textId="77777777" w:rsidR="00A323B1" w:rsidRPr="00B62815" w:rsidRDefault="00A323B1" w:rsidP="00A323B1">
      <w:pPr>
        <w:rPr>
          <w:rFonts w:asciiTheme="minorHAnsi" w:hAnsiTheme="minorHAnsi" w:cstheme="minorHAnsi"/>
          <w:sz w:val="22"/>
          <w:szCs w:val="22"/>
          <w:lang w:val="es-ES"/>
        </w:rPr>
      </w:pPr>
    </w:p>
    <w:p w14:paraId="458D8559" w14:textId="2120481D" w:rsidR="00230A65" w:rsidRPr="00B62815" w:rsidRDefault="00494544" w:rsidP="0037172C">
      <w:pPr>
        <w:pStyle w:val="Heading2"/>
        <w:rPr>
          <w:rFonts w:asciiTheme="minorHAnsi" w:eastAsia="Batang" w:hAnsiTheme="minorHAnsi" w:cstheme="minorHAnsi"/>
          <w:i w:val="0"/>
          <w:color w:val="1F497D"/>
          <w:sz w:val="22"/>
          <w:szCs w:val="22"/>
          <w:lang w:val="es-ES"/>
        </w:rPr>
      </w:pPr>
      <w:bookmarkStart w:id="31" w:name="_Toc39675834"/>
      <w:bookmarkStart w:id="32" w:name="_Toc40191057"/>
      <w:r w:rsidRPr="00B62815">
        <w:rPr>
          <w:rFonts w:asciiTheme="minorHAnsi" w:eastAsia="Batang" w:hAnsiTheme="minorHAnsi" w:cstheme="minorHAnsi"/>
          <w:i w:val="0"/>
          <w:color w:val="1F497D"/>
          <w:sz w:val="22"/>
          <w:szCs w:val="22"/>
          <w:lang w:val="es-ES"/>
        </w:rPr>
        <w:t>2.4</w:t>
      </w:r>
      <w:r w:rsidRPr="00B62815">
        <w:rPr>
          <w:rFonts w:asciiTheme="minorHAnsi" w:eastAsia="Batang" w:hAnsiTheme="minorHAnsi" w:cstheme="minorHAnsi"/>
          <w:i w:val="0"/>
          <w:color w:val="1F497D"/>
          <w:sz w:val="22"/>
          <w:szCs w:val="22"/>
          <w:lang w:val="es-ES"/>
        </w:rPr>
        <w:tab/>
        <w:t>SECRETARIA EJECUTIVA PARA EL DESARROLLO INTEGRAL (SEDI</w:t>
      </w:r>
      <w:r w:rsidR="000A4A55">
        <w:rPr>
          <w:rFonts w:asciiTheme="minorHAnsi" w:eastAsia="Batang" w:hAnsiTheme="minorHAnsi" w:cstheme="minorHAnsi"/>
          <w:i w:val="0"/>
          <w:color w:val="1F497D"/>
          <w:sz w:val="22"/>
          <w:szCs w:val="22"/>
          <w:lang w:val="es-ES"/>
        </w:rPr>
        <w:t>)</w:t>
      </w:r>
      <w:bookmarkEnd w:id="31"/>
      <w:bookmarkEnd w:id="32"/>
    </w:p>
    <w:p w14:paraId="61418C09" w14:textId="77777777" w:rsidR="00AD001B" w:rsidRPr="00B62815" w:rsidRDefault="00AD001B" w:rsidP="00AD001B">
      <w:pPr>
        <w:rPr>
          <w:rFonts w:asciiTheme="minorHAnsi" w:hAnsiTheme="minorHAnsi" w:cstheme="minorHAnsi"/>
          <w:sz w:val="22"/>
          <w:szCs w:val="22"/>
          <w:lang w:val="es-ES"/>
        </w:rPr>
      </w:pPr>
    </w:p>
    <w:p w14:paraId="2AA613E8" w14:textId="77777777" w:rsidR="00AD001B" w:rsidRPr="00B62815" w:rsidRDefault="00AD001B" w:rsidP="00AD001B">
      <w:p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La Secretaría Ejecutiva para el Desarrollo Integral (SEDI) apoya, facilita y fomenta el desarrollo integral a través de la promoción del diálogo intersectorial, las alianzas público-privadas y la creación de consenso en la integración de las políticas gubernamentales sobre desarrollo humano sostenible. En 2019, los programas e iniciativas de la SEDI apoyaron aún más a los Estados Miembros para la realización de los objetivos del Plan Estratégico Integral 2016-2021 de la OEA y la Agenda 2030 para el Desarrollo Sostenible. </w:t>
      </w:r>
    </w:p>
    <w:p w14:paraId="40566E91" w14:textId="77777777" w:rsidR="00AD001B" w:rsidRPr="00B62815" w:rsidRDefault="00AD001B" w:rsidP="00AD001B">
      <w:pPr>
        <w:jc w:val="both"/>
        <w:rPr>
          <w:rFonts w:asciiTheme="minorHAnsi" w:eastAsia="Calibri" w:hAnsiTheme="minorHAnsi" w:cstheme="minorHAnsi"/>
          <w:sz w:val="22"/>
          <w:szCs w:val="22"/>
          <w:lang w:val="es-US"/>
        </w:rPr>
      </w:pPr>
    </w:p>
    <w:p w14:paraId="4EDC8EDC" w14:textId="77777777" w:rsidR="00AD001B" w:rsidRPr="00B62815" w:rsidRDefault="00AD001B" w:rsidP="00AD001B">
      <w:p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En el área de promoción de economías inclusivas y competitivas, se siguió haciendo énfasis en las</w:t>
      </w:r>
      <w:r w:rsidRPr="00B62815">
        <w:rPr>
          <w:rFonts w:asciiTheme="minorHAnsi" w:hAnsiTheme="minorHAnsi" w:cstheme="minorHAnsi"/>
          <w:sz w:val="22"/>
          <w:szCs w:val="22"/>
          <w:lang w:val="es-ES"/>
        </w:rPr>
        <w:t xml:space="preserve"> micro, pequeñas y medianas empresas (MIPyMEs)</w:t>
      </w:r>
      <w:r w:rsidRPr="00B62815">
        <w:rPr>
          <w:rFonts w:asciiTheme="minorHAnsi" w:eastAsia="Calibri" w:hAnsiTheme="minorHAnsi" w:cstheme="minorHAnsi"/>
          <w:sz w:val="22"/>
          <w:szCs w:val="22"/>
          <w:lang w:val="es-US"/>
        </w:rPr>
        <w:t xml:space="preserve"> como unidades criticas de producción en la región. Las iniciativas de la SEDI como el Plan de Digitalización de MIPyMEs de la OEA, el Programa de Becas de Chile, el banco de datos en línea y el Boletín Informativo sobre MIPyMEs ampliaron las herramientas y los recursos disponibles para estas y fortalecieron el ecosistema de las MIPYyMEs en los Estados Miembros. El Programa Centro de Desarrollo de Pequeñas Empresas del Caribe (SBCD) contribuyó aún más al desarrollo económico al apoyar el inicio de más de 526 nuevos negocios y la creación y retención de más de 12000 empleos. </w:t>
      </w:r>
    </w:p>
    <w:p w14:paraId="7E61741F" w14:textId="77777777" w:rsidR="00AD001B" w:rsidRPr="00B62815" w:rsidRDefault="00AD001B" w:rsidP="00AD001B">
      <w:pPr>
        <w:jc w:val="both"/>
        <w:rPr>
          <w:rFonts w:asciiTheme="minorHAnsi" w:eastAsia="Calibri" w:hAnsiTheme="minorHAnsi" w:cstheme="minorHAnsi"/>
          <w:sz w:val="22"/>
          <w:szCs w:val="22"/>
          <w:lang w:val="es-US"/>
        </w:rPr>
      </w:pPr>
    </w:p>
    <w:p w14:paraId="7BB0C02B" w14:textId="77777777" w:rsidR="00AD001B" w:rsidRPr="00B62815" w:rsidRDefault="00AD001B" w:rsidP="00AD001B">
      <w:p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A medida que los Estados Miembros buscan posicionarse mejor para enfrentar los desafíos y oportunidades de la cuarta revolución industrial y cumplir con los objetivos de la Agenda 2030, el programa Prospecta Américas lanzado en 2019, mejorará el uso de la prospectiva como una herramienta práctica </w:t>
      </w:r>
      <w:r w:rsidRPr="00B62815">
        <w:rPr>
          <w:rFonts w:asciiTheme="minorHAnsi" w:hAnsiTheme="minorHAnsi" w:cstheme="minorHAnsi"/>
          <w:bCs/>
          <w:sz w:val="22"/>
          <w:szCs w:val="22"/>
          <w:lang w:val="es-ES"/>
        </w:rPr>
        <w:t xml:space="preserve"> práctica en la formulación de políticas y programas que exploten las tecnologías emergentes y fundamentales para promover el desarrollo sostenible e innovador, el crecimiento económico, así como los beneficios ambientales y sociales en los ámbitos nacional y regional.</w:t>
      </w:r>
    </w:p>
    <w:p w14:paraId="46C93C03" w14:textId="77777777" w:rsidR="00AD001B" w:rsidRPr="00B62815" w:rsidRDefault="00AD001B" w:rsidP="00AD001B">
      <w:pPr>
        <w:jc w:val="both"/>
        <w:rPr>
          <w:rFonts w:asciiTheme="minorHAnsi" w:eastAsia="Calibri" w:hAnsiTheme="minorHAnsi" w:cstheme="minorHAnsi"/>
          <w:sz w:val="22"/>
          <w:szCs w:val="22"/>
          <w:lang w:val="es-US"/>
        </w:rPr>
      </w:pPr>
    </w:p>
    <w:p w14:paraId="31102BD0" w14:textId="77777777" w:rsidR="00AD001B" w:rsidRPr="00B62815" w:rsidRDefault="00AD001B" w:rsidP="00AD001B">
      <w:p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lastRenderedPageBreak/>
        <w:t>El programa Intercambio para la Competitividad de las América (ACE) que ha quedado establecido como la</w:t>
      </w:r>
      <w:r w:rsidRPr="00B62815">
        <w:rPr>
          <w:rFonts w:asciiTheme="minorHAnsi" w:hAnsiTheme="minorHAnsi" w:cstheme="minorHAnsi"/>
          <w:bCs/>
          <w:sz w:val="22"/>
          <w:szCs w:val="22"/>
          <w:lang w:val="es-ES"/>
        </w:rPr>
        <w:t xml:space="preserve"> principal red de innovación, emprendimiento y desarrollo económico del Hemisferio</w:t>
      </w:r>
      <w:r w:rsidRPr="00B62815">
        <w:rPr>
          <w:rFonts w:asciiTheme="minorHAnsi" w:hAnsiTheme="minorHAnsi" w:cstheme="minorHAnsi"/>
          <w:sz w:val="22"/>
          <w:szCs w:val="22"/>
          <w:lang w:val="es-ES"/>
        </w:rPr>
        <w:t xml:space="preserve">, ha acelerado la colaboración entre los países y los actores sociales principales a fin de fomentar el desarrollo económico inclusivo, la innovación y el emprendimiento en la región. Las dos ediciones del programa realizadas en 2019 permitieron a más de 120 personas encargadas de la toma de decisiones en los sectores privado, público y académico, experimentar en forma directa la diversa gama de proyectos, inversiones estratégicas, alianzas público-privadas y buenas prácticas en ciencia, tecnología, innovación y emprendimiento de Puerto Rico, Estados Unidos y Santiago de Chile, Chile.  Se desarrollaron más de </w:t>
      </w:r>
      <w:r w:rsidRPr="00B62815">
        <w:rPr>
          <w:rFonts w:asciiTheme="minorHAnsi" w:hAnsiTheme="minorHAnsi" w:cstheme="minorHAnsi"/>
          <w:bCs/>
          <w:sz w:val="22"/>
          <w:szCs w:val="22"/>
          <w:lang w:val="es-ES"/>
        </w:rPr>
        <w:t xml:space="preserve">300 </w:t>
      </w:r>
      <w:r w:rsidRPr="00B62815">
        <w:rPr>
          <w:rFonts w:asciiTheme="minorHAnsi" w:hAnsiTheme="minorHAnsi" w:cstheme="minorHAnsi"/>
          <w:sz w:val="22"/>
          <w:szCs w:val="22"/>
          <w:lang w:val="es-ES"/>
        </w:rPr>
        <w:t>colaboraciones, alianzas en materia de ciencia, tecnología, innovación y emprendimiento mediante la red del ACE.</w:t>
      </w:r>
    </w:p>
    <w:p w14:paraId="546D938B" w14:textId="77777777" w:rsidR="00AD001B" w:rsidRPr="00B62815" w:rsidRDefault="00AD001B" w:rsidP="00AD001B">
      <w:pPr>
        <w:jc w:val="both"/>
        <w:rPr>
          <w:rFonts w:asciiTheme="minorHAnsi" w:eastAsia="Calibri" w:hAnsiTheme="minorHAnsi" w:cstheme="minorHAnsi"/>
          <w:sz w:val="22"/>
          <w:szCs w:val="22"/>
          <w:lang w:val="es-US"/>
        </w:rPr>
      </w:pPr>
    </w:p>
    <w:p w14:paraId="0AC21231" w14:textId="77777777" w:rsidR="00AD001B" w:rsidRPr="00B62815" w:rsidRDefault="00AD001B" w:rsidP="00AD001B">
      <w:p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La OEA también está trabajando con los Estados Miembros para capitalizar mejor el sector creativo y cultural como motores del crecimiento sostenible. La alianza establecida con el Convenio Andrés Bello para adaptar su Guía </w:t>
      </w:r>
      <w:r w:rsidRPr="00B62815">
        <w:rPr>
          <w:rFonts w:asciiTheme="minorHAnsi" w:hAnsiTheme="minorHAnsi" w:cstheme="minorHAnsi"/>
          <w:sz w:val="22"/>
          <w:szCs w:val="22"/>
          <w:lang w:val="es-ES"/>
        </w:rPr>
        <w:t xml:space="preserve">Metodológica para la implementación de </w:t>
      </w:r>
      <w:r w:rsidRPr="00B62815">
        <w:rPr>
          <w:rFonts w:asciiTheme="minorHAnsi" w:hAnsiTheme="minorHAnsi" w:cstheme="minorHAnsi"/>
          <w:bCs/>
          <w:sz w:val="22"/>
          <w:szCs w:val="22"/>
          <w:lang w:val="es-ES"/>
        </w:rPr>
        <w:t>cuentas satelitales de cultura en la región de CARICOM</w:t>
      </w:r>
      <w:r w:rsidRPr="00B62815">
        <w:rPr>
          <w:rFonts w:asciiTheme="minorHAnsi" w:hAnsiTheme="minorHAnsi" w:cstheme="minorHAnsi"/>
          <w:sz w:val="22"/>
          <w:szCs w:val="22"/>
          <w:lang w:val="es-ES"/>
        </w:rPr>
        <w:t xml:space="preserve"> apoyará la medición de la contribución de la cultura a la economía y la toma de decisiones sobre políticas basadas en datos para la asignación de recursos al sector.</w:t>
      </w:r>
    </w:p>
    <w:p w14:paraId="52409B58" w14:textId="77777777" w:rsidR="00AD001B" w:rsidRPr="00B62815" w:rsidRDefault="00AD001B" w:rsidP="00AD001B">
      <w:pPr>
        <w:jc w:val="both"/>
        <w:rPr>
          <w:rFonts w:asciiTheme="minorHAnsi" w:eastAsia="Calibri" w:hAnsiTheme="minorHAnsi" w:cstheme="minorHAnsi"/>
          <w:sz w:val="22"/>
          <w:szCs w:val="22"/>
          <w:lang w:val="es-US"/>
        </w:rPr>
      </w:pPr>
    </w:p>
    <w:p w14:paraId="13946BFE" w14:textId="77777777" w:rsidR="00AD001B" w:rsidRPr="00B62815" w:rsidRDefault="00AD001B" w:rsidP="00AD001B">
      <w:p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En el área de desarrollo sostenible, la OEA ha movilizado nuevos recursos de financiamiento para proyecto de la Cuenta del Plata, prestó asistencia técnica a directores de energía en 22 Estados Miembros para promover la utilización de datos confiables, científicos y empíricos para la gestión energética, desarrollo de energía renovable, y el monitorio de la calidad del aire; y proporciono asistencia post-desastre a las Bahamas luego del paso del Huracán Dorian así como cuidados sanitarios a las personas desplazadas en la región fronteriza entre Venezuela y Colombia.</w:t>
      </w:r>
    </w:p>
    <w:p w14:paraId="3FFFADC4" w14:textId="77777777" w:rsidR="00AD001B" w:rsidRPr="00B62815" w:rsidRDefault="00AD001B" w:rsidP="00AD001B">
      <w:pPr>
        <w:jc w:val="both"/>
        <w:rPr>
          <w:rFonts w:asciiTheme="minorHAnsi" w:eastAsia="Calibri" w:hAnsiTheme="minorHAnsi" w:cstheme="minorHAnsi"/>
          <w:sz w:val="22"/>
          <w:szCs w:val="22"/>
          <w:lang w:val="es-US"/>
        </w:rPr>
      </w:pPr>
    </w:p>
    <w:p w14:paraId="4EB9FE69" w14:textId="77777777" w:rsidR="00AD001B" w:rsidRPr="00B62815" w:rsidRDefault="00AD001B" w:rsidP="00AD001B">
      <w:pPr>
        <w:jc w:val="both"/>
        <w:rPr>
          <w:rFonts w:asciiTheme="minorHAnsi" w:hAnsiTheme="minorHAnsi" w:cstheme="minorHAnsi"/>
          <w:sz w:val="22"/>
          <w:szCs w:val="22"/>
          <w:lang w:val="es-ES"/>
        </w:rPr>
      </w:pPr>
      <w:r w:rsidRPr="00B62815">
        <w:rPr>
          <w:rFonts w:asciiTheme="minorHAnsi" w:eastAsia="Calibri" w:hAnsiTheme="minorHAnsi" w:cstheme="minorHAnsi"/>
          <w:sz w:val="22"/>
          <w:szCs w:val="22"/>
          <w:lang w:val="es-US"/>
        </w:rPr>
        <w:t xml:space="preserve">El trabajo de la SEDI en el área de educación y desarrollo humano proporcionó acceso a una educación de calidad, inclusiva y equitativa a más de 6.644 ciudadanos de las Américas a través del Programa de Becas y Capacitación de la OEA y el Fondo Rowe.  La Red Interamericana de Educación Docente lanzó la </w:t>
      </w:r>
      <w:r w:rsidRPr="00B62815">
        <w:rPr>
          <w:rFonts w:asciiTheme="minorHAnsi" w:hAnsiTheme="minorHAnsi" w:cstheme="minorHAnsi"/>
          <w:bCs/>
          <w:sz w:val="22"/>
          <w:szCs w:val="22"/>
          <w:lang w:val="es-ES"/>
        </w:rPr>
        <w:t xml:space="preserve">Primera </w:t>
      </w:r>
      <w:r w:rsidRPr="00B62815">
        <w:rPr>
          <w:rFonts w:asciiTheme="minorHAnsi" w:hAnsiTheme="minorHAnsi" w:cstheme="minorHAnsi"/>
          <w:bCs/>
          <w:i/>
          <w:sz w:val="22"/>
          <w:szCs w:val="22"/>
          <w:lang w:val="es-ES"/>
        </w:rPr>
        <w:t>Fellowship</w:t>
      </w:r>
      <w:r w:rsidRPr="00B62815">
        <w:rPr>
          <w:rFonts w:asciiTheme="minorHAnsi" w:hAnsiTheme="minorHAnsi" w:cstheme="minorHAnsi"/>
          <w:bCs/>
          <w:sz w:val="22"/>
          <w:szCs w:val="22"/>
          <w:lang w:val="es-ES"/>
        </w:rPr>
        <w:t xml:space="preserve"> Hemisférica para Docentes de STEM y brindó a un grupo inicial de </w:t>
      </w:r>
      <w:r w:rsidRPr="00B62815">
        <w:rPr>
          <w:rFonts w:asciiTheme="minorHAnsi" w:hAnsiTheme="minorHAnsi" w:cstheme="minorHAnsi"/>
          <w:sz w:val="22"/>
          <w:szCs w:val="22"/>
          <w:lang w:val="es-ES"/>
        </w:rPr>
        <w:t xml:space="preserve">36 docentes de aula la oportunidad de mejorar su práctica de instrucción, aptitudes de liderazgo y de contribuir al debate sobre política educativa internacional. El acuerdo “Proyecto de Aula Global” firmado con las Escuelas Públicas del Condado de Fairfax del </w:t>
      </w:r>
      <w:r w:rsidRPr="00B62815">
        <w:rPr>
          <w:rFonts w:asciiTheme="minorHAnsi" w:hAnsiTheme="minorHAnsi" w:cstheme="minorHAnsi"/>
          <w:sz w:val="22"/>
          <w:szCs w:val="22"/>
          <w:lang w:val="es-ES"/>
        </w:rPr>
        <w:lastRenderedPageBreak/>
        <w:t>estado de Virginia, promueve el establecimiento de la colaboración entre estudiantes para abordar los problemas a nivel local, nacional y regional y proporciona oportunidades de desarrollo profesional para los maestros relacionadas con los ODS 4. El Programa Educativo ProFuturo, cuyo objetivo es reducir la brecha digital y mejorar la calidad de la educación, fue expandido a Barbados y Santa Lucía.</w:t>
      </w:r>
    </w:p>
    <w:p w14:paraId="5061E38D" w14:textId="77777777" w:rsidR="00AD001B" w:rsidRPr="00B62815" w:rsidRDefault="00AD001B" w:rsidP="00AD001B">
      <w:pPr>
        <w:jc w:val="both"/>
        <w:rPr>
          <w:rFonts w:asciiTheme="minorHAnsi" w:hAnsiTheme="minorHAnsi" w:cstheme="minorHAnsi"/>
          <w:sz w:val="22"/>
          <w:szCs w:val="22"/>
          <w:lang w:val="es-ES"/>
        </w:rPr>
      </w:pPr>
    </w:p>
    <w:p w14:paraId="56637728" w14:textId="77777777" w:rsidR="00AD001B" w:rsidRPr="00B62815" w:rsidRDefault="00AD001B" w:rsidP="00AD001B">
      <w:pPr>
        <w:jc w:val="both"/>
        <w:rPr>
          <w:rFonts w:asciiTheme="minorHAnsi" w:hAnsiTheme="minorHAnsi" w:cstheme="minorHAnsi"/>
          <w:sz w:val="22"/>
          <w:szCs w:val="22"/>
          <w:lang w:val="es-ES"/>
        </w:rPr>
      </w:pPr>
      <w:r w:rsidRPr="00B62815">
        <w:rPr>
          <w:rFonts w:asciiTheme="minorHAnsi" w:eastAsia="Calibri" w:hAnsiTheme="minorHAnsi" w:cstheme="minorHAnsi"/>
          <w:sz w:val="22"/>
          <w:szCs w:val="22"/>
          <w:lang w:val="es-US"/>
        </w:rPr>
        <w:t>La renovación de la Red Interamericana de Cooperación (CooperaNet), plataforma en línea lanzada por la estrategia de cooperación de la SEDI, ha fortalecido la capacidad de la Organización para aprovechar la asistencia para el desarrollo y responder a la necesidad de una mayor cooperación técnica más impulsada por la demanda en las Américas,</w:t>
      </w:r>
      <w:r w:rsidRPr="00B62815">
        <w:rPr>
          <w:rFonts w:asciiTheme="minorHAnsi" w:hAnsiTheme="minorHAnsi" w:cstheme="minorHAnsi"/>
          <w:sz w:val="22"/>
          <w:szCs w:val="22"/>
          <w:lang w:val="es-ES"/>
        </w:rPr>
        <w:t xml:space="preserve"> la vez que se facilita el logro regional de los Objetivos de Desarrollo Sostenible (ODS).</w:t>
      </w:r>
    </w:p>
    <w:p w14:paraId="40DF18B1" w14:textId="77777777" w:rsidR="00AD001B" w:rsidRPr="00B62815" w:rsidRDefault="00AD001B" w:rsidP="00AD001B">
      <w:pPr>
        <w:jc w:val="both"/>
        <w:rPr>
          <w:rFonts w:asciiTheme="minorHAnsi" w:eastAsia="Calibri" w:hAnsiTheme="minorHAnsi" w:cstheme="minorHAnsi"/>
          <w:sz w:val="22"/>
          <w:szCs w:val="22"/>
          <w:lang w:val="es-ES"/>
        </w:rPr>
      </w:pPr>
    </w:p>
    <w:p w14:paraId="49C30C00" w14:textId="77777777" w:rsidR="00AD001B" w:rsidRPr="00B62815" w:rsidRDefault="00AD001B" w:rsidP="00AD001B">
      <w:p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Los programas, proyectos e iniciativas destacados en este informe brindan una breve descripción de la contribución de la Secretaría para el Desarrollo Integral (SEDI) </w:t>
      </w:r>
      <w:r w:rsidRPr="00B62815">
        <w:rPr>
          <w:rFonts w:asciiTheme="minorHAnsi" w:eastAsia="Calibri" w:hAnsiTheme="minorHAnsi" w:cstheme="minorHAnsi"/>
          <w:sz w:val="22"/>
          <w:szCs w:val="22"/>
          <w:lang w:val="es-US"/>
        </w:rPr>
        <w:softHyphen/>
        <w:t>–como brazo ejecutor de la OEA para el desarrollo- al logro del desarrollo económico, social, humano, inclusivo y sostenible en las América. La siguiente sección destaca algunos logros principales de la SEDI:</w:t>
      </w:r>
    </w:p>
    <w:p w14:paraId="5AB043B3" w14:textId="77777777" w:rsidR="00AD001B" w:rsidRPr="00B62815" w:rsidRDefault="00AD001B" w:rsidP="00AD001B">
      <w:pPr>
        <w:jc w:val="both"/>
        <w:rPr>
          <w:rFonts w:asciiTheme="minorHAnsi" w:eastAsia="Calibri" w:hAnsiTheme="minorHAnsi" w:cstheme="minorHAnsi"/>
          <w:b/>
          <w:bCs/>
          <w:sz w:val="22"/>
          <w:szCs w:val="22"/>
          <w:u w:val="single"/>
          <w:lang w:val="es-US"/>
        </w:rPr>
      </w:pPr>
    </w:p>
    <w:p w14:paraId="372212DA" w14:textId="77777777" w:rsidR="00AD001B" w:rsidRPr="00B62815" w:rsidRDefault="00AD001B" w:rsidP="00AD001B">
      <w:pPr>
        <w:jc w:val="both"/>
        <w:rPr>
          <w:rFonts w:asciiTheme="minorHAnsi" w:eastAsia="Calibri" w:hAnsiTheme="minorHAnsi" w:cstheme="minorHAnsi"/>
          <w:b/>
          <w:bCs/>
          <w:sz w:val="22"/>
          <w:szCs w:val="22"/>
          <w:u w:val="single"/>
          <w:lang w:val="es-US"/>
        </w:rPr>
      </w:pPr>
      <w:r w:rsidRPr="00B62815">
        <w:rPr>
          <w:rFonts w:asciiTheme="minorHAnsi" w:eastAsia="Calibri" w:hAnsiTheme="minorHAnsi" w:cstheme="minorHAnsi"/>
          <w:b/>
          <w:bCs/>
          <w:sz w:val="22"/>
          <w:szCs w:val="22"/>
          <w:u w:val="single"/>
          <w:lang w:val="es-US"/>
        </w:rPr>
        <w:t xml:space="preserve">Línea Estratégica 1: Promover Economías Incluyentes y Competitivas </w:t>
      </w:r>
    </w:p>
    <w:p w14:paraId="313A1375" w14:textId="77777777" w:rsidR="00AD001B" w:rsidRPr="00B62815" w:rsidRDefault="00AD001B" w:rsidP="00AD001B">
      <w:pPr>
        <w:jc w:val="both"/>
        <w:rPr>
          <w:rFonts w:asciiTheme="minorHAnsi" w:eastAsia="Calibri" w:hAnsiTheme="minorHAnsi" w:cstheme="minorHAnsi"/>
          <w:b/>
          <w:bCs/>
          <w:i/>
          <w:iCs/>
          <w:sz w:val="22"/>
          <w:szCs w:val="22"/>
          <w:lang w:val="es-US"/>
        </w:rPr>
      </w:pPr>
    </w:p>
    <w:p w14:paraId="1C093650" w14:textId="77777777" w:rsidR="00AD001B" w:rsidRPr="00B62815" w:rsidRDefault="00AD001B" w:rsidP="00AD001B">
      <w:pPr>
        <w:numPr>
          <w:ilvl w:val="0"/>
          <w:numId w:val="113"/>
        </w:numPr>
        <w:jc w:val="both"/>
        <w:rPr>
          <w:rFonts w:asciiTheme="minorHAnsi" w:eastAsia="Calibri" w:hAnsiTheme="minorHAnsi" w:cstheme="minorHAnsi"/>
          <w:b/>
          <w:bCs/>
          <w:i/>
          <w:sz w:val="22"/>
          <w:szCs w:val="22"/>
          <w:lang w:val="es-US"/>
        </w:rPr>
      </w:pPr>
      <w:r w:rsidRPr="00B62815">
        <w:rPr>
          <w:rFonts w:asciiTheme="minorHAnsi" w:eastAsia="Calibri" w:hAnsiTheme="minorHAnsi" w:cstheme="minorHAnsi"/>
          <w:b/>
          <w:bCs/>
          <w:i/>
          <w:sz w:val="22"/>
          <w:szCs w:val="22"/>
          <w:lang w:val="es-US"/>
        </w:rPr>
        <w:t xml:space="preserve">El Programa Centro de Desarrollo de Pequeñas Empresas del Caribe (SBDC) </w:t>
      </w:r>
    </w:p>
    <w:p w14:paraId="2875677E"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Impacto económico: 526 nuevos negocios iniciados; más de 7,624 empleos creados y retenidos; $14.6M de ingresos generados por ventas, y $1.1M ganancias; y $3M en aportes de capital movilizados a través de préstamos y fondos en 8 Estados Miembros del Caribe </w:t>
      </w:r>
    </w:p>
    <w:p w14:paraId="3B100ABD"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Lanzamiento de la Red de SBDC del Caribe como punto focal para los programas SBDC en el Caribe para enlazar programas y socios en el Hemisferio Occidental, fortalecer el intercambio de buenas prácticas, y mejorar la conexión de los SBCD con oportunidades comerciales multilaterales. </w:t>
      </w:r>
    </w:p>
    <w:p w14:paraId="7178D6D0" w14:textId="77777777" w:rsidR="00AD001B" w:rsidRPr="00B62815" w:rsidRDefault="00AD001B" w:rsidP="00AD001B">
      <w:pPr>
        <w:ind w:left="1440"/>
        <w:jc w:val="both"/>
        <w:rPr>
          <w:rFonts w:asciiTheme="minorHAnsi" w:eastAsia="Calibri" w:hAnsiTheme="minorHAnsi" w:cstheme="minorHAnsi"/>
          <w:sz w:val="22"/>
          <w:szCs w:val="22"/>
          <w:lang w:val="es-US"/>
        </w:rPr>
      </w:pPr>
    </w:p>
    <w:p w14:paraId="43D5E7D1"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r w:rsidRPr="00B62815">
        <w:rPr>
          <w:rFonts w:asciiTheme="minorHAnsi" w:eastAsia="Calibri" w:hAnsiTheme="minorHAnsi" w:cstheme="minorHAnsi"/>
          <w:b/>
          <w:bCs/>
          <w:i/>
          <w:iCs/>
          <w:sz w:val="22"/>
          <w:szCs w:val="22"/>
          <w:lang w:val="es-US"/>
        </w:rPr>
        <w:t xml:space="preserve">El Plan de Digitalización de las </w:t>
      </w:r>
      <w:r w:rsidRPr="00B62815">
        <w:rPr>
          <w:rFonts w:asciiTheme="minorHAnsi" w:eastAsia="Calibri" w:hAnsiTheme="minorHAnsi" w:cstheme="minorHAnsi"/>
          <w:b/>
          <w:i/>
          <w:sz w:val="22"/>
          <w:szCs w:val="22"/>
          <w:lang w:val="es-US"/>
        </w:rPr>
        <w:t>MIPyMEs de la OEA</w:t>
      </w:r>
    </w:p>
    <w:p w14:paraId="002B1951"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Se inició la ejecución de un plan de 3 años en colaboración con Kolau, para la digitalización de más de 450,000 MIPyMEs para aumentar su visibilidad, acceso, rentabilidad y resiliencia.  </w:t>
      </w:r>
    </w:p>
    <w:p w14:paraId="1076EA7B" w14:textId="77777777" w:rsidR="00AD001B" w:rsidRPr="00B62815" w:rsidRDefault="00AD001B" w:rsidP="00AD001B">
      <w:pPr>
        <w:ind w:left="1440"/>
        <w:jc w:val="both"/>
        <w:rPr>
          <w:rFonts w:asciiTheme="minorHAnsi" w:eastAsia="Calibri" w:hAnsiTheme="minorHAnsi" w:cstheme="minorHAnsi"/>
          <w:sz w:val="22"/>
          <w:szCs w:val="22"/>
          <w:lang w:val="es-US"/>
        </w:rPr>
      </w:pPr>
    </w:p>
    <w:p w14:paraId="3D0E310D"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rPr>
      </w:pPr>
      <w:r w:rsidRPr="00B62815">
        <w:rPr>
          <w:rFonts w:asciiTheme="minorHAnsi" w:eastAsia="Calibri" w:hAnsiTheme="minorHAnsi" w:cstheme="minorHAnsi"/>
          <w:b/>
          <w:bCs/>
          <w:i/>
          <w:iCs/>
          <w:sz w:val="22"/>
          <w:szCs w:val="22"/>
        </w:rPr>
        <w:t>Programa Chile Fellowship</w:t>
      </w:r>
    </w:p>
    <w:p w14:paraId="647C82B0"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Involucró a profesionales de alto nivel de 17 Estados Miembros en visitas técnicas a los centros de desarrollo de pequeñas empresas de Chile, a través del</w:t>
      </w:r>
      <w:r w:rsidRPr="00B62815">
        <w:rPr>
          <w:rFonts w:asciiTheme="minorHAnsi" w:hAnsiTheme="minorHAnsi" w:cstheme="minorHAnsi"/>
          <w:bCs/>
          <w:sz w:val="22"/>
          <w:szCs w:val="22"/>
          <w:lang w:val="es-ES"/>
        </w:rPr>
        <w:t xml:space="preserve"> Servicio de Cooperación Técnica de Chile (SERCOTEC),</w:t>
      </w:r>
      <w:r w:rsidRPr="00B62815">
        <w:rPr>
          <w:rFonts w:asciiTheme="minorHAnsi" w:eastAsia="Calibri" w:hAnsiTheme="minorHAnsi" w:cstheme="minorHAnsi"/>
          <w:sz w:val="22"/>
          <w:szCs w:val="22"/>
          <w:lang w:val="es-US"/>
        </w:rPr>
        <w:t xml:space="preserve"> para compartir prácticas innovadoras sobre el desarrollo de MIPyMEs.</w:t>
      </w:r>
    </w:p>
    <w:p w14:paraId="17AE8A7C" w14:textId="5D42A196" w:rsidR="00AD001B" w:rsidRDefault="00AD001B" w:rsidP="00AD001B">
      <w:pPr>
        <w:ind w:left="1440"/>
        <w:jc w:val="both"/>
        <w:rPr>
          <w:rFonts w:asciiTheme="minorHAnsi" w:eastAsia="Calibri" w:hAnsiTheme="minorHAnsi" w:cstheme="minorHAnsi"/>
          <w:sz w:val="22"/>
          <w:szCs w:val="22"/>
          <w:lang w:val="es-US"/>
        </w:rPr>
      </w:pPr>
    </w:p>
    <w:p w14:paraId="603DE70F" w14:textId="66CA8C6B" w:rsidR="00CC6BBF" w:rsidRDefault="00CC6BBF" w:rsidP="00AD001B">
      <w:pPr>
        <w:ind w:left="1440"/>
        <w:jc w:val="both"/>
        <w:rPr>
          <w:rFonts w:asciiTheme="minorHAnsi" w:eastAsia="Calibri" w:hAnsiTheme="minorHAnsi" w:cstheme="minorHAnsi"/>
          <w:sz w:val="22"/>
          <w:szCs w:val="22"/>
          <w:lang w:val="es-US"/>
        </w:rPr>
      </w:pPr>
    </w:p>
    <w:p w14:paraId="0379DF62" w14:textId="77777777" w:rsidR="00CC6BBF" w:rsidRPr="00B62815" w:rsidRDefault="00CC6BBF" w:rsidP="00AD001B">
      <w:pPr>
        <w:ind w:left="1440"/>
        <w:jc w:val="both"/>
        <w:rPr>
          <w:rFonts w:asciiTheme="minorHAnsi" w:eastAsia="Calibri" w:hAnsiTheme="minorHAnsi" w:cstheme="minorHAnsi"/>
          <w:sz w:val="22"/>
          <w:szCs w:val="22"/>
          <w:lang w:val="es-US"/>
        </w:rPr>
      </w:pPr>
    </w:p>
    <w:p w14:paraId="1E0363C8"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r w:rsidRPr="00B62815">
        <w:rPr>
          <w:rFonts w:asciiTheme="minorHAnsi" w:eastAsia="Calibri" w:hAnsiTheme="minorHAnsi" w:cstheme="minorHAnsi"/>
          <w:b/>
          <w:bCs/>
          <w:i/>
          <w:iCs/>
          <w:sz w:val="22"/>
          <w:szCs w:val="22"/>
          <w:lang w:val="es-US"/>
        </w:rPr>
        <w:t>El Sistema de Información sobre Comercio Exterior de la OEA (SICE)</w:t>
      </w:r>
    </w:p>
    <w:p w14:paraId="0317B3FF"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Se lanzó una base de datos en línea y el Boletín Informativo de las MIPyMEs para fortalecer el intercambio de inventario de buenas prácticas, iniciativas, políticas, programas y proyectos de cooperación horizontal que apoyan a las MIPyMEs en los Estados Miembros de la OEA. </w:t>
      </w:r>
    </w:p>
    <w:p w14:paraId="3F60E3ED" w14:textId="77777777" w:rsidR="00AD001B" w:rsidRPr="00B62815" w:rsidRDefault="00AD001B" w:rsidP="00AD001B">
      <w:pPr>
        <w:jc w:val="both"/>
        <w:rPr>
          <w:rFonts w:asciiTheme="minorHAnsi" w:eastAsia="Calibri" w:hAnsiTheme="minorHAnsi" w:cstheme="minorHAnsi"/>
          <w:sz w:val="22"/>
          <w:szCs w:val="22"/>
          <w:lang w:val="es-US"/>
        </w:rPr>
      </w:pPr>
    </w:p>
    <w:p w14:paraId="0314CDFA"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r w:rsidRPr="00B62815">
        <w:rPr>
          <w:rFonts w:asciiTheme="minorHAnsi" w:eastAsia="Calibri" w:hAnsiTheme="minorHAnsi" w:cstheme="minorHAnsi"/>
          <w:b/>
          <w:bCs/>
          <w:i/>
          <w:iCs/>
          <w:sz w:val="22"/>
          <w:szCs w:val="22"/>
          <w:lang w:val="es-US"/>
        </w:rPr>
        <w:t>Ciencia, Tecnología e Innovación (CTI)</w:t>
      </w:r>
    </w:p>
    <w:p w14:paraId="502E8FE4"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Se lanzó el programa Prospecta Américas para establecer 10 centros interamericanos de excelencia en prospectiva tecnologías transformadoras de la cuarta revolución industrial que aportan soluciones sostenibles para el desarrollo a los Estados Miembros.</w:t>
      </w:r>
    </w:p>
    <w:p w14:paraId="2552EDC8" w14:textId="77777777" w:rsidR="00AD001B" w:rsidRPr="00B62815" w:rsidRDefault="00AD001B" w:rsidP="00AD001B">
      <w:pPr>
        <w:jc w:val="both"/>
        <w:rPr>
          <w:rFonts w:asciiTheme="minorHAnsi" w:eastAsia="Calibri" w:hAnsiTheme="minorHAnsi" w:cstheme="minorHAnsi"/>
          <w:sz w:val="22"/>
          <w:szCs w:val="22"/>
          <w:lang w:val="es-US"/>
        </w:rPr>
      </w:pPr>
    </w:p>
    <w:p w14:paraId="7978D4DD"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r w:rsidRPr="00B62815">
        <w:rPr>
          <w:rFonts w:asciiTheme="minorHAnsi" w:eastAsia="Calibri" w:hAnsiTheme="minorHAnsi" w:cstheme="minorHAnsi"/>
          <w:b/>
          <w:bCs/>
          <w:i/>
          <w:iCs/>
          <w:sz w:val="22"/>
          <w:szCs w:val="22"/>
          <w:lang w:val="es-US"/>
        </w:rPr>
        <w:t>La Red Interamericana de Competitividad (RIAC)</w:t>
      </w:r>
    </w:p>
    <w:p w14:paraId="2B8B1FDE"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120 personas encargadas de la toma de decisiones en los sectores privado, público y académico fueron proveídos con tácticas innovadoras sobre estrategias de inversión, alianza público-privadas y buenas prácticas en ciencia, tecnología, innovación y emprendimiento en Puerto Rico, Estados Unidos y Santiago de Chile, Chile. </w:t>
      </w:r>
    </w:p>
    <w:p w14:paraId="13524B9D" w14:textId="77777777" w:rsidR="00AD001B" w:rsidRPr="00B62815" w:rsidRDefault="00AD001B" w:rsidP="00AD001B">
      <w:pPr>
        <w:ind w:left="1440"/>
        <w:jc w:val="both"/>
        <w:rPr>
          <w:rFonts w:asciiTheme="minorHAnsi" w:eastAsia="Calibri" w:hAnsiTheme="minorHAnsi" w:cstheme="minorHAnsi"/>
          <w:sz w:val="22"/>
          <w:szCs w:val="22"/>
          <w:lang w:val="es-US"/>
        </w:rPr>
      </w:pPr>
    </w:p>
    <w:p w14:paraId="572B6FD8"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r w:rsidRPr="00B62815">
        <w:rPr>
          <w:rFonts w:asciiTheme="minorHAnsi" w:eastAsia="Calibri" w:hAnsiTheme="minorHAnsi" w:cstheme="minorHAnsi"/>
          <w:b/>
          <w:bCs/>
          <w:i/>
          <w:iCs/>
          <w:sz w:val="22"/>
          <w:szCs w:val="22"/>
          <w:lang w:val="es-US"/>
        </w:rPr>
        <w:t>El Grupo de Expertos de Competitividad Subnacional (GTECS)</w:t>
      </w:r>
    </w:p>
    <w:p w14:paraId="386E98F2"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Se publicó, con la Comisión Nacional de Mejora Regulatoria (CONAMER) de México, el informe sobre “Simplificación de la licencia de construcción: diagnóstico, </w:t>
      </w:r>
      <w:r w:rsidRPr="00B62815">
        <w:rPr>
          <w:rFonts w:asciiTheme="minorHAnsi" w:eastAsia="Calibri" w:hAnsiTheme="minorHAnsi" w:cstheme="minorHAnsi"/>
          <w:sz w:val="22"/>
          <w:szCs w:val="22"/>
          <w:lang w:val="es-US"/>
        </w:rPr>
        <w:lastRenderedPageBreak/>
        <w:t>propuesta y guía” sobre las buenas prácticas de México en el diseño y la implementación de un sistema de ventana única de las licencias para la construcción.</w:t>
      </w:r>
    </w:p>
    <w:p w14:paraId="05EE4FD6" w14:textId="77777777" w:rsidR="00AD001B" w:rsidRPr="00B62815" w:rsidRDefault="00AD001B" w:rsidP="00AD001B">
      <w:pPr>
        <w:ind w:left="1440"/>
        <w:jc w:val="both"/>
        <w:rPr>
          <w:rFonts w:asciiTheme="minorHAnsi" w:eastAsia="Calibri" w:hAnsiTheme="minorHAnsi" w:cstheme="minorHAnsi"/>
          <w:sz w:val="22"/>
          <w:szCs w:val="22"/>
          <w:lang w:val="es-US"/>
        </w:rPr>
      </w:pPr>
    </w:p>
    <w:p w14:paraId="22798901"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rPr>
      </w:pPr>
      <w:r w:rsidRPr="00B62815">
        <w:rPr>
          <w:rFonts w:asciiTheme="minorHAnsi" w:eastAsia="Calibri" w:hAnsiTheme="minorHAnsi" w:cstheme="minorHAnsi"/>
          <w:b/>
          <w:bCs/>
          <w:i/>
          <w:iCs/>
          <w:sz w:val="22"/>
          <w:szCs w:val="22"/>
        </w:rPr>
        <w:t xml:space="preserve">Cultura y Turismo </w:t>
      </w:r>
    </w:p>
    <w:p w14:paraId="2B89B10C"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Se estableció la alianza con el Convenio Andrés Bello para adaptar su Guía </w:t>
      </w:r>
      <w:r w:rsidRPr="00B62815">
        <w:rPr>
          <w:rFonts w:asciiTheme="minorHAnsi" w:hAnsiTheme="minorHAnsi" w:cstheme="minorHAnsi"/>
          <w:sz w:val="22"/>
          <w:szCs w:val="22"/>
          <w:lang w:val="es-ES"/>
        </w:rPr>
        <w:t xml:space="preserve">Metodológica para la implementación de </w:t>
      </w:r>
      <w:r w:rsidRPr="00B62815">
        <w:rPr>
          <w:rFonts w:asciiTheme="minorHAnsi" w:hAnsiTheme="minorHAnsi" w:cstheme="minorHAnsi"/>
          <w:bCs/>
          <w:sz w:val="22"/>
          <w:szCs w:val="22"/>
          <w:lang w:val="es-ES"/>
        </w:rPr>
        <w:t>cuentas satelitales de cultura en la región de CARICOM</w:t>
      </w:r>
      <w:r w:rsidRPr="00B62815">
        <w:rPr>
          <w:rFonts w:asciiTheme="minorHAnsi" w:hAnsiTheme="minorHAnsi" w:cstheme="minorHAnsi"/>
          <w:sz w:val="22"/>
          <w:szCs w:val="22"/>
          <w:lang w:val="es-ES"/>
        </w:rPr>
        <w:t xml:space="preserve"> que apoyará la medición de la contribución de la cultura a la economía y la toma de decisiones sobre políticas basadas en datos para la asignación de recursos al sector.</w:t>
      </w:r>
    </w:p>
    <w:p w14:paraId="5C59F05A" w14:textId="77777777" w:rsidR="00AD001B" w:rsidRPr="00B62815" w:rsidRDefault="00AD001B" w:rsidP="00AD001B">
      <w:pPr>
        <w:ind w:left="1440"/>
        <w:jc w:val="both"/>
        <w:rPr>
          <w:rFonts w:asciiTheme="minorHAnsi" w:eastAsia="Calibri" w:hAnsiTheme="minorHAnsi" w:cstheme="minorHAnsi"/>
          <w:sz w:val="22"/>
          <w:szCs w:val="22"/>
          <w:lang w:val="es-US"/>
        </w:rPr>
      </w:pPr>
    </w:p>
    <w:p w14:paraId="0166821E"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r w:rsidRPr="00B62815">
        <w:rPr>
          <w:rFonts w:asciiTheme="minorHAnsi" w:eastAsia="Calibri" w:hAnsiTheme="minorHAnsi" w:cstheme="minorHAnsi"/>
          <w:b/>
          <w:bCs/>
          <w:i/>
          <w:iCs/>
          <w:sz w:val="22"/>
          <w:szCs w:val="22"/>
          <w:lang w:val="es-US"/>
        </w:rPr>
        <w:t>La Comisión Interamericana de Puertos (CIP) de la OEA</w:t>
      </w:r>
    </w:p>
    <w:p w14:paraId="549A6F12" w14:textId="77777777" w:rsidR="00AD001B" w:rsidRPr="00B62815" w:rsidRDefault="00AD001B" w:rsidP="00AD001B">
      <w:pPr>
        <w:numPr>
          <w:ilvl w:val="1"/>
          <w:numId w:val="113"/>
        </w:numPr>
        <w:contextualSpacing/>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273 becas y patrocinios otorgados a funcionarios portuarios de 31 Estados Miembros a través del Programa de Becas y Capacitación mediante la Secretaría de la CIP, para estudiar en 16 cursos de desarrollo profesional, 2 talleres técnicos certificados, y 2 programas de maestría en áreas prioritarias.</w:t>
      </w:r>
    </w:p>
    <w:p w14:paraId="43A3EBE4" w14:textId="77777777" w:rsidR="00AD001B" w:rsidRPr="00B62815" w:rsidRDefault="00AD001B" w:rsidP="00AD001B">
      <w:pPr>
        <w:jc w:val="both"/>
        <w:rPr>
          <w:rFonts w:asciiTheme="minorHAnsi" w:eastAsia="Calibri" w:hAnsiTheme="minorHAnsi" w:cstheme="minorHAnsi"/>
          <w:sz w:val="22"/>
          <w:szCs w:val="22"/>
          <w:lang w:val="es-US"/>
        </w:rPr>
      </w:pPr>
    </w:p>
    <w:p w14:paraId="029D73C8" w14:textId="77777777" w:rsidR="00AD001B" w:rsidRPr="00B62815" w:rsidRDefault="00AD001B" w:rsidP="00AD001B">
      <w:pPr>
        <w:jc w:val="both"/>
        <w:rPr>
          <w:rFonts w:asciiTheme="minorHAnsi" w:eastAsia="Calibri" w:hAnsiTheme="minorHAnsi" w:cstheme="minorHAnsi"/>
          <w:b/>
          <w:bCs/>
          <w:sz w:val="22"/>
          <w:szCs w:val="22"/>
          <w:u w:val="single"/>
          <w:lang w:val="es-ES"/>
        </w:rPr>
      </w:pPr>
      <w:r w:rsidRPr="00B62815">
        <w:rPr>
          <w:rFonts w:asciiTheme="minorHAnsi" w:eastAsia="Calibri" w:hAnsiTheme="minorHAnsi" w:cstheme="minorHAnsi"/>
          <w:b/>
          <w:bCs/>
          <w:sz w:val="22"/>
          <w:szCs w:val="22"/>
          <w:u w:val="single"/>
          <w:lang w:val="es-ES"/>
        </w:rPr>
        <w:t>Línea Estratégica 2: Fortalecer la implementación de los Objetivos de Desarrollo Sostenible de conformidad con el Programa Interamericano para el Desarrollo Sostenible 2016-2021</w:t>
      </w:r>
    </w:p>
    <w:p w14:paraId="6D6F6CFC" w14:textId="77777777" w:rsidR="00AD001B" w:rsidRPr="00B62815" w:rsidRDefault="00AD001B" w:rsidP="00AD001B">
      <w:pPr>
        <w:jc w:val="both"/>
        <w:rPr>
          <w:rFonts w:asciiTheme="minorHAnsi" w:eastAsia="Calibri" w:hAnsiTheme="minorHAnsi" w:cstheme="minorHAnsi"/>
          <w:b/>
          <w:bCs/>
          <w:sz w:val="22"/>
          <w:szCs w:val="22"/>
          <w:lang w:val="es-US"/>
        </w:rPr>
      </w:pPr>
    </w:p>
    <w:p w14:paraId="66B4FBA1"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r w:rsidRPr="00B62815">
        <w:rPr>
          <w:rFonts w:asciiTheme="minorHAnsi" w:eastAsia="Calibri" w:hAnsiTheme="minorHAnsi" w:cstheme="minorHAnsi"/>
          <w:b/>
          <w:bCs/>
          <w:i/>
          <w:iCs/>
          <w:sz w:val="22"/>
          <w:szCs w:val="22"/>
          <w:lang w:val="es-US"/>
        </w:rPr>
        <w:t>La Alianza de Energía y Clima de las Américas (ECPA)</w:t>
      </w:r>
    </w:p>
    <w:p w14:paraId="4826389D"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Se prestó </w:t>
      </w:r>
      <w:r w:rsidRPr="00B62815">
        <w:rPr>
          <w:rFonts w:asciiTheme="minorHAnsi" w:eastAsia="+mn-ea" w:hAnsiTheme="minorHAnsi" w:cstheme="minorHAnsi"/>
          <w:color w:val="000000"/>
          <w:sz w:val="22"/>
          <w:szCs w:val="22"/>
          <w:lang w:val="es-US"/>
        </w:rPr>
        <w:t>asistencia técnica a los directores en energía de 22 países de las Américas a través de talleres, misiones de intercambio y se buscó el asesoramiento de expertos para recomendar el uso de datos confiables, científicos y empíricos en gestión energética, desarrollo de energía renovable y monitoreo de la calidad del aire.</w:t>
      </w:r>
    </w:p>
    <w:p w14:paraId="7D56B2CD" w14:textId="77777777" w:rsidR="00AD001B" w:rsidRPr="00B62815" w:rsidRDefault="00AD001B" w:rsidP="00AD001B">
      <w:pPr>
        <w:jc w:val="both"/>
        <w:rPr>
          <w:rFonts w:asciiTheme="minorHAnsi" w:eastAsia="Calibri" w:hAnsiTheme="minorHAnsi" w:cstheme="minorHAnsi"/>
          <w:sz w:val="22"/>
          <w:szCs w:val="22"/>
          <w:lang w:val="es-US"/>
        </w:rPr>
      </w:pPr>
    </w:p>
    <w:p w14:paraId="02166587"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PE"/>
        </w:rPr>
      </w:pPr>
      <w:r w:rsidRPr="00B62815">
        <w:rPr>
          <w:rFonts w:asciiTheme="minorHAnsi" w:eastAsia="Calibri" w:hAnsiTheme="minorHAnsi" w:cstheme="minorHAnsi"/>
          <w:b/>
          <w:bCs/>
          <w:i/>
          <w:iCs/>
          <w:sz w:val="22"/>
          <w:szCs w:val="22"/>
          <w:lang w:val="es-PE"/>
        </w:rPr>
        <w:t xml:space="preserve">Gestión Integrada de Recursos Hudrícos Transfronterizos </w:t>
      </w:r>
    </w:p>
    <w:p w14:paraId="304193AE"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Se aprobó el </w:t>
      </w:r>
      <w:r w:rsidRPr="00B62815">
        <w:rPr>
          <w:rFonts w:asciiTheme="minorHAnsi" w:eastAsia="+mn-ea" w:hAnsiTheme="minorHAnsi" w:cstheme="minorHAnsi"/>
          <w:color w:val="000000"/>
          <w:sz w:val="22"/>
          <w:szCs w:val="22"/>
          <w:lang w:val="es-US"/>
        </w:rPr>
        <w:t xml:space="preserve">Plan de Ejecución del Proyecto para la Cuenca del Plata, desarrollado a través de US$2 millones de financiamiento que se obtuvieron mediante el </w:t>
      </w:r>
      <w:r w:rsidRPr="00B62815">
        <w:rPr>
          <w:rFonts w:asciiTheme="minorHAnsi" w:eastAsia="+mn-ea" w:hAnsiTheme="minorHAnsi" w:cstheme="minorHAnsi"/>
          <w:i/>
          <w:color w:val="000000"/>
          <w:sz w:val="22"/>
          <w:szCs w:val="22"/>
          <w:lang w:val="es-US"/>
        </w:rPr>
        <w:t>Global Environment Facility (GEF</w:t>
      </w:r>
      <w:r w:rsidRPr="00B62815">
        <w:rPr>
          <w:rFonts w:asciiTheme="minorHAnsi" w:eastAsia="+mn-ea" w:hAnsiTheme="minorHAnsi" w:cstheme="minorHAnsi"/>
          <w:color w:val="000000"/>
          <w:sz w:val="22"/>
          <w:szCs w:val="22"/>
          <w:lang w:val="es-US"/>
        </w:rPr>
        <w:t>), para la implementación del Plan de Acción Estratégico (SAP) para acelerar acciones en las áreas prioritarias de seguridad hídrica, resiliencia climática y salud del ecosistema.</w:t>
      </w:r>
    </w:p>
    <w:p w14:paraId="5ECB576C" w14:textId="77777777" w:rsidR="00AD001B" w:rsidRPr="00B62815" w:rsidRDefault="00AD001B" w:rsidP="00AD001B">
      <w:pPr>
        <w:jc w:val="both"/>
        <w:rPr>
          <w:rFonts w:asciiTheme="minorHAnsi" w:eastAsia="Calibri" w:hAnsiTheme="minorHAnsi" w:cstheme="minorHAnsi"/>
          <w:sz w:val="22"/>
          <w:szCs w:val="22"/>
          <w:lang w:val="es-US"/>
        </w:rPr>
      </w:pPr>
    </w:p>
    <w:p w14:paraId="39E5B994" w14:textId="77777777" w:rsidR="00AD001B" w:rsidRPr="00B62815" w:rsidRDefault="00AD001B" w:rsidP="00AD001B">
      <w:pPr>
        <w:numPr>
          <w:ilvl w:val="0"/>
          <w:numId w:val="113"/>
        </w:numPr>
        <w:jc w:val="both"/>
        <w:rPr>
          <w:rFonts w:asciiTheme="minorHAnsi" w:eastAsia="Calibri" w:hAnsiTheme="minorHAnsi" w:cstheme="minorHAnsi"/>
          <w:b/>
          <w:bCs/>
          <w:i/>
          <w:sz w:val="22"/>
          <w:szCs w:val="22"/>
          <w:lang w:val="es-US"/>
        </w:rPr>
      </w:pPr>
      <w:r w:rsidRPr="00B62815">
        <w:rPr>
          <w:rFonts w:asciiTheme="minorHAnsi" w:eastAsia="Calibri" w:hAnsiTheme="minorHAnsi" w:cstheme="minorHAnsi"/>
          <w:b/>
          <w:bCs/>
          <w:i/>
          <w:sz w:val="22"/>
          <w:szCs w:val="22"/>
          <w:lang w:val="es-US"/>
        </w:rPr>
        <w:t>Gestión del Riesgo de Desastres y Adaptación al Cambio Climático</w:t>
      </w:r>
    </w:p>
    <w:p w14:paraId="3D0D3975"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Se brindó asistencia post-desastre a Las Bahamas inmediatamente después del Huracán Dorian a través del Acuerdo entre la OEA y </w:t>
      </w:r>
      <w:r w:rsidRPr="00B62815">
        <w:rPr>
          <w:rFonts w:asciiTheme="minorHAnsi" w:eastAsia="Calibri" w:hAnsiTheme="minorHAnsi" w:cstheme="minorHAnsi"/>
          <w:i/>
          <w:sz w:val="22"/>
          <w:szCs w:val="22"/>
          <w:lang w:val="es-US"/>
        </w:rPr>
        <w:t>Amazon Web Services;</w:t>
      </w:r>
      <w:r w:rsidRPr="00B62815">
        <w:rPr>
          <w:rFonts w:asciiTheme="minorHAnsi" w:eastAsia="Calibri" w:hAnsiTheme="minorHAnsi" w:cstheme="minorHAnsi"/>
          <w:sz w:val="22"/>
          <w:szCs w:val="22"/>
          <w:lang w:val="es-US"/>
        </w:rPr>
        <w:t xml:space="preserve"> y atención médica a personas desplazas en Cúcuta, Colombia (frontera Venezuela-Colombia) a través del programa OEA-Cascos Blancos.</w:t>
      </w:r>
    </w:p>
    <w:p w14:paraId="3F621D6A" w14:textId="77777777" w:rsidR="00AD001B" w:rsidRPr="00B62815" w:rsidRDefault="00AD001B" w:rsidP="00AD001B">
      <w:pPr>
        <w:jc w:val="both"/>
        <w:rPr>
          <w:rFonts w:asciiTheme="minorHAnsi" w:eastAsia="Calibri" w:hAnsiTheme="minorHAnsi" w:cstheme="minorHAnsi"/>
          <w:sz w:val="22"/>
          <w:szCs w:val="22"/>
          <w:lang w:val="es-US"/>
        </w:rPr>
      </w:pPr>
    </w:p>
    <w:p w14:paraId="320F322B" w14:textId="77777777" w:rsidR="00AD001B" w:rsidRPr="00B62815" w:rsidRDefault="00AD001B" w:rsidP="00AD001B">
      <w:pPr>
        <w:jc w:val="both"/>
        <w:rPr>
          <w:rFonts w:asciiTheme="minorHAnsi" w:eastAsia="Calibri" w:hAnsiTheme="minorHAnsi" w:cstheme="minorHAnsi"/>
          <w:b/>
          <w:bCs/>
          <w:sz w:val="22"/>
          <w:szCs w:val="22"/>
          <w:lang w:val="es-US"/>
        </w:rPr>
      </w:pPr>
      <w:r w:rsidRPr="00B62815">
        <w:rPr>
          <w:rFonts w:asciiTheme="minorHAnsi" w:eastAsia="Calibri" w:hAnsiTheme="minorHAnsi" w:cstheme="minorHAnsi"/>
          <w:b/>
          <w:bCs/>
          <w:sz w:val="22"/>
          <w:szCs w:val="22"/>
          <w:u w:val="single"/>
          <w:lang w:val="es-US"/>
        </w:rPr>
        <w:t>Línea Estratégica 3: Promover la educación y el desarrollo humano en las Américas</w:t>
      </w:r>
    </w:p>
    <w:p w14:paraId="0C045A1D"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bookmarkStart w:id="33" w:name="_Hlk36729091"/>
      <w:r w:rsidRPr="00B62815">
        <w:rPr>
          <w:rFonts w:asciiTheme="minorHAnsi" w:eastAsia="Calibri" w:hAnsiTheme="minorHAnsi" w:cstheme="minorHAnsi"/>
          <w:b/>
          <w:bCs/>
          <w:i/>
          <w:iCs/>
          <w:sz w:val="22"/>
          <w:szCs w:val="22"/>
          <w:lang w:val="es-US"/>
        </w:rPr>
        <w:t>El Portal Educativo de las Américas</w:t>
      </w:r>
    </w:p>
    <w:p w14:paraId="1E01D0BF"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Se firmó el acuerdo “Proyecto de Aula Global” con las Escuelas Públicas del Condado de Fairfax en el estado de Virginia para promover el establecimiento de colaboración entre escuelas en América Latina y el Caribe y proporcionar oportunidades de desarrollo profesional para maestros, relacionados con los ODS 4.</w:t>
      </w:r>
    </w:p>
    <w:p w14:paraId="46B1EA6E" w14:textId="77777777" w:rsidR="00AD001B" w:rsidRPr="00B62815" w:rsidRDefault="00AD001B" w:rsidP="00AD001B">
      <w:pPr>
        <w:numPr>
          <w:ilvl w:val="1"/>
          <w:numId w:val="113"/>
        </w:numPr>
        <w:jc w:val="both"/>
        <w:rPr>
          <w:rFonts w:asciiTheme="minorHAnsi" w:eastAsia="Calibri" w:hAnsiTheme="minorHAnsi" w:cstheme="minorHAnsi"/>
          <w:b/>
          <w:bCs/>
          <w:sz w:val="22"/>
          <w:szCs w:val="22"/>
          <w:lang w:val="es-US"/>
        </w:rPr>
      </w:pPr>
      <w:r w:rsidRPr="00B62815">
        <w:rPr>
          <w:rFonts w:asciiTheme="minorHAnsi" w:eastAsia="Calibri" w:hAnsiTheme="minorHAnsi" w:cstheme="minorHAnsi"/>
          <w:iCs/>
          <w:color w:val="000000"/>
          <w:sz w:val="22"/>
          <w:szCs w:val="22"/>
          <w:lang w:val="es-US"/>
        </w:rPr>
        <w:t>Se firmó un Memorando de Entendimiento entre los Gobiernos de Barbados y Santa Lucía, en el marco de la fase correspondiente al Caribe del Programa Educativo ProFuturo, cuyo objetivo es reducir la brecha digital y mejorar la calidad de la educación mediante la provisión de equipos tecnológicos a 92 escuelas primarias, la capacitación de 1,200 maestros, y contenido académico virtual adaptado al currículo local para más de 23,000 niños en entornos vulnerables en 5 Estados Miembros.</w:t>
      </w:r>
    </w:p>
    <w:p w14:paraId="327B5CE5" w14:textId="77777777" w:rsidR="00AD001B" w:rsidRPr="00B62815" w:rsidRDefault="00AD001B" w:rsidP="00AD001B">
      <w:pPr>
        <w:ind w:left="1440"/>
        <w:jc w:val="both"/>
        <w:rPr>
          <w:rFonts w:asciiTheme="minorHAnsi" w:eastAsia="Calibri" w:hAnsiTheme="minorHAnsi" w:cstheme="minorHAnsi"/>
          <w:sz w:val="22"/>
          <w:szCs w:val="22"/>
          <w:lang w:val="es-US"/>
        </w:rPr>
      </w:pPr>
    </w:p>
    <w:p w14:paraId="41A79C5A"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r w:rsidRPr="00B62815">
        <w:rPr>
          <w:rFonts w:asciiTheme="minorHAnsi" w:eastAsia="Calibri" w:hAnsiTheme="minorHAnsi" w:cstheme="minorHAnsi"/>
          <w:b/>
          <w:bCs/>
          <w:i/>
          <w:iCs/>
          <w:sz w:val="22"/>
          <w:szCs w:val="22"/>
          <w:lang w:val="es-US"/>
        </w:rPr>
        <w:t>La Red Interamericana de Educación Docente (RIED)</w:t>
      </w:r>
    </w:p>
    <w:p w14:paraId="5625F665"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Se lanzó la Primera</w:t>
      </w:r>
      <w:r w:rsidRPr="00B62815">
        <w:rPr>
          <w:rFonts w:asciiTheme="minorHAnsi" w:eastAsia="Calibri" w:hAnsiTheme="minorHAnsi" w:cstheme="minorHAnsi"/>
          <w:i/>
          <w:sz w:val="22"/>
          <w:szCs w:val="22"/>
          <w:lang w:val="es-US"/>
        </w:rPr>
        <w:t xml:space="preserve"> Fellowship</w:t>
      </w:r>
      <w:r w:rsidRPr="00B62815">
        <w:rPr>
          <w:rFonts w:asciiTheme="minorHAnsi" w:eastAsia="Calibri" w:hAnsiTheme="minorHAnsi" w:cstheme="minorHAnsi"/>
          <w:sz w:val="22"/>
          <w:szCs w:val="22"/>
          <w:lang w:val="es-US"/>
        </w:rPr>
        <w:t xml:space="preserve"> Hemisférica para Docentes de STEM y se proporción a un grupo inicial de 36 docentes de aula con oportunidad de mejorar su práctica de instrucción, aptitudes de liderazgo y de contribuir al desarrollo de política educativa internacional. </w:t>
      </w:r>
    </w:p>
    <w:p w14:paraId="096A6865" w14:textId="77777777" w:rsidR="00AD001B" w:rsidRPr="00B62815" w:rsidRDefault="00AD001B" w:rsidP="00AD001B">
      <w:pPr>
        <w:ind w:left="1440"/>
        <w:jc w:val="both"/>
        <w:rPr>
          <w:rFonts w:asciiTheme="minorHAnsi" w:eastAsia="Calibri" w:hAnsiTheme="minorHAnsi" w:cstheme="minorHAnsi"/>
          <w:sz w:val="22"/>
          <w:szCs w:val="22"/>
          <w:lang w:val="es-US"/>
        </w:rPr>
      </w:pPr>
    </w:p>
    <w:p w14:paraId="5233AD27" w14:textId="77777777" w:rsidR="00AD001B" w:rsidRPr="00B62815" w:rsidRDefault="00AD001B" w:rsidP="00AD001B">
      <w:pPr>
        <w:numPr>
          <w:ilvl w:val="0"/>
          <w:numId w:val="113"/>
        </w:numPr>
        <w:jc w:val="both"/>
        <w:rPr>
          <w:rFonts w:asciiTheme="minorHAnsi" w:eastAsia="Calibri" w:hAnsiTheme="minorHAnsi" w:cstheme="minorHAnsi"/>
          <w:b/>
          <w:bCs/>
          <w:i/>
          <w:iCs/>
          <w:sz w:val="22"/>
          <w:szCs w:val="22"/>
          <w:lang w:val="es-US"/>
        </w:rPr>
      </w:pPr>
      <w:r w:rsidRPr="00B62815">
        <w:rPr>
          <w:rFonts w:asciiTheme="minorHAnsi" w:eastAsia="Calibri" w:hAnsiTheme="minorHAnsi" w:cstheme="minorHAnsi"/>
          <w:b/>
          <w:bCs/>
          <w:i/>
          <w:iCs/>
          <w:sz w:val="22"/>
          <w:szCs w:val="22"/>
          <w:lang w:val="es-US"/>
        </w:rPr>
        <w:t>El Programa de Becas y Capacitación de la OEA y el Fondo Rowe</w:t>
      </w:r>
    </w:p>
    <w:p w14:paraId="23868F6E" w14:textId="77777777" w:rsidR="00AD001B" w:rsidRPr="00B62815" w:rsidRDefault="00AD001B" w:rsidP="00AD001B">
      <w:pPr>
        <w:numPr>
          <w:ilvl w:val="1"/>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6,644 becas y préstamos sin intereses fueron otorgados a ciudadanos de 34 Estados Miembros; 750 nacionales del Caribe fueron capacitados en gestión de riesgo de desastre y resiliencia climátic</w:t>
      </w:r>
      <w:bookmarkEnd w:id="33"/>
      <w:r w:rsidRPr="00B62815">
        <w:rPr>
          <w:rFonts w:asciiTheme="minorHAnsi" w:eastAsia="Calibri" w:hAnsiTheme="minorHAnsi" w:cstheme="minorHAnsi"/>
          <w:sz w:val="22"/>
          <w:szCs w:val="22"/>
          <w:lang w:val="es-US"/>
        </w:rPr>
        <w:t>a.</w:t>
      </w:r>
    </w:p>
    <w:p w14:paraId="7C3935C4" w14:textId="77777777" w:rsidR="00AD001B" w:rsidRPr="00B62815" w:rsidRDefault="00AD001B" w:rsidP="00AD001B">
      <w:pPr>
        <w:jc w:val="both"/>
        <w:rPr>
          <w:rFonts w:asciiTheme="minorHAnsi" w:eastAsia="Calibri" w:hAnsiTheme="minorHAnsi" w:cstheme="minorHAnsi"/>
          <w:sz w:val="22"/>
          <w:szCs w:val="22"/>
          <w:lang w:val="es-ES"/>
        </w:rPr>
      </w:pPr>
    </w:p>
    <w:p w14:paraId="39D092FE" w14:textId="77777777" w:rsidR="00AD001B" w:rsidRPr="00B62815" w:rsidRDefault="00AD001B" w:rsidP="00AD001B">
      <w:pPr>
        <w:jc w:val="both"/>
        <w:rPr>
          <w:rFonts w:asciiTheme="minorHAnsi" w:eastAsia="Calibri" w:hAnsiTheme="minorHAnsi" w:cstheme="minorHAnsi"/>
          <w:b/>
          <w:bCs/>
          <w:sz w:val="22"/>
          <w:szCs w:val="22"/>
          <w:u w:val="single"/>
          <w:lang w:val="es-US"/>
        </w:rPr>
      </w:pPr>
      <w:r w:rsidRPr="00B62815">
        <w:rPr>
          <w:rFonts w:asciiTheme="minorHAnsi" w:eastAsia="Calibri" w:hAnsiTheme="minorHAnsi" w:cstheme="minorHAnsi"/>
          <w:b/>
          <w:bCs/>
          <w:sz w:val="22"/>
          <w:szCs w:val="22"/>
          <w:u w:val="single"/>
          <w:lang w:val="es-US"/>
        </w:rPr>
        <w:lastRenderedPageBreak/>
        <w:t xml:space="preserve">Línea Estratégica 4: Promover el trabajo decente, digno y productivo para todos </w:t>
      </w:r>
    </w:p>
    <w:p w14:paraId="11A3FE9B" w14:textId="77777777" w:rsidR="00AD001B" w:rsidRPr="00B62815" w:rsidRDefault="00AD001B" w:rsidP="00AD001B">
      <w:pPr>
        <w:jc w:val="both"/>
        <w:rPr>
          <w:rFonts w:asciiTheme="minorHAnsi" w:eastAsia="Calibri" w:hAnsiTheme="minorHAnsi" w:cstheme="minorHAnsi"/>
          <w:b/>
          <w:bCs/>
          <w:sz w:val="22"/>
          <w:szCs w:val="22"/>
          <w:lang w:val="es-US"/>
        </w:rPr>
      </w:pPr>
    </w:p>
    <w:p w14:paraId="5B6B3C1A" w14:textId="77777777" w:rsidR="00AD001B" w:rsidRPr="00B62815" w:rsidRDefault="00AD001B" w:rsidP="00AD001B">
      <w:pPr>
        <w:jc w:val="both"/>
        <w:rPr>
          <w:rFonts w:asciiTheme="minorHAnsi" w:eastAsia="Calibri" w:hAnsiTheme="minorHAnsi" w:cstheme="minorHAnsi"/>
          <w:b/>
          <w:bCs/>
          <w:i/>
          <w:sz w:val="22"/>
          <w:szCs w:val="22"/>
          <w:lang w:val="es-US"/>
        </w:rPr>
      </w:pPr>
      <w:r w:rsidRPr="00B62815">
        <w:rPr>
          <w:rFonts w:asciiTheme="minorHAnsi" w:eastAsia="Calibri" w:hAnsiTheme="minorHAnsi" w:cstheme="minorHAnsi"/>
          <w:b/>
          <w:bCs/>
          <w:i/>
          <w:sz w:val="22"/>
          <w:szCs w:val="22"/>
          <w:lang w:val="es-US"/>
        </w:rPr>
        <w:t>La Red Interamericana para la Administración Laboral (RIAL)</w:t>
      </w:r>
    </w:p>
    <w:p w14:paraId="3BED8956" w14:textId="77777777" w:rsidR="00AD001B" w:rsidRPr="00B62815" w:rsidRDefault="00AD001B" w:rsidP="00AD001B">
      <w:pPr>
        <w:numPr>
          <w:ilvl w:val="0"/>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Se prestó asistencia técnica a lis Ministerios de Trabajo y Educación de 18 Estados Miembros, organizaciones internacionales, representantes del sector privado, instituciones educativas, trabajadores y empleadores para formular recomendaciones de políticas sobre el fortalecimiento de la coordinación entre los Ministerios de trabajo, Ministerios de Educación y las instituciones de capacitación profesional; el desarrollo de habilidades para el futuro; abordar la brecha de habilidades; y armonizar las ofertas de educación y capacitación con las necesidades futuras del mundo laboral a través del taller hemisférico “Las habilidades del futuro”.</w:t>
      </w:r>
    </w:p>
    <w:p w14:paraId="22BA848E" w14:textId="77777777" w:rsidR="00AD001B" w:rsidRPr="00B62815" w:rsidRDefault="00AD001B" w:rsidP="00AD001B">
      <w:pPr>
        <w:jc w:val="both"/>
        <w:rPr>
          <w:rFonts w:asciiTheme="minorHAnsi" w:eastAsia="Calibri" w:hAnsiTheme="minorHAnsi" w:cstheme="minorHAnsi"/>
          <w:b/>
          <w:bCs/>
          <w:sz w:val="22"/>
          <w:szCs w:val="22"/>
          <w:lang w:val="es-US"/>
        </w:rPr>
      </w:pPr>
    </w:p>
    <w:p w14:paraId="687C0D08" w14:textId="35857573" w:rsidR="001C2CF3" w:rsidRDefault="001C2CF3" w:rsidP="00AD001B">
      <w:pPr>
        <w:jc w:val="both"/>
        <w:rPr>
          <w:rFonts w:asciiTheme="minorHAnsi" w:eastAsia="Calibri" w:hAnsiTheme="minorHAnsi" w:cstheme="minorHAnsi"/>
          <w:b/>
          <w:bCs/>
          <w:sz w:val="22"/>
          <w:szCs w:val="22"/>
          <w:lang w:val="es-US"/>
        </w:rPr>
      </w:pPr>
    </w:p>
    <w:p w14:paraId="5BF77ECA" w14:textId="74C280E9" w:rsidR="00B22AF2" w:rsidRDefault="00B22AF2" w:rsidP="00AD001B">
      <w:pPr>
        <w:jc w:val="both"/>
        <w:rPr>
          <w:rFonts w:asciiTheme="minorHAnsi" w:eastAsia="Calibri" w:hAnsiTheme="minorHAnsi" w:cstheme="minorHAnsi"/>
          <w:b/>
          <w:bCs/>
          <w:sz w:val="22"/>
          <w:szCs w:val="22"/>
          <w:lang w:val="es-US"/>
        </w:rPr>
      </w:pPr>
    </w:p>
    <w:p w14:paraId="64D85F15" w14:textId="77777777" w:rsidR="00B22AF2" w:rsidRPr="00B62815" w:rsidRDefault="00B22AF2" w:rsidP="00AD001B">
      <w:pPr>
        <w:jc w:val="both"/>
        <w:rPr>
          <w:rFonts w:asciiTheme="minorHAnsi" w:eastAsia="Calibri" w:hAnsiTheme="minorHAnsi" w:cstheme="minorHAnsi"/>
          <w:b/>
          <w:bCs/>
          <w:sz w:val="22"/>
          <w:szCs w:val="22"/>
          <w:lang w:val="es-US"/>
        </w:rPr>
      </w:pPr>
    </w:p>
    <w:p w14:paraId="7A0CD6C0" w14:textId="77777777" w:rsidR="001C2CF3" w:rsidRPr="00B62815" w:rsidRDefault="001C2CF3" w:rsidP="00AD001B">
      <w:pPr>
        <w:jc w:val="both"/>
        <w:rPr>
          <w:rFonts w:asciiTheme="minorHAnsi" w:eastAsia="Calibri" w:hAnsiTheme="minorHAnsi" w:cstheme="minorHAnsi"/>
          <w:b/>
          <w:bCs/>
          <w:sz w:val="22"/>
          <w:szCs w:val="22"/>
          <w:lang w:val="es-US"/>
        </w:rPr>
      </w:pPr>
    </w:p>
    <w:p w14:paraId="599784B3" w14:textId="77777777" w:rsidR="00AD001B" w:rsidRPr="00B62815" w:rsidRDefault="00AD001B" w:rsidP="00AD001B">
      <w:pPr>
        <w:jc w:val="both"/>
        <w:rPr>
          <w:rFonts w:asciiTheme="minorHAnsi" w:eastAsia="Calibri" w:hAnsiTheme="minorHAnsi" w:cstheme="minorHAnsi"/>
          <w:b/>
          <w:bCs/>
          <w:sz w:val="22"/>
          <w:szCs w:val="22"/>
          <w:u w:val="single"/>
          <w:lang w:val="es-US"/>
        </w:rPr>
      </w:pPr>
      <w:r w:rsidRPr="00B62815">
        <w:rPr>
          <w:rFonts w:asciiTheme="minorHAnsi" w:eastAsia="Calibri" w:hAnsiTheme="minorHAnsi" w:cstheme="minorHAnsi"/>
          <w:b/>
          <w:bCs/>
          <w:sz w:val="22"/>
          <w:szCs w:val="22"/>
          <w:u w:val="single"/>
          <w:lang w:val="es-US"/>
        </w:rPr>
        <w:t>Línea Estratégica 5: Fomentar la cooperación para el desarrollo y la creación de alianzas</w:t>
      </w:r>
    </w:p>
    <w:p w14:paraId="24CAB819" w14:textId="77777777" w:rsidR="00AD001B" w:rsidRPr="00B62815" w:rsidRDefault="00AD001B" w:rsidP="00AD001B">
      <w:pPr>
        <w:jc w:val="both"/>
        <w:rPr>
          <w:rFonts w:asciiTheme="minorHAnsi" w:eastAsia="Calibri" w:hAnsiTheme="minorHAnsi" w:cstheme="minorHAnsi"/>
          <w:b/>
          <w:bCs/>
          <w:sz w:val="22"/>
          <w:szCs w:val="22"/>
          <w:u w:val="single"/>
          <w:lang w:val="es-US"/>
        </w:rPr>
      </w:pPr>
    </w:p>
    <w:p w14:paraId="10054E3C" w14:textId="77777777" w:rsidR="00AD001B" w:rsidRPr="00B62815" w:rsidRDefault="00AD001B" w:rsidP="00AD001B">
      <w:pPr>
        <w:numPr>
          <w:ilvl w:val="0"/>
          <w:numId w:val="113"/>
        </w:numPr>
        <w:contextualSpacing/>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 xml:space="preserve">La renovada Red Interamericana de Cooperación (CooperaNet) </w:t>
      </w:r>
      <w:r w:rsidRPr="00B62815">
        <w:rPr>
          <w:rFonts w:asciiTheme="minorHAnsi" w:hAnsiTheme="minorHAnsi" w:cstheme="minorHAnsi"/>
          <w:sz w:val="22"/>
          <w:szCs w:val="22"/>
          <w:lang w:val="es-ES"/>
        </w:rPr>
        <w:t>un espacio consolidado para optimizar alianzas, establecer asociaciones y redes, aprovechar la asistencia para el desarrollo y responder a la necesidad de una cooperación técnica más impulsada en la demanda en las Américas, a la vez que se facilita el logro regional de los Objetivos de Desarrollo Sostenible (ODS)</w:t>
      </w:r>
      <w:r w:rsidRPr="00B62815">
        <w:rPr>
          <w:rFonts w:asciiTheme="minorHAnsi" w:eastAsia="Calibri" w:hAnsiTheme="minorHAnsi" w:cstheme="minorHAnsi"/>
          <w:sz w:val="22"/>
          <w:szCs w:val="22"/>
          <w:lang w:val="es-US"/>
        </w:rPr>
        <w:t>.</w:t>
      </w:r>
    </w:p>
    <w:p w14:paraId="3696FB49" w14:textId="77777777" w:rsidR="00AD001B" w:rsidRPr="00B62815" w:rsidRDefault="00AD001B" w:rsidP="00AD001B">
      <w:pPr>
        <w:numPr>
          <w:ilvl w:val="0"/>
          <w:numId w:val="113"/>
        </w:numPr>
        <w:jc w:val="both"/>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La Estrategia de alianzas de la SEDI, fue desarrollada y lanzada para el involucramiento del sector privado, fundaciones, academia y otros actores no gubernamentales y multilaterales pertinentes en el diálogo para abordar los ODS de manera sostenible y en mayor escala.</w:t>
      </w:r>
    </w:p>
    <w:p w14:paraId="11FFC255" w14:textId="77777777" w:rsidR="00AD001B" w:rsidRPr="00B62815" w:rsidRDefault="00AD001B" w:rsidP="00AD001B">
      <w:pPr>
        <w:jc w:val="both"/>
        <w:rPr>
          <w:rFonts w:asciiTheme="minorHAnsi" w:eastAsia="Calibri" w:hAnsiTheme="minorHAnsi" w:cstheme="minorHAnsi"/>
          <w:sz w:val="22"/>
          <w:szCs w:val="22"/>
          <w:lang w:val="es-US"/>
        </w:rPr>
      </w:pPr>
    </w:p>
    <w:p w14:paraId="1BCEEF87" w14:textId="77777777" w:rsidR="00AD001B" w:rsidRPr="00B62815" w:rsidRDefault="001C2CF3" w:rsidP="00AD001B">
      <w:pPr>
        <w:jc w:val="both"/>
        <w:rPr>
          <w:rFonts w:asciiTheme="minorHAnsi" w:eastAsia="Calibri" w:hAnsiTheme="minorHAnsi" w:cstheme="minorHAnsi"/>
          <w:sz w:val="22"/>
          <w:szCs w:val="22"/>
        </w:rPr>
      </w:pPr>
      <w:r w:rsidRPr="00B62815">
        <w:rPr>
          <w:rFonts w:asciiTheme="minorHAnsi" w:eastAsia="Calibri" w:hAnsiTheme="minorHAnsi" w:cstheme="minorHAnsi"/>
          <w:noProof/>
          <w:sz w:val="22"/>
          <w:szCs w:val="22"/>
        </w:rPr>
        <w:lastRenderedPageBreak/>
        <w:drawing>
          <wp:inline distT="0" distB="0" distL="0" distR="0" wp14:anchorId="04558E7D" wp14:editId="6148081B">
            <wp:extent cx="6654165" cy="9137650"/>
            <wp:effectExtent l="38100" t="0" r="70485" b="0"/>
            <wp:docPr id="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CC7CDCE" w14:textId="5C045307" w:rsidR="008646CD" w:rsidRPr="00B62815" w:rsidRDefault="00680BD9" w:rsidP="00DF64D6">
      <w:pPr>
        <w:pStyle w:val="Heading1"/>
        <w:rPr>
          <w:rFonts w:asciiTheme="minorHAnsi" w:hAnsiTheme="minorHAnsi" w:cstheme="minorHAnsi"/>
          <w:b w:val="0"/>
          <w:color w:val="1F497D"/>
          <w:sz w:val="22"/>
          <w:szCs w:val="22"/>
          <w:lang w:val="es-ES"/>
        </w:rPr>
      </w:pPr>
      <w:bookmarkStart w:id="34" w:name="_Toc39675835"/>
      <w:bookmarkStart w:id="35" w:name="_Toc40191058"/>
      <w:r w:rsidRPr="00B62815">
        <w:rPr>
          <w:rFonts w:asciiTheme="minorHAnsi" w:hAnsiTheme="minorHAnsi" w:cstheme="minorHAnsi"/>
          <w:color w:val="1F497D"/>
          <w:sz w:val="22"/>
          <w:szCs w:val="22"/>
          <w:lang w:val="es-ES"/>
        </w:rPr>
        <w:lastRenderedPageBreak/>
        <w:t>2.5</w:t>
      </w:r>
      <w:r w:rsidRPr="00B62815">
        <w:rPr>
          <w:rFonts w:asciiTheme="minorHAnsi" w:hAnsiTheme="minorHAnsi" w:cstheme="minorHAnsi"/>
          <w:color w:val="1F497D"/>
          <w:sz w:val="22"/>
          <w:szCs w:val="22"/>
          <w:lang w:val="es-ES"/>
        </w:rPr>
        <w:tab/>
      </w:r>
      <w:r w:rsidR="005F0193" w:rsidRPr="00B62815">
        <w:rPr>
          <w:rFonts w:asciiTheme="minorHAnsi" w:hAnsiTheme="minorHAnsi" w:cstheme="minorHAnsi"/>
          <w:color w:val="1F497D"/>
          <w:sz w:val="22"/>
          <w:szCs w:val="22"/>
          <w:lang w:val="es-ES"/>
        </w:rPr>
        <w:t>SE</w:t>
      </w:r>
      <w:r w:rsidR="000567F0" w:rsidRPr="00B62815">
        <w:rPr>
          <w:rFonts w:asciiTheme="minorHAnsi" w:hAnsiTheme="minorHAnsi" w:cstheme="minorHAnsi"/>
          <w:color w:val="1F497D"/>
          <w:sz w:val="22"/>
          <w:szCs w:val="22"/>
          <w:lang w:val="es-ES"/>
        </w:rPr>
        <w:t>CRETARÍA DE SEGURIDAD MULTIDIMENSIONAL</w:t>
      </w:r>
      <w:bookmarkEnd w:id="34"/>
      <w:bookmarkEnd w:id="35"/>
    </w:p>
    <w:p w14:paraId="482F47C7" w14:textId="77777777" w:rsidR="005C0634" w:rsidRPr="00B62815" w:rsidRDefault="005C0634" w:rsidP="005C0634">
      <w:pPr>
        <w:ind w:left="720"/>
        <w:jc w:val="both"/>
        <w:rPr>
          <w:rFonts w:asciiTheme="minorHAnsi" w:hAnsiTheme="minorHAnsi" w:cstheme="minorHAnsi"/>
          <w:b/>
          <w:sz w:val="22"/>
          <w:szCs w:val="22"/>
          <w:lang w:val="es-ES"/>
        </w:rPr>
      </w:pPr>
    </w:p>
    <w:p w14:paraId="58E18584" w14:textId="77777777" w:rsidR="005C0634" w:rsidRPr="00B62815" w:rsidRDefault="003B5D7E" w:rsidP="0037172C">
      <w:pPr>
        <w:pStyle w:val="ListParagraph"/>
        <w:spacing w:line="276" w:lineRule="auto"/>
        <w:ind w:left="0"/>
        <w:contextualSpacing/>
        <w:outlineLvl w:val="2"/>
        <w:rPr>
          <w:rFonts w:asciiTheme="minorHAnsi" w:hAnsiTheme="minorHAnsi" w:cstheme="minorHAnsi"/>
          <w:color w:val="E36C0A"/>
          <w:sz w:val="22"/>
          <w:szCs w:val="22"/>
          <w:lang w:val="es-ES"/>
        </w:rPr>
      </w:pPr>
      <w:bookmarkStart w:id="36" w:name="_Toc39675836"/>
      <w:bookmarkStart w:id="37" w:name="_Toc40191059"/>
      <w:r w:rsidRPr="00B62815">
        <w:rPr>
          <w:rFonts w:asciiTheme="minorHAnsi" w:hAnsiTheme="minorHAnsi" w:cstheme="minorHAnsi"/>
          <w:color w:val="E36C0A"/>
          <w:sz w:val="22"/>
          <w:szCs w:val="22"/>
          <w:lang w:val="es-ES"/>
        </w:rPr>
        <w:t>2.5.1</w:t>
      </w:r>
      <w:r w:rsidRPr="00B62815">
        <w:rPr>
          <w:rFonts w:asciiTheme="minorHAnsi" w:hAnsiTheme="minorHAnsi" w:cstheme="minorHAnsi"/>
          <w:color w:val="E36C0A"/>
          <w:sz w:val="22"/>
          <w:szCs w:val="22"/>
          <w:lang w:val="es-ES"/>
        </w:rPr>
        <w:tab/>
      </w:r>
      <w:r w:rsidR="005C0634" w:rsidRPr="00B62815">
        <w:rPr>
          <w:rFonts w:asciiTheme="minorHAnsi" w:hAnsiTheme="minorHAnsi" w:cstheme="minorHAnsi"/>
          <w:color w:val="E36C0A"/>
          <w:sz w:val="22"/>
          <w:szCs w:val="22"/>
          <w:lang w:val="es-ES"/>
        </w:rPr>
        <w:t>Secretaría Ejecutiva de la Comisión Interamericana contra el Abuso de Drogas (CICAD)</w:t>
      </w:r>
      <w:bookmarkEnd w:id="36"/>
      <w:bookmarkEnd w:id="37"/>
    </w:p>
    <w:p w14:paraId="5ECC0C31" w14:textId="77777777" w:rsidR="00F72E58" w:rsidRPr="00B62815" w:rsidRDefault="00F72E58" w:rsidP="0037172C">
      <w:pPr>
        <w:pStyle w:val="ListParagraph"/>
        <w:spacing w:line="276" w:lineRule="auto"/>
        <w:ind w:left="0"/>
        <w:contextualSpacing/>
        <w:outlineLvl w:val="2"/>
        <w:rPr>
          <w:rFonts w:asciiTheme="minorHAnsi" w:hAnsiTheme="minorHAnsi" w:cstheme="minorHAnsi"/>
          <w:color w:val="E36C0A"/>
          <w:sz w:val="22"/>
          <w:szCs w:val="22"/>
          <w:lang w:val="es-ES"/>
        </w:rPr>
      </w:pPr>
    </w:p>
    <w:p w14:paraId="54FC9B93" w14:textId="77777777" w:rsidR="00F72E58" w:rsidRPr="00B62815" w:rsidRDefault="00F72E58" w:rsidP="00F72E58">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Durante el 2019 se realizaron dos sesiones ordinarias de la Comisión: CICAD 65 en Buenos Aires, bajo la Presidencia de Argentina y CICAD 66 en Miami, bajo la Presidencia de los Estados Unidos. </w:t>
      </w:r>
    </w:p>
    <w:p w14:paraId="79E94631" w14:textId="77777777" w:rsidR="00F72E58" w:rsidRPr="00B62815" w:rsidRDefault="00F72E58" w:rsidP="00F72E58">
      <w:pPr>
        <w:jc w:val="both"/>
        <w:rPr>
          <w:rFonts w:asciiTheme="minorHAnsi" w:hAnsiTheme="minorHAnsi" w:cstheme="minorHAnsi"/>
          <w:sz w:val="22"/>
          <w:szCs w:val="22"/>
          <w:lang w:val="es-ES"/>
        </w:rPr>
      </w:pPr>
    </w:p>
    <w:p w14:paraId="0536C64F" w14:textId="77777777" w:rsidR="00F72E58" w:rsidRPr="00B62815" w:rsidRDefault="00F72E58" w:rsidP="00F72E58">
      <w:pPr>
        <w:rPr>
          <w:rFonts w:asciiTheme="minorHAnsi" w:hAnsiTheme="minorHAnsi" w:cstheme="minorHAnsi"/>
          <w:b/>
          <w:sz w:val="22"/>
          <w:szCs w:val="22"/>
          <w:lang w:val="es-ES"/>
        </w:rPr>
      </w:pPr>
      <w:r w:rsidRPr="00B62815">
        <w:rPr>
          <w:rFonts w:asciiTheme="minorHAnsi" w:hAnsiTheme="minorHAnsi" w:cstheme="minorHAnsi"/>
          <w:b/>
          <w:sz w:val="22"/>
          <w:szCs w:val="22"/>
          <w:lang w:val="es-ES"/>
        </w:rPr>
        <w:t>Logros y Resultados 2019</w:t>
      </w:r>
    </w:p>
    <w:p w14:paraId="21626598" w14:textId="77777777" w:rsidR="00F72E58" w:rsidRPr="00B62815" w:rsidRDefault="00F72E58" w:rsidP="00F72E58">
      <w:pPr>
        <w:jc w:val="center"/>
        <w:rPr>
          <w:rFonts w:asciiTheme="minorHAnsi" w:hAnsiTheme="minorHAnsi" w:cstheme="minorHAnsi"/>
          <w:b/>
          <w:color w:val="5B9BD5"/>
          <w:sz w:val="22"/>
          <w:szCs w:val="22"/>
          <w:lang w:val="es-ES"/>
        </w:rPr>
      </w:pPr>
    </w:p>
    <w:p w14:paraId="56E04817" w14:textId="77777777" w:rsidR="00F72E58" w:rsidRPr="00B62815" w:rsidRDefault="00F72E58" w:rsidP="00F72E58">
      <w:pPr>
        <w:jc w:val="both"/>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Observatorio Interamericano sobre Drogas (OID)</w:t>
      </w:r>
    </w:p>
    <w:p w14:paraId="753A8C52" w14:textId="77777777" w:rsidR="00F72E58" w:rsidRPr="00B62815" w:rsidRDefault="00F72E58" w:rsidP="00F72E58">
      <w:pPr>
        <w:jc w:val="both"/>
        <w:rPr>
          <w:rFonts w:asciiTheme="minorHAnsi" w:hAnsiTheme="minorHAnsi" w:cstheme="minorHAnsi"/>
          <w:b/>
          <w:color w:val="5B9BD5"/>
          <w:sz w:val="22"/>
          <w:szCs w:val="22"/>
          <w:lang w:val="es-ES"/>
        </w:rPr>
      </w:pPr>
    </w:p>
    <w:p w14:paraId="62260A31" w14:textId="77777777" w:rsidR="00F72E58" w:rsidRPr="00B62815" w:rsidRDefault="00F72E58" w:rsidP="00E67635">
      <w:pPr>
        <w:numPr>
          <w:ilvl w:val="0"/>
          <w:numId w:val="37"/>
        </w:numPr>
        <w:ind w:left="36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Publicación y lanzamiento del Informe sobre el Consumo de Drogas en las Américas 2019, Adulterantes de las Drogas y sus Efectos en la Salud de los Usuarios: una revisión Crítica, Indicadores Estandarizados para las Redes Nacionales de Información sobre Drogas en América Latina, Estudios Multicéntricos sobre Alteraciones de la Función Cerebral en Usuarios de Cocaínas Fumables, y Análisis de Seguimiento de Usuarios de Cocaínas Fumables en Programas de Atención y Tratamiento a Dos Anos del Ingreso. </w:t>
      </w:r>
    </w:p>
    <w:p w14:paraId="6861E2EC" w14:textId="77777777" w:rsidR="00F72E58" w:rsidRPr="00B62815" w:rsidRDefault="00F72E58" w:rsidP="00F72E58">
      <w:pPr>
        <w:ind w:left="360"/>
        <w:jc w:val="both"/>
        <w:rPr>
          <w:rFonts w:asciiTheme="minorHAnsi" w:hAnsiTheme="minorHAnsi" w:cstheme="minorHAnsi"/>
          <w:sz w:val="22"/>
          <w:szCs w:val="22"/>
          <w:lang w:val="es-ES"/>
        </w:rPr>
      </w:pPr>
    </w:p>
    <w:p w14:paraId="0E4B71DF" w14:textId="77777777" w:rsidR="00F72E58" w:rsidRPr="00B62815" w:rsidRDefault="00F72E58" w:rsidP="00E67635">
      <w:pPr>
        <w:numPr>
          <w:ilvl w:val="0"/>
          <w:numId w:val="37"/>
        </w:numPr>
        <w:ind w:left="36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Realización de taller regional para 16 Estados Miembros sobre información relacionada al control de la oferta de drogas y un taller sub-regional para observatorios nacionales sobre drogas (ONDs) de siete Estados Miembros sobre la implementación de indicadores estandarizados para las redes nacionales de información sobre drogas, sistemas de alerta temprana sobre drogas (SATs) y sistemas de información sobre tratamiento.</w:t>
      </w:r>
    </w:p>
    <w:p w14:paraId="7F5C2E55" w14:textId="77777777" w:rsidR="00F72E58" w:rsidRPr="00B62815" w:rsidRDefault="00F72E58" w:rsidP="00F72E58">
      <w:pPr>
        <w:pStyle w:val="ListParagraph"/>
        <w:ind w:left="360"/>
        <w:rPr>
          <w:rFonts w:asciiTheme="minorHAnsi" w:hAnsiTheme="minorHAnsi" w:cstheme="minorHAnsi"/>
          <w:sz w:val="22"/>
          <w:szCs w:val="22"/>
          <w:lang w:val="es-ES"/>
        </w:rPr>
      </w:pPr>
    </w:p>
    <w:p w14:paraId="0E6A672C" w14:textId="77777777" w:rsidR="00F72E58" w:rsidRPr="00B62815" w:rsidRDefault="00F72E58" w:rsidP="00E67635">
      <w:pPr>
        <w:numPr>
          <w:ilvl w:val="0"/>
          <w:numId w:val="37"/>
        </w:numPr>
        <w:ind w:left="36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Realización de reuniones técnicas para desarrollar y fortalecer los ONDs, SATs, y los laboratorios forenses, capacitándose a participantes de 12 Estados Miembros.</w:t>
      </w:r>
    </w:p>
    <w:p w14:paraId="2304B2DE" w14:textId="77777777" w:rsidR="00F72E58" w:rsidRPr="00B62815" w:rsidRDefault="00F72E58" w:rsidP="00F72E58">
      <w:pPr>
        <w:ind w:left="360"/>
        <w:jc w:val="both"/>
        <w:rPr>
          <w:rFonts w:asciiTheme="minorHAnsi" w:hAnsiTheme="minorHAnsi" w:cstheme="minorHAnsi"/>
          <w:sz w:val="22"/>
          <w:szCs w:val="22"/>
          <w:lang w:val="es-ES"/>
        </w:rPr>
      </w:pPr>
    </w:p>
    <w:p w14:paraId="064EA4C0" w14:textId="77777777" w:rsidR="00F72E58" w:rsidRPr="00B62815" w:rsidRDefault="00F72E58" w:rsidP="00E67635">
      <w:pPr>
        <w:numPr>
          <w:ilvl w:val="0"/>
          <w:numId w:val="37"/>
        </w:numPr>
        <w:ind w:left="36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Apoyo a estudios sobre temas de heroína, opioides y otras drogas emergentes en cinco Estados Miembros.</w:t>
      </w:r>
    </w:p>
    <w:p w14:paraId="121312C6" w14:textId="77777777" w:rsidR="00F72E58" w:rsidRPr="00B62815" w:rsidRDefault="00F72E58" w:rsidP="00F72E58">
      <w:pPr>
        <w:ind w:left="360"/>
        <w:jc w:val="both"/>
        <w:rPr>
          <w:rFonts w:asciiTheme="minorHAnsi" w:hAnsiTheme="minorHAnsi" w:cstheme="minorHAnsi"/>
          <w:sz w:val="22"/>
          <w:szCs w:val="22"/>
          <w:lang w:val="es-ES"/>
        </w:rPr>
      </w:pPr>
    </w:p>
    <w:p w14:paraId="00C3F22D" w14:textId="77777777" w:rsidR="00F72E58" w:rsidRPr="00B62815" w:rsidRDefault="00F72E58" w:rsidP="00E67635">
      <w:pPr>
        <w:numPr>
          <w:ilvl w:val="0"/>
          <w:numId w:val="37"/>
        </w:numPr>
        <w:ind w:left="36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Publicación de alertas de los SATs de cuatro países en el Sistema de Alerta Temprana sobre drogas de las Américas (</w:t>
      </w:r>
      <w:hyperlink r:id="rId66" w:history="1">
        <w:r w:rsidRPr="00B62815">
          <w:rPr>
            <w:rStyle w:val="Hyperlink"/>
            <w:rFonts w:asciiTheme="minorHAnsi" w:hAnsiTheme="minorHAnsi" w:cstheme="minorHAnsi"/>
            <w:sz w:val="22"/>
            <w:szCs w:val="22"/>
            <w:lang w:val="es-ES"/>
          </w:rPr>
          <w:t>SATA</w:t>
        </w:r>
      </w:hyperlink>
      <w:r w:rsidRPr="00B62815">
        <w:rPr>
          <w:rFonts w:asciiTheme="minorHAnsi" w:hAnsiTheme="minorHAnsi" w:cstheme="minorHAnsi"/>
          <w:sz w:val="22"/>
          <w:szCs w:val="22"/>
          <w:lang w:val="es-ES"/>
        </w:rPr>
        <w:t>).</w:t>
      </w:r>
    </w:p>
    <w:p w14:paraId="782E5D52" w14:textId="77777777" w:rsidR="00F72E58" w:rsidRPr="00B62815" w:rsidRDefault="00F72E58" w:rsidP="00F72E58">
      <w:pPr>
        <w:pStyle w:val="ListParagraph"/>
        <w:ind w:left="360"/>
        <w:contextualSpacing/>
        <w:jc w:val="both"/>
        <w:rPr>
          <w:rFonts w:asciiTheme="minorHAnsi" w:hAnsiTheme="minorHAnsi" w:cstheme="minorHAnsi"/>
          <w:sz w:val="22"/>
          <w:szCs w:val="22"/>
          <w:lang w:val="es-ES"/>
        </w:rPr>
      </w:pPr>
    </w:p>
    <w:p w14:paraId="25BEFCBE" w14:textId="77777777" w:rsidR="00F72E58" w:rsidRPr="00B62815" w:rsidRDefault="00F72E58" w:rsidP="00F72E58">
      <w:pPr>
        <w:jc w:val="both"/>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Mecanismo de Evaluación Multilateral (MEM)</w:t>
      </w:r>
    </w:p>
    <w:p w14:paraId="2AF2BDE5" w14:textId="77777777" w:rsidR="00F72E58" w:rsidRPr="00B62815" w:rsidRDefault="00F72E58" w:rsidP="00F72E58">
      <w:pPr>
        <w:jc w:val="both"/>
        <w:rPr>
          <w:rFonts w:asciiTheme="minorHAnsi" w:hAnsiTheme="minorHAnsi" w:cstheme="minorHAnsi"/>
          <w:b/>
          <w:color w:val="5B9BD5"/>
          <w:sz w:val="22"/>
          <w:szCs w:val="22"/>
          <w:lang w:val="es-ES"/>
        </w:rPr>
      </w:pPr>
    </w:p>
    <w:p w14:paraId="3D6BCEDC" w14:textId="77777777" w:rsidR="00F72E58" w:rsidRPr="00B62815" w:rsidRDefault="00F72E58" w:rsidP="00E67635">
      <w:pPr>
        <w:numPr>
          <w:ilvl w:val="0"/>
          <w:numId w:val="38"/>
        </w:numPr>
        <w:ind w:left="360"/>
        <w:jc w:val="both"/>
        <w:rPr>
          <w:rFonts w:asciiTheme="minorHAnsi" w:hAnsiTheme="minorHAnsi" w:cstheme="minorHAnsi"/>
          <w:color w:val="000000"/>
          <w:sz w:val="22"/>
          <w:szCs w:val="22"/>
          <w:lang w:val="es-BO"/>
        </w:rPr>
      </w:pPr>
      <w:r w:rsidRPr="00B62815">
        <w:rPr>
          <w:rFonts w:asciiTheme="minorHAnsi" w:hAnsiTheme="minorHAnsi" w:cstheme="minorHAnsi"/>
          <w:color w:val="000000"/>
          <w:sz w:val="22"/>
          <w:szCs w:val="22"/>
          <w:lang w:val="es-BO"/>
        </w:rPr>
        <w:t xml:space="preserve">Publicación de 33 informes nacionales de evaluación de la </w:t>
      </w:r>
      <w:hyperlink r:id="rId67" w:history="1">
        <w:r w:rsidRPr="00B62815">
          <w:rPr>
            <w:rStyle w:val="Hyperlink"/>
            <w:rFonts w:asciiTheme="minorHAnsi" w:hAnsiTheme="minorHAnsi" w:cstheme="minorHAnsi"/>
            <w:sz w:val="22"/>
            <w:szCs w:val="22"/>
            <w:lang w:val="es-BO"/>
          </w:rPr>
          <w:t>7ma ronda del MEM</w:t>
        </w:r>
      </w:hyperlink>
      <w:r w:rsidRPr="00B62815">
        <w:rPr>
          <w:rFonts w:asciiTheme="minorHAnsi" w:hAnsiTheme="minorHAnsi" w:cstheme="minorHAnsi"/>
          <w:color w:val="000000"/>
          <w:sz w:val="22"/>
          <w:szCs w:val="22"/>
          <w:lang w:val="es-BO"/>
        </w:rPr>
        <w:t>.</w:t>
      </w:r>
    </w:p>
    <w:p w14:paraId="6BEBB180" w14:textId="77777777" w:rsidR="00F72E58" w:rsidRPr="00B62815" w:rsidRDefault="00F72E58" w:rsidP="00E67635">
      <w:pPr>
        <w:numPr>
          <w:ilvl w:val="0"/>
          <w:numId w:val="38"/>
        </w:numPr>
        <w:ind w:left="360"/>
        <w:jc w:val="both"/>
        <w:rPr>
          <w:rFonts w:asciiTheme="minorHAnsi" w:hAnsiTheme="minorHAnsi" w:cstheme="minorHAnsi"/>
          <w:sz w:val="22"/>
          <w:szCs w:val="22"/>
          <w:lang w:val="es-DO"/>
        </w:rPr>
      </w:pPr>
      <w:r w:rsidRPr="00B62815">
        <w:rPr>
          <w:rFonts w:asciiTheme="minorHAnsi" w:hAnsiTheme="minorHAnsi" w:cstheme="minorHAnsi"/>
          <w:sz w:val="22"/>
          <w:szCs w:val="22"/>
          <w:lang w:val="es-DO"/>
        </w:rPr>
        <w:t xml:space="preserve">Publicación del informe hemisférico del MEM de la 7ma ronda, el cual analiza tendencias, fortalezas y debilidades de las políticas sobre drogas a nivel regional. </w:t>
      </w:r>
    </w:p>
    <w:p w14:paraId="4C0564B3" w14:textId="77777777" w:rsidR="00F72E58" w:rsidRPr="00B62815" w:rsidRDefault="00F72E58" w:rsidP="00E67635">
      <w:pPr>
        <w:numPr>
          <w:ilvl w:val="0"/>
          <w:numId w:val="38"/>
        </w:numPr>
        <w:ind w:left="360"/>
        <w:jc w:val="both"/>
        <w:rPr>
          <w:rFonts w:asciiTheme="minorHAnsi" w:hAnsiTheme="minorHAnsi" w:cstheme="minorHAnsi"/>
          <w:color w:val="000000"/>
          <w:sz w:val="22"/>
          <w:szCs w:val="22"/>
          <w:lang w:val="es-BO"/>
        </w:rPr>
      </w:pPr>
      <w:r w:rsidRPr="00B62815">
        <w:rPr>
          <w:rFonts w:asciiTheme="minorHAnsi" w:hAnsiTheme="minorHAnsi" w:cstheme="minorHAnsi"/>
          <w:sz w:val="22"/>
          <w:szCs w:val="22"/>
          <w:lang w:val="es-BO"/>
        </w:rPr>
        <w:t>P</w:t>
      </w:r>
      <w:r w:rsidRPr="00B62815">
        <w:rPr>
          <w:rFonts w:asciiTheme="minorHAnsi" w:hAnsiTheme="minorHAnsi" w:cstheme="minorHAnsi"/>
          <w:sz w:val="22"/>
          <w:szCs w:val="22"/>
          <w:lang w:val="es-DO"/>
        </w:rPr>
        <w:t>resentación de informes nacionales de evaluación del MEM con autoridades de alto nivel y personal técnico en cinco países, así como organizaciones internacionales y regionales</w:t>
      </w:r>
      <w:r w:rsidRPr="00B62815">
        <w:rPr>
          <w:rFonts w:asciiTheme="minorHAnsi" w:hAnsiTheme="minorHAnsi" w:cstheme="minorHAnsi"/>
          <w:color w:val="000000"/>
          <w:sz w:val="22"/>
          <w:szCs w:val="22"/>
          <w:lang w:val="es-BO"/>
        </w:rPr>
        <w:t>.</w:t>
      </w:r>
    </w:p>
    <w:p w14:paraId="05F501C5" w14:textId="77777777" w:rsidR="00F72E58" w:rsidRPr="00B62815" w:rsidRDefault="00F72E58" w:rsidP="00F72E58">
      <w:pPr>
        <w:pStyle w:val="ListParagraph"/>
        <w:ind w:left="360"/>
        <w:contextualSpacing/>
        <w:jc w:val="both"/>
        <w:rPr>
          <w:rFonts w:asciiTheme="minorHAnsi" w:hAnsiTheme="minorHAnsi" w:cstheme="minorHAnsi"/>
          <w:color w:val="000000"/>
          <w:sz w:val="22"/>
          <w:szCs w:val="22"/>
          <w:lang w:val="es-BO"/>
        </w:rPr>
      </w:pPr>
    </w:p>
    <w:p w14:paraId="235194C5" w14:textId="77777777" w:rsidR="00F72E58" w:rsidRPr="00B62815" w:rsidRDefault="00F72E58" w:rsidP="00F72E58">
      <w:pPr>
        <w:jc w:val="both"/>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Reducción de la Oferta:</w:t>
      </w:r>
    </w:p>
    <w:p w14:paraId="0BC517DF" w14:textId="77777777" w:rsidR="00F72E58" w:rsidRPr="00B62815" w:rsidRDefault="00F72E58" w:rsidP="00F72E58">
      <w:pPr>
        <w:jc w:val="both"/>
        <w:rPr>
          <w:rFonts w:asciiTheme="minorHAnsi" w:hAnsiTheme="minorHAnsi" w:cstheme="minorHAnsi"/>
          <w:b/>
          <w:color w:val="5B9BD5"/>
          <w:sz w:val="22"/>
          <w:szCs w:val="22"/>
          <w:lang w:val="es-ES"/>
        </w:rPr>
      </w:pPr>
    </w:p>
    <w:p w14:paraId="2331725F" w14:textId="77777777" w:rsidR="00F72E58" w:rsidRPr="00B62815" w:rsidRDefault="00F72E58" w:rsidP="00E67635">
      <w:pPr>
        <w:numPr>
          <w:ilvl w:val="0"/>
          <w:numId w:val="35"/>
        </w:numPr>
        <w:rPr>
          <w:rFonts w:asciiTheme="minorHAnsi" w:hAnsiTheme="minorHAnsi" w:cstheme="minorHAnsi"/>
          <w:color w:val="000000"/>
          <w:sz w:val="22"/>
          <w:szCs w:val="22"/>
          <w:lang w:val="es-BO"/>
        </w:rPr>
      </w:pPr>
      <w:r w:rsidRPr="00B62815">
        <w:rPr>
          <w:rFonts w:asciiTheme="minorHAnsi" w:hAnsiTheme="minorHAnsi" w:cstheme="minorHAnsi"/>
          <w:color w:val="000000"/>
          <w:sz w:val="22"/>
          <w:szCs w:val="22"/>
          <w:lang w:val="es-BO"/>
        </w:rPr>
        <w:t xml:space="preserve">Fortalecimiento de capacidades de 540 analistas e investigadores de agencias involucradas en el combate al narcotráfico en Latinoamérica y el Caribe, con el fin de incrementar sus conocimientos y habilidades para reducir la producción, comercialización y distribución de drogas ilícitas. </w:t>
      </w:r>
    </w:p>
    <w:p w14:paraId="3AFD6E5E" w14:textId="77777777" w:rsidR="00F72E58" w:rsidRPr="00B62815" w:rsidRDefault="00F72E58" w:rsidP="00E67635">
      <w:pPr>
        <w:numPr>
          <w:ilvl w:val="0"/>
          <w:numId w:val="35"/>
        </w:numPr>
        <w:rPr>
          <w:rFonts w:asciiTheme="minorHAnsi" w:hAnsiTheme="minorHAnsi" w:cstheme="minorHAnsi"/>
          <w:color w:val="000000"/>
          <w:sz w:val="22"/>
          <w:szCs w:val="22"/>
          <w:lang w:val="es-BO"/>
        </w:rPr>
      </w:pPr>
      <w:r w:rsidRPr="00B62815">
        <w:rPr>
          <w:rFonts w:asciiTheme="minorHAnsi" w:hAnsiTheme="minorHAnsi" w:cstheme="minorHAnsi"/>
          <w:color w:val="000000"/>
          <w:sz w:val="22"/>
          <w:szCs w:val="22"/>
          <w:lang w:val="es-BO"/>
        </w:rPr>
        <w:t xml:space="preserve">En el marco del </w:t>
      </w:r>
      <w:hyperlink r:id="rId68" w:history="1">
        <w:r w:rsidRPr="00B62815">
          <w:rPr>
            <w:rStyle w:val="Hyperlink"/>
            <w:rFonts w:asciiTheme="minorHAnsi" w:hAnsiTheme="minorHAnsi" w:cstheme="minorHAnsi"/>
            <w:sz w:val="22"/>
            <w:szCs w:val="22"/>
            <w:lang w:val="es-BO"/>
          </w:rPr>
          <w:t>Programa Interamericano para el Fortalecimiento de la Igualdad de Género en los Organismos Nacionales encargados de Combatir el Tráfico Ilícito de Drogas (GENLEA, por sus siglas en inglés)</w:t>
        </w:r>
      </w:hyperlink>
      <w:r w:rsidRPr="00B62815">
        <w:rPr>
          <w:rFonts w:asciiTheme="minorHAnsi" w:hAnsiTheme="minorHAnsi" w:cstheme="minorHAnsi"/>
          <w:color w:val="000000"/>
          <w:sz w:val="22"/>
          <w:szCs w:val="22"/>
          <w:lang w:val="es-BO"/>
        </w:rPr>
        <w:t>, más de 130 oficiales antinarcóticos de la región fueron sensibilizados sobre la importancia de fortalecer la igualdad de género en sus instituciones.</w:t>
      </w:r>
    </w:p>
    <w:p w14:paraId="277FED68" w14:textId="77777777" w:rsidR="00F72E58" w:rsidRPr="00B62815" w:rsidRDefault="00F72E58" w:rsidP="00E67635">
      <w:pPr>
        <w:numPr>
          <w:ilvl w:val="0"/>
          <w:numId w:val="35"/>
        </w:numPr>
        <w:rPr>
          <w:rFonts w:asciiTheme="minorHAnsi" w:hAnsiTheme="minorHAnsi" w:cstheme="minorHAnsi"/>
          <w:color w:val="000000"/>
          <w:sz w:val="22"/>
          <w:szCs w:val="22"/>
          <w:lang w:val="es-BO"/>
        </w:rPr>
      </w:pPr>
      <w:r w:rsidRPr="00B62815">
        <w:rPr>
          <w:rFonts w:asciiTheme="minorHAnsi" w:hAnsiTheme="minorHAnsi" w:cstheme="minorHAnsi"/>
          <w:color w:val="000000"/>
          <w:sz w:val="22"/>
          <w:szCs w:val="22"/>
          <w:lang w:val="es-US"/>
        </w:rPr>
        <w:t xml:space="preserve">En la reunión del Grupo de Expertos sobre Sustancias Químicas y Productos Farmacéuticos de la CICAD se revisó y actualizó </w:t>
      </w:r>
      <w:r w:rsidRPr="00B62815">
        <w:rPr>
          <w:rFonts w:asciiTheme="minorHAnsi" w:hAnsiTheme="minorHAnsi" w:cstheme="minorHAnsi"/>
          <w:color w:val="000000"/>
          <w:sz w:val="22"/>
          <w:szCs w:val="22"/>
          <w:lang w:val="es-BO"/>
        </w:rPr>
        <w:t xml:space="preserve">el </w:t>
      </w:r>
      <w:hyperlink r:id="rId69" w:history="1">
        <w:r w:rsidRPr="00B62815">
          <w:rPr>
            <w:rStyle w:val="Hyperlink"/>
            <w:rFonts w:asciiTheme="minorHAnsi" w:hAnsiTheme="minorHAnsi" w:cstheme="minorHAnsi"/>
            <w:sz w:val="22"/>
            <w:szCs w:val="22"/>
            <w:lang w:val="es-BO"/>
          </w:rPr>
          <w:t>Reglamento Modelo para el Control de Sustancias Químicas Usadas en la Fabricación Ilícita de Estupefacientes y Sustancias Psicotrópicas</w:t>
        </w:r>
      </w:hyperlink>
      <w:r w:rsidRPr="00B62815">
        <w:rPr>
          <w:rFonts w:asciiTheme="minorHAnsi" w:hAnsiTheme="minorHAnsi" w:cstheme="minorHAnsi"/>
          <w:color w:val="000000"/>
          <w:sz w:val="22"/>
          <w:szCs w:val="22"/>
          <w:lang w:val="es-BO"/>
        </w:rPr>
        <w:t>.</w:t>
      </w:r>
    </w:p>
    <w:p w14:paraId="71C37FC7" w14:textId="77777777" w:rsidR="00F72E58" w:rsidRPr="00B62815" w:rsidRDefault="00F72E58" w:rsidP="00F72E58">
      <w:pPr>
        <w:rPr>
          <w:rFonts w:asciiTheme="minorHAnsi" w:hAnsiTheme="minorHAnsi" w:cstheme="minorHAnsi"/>
          <w:color w:val="000000"/>
          <w:sz w:val="22"/>
          <w:szCs w:val="22"/>
          <w:lang w:val="es-BO"/>
        </w:rPr>
      </w:pPr>
    </w:p>
    <w:p w14:paraId="7409DCB1" w14:textId="77777777" w:rsidR="00F72E58" w:rsidRPr="00B62815" w:rsidRDefault="00F72E58" w:rsidP="00F72E58">
      <w:pPr>
        <w:jc w:val="both"/>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Reducción de la Demanda:</w:t>
      </w:r>
    </w:p>
    <w:p w14:paraId="3964659E" w14:textId="77777777" w:rsidR="003251A7" w:rsidRPr="00B62815" w:rsidRDefault="003251A7" w:rsidP="00F72E58">
      <w:pPr>
        <w:jc w:val="both"/>
        <w:rPr>
          <w:rFonts w:asciiTheme="minorHAnsi" w:hAnsiTheme="minorHAnsi" w:cstheme="minorHAnsi"/>
          <w:b/>
          <w:color w:val="5B9BD5"/>
          <w:sz w:val="22"/>
          <w:szCs w:val="22"/>
          <w:lang w:val="es-ES"/>
        </w:rPr>
      </w:pPr>
    </w:p>
    <w:p w14:paraId="5B9B26DA"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La Reunión del Grupo de Expertos en Reducción de la Demanda se celebró en Cartagena de Indias, Colombia, con la participación de 21 Estados Miembros bajo la Presidencia de Chile.</w:t>
      </w:r>
    </w:p>
    <w:p w14:paraId="6A2E6BD5"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 xml:space="preserve">Se capacitaron 18 expertos en tratamiento del uso drogas en el Currículum Universal de Tratamiento (UTC por sus siglas en inglés) y se capacitaron a 22 expertos latinoamericanos de 8 países en prevención del uso de drogas en el Currículum de Prevención Universal (UPC por sus siglas en inglés). </w:t>
      </w:r>
    </w:p>
    <w:p w14:paraId="11EBC723"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lastRenderedPageBreak/>
        <w:t>42 jóvenes de 13 países del Caribe participaron en el Primer Foro Juvenil sobre Prevención del Usos de Drogas.</w:t>
      </w:r>
    </w:p>
    <w:p w14:paraId="1D434DC1"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345 profesionales de la salud, provenientes de 10 países terminaron exitosamente el curso por internet “Currículum Universal de Tratamiento (UTC) para profesionales de la salud”.</w:t>
      </w:r>
    </w:p>
    <w:p w14:paraId="3A0A95E4"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 xml:space="preserve">Se organizó la Primera Reunión para Formular el Currículum de Prevención, Tratamiento y Recuperación de Drogas para Organizaciones Basadas en la Fe en Washington D.C. </w:t>
      </w:r>
    </w:p>
    <w:p w14:paraId="43252F2F" w14:textId="77777777" w:rsidR="00F72E58" w:rsidRPr="00B62815" w:rsidRDefault="00F72E58" w:rsidP="00F72E58">
      <w:pPr>
        <w:ind w:left="360"/>
        <w:jc w:val="both"/>
        <w:rPr>
          <w:rFonts w:asciiTheme="minorHAnsi" w:eastAsia="Times New Roman" w:hAnsiTheme="minorHAnsi" w:cstheme="minorHAnsi"/>
          <w:color w:val="000000"/>
          <w:sz w:val="22"/>
          <w:szCs w:val="22"/>
          <w:lang w:val="es-BO"/>
        </w:rPr>
      </w:pPr>
    </w:p>
    <w:p w14:paraId="048FF25F" w14:textId="77777777" w:rsidR="00F72E58" w:rsidRPr="00B62815" w:rsidRDefault="00F72E58" w:rsidP="00F72E58">
      <w:pPr>
        <w:jc w:val="both"/>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 xml:space="preserve">Fortalecimiento Institucional: </w:t>
      </w:r>
    </w:p>
    <w:p w14:paraId="2151E741" w14:textId="77777777" w:rsidR="003251A7" w:rsidRPr="00B62815" w:rsidRDefault="003251A7" w:rsidP="00F72E58">
      <w:pPr>
        <w:jc w:val="both"/>
        <w:rPr>
          <w:rFonts w:asciiTheme="minorHAnsi" w:eastAsia="Calibri" w:hAnsiTheme="minorHAnsi" w:cstheme="minorHAnsi"/>
          <w:b/>
          <w:color w:val="5B9BD5"/>
          <w:sz w:val="22"/>
          <w:szCs w:val="22"/>
          <w:lang w:val="es-ES"/>
        </w:rPr>
      </w:pPr>
    </w:p>
    <w:p w14:paraId="5E2159B1"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Apoyo a cinco Estados Miembros del Caribe en el diseño, implementación y monitoreo de las políticas nacionales y locales sobre drogas, sus estrategias, y plan de acción a través de asistencia técnica.</w:t>
      </w:r>
    </w:p>
    <w:p w14:paraId="407AB42B"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 xml:space="preserve">Dentro del ámbito del </w:t>
      </w:r>
      <w:r w:rsidRPr="00B62815">
        <w:rPr>
          <w:rFonts w:asciiTheme="minorHAnsi" w:eastAsia="Times New Roman" w:hAnsiTheme="minorHAnsi" w:cstheme="minorHAnsi"/>
          <w:bCs/>
          <w:color w:val="000000"/>
          <w:sz w:val="22"/>
          <w:szCs w:val="22"/>
          <w:lang w:val="es-BO"/>
        </w:rPr>
        <w:t>desarrollo de políticas locales sobre drogas</w:t>
      </w:r>
      <w:r w:rsidRPr="00B62815">
        <w:rPr>
          <w:rFonts w:asciiTheme="minorHAnsi" w:eastAsia="Times New Roman" w:hAnsiTheme="minorHAnsi" w:cstheme="minorHAnsi"/>
          <w:color w:val="000000"/>
          <w:sz w:val="22"/>
          <w:szCs w:val="22"/>
          <w:lang w:val="es-BO"/>
        </w:rPr>
        <w:t>, inicio de una nueva fase de trabajo en el ámbito sub-nacional/local, a través del Programa de Desarrollo de Salud y Vida en las Américas (SAVIA), centrada en la identificación y fomento de buenas prácticas en programas de integración socio-laboral en municipalidades de cuatro países.</w:t>
      </w:r>
    </w:p>
    <w:p w14:paraId="3E5E996E"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Apoyo a nuevos programas para infractores relacionados con las drogas en dos países, y publicación de seis evaluaciones de procesos dentro del modelo de tribunales de tratamiento de drogas.</w:t>
      </w:r>
    </w:p>
    <w:p w14:paraId="4E30F98F"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 xml:space="preserve">Publicación del primer manual sobre el monitoreo y evaluación de modelos alternativos al encarcelamiento. </w:t>
      </w:r>
    </w:p>
    <w:p w14:paraId="47E2D2AB"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Desarrollo de un Currículum innovador sobre la Gestión del Caso y la Atención para capacitar a profesionales sobre el diseño de sistemas integrados para facilitar la reintegración socio-laboral de infractores relacionados con drogas.</w:t>
      </w:r>
    </w:p>
    <w:p w14:paraId="63B8BD4A"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Primer estudio de género en el sistema de justicia penal en cinco Estados Miembros.</w:t>
      </w:r>
    </w:p>
    <w:p w14:paraId="4142B18D" w14:textId="77777777" w:rsidR="00F72E58" w:rsidRPr="00B62815" w:rsidRDefault="00F72E58" w:rsidP="00E67635">
      <w:pPr>
        <w:numPr>
          <w:ilvl w:val="0"/>
          <w:numId w:val="36"/>
        </w:numPr>
        <w:jc w:val="both"/>
        <w:rPr>
          <w:rFonts w:asciiTheme="minorHAnsi" w:eastAsia="Times New Roman" w:hAnsiTheme="minorHAnsi" w:cstheme="minorHAnsi"/>
          <w:color w:val="000000"/>
          <w:sz w:val="22"/>
          <w:szCs w:val="22"/>
          <w:lang w:val="es-BO"/>
        </w:rPr>
      </w:pPr>
      <w:r w:rsidRPr="00B62815">
        <w:rPr>
          <w:rFonts w:asciiTheme="minorHAnsi" w:eastAsia="Times New Roman" w:hAnsiTheme="minorHAnsi" w:cstheme="minorHAnsi"/>
          <w:color w:val="000000"/>
          <w:sz w:val="22"/>
          <w:szCs w:val="22"/>
          <w:lang w:val="es-BO"/>
        </w:rPr>
        <w:t xml:space="preserve">El </w:t>
      </w:r>
      <w:r w:rsidRPr="00B62815">
        <w:rPr>
          <w:rFonts w:asciiTheme="minorHAnsi" w:eastAsia="Times New Roman" w:hAnsiTheme="minorHAnsi" w:cstheme="minorHAnsi"/>
          <w:bCs/>
          <w:color w:val="000000"/>
          <w:sz w:val="22"/>
          <w:szCs w:val="22"/>
          <w:lang w:val="es-BO"/>
        </w:rPr>
        <w:t>Grupo de Expertos sobre Desarrollo Alternativo Integral y Sostenible</w:t>
      </w:r>
      <w:r w:rsidRPr="00B62815">
        <w:rPr>
          <w:rFonts w:asciiTheme="minorHAnsi" w:eastAsia="Times New Roman" w:hAnsiTheme="minorHAnsi" w:cstheme="minorHAnsi"/>
          <w:color w:val="000000"/>
          <w:sz w:val="22"/>
          <w:szCs w:val="22"/>
          <w:lang w:val="es-BO"/>
        </w:rPr>
        <w:t>, bajo presidencia de Uruguay, presentó el documento “Marco de referencia para la comprensión del concepto de Desarrollo Alternativo Integral y Sostenible (DAIS)”, aprobado por CICAD en noviembre.  </w:t>
      </w:r>
    </w:p>
    <w:p w14:paraId="36A236C1" w14:textId="77777777" w:rsidR="00F72E58" w:rsidRPr="00B62815" w:rsidRDefault="00F72E58" w:rsidP="00F72E58">
      <w:pPr>
        <w:ind w:left="360"/>
        <w:jc w:val="both"/>
        <w:rPr>
          <w:rFonts w:asciiTheme="minorHAnsi" w:eastAsia="Times New Roman" w:hAnsiTheme="minorHAnsi" w:cstheme="minorHAnsi"/>
          <w:color w:val="000000"/>
          <w:sz w:val="22"/>
          <w:szCs w:val="22"/>
          <w:lang w:val="es-BO"/>
        </w:rPr>
      </w:pPr>
    </w:p>
    <w:p w14:paraId="081B5D5D" w14:textId="77777777" w:rsidR="00F72E58" w:rsidRPr="00B62815" w:rsidRDefault="00F72E58" w:rsidP="00F72E58">
      <w:pPr>
        <w:ind w:left="360"/>
        <w:jc w:val="both"/>
        <w:rPr>
          <w:rFonts w:asciiTheme="minorHAnsi" w:eastAsia="Times New Roman" w:hAnsiTheme="minorHAnsi" w:cstheme="minorHAnsi"/>
          <w:color w:val="000000"/>
          <w:sz w:val="22"/>
          <w:szCs w:val="22"/>
          <w:lang w:val="es-BO"/>
        </w:rPr>
      </w:pPr>
    </w:p>
    <w:p w14:paraId="1CD964B2" w14:textId="77777777" w:rsidR="00491A44" w:rsidRPr="00B62815" w:rsidRDefault="00491A44" w:rsidP="00F72E58">
      <w:pPr>
        <w:ind w:left="360"/>
        <w:jc w:val="both"/>
        <w:rPr>
          <w:rFonts w:asciiTheme="minorHAnsi" w:eastAsia="Times New Roman" w:hAnsiTheme="minorHAnsi" w:cstheme="minorHAnsi"/>
          <w:color w:val="000000"/>
          <w:sz w:val="22"/>
          <w:szCs w:val="22"/>
          <w:lang w:val="es-BO"/>
        </w:rPr>
      </w:pPr>
    </w:p>
    <w:p w14:paraId="5AF8C513" w14:textId="77777777" w:rsidR="00491A44" w:rsidRPr="00B62815" w:rsidRDefault="00491A44" w:rsidP="00F72E58">
      <w:pPr>
        <w:ind w:left="360"/>
        <w:jc w:val="both"/>
        <w:rPr>
          <w:rFonts w:asciiTheme="minorHAnsi" w:eastAsia="Times New Roman" w:hAnsiTheme="minorHAnsi" w:cstheme="minorHAnsi"/>
          <w:color w:val="000000"/>
          <w:sz w:val="22"/>
          <w:szCs w:val="22"/>
          <w:lang w:val="es-BO"/>
        </w:rPr>
      </w:pPr>
    </w:p>
    <w:p w14:paraId="14AD3D86" w14:textId="77777777" w:rsidR="00491A44" w:rsidRPr="00B62815" w:rsidRDefault="00491A44" w:rsidP="00F72E58">
      <w:pPr>
        <w:ind w:left="360"/>
        <w:jc w:val="both"/>
        <w:rPr>
          <w:rFonts w:asciiTheme="minorHAnsi" w:eastAsia="Times New Roman" w:hAnsiTheme="minorHAnsi" w:cstheme="minorHAnsi"/>
          <w:color w:val="000000"/>
          <w:sz w:val="22"/>
          <w:szCs w:val="22"/>
          <w:lang w:val="es-BO"/>
        </w:rPr>
      </w:pPr>
    </w:p>
    <w:p w14:paraId="551E0C6E" w14:textId="77777777" w:rsidR="001C2CF3" w:rsidRPr="00B62815" w:rsidRDefault="001C2CF3" w:rsidP="00F72E58">
      <w:pPr>
        <w:tabs>
          <w:tab w:val="left" w:pos="1710"/>
        </w:tabs>
        <w:rPr>
          <w:rFonts w:asciiTheme="minorHAnsi" w:eastAsia="Times New Roman" w:hAnsiTheme="minorHAnsi" w:cstheme="minorHAnsi"/>
          <w:b/>
          <w:bCs/>
          <w:color w:val="5B9BD5"/>
          <w:sz w:val="22"/>
          <w:szCs w:val="22"/>
          <w:lang w:val="es-ES"/>
        </w:rPr>
      </w:pPr>
    </w:p>
    <w:p w14:paraId="7CCFAE20" w14:textId="77777777" w:rsidR="001C2CF3" w:rsidRPr="00B62815" w:rsidRDefault="001C2CF3" w:rsidP="00F72E58">
      <w:pPr>
        <w:tabs>
          <w:tab w:val="left" w:pos="1710"/>
        </w:tabs>
        <w:rPr>
          <w:rFonts w:asciiTheme="minorHAnsi" w:eastAsia="Times New Roman" w:hAnsiTheme="minorHAnsi" w:cstheme="minorHAnsi"/>
          <w:b/>
          <w:bCs/>
          <w:color w:val="5B9BD5"/>
          <w:sz w:val="22"/>
          <w:szCs w:val="22"/>
          <w:lang w:val="es-ES"/>
        </w:rPr>
      </w:pPr>
    </w:p>
    <w:p w14:paraId="4657FD7B" w14:textId="77777777" w:rsidR="001C2CF3" w:rsidRPr="00B62815" w:rsidRDefault="001C2CF3" w:rsidP="00F72E58">
      <w:pPr>
        <w:tabs>
          <w:tab w:val="left" w:pos="1710"/>
        </w:tabs>
        <w:rPr>
          <w:rFonts w:asciiTheme="minorHAnsi" w:eastAsia="Times New Roman" w:hAnsiTheme="minorHAnsi" w:cstheme="minorHAnsi"/>
          <w:b/>
          <w:bCs/>
          <w:color w:val="5B9BD5"/>
          <w:sz w:val="22"/>
          <w:szCs w:val="22"/>
          <w:lang w:val="es-ES"/>
        </w:rPr>
      </w:pPr>
    </w:p>
    <w:p w14:paraId="49689077" w14:textId="77777777" w:rsidR="00B22AF2" w:rsidRDefault="00B22AF2" w:rsidP="00F72E58">
      <w:pPr>
        <w:tabs>
          <w:tab w:val="left" w:pos="1710"/>
        </w:tabs>
        <w:rPr>
          <w:rFonts w:asciiTheme="minorHAnsi" w:eastAsia="Times New Roman" w:hAnsiTheme="minorHAnsi" w:cstheme="minorHAnsi"/>
          <w:b/>
          <w:bCs/>
          <w:color w:val="5B9BD5"/>
          <w:sz w:val="22"/>
          <w:szCs w:val="22"/>
          <w:lang w:val="es-ES"/>
        </w:rPr>
      </w:pPr>
    </w:p>
    <w:p w14:paraId="38A43B44" w14:textId="57FE1496" w:rsidR="00F72E58" w:rsidRPr="00B62815" w:rsidRDefault="00F72E58" w:rsidP="00F72E58">
      <w:pPr>
        <w:tabs>
          <w:tab w:val="left" w:pos="1710"/>
        </w:tabs>
        <w:rPr>
          <w:rFonts w:asciiTheme="minorHAnsi" w:eastAsia="Times New Roman" w:hAnsiTheme="minorHAnsi" w:cstheme="minorHAnsi"/>
          <w:b/>
          <w:bCs/>
          <w:color w:val="5B9BD5"/>
          <w:sz w:val="22"/>
          <w:szCs w:val="22"/>
          <w:lang w:val="es-ES"/>
        </w:rPr>
      </w:pPr>
      <w:r w:rsidRPr="00B62815">
        <w:rPr>
          <w:rFonts w:asciiTheme="minorHAnsi" w:eastAsia="Times New Roman" w:hAnsiTheme="minorHAnsi" w:cstheme="minorHAnsi"/>
          <w:b/>
          <w:bCs/>
          <w:color w:val="5B9BD5"/>
          <w:sz w:val="22"/>
          <w:szCs w:val="22"/>
          <w:lang w:val="es-ES"/>
        </w:rPr>
        <w:t>Fotos CICAD</w:t>
      </w:r>
    </w:p>
    <w:p w14:paraId="0F82628B" w14:textId="77777777" w:rsidR="00F72E58" w:rsidRPr="00B62815" w:rsidRDefault="00F72E58" w:rsidP="00F72E58">
      <w:pPr>
        <w:ind w:left="360"/>
        <w:jc w:val="both"/>
        <w:rPr>
          <w:rFonts w:asciiTheme="minorHAnsi" w:eastAsia="Times New Roman" w:hAnsiTheme="minorHAnsi" w:cstheme="minorHAnsi"/>
          <w:color w:val="000000"/>
          <w:sz w:val="22"/>
          <w:szCs w:val="22"/>
          <w:lang w:val="es-BO"/>
        </w:rPr>
      </w:pPr>
    </w:p>
    <w:p w14:paraId="180B22E0" w14:textId="73161328" w:rsidR="00F72E58" w:rsidRPr="00B62815" w:rsidRDefault="001C2CF3" w:rsidP="00F72E58">
      <w:pPr>
        <w:ind w:left="360"/>
        <w:jc w:val="both"/>
        <w:rPr>
          <w:rFonts w:asciiTheme="minorHAnsi" w:eastAsia="Times New Roman" w:hAnsiTheme="minorHAnsi" w:cstheme="minorHAnsi"/>
          <w:snapToGrid w:val="0"/>
          <w:color w:val="000000"/>
          <w:w w:val="1"/>
          <w:sz w:val="22"/>
          <w:szCs w:val="22"/>
          <w:bdr w:val="none" w:sz="0" w:space="0" w:color="auto" w:frame="1"/>
          <w:shd w:val="clear" w:color="auto" w:fill="000000"/>
          <w:lang w:val="x-none" w:eastAsia="x-none" w:bidi="x-none"/>
        </w:rPr>
      </w:pPr>
      <w:r w:rsidRPr="00B62815">
        <w:rPr>
          <w:rFonts w:asciiTheme="minorHAnsi" w:eastAsia="Calibri" w:hAnsiTheme="minorHAnsi" w:cstheme="minorHAnsi"/>
          <w:noProof/>
          <w:sz w:val="22"/>
          <w:szCs w:val="22"/>
        </w:rPr>
        <w:drawing>
          <wp:anchor distT="0" distB="0" distL="114300" distR="114300" simplePos="0" relativeHeight="251666432" behindDoc="0" locked="0" layoutInCell="1" allowOverlap="1" wp14:anchorId="236BE494" wp14:editId="7D2CC366">
            <wp:simplePos x="0" y="0"/>
            <wp:positionH relativeFrom="column">
              <wp:posOffset>3031490</wp:posOffset>
            </wp:positionH>
            <wp:positionV relativeFrom="paragraph">
              <wp:posOffset>0</wp:posOffset>
            </wp:positionV>
            <wp:extent cx="3270250" cy="2452370"/>
            <wp:effectExtent l="0" t="0" r="0" b="0"/>
            <wp:wrapSquare wrapText="bothSides"/>
            <wp:docPr id="132" name="Picture 2" descr="CIC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AD 1"/>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0250" cy="2452370"/>
                    </a:xfrm>
                    <a:prstGeom prst="rect">
                      <a:avLst/>
                    </a:prstGeom>
                    <a:noFill/>
                  </pic:spPr>
                </pic:pic>
              </a:graphicData>
            </a:graphic>
            <wp14:sizeRelH relativeFrom="margin">
              <wp14:pctWidth>0</wp14:pctWidth>
            </wp14:sizeRelH>
            <wp14:sizeRelV relativeFrom="margin">
              <wp14:pctHeight>0</wp14:pctHeight>
            </wp14:sizeRelV>
          </wp:anchor>
        </w:drawing>
      </w:r>
      <w:r w:rsidRPr="00B62815">
        <w:rPr>
          <w:rFonts w:asciiTheme="minorHAnsi" w:eastAsia="Times New Roman" w:hAnsiTheme="minorHAnsi" w:cstheme="minorHAnsi"/>
          <w:noProof/>
          <w:color w:val="000000"/>
          <w:sz w:val="22"/>
          <w:szCs w:val="22"/>
        </w:rPr>
        <w:drawing>
          <wp:inline distT="0" distB="0" distL="0" distR="0" wp14:anchorId="395124C1" wp14:editId="78FBCDF6">
            <wp:extent cx="3265805" cy="2451100"/>
            <wp:effectExtent l="0" t="0" r="0" b="0"/>
            <wp:docPr id="10" name="Picture 1" descr="CIC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CAD 2"/>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265805" cy="2451100"/>
                    </a:xfrm>
                    <a:prstGeom prst="rect">
                      <a:avLst/>
                    </a:prstGeom>
                    <a:noFill/>
                    <a:ln>
                      <a:noFill/>
                    </a:ln>
                  </pic:spPr>
                </pic:pic>
              </a:graphicData>
            </a:graphic>
          </wp:inline>
        </w:drawing>
      </w:r>
      <w:r w:rsidR="00F72E58" w:rsidRPr="00B62815">
        <w:rPr>
          <w:rFonts w:asciiTheme="minorHAnsi" w:eastAsia="Times New Roman" w:hAnsiTheme="minorHAnsi" w:cstheme="minorHAnsi"/>
          <w:snapToGrid w:val="0"/>
          <w:color w:val="000000"/>
          <w:w w:val="1"/>
          <w:sz w:val="22"/>
          <w:szCs w:val="22"/>
          <w:bdr w:val="none" w:sz="0" w:space="0" w:color="auto" w:frame="1"/>
          <w:shd w:val="clear" w:color="auto" w:fill="000000"/>
          <w:lang w:val="x-none" w:eastAsia="x-none" w:bidi="x-none"/>
        </w:rPr>
        <w:t xml:space="preserve"> </w:t>
      </w:r>
    </w:p>
    <w:p w14:paraId="30E9D70D" w14:textId="77777777" w:rsidR="00680BD9" w:rsidRPr="00B62815" w:rsidRDefault="00680BD9" w:rsidP="00F72E58">
      <w:pPr>
        <w:ind w:left="360"/>
        <w:jc w:val="both"/>
        <w:rPr>
          <w:rFonts w:asciiTheme="minorHAnsi" w:eastAsia="Times New Roman" w:hAnsiTheme="minorHAnsi" w:cstheme="minorHAnsi"/>
          <w:color w:val="000000"/>
          <w:sz w:val="22"/>
          <w:szCs w:val="22"/>
          <w:lang w:val="es-BO"/>
        </w:rPr>
      </w:pPr>
    </w:p>
    <w:p w14:paraId="7E459D93" w14:textId="77777777" w:rsidR="0067749B" w:rsidRPr="00B62815" w:rsidRDefault="0067749B" w:rsidP="003251A7">
      <w:pPr>
        <w:pStyle w:val="ListParagraph"/>
        <w:spacing w:line="276" w:lineRule="auto"/>
        <w:ind w:left="0"/>
        <w:contextualSpacing/>
        <w:rPr>
          <w:rFonts w:asciiTheme="minorHAnsi" w:hAnsiTheme="minorHAnsi" w:cstheme="minorHAnsi"/>
          <w:sz w:val="22"/>
          <w:szCs w:val="22"/>
          <w:u w:val="single"/>
          <w:lang w:val="es-ES"/>
        </w:rPr>
      </w:pPr>
    </w:p>
    <w:p w14:paraId="4FBB0511" w14:textId="77777777" w:rsidR="008646CD" w:rsidRPr="00B62815" w:rsidRDefault="008646CD" w:rsidP="00E67635">
      <w:pPr>
        <w:pStyle w:val="ListParagraph"/>
        <w:numPr>
          <w:ilvl w:val="2"/>
          <w:numId w:val="17"/>
        </w:numPr>
        <w:spacing w:line="276" w:lineRule="auto"/>
        <w:ind w:left="720"/>
        <w:contextualSpacing/>
        <w:outlineLvl w:val="2"/>
        <w:rPr>
          <w:rFonts w:asciiTheme="minorHAnsi" w:hAnsiTheme="minorHAnsi" w:cstheme="minorHAnsi"/>
          <w:color w:val="E36C0A"/>
          <w:sz w:val="22"/>
          <w:szCs w:val="22"/>
          <w:lang w:val="es-ES"/>
        </w:rPr>
      </w:pPr>
      <w:bookmarkStart w:id="38" w:name="_Toc39675837"/>
      <w:bookmarkStart w:id="39" w:name="_Toc40191060"/>
      <w:r w:rsidRPr="00B62815">
        <w:rPr>
          <w:rFonts w:asciiTheme="minorHAnsi" w:hAnsiTheme="minorHAnsi" w:cstheme="minorHAnsi"/>
          <w:color w:val="E36C0A"/>
          <w:sz w:val="22"/>
          <w:szCs w:val="22"/>
          <w:lang w:val="es-ES"/>
        </w:rPr>
        <w:t>Secretaría de la Comisión Interamericana contra el Terrorismo</w:t>
      </w:r>
      <w:r w:rsidR="005C0634" w:rsidRPr="00B62815">
        <w:rPr>
          <w:rFonts w:asciiTheme="minorHAnsi" w:hAnsiTheme="minorHAnsi" w:cstheme="minorHAnsi"/>
          <w:color w:val="E36C0A"/>
          <w:sz w:val="22"/>
          <w:szCs w:val="22"/>
          <w:lang w:val="es-ES"/>
        </w:rPr>
        <w:t xml:space="preserve"> (CICTE)</w:t>
      </w:r>
      <w:bookmarkEnd w:id="38"/>
      <w:bookmarkEnd w:id="39"/>
    </w:p>
    <w:p w14:paraId="54BE2FF8" w14:textId="77777777" w:rsidR="0067749B" w:rsidRPr="00B62815" w:rsidRDefault="0067749B" w:rsidP="0067749B">
      <w:pPr>
        <w:pStyle w:val="ListParagraph"/>
        <w:spacing w:line="276" w:lineRule="auto"/>
        <w:contextualSpacing/>
        <w:rPr>
          <w:rFonts w:asciiTheme="minorHAnsi" w:hAnsiTheme="minorHAnsi" w:cstheme="minorHAnsi"/>
          <w:sz w:val="22"/>
          <w:szCs w:val="22"/>
          <w:u w:val="single"/>
          <w:lang w:val="es-ES"/>
        </w:rPr>
      </w:pPr>
    </w:p>
    <w:p w14:paraId="1F433249" w14:textId="77777777" w:rsidR="003251A7" w:rsidRPr="00B62815" w:rsidRDefault="003251A7" w:rsidP="001C2FC3">
      <w:pPr>
        <w:spacing w:after="160" w:line="256" w:lineRule="auto"/>
        <w:contextualSpacing/>
        <w:jc w:val="both"/>
        <w:rPr>
          <w:rFonts w:asciiTheme="minorHAnsi" w:eastAsia="Calibri" w:hAnsiTheme="minorHAnsi" w:cstheme="minorHAnsi"/>
          <w:sz w:val="22"/>
          <w:szCs w:val="22"/>
          <w:lang w:val="es-419"/>
        </w:rPr>
      </w:pPr>
      <w:r w:rsidRPr="00B62815">
        <w:rPr>
          <w:rFonts w:asciiTheme="minorHAnsi" w:eastAsia="Calibri" w:hAnsiTheme="minorHAnsi" w:cstheme="minorHAnsi"/>
          <w:sz w:val="22"/>
          <w:szCs w:val="22"/>
          <w:lang w:val="es-419"/>
        </w:rPr>
        <w:t xml:space="preserve">La Secretaría del CICTE apoyó la realización del XIX Período Ordinario de Sesiones del Comité y puso en marcha el diseño de la Red Interamericana contra el Terrorismo.   La Secretaría del CICTE también participó en las reuniones especializadas en materia de terrorismo del sistema de las Naciones Unidas y otros organismos regionales. </w:t>
      </w:r>
    </w:p>
    <w:p w14:paraId="6FECD14A" w14:textId="77777777" w:rsidR="003251A7" w:rsidRPr="00B62815" w:rsidRDefault="003251A7" w:rsidP="003251A7">
      <w:pPr>
        <w:ind w:left="360"/>
        <w:contextualSpacing/>
        <w:jc w:val="both"/>
        <w:rPr>
          <w:rFonts w:asciiTheme="minorHAnsi" w:eastAsia="Calibri" w:hAnsiTheme="minorHAnsi" w:cstheme="minorHAnsi"/>
          <w:sz w:val="22"/>
          <w:szCs w:val="22"/>
          <w:lang w:val="es-419"/>
        </w:rPr>
      </w:pPr>
    </w:p>
    <w:p w14:paraId="6B25FB9E" w14:textId="77777777" w:rsidR="003251A7" w:rsidRPr="00B62815" w:rsidRDefault="003251A7" w:rsidP="001C2FC3">
      <w:pPr>
        <w:spacing w:after="160" w:line="256" w:lineRule="auto"/>
        <w:contextualSpacing/>
        <w:jc w:val="both"/>
        <w:rPr>
          <w:rFonts w:asciiTheme="minorHAnsi" w:eastAsia="Calibri" w:hAnsiTheme="minorHAnsi" w:cstheme="minorHAnsi"/>
          <w:sz w:val="22"/>
          <w:szCs w:val="22"/>
          <w:lang w:val="es-419"/>
        </w:rPr>
      </w:pPr>
      <w:r w:rsidRPr="00B62815">
        <w:rPr>
          <w:rFonts w:asciiTheme="minorHAnsi" w:eastAsia="Calibri" w:hAnsiTheme="minorHAnsi" w:cstheme="minorHAnsi"/>
          <w:sz w:val="22"/>
          <w:szCs w:val="22"/>
          <w:lang w:val="es-419"/>
        </w:rPr>
        <w:t xml:space="preserve">La Secretaría del CICTE proporcionó asistencia técnica y legislativa para fortalecer el marco normativo y operativo en la lucha contra el financiamiento del terrorismo, así como en el combate de la proliferación de armas de destrucción masiva.  Destacó el apoyo a Panamá y Paraguay en sus esfuerzos para implementar la normativa contra el financiamiento del terrorismo. También resaltó el intercambio de experiencias entre varios países y la realización de revisiones entre pares para la implementación de la resolución 1540 (2004) del Consejo de Seguridad de la ONU relativa a la no proliferación de armas de destrucción masiva a actores no estatales. </w:t>
      </w:r>
    </w:p>
    <w:p w14:paraId="2B32C06E" w14:textId="77777777" w:rsidR="003251A7" w:rsidRPr="00B62815" w:rsidRDefault="003251A7" w:rsidP="003251A7">
      <w:pPr>
        <w:spacing w:after="160" w:line="256" w:lineRule="auto"/>
        <w:ind w:left="576"/>
        <w:contextualSpacing/>
        <w:rPr>
          <w:rFonts w:asciiTheme="minorHAnsi" w:eastAsia="Calibri" w:hAnsiTheme="minorHAnsi" w:cstheme="minorHAnsi"/>
          <w:sz w:val="22"/>
          <w:szCs w:val="22"/>
          <w:lang w:val="es-ES_tradnl"/>
        </w:rPr>
      </w:pPr>
    </w:p>
    <w:p w14:paraId="550D0251" w14:textId="77777777" w:rsidR="003251A7" w:rsidRPr="00B62815" w:rsidRDefault="003251A7" w:rsidP="001C2FC3">
      <w:pPr>
        <w:spacing w:after="160" w:line="256" w:lineRule="auto"/>
        <w:contextualSpacing/>
        <w:jc w:val="both"/>
        <w:rPr>
          <w:rFonts w:asciiTheme="minorHAnsi" w:eastAsia="Calibri" w:hAnsiTheme="minorHAnsi" w:cstheme="minorHAnsi"/>
          <w:sz w:val="22"/>
          <w:szCs w:val="22"/>
          <w:u w:val="single"/>
          <w:lang w:val="es-419"/>
        </w:rPr>
      </w:pPr>
      <w:r w:rsidRPr="00B62815">
        <w:rPr>
          <w:rFonts w:asciiTheme="minorHAnsi" w:eastAsia="Calibri" w:hAnsiTheme="minorHAnsi" w:cstheme="minorHAnsi"/>
          <w:sz w:val="22"/>
          <w:szCs w:val="22"/>
          <w:lang w:val="es-ES_tradnl"/>
        </w:rPr>
        <w:t xml:space="preserve">La Secretaría del CICTE </w:t>
      </w:r>
      <w:r w:rsidRPr="00B62815">
        <w:rPr>
          <w:rFonts w:asciiTheme="minorHAnsi" w:eastAsia="Calibri" w:hAnsiTheme="minorHAnsi" w:cstheme="minorHAnsi"/>
          <w:sz w:val="22"/>
          <w:szCs w:val="22"/>
          <w:lang w:val="es-419"/>
        </w:rPr>
        <w:t xml:space="preserve">apoyó la formulación de políticas públicas nacionales y regionales, el fortalecimiento de capacidades y la generación de conocimientos en materia de ciberseguridad. Destacó el apoyo para la elaboración de estrategias nacionales de ciberseguridad en Belize y Ecuador, los cuales se sumarían a los doce países de la región que cuentan con estrategias en la materia. También resaltó el entrenamiento especializado sobre ciberseguridad para jóvenes, mujeres, funcionarios y diversos sectores de la sociedad. Además, impulsó la generación de conocimiento con varias publicaciones sobre el tema. </w:t>
      </w:r>
    </w:p>
    <w:p w14:paraId="6F1ECCC4" w14:textId="77777777" w:rsidR="003251A7" w:rsidRPr="00B62815" w:rsidRDefault="003251A7" w:rsidP="003251A7">
      <w:pPr>
        <w:spacing w:after="160" w:line="256" w:lineRule="auto"/>
        <w:ind w:left="576"/>
        <w:contextualSpacing/>
        <w:rPr>
          <w:rFonts w:asciiTheme="minorHAnsi" w:eastAsia="Calibri" w:hAnsiTheme="minorHAnsi" w:cstheme="minorHAnsi"/>
          <w:sz w:val="22"/>
          <w:szCs w:val="22"/>
          <w:lang w:val="es-419"/>
        </w:rPr>
      </w:pPr>
    </w:p>
    <w:p w14:paraId="0BA27843" w14:textId="77777777" w:rsidR="003251A7" w:rsidRPr="00B62815" w:rsidRDefault="003251A7" w:rsidP="001C2FC3">
      <w:pPr>
        <w:spacing w:after="160" w:line="256" w:lineRule="auto"/>
        <w:contextualSpacing/>
        <w:jc w:val="both"/>
        <w:rPr>
          <w:rFonts w:asciiTheme="minorHAnsi" w:eastAsia="Calibri" w:hAnsiTheme="minorHAnsi" w:cstheme="minorHAnsi"/>
          <w:sz w:val="22"/>
          <w:szCs w:val="22"/>
          <w:u w:val="single"/>
          <w:lang w:val="es-419"/>
        </w:rPr>
      </w:pPr>
      <w:r w:rsidRPr="00B62815">
        <w:rPr>
          <w:rFonts w:asciiTheme="minorHAnsi" w:eastAsia="Calibri" w:hAnsiTheme="minorHAnsi" w:cstheme="minorHAnsi"/>
          <w:sz w:val="22"/>
          <w:szCs w:val="22"/>
          <w:lang w:val="es-419"/>
        </w:rPr>
        <w:t xml:space="preserve">La Secretaría del CICTE brindó apoyo técnico para el fomento de la capacidad en materia de controles fronterizos en los ámbitos de seguridad del turismo, seguridad de carga y contenedores, seguridad en la cadena de suministros y seguridad marítima a diversos países por medio de sus programas especializados.  </w:t>
      </w:r>
    </w:p>
    <w:p w14:paraId="72EC5BF5" w14:textId="77777777" w:rsidR="003251A7" w:rsidRPr="00B62815" w:rsidRDefault="003251A7" w:rsidP="00B12E1F">
      <w:pPr>
        <w:rPr>
          <w:rFonts w:asciiTheme="minorHAnsi" w:eastAsia="Calibri" w:hAnsiTheme="minorHAnsi" w:cstheme="minorHAnsi"/>
          <w:b/>
          <w:color w:val="5B9BD5"/>
          <w:sz w:val="22"/>
          <w:szCs w:val="22"/>
          <w:lang w:val="es-419"/>
        </w:rPr>
      </w:pPr>
    </w:p>
    <w:p w14:paraId="7090B9FE" w14:textId="77777777" w:rsidR="003251A7" w:rsidRPr="00B62815" w:rsidRDefault="003251A7" w:rsidP="008C10A9">
      <w:pPr>
        <w:rPr>
          <w:rFonts w:asciiTheme="minorHAnsi" w:hAnsiTheme="minorHAnsi" w:cstheme="minorHAnsi"/>
          <w:b/>
          <w:sz w:val="22"/>
          <w:szCs w:val="22"/>
          <w:lang w:val="es-ES"/>
        </w:rPr>
      </w:pPr>
      <w:r w:rsidRPr="00B62815">
        <w:rPr>
          <w:rFonts w:asciiTheme="minorHAnsi" w:hAnsiTheme="minorHAnsi" w:cstheme="minorHAnsi"/>
          <w:b/>
          <w:sz w:val="22"/>
          <w:szCs w:val="22"/>
          <w:lang w:val="es-ES"/>
        </w:rPr>
        <w:t>Logros y Resultados 2019</w:t>
      </w:r>
    </w:p>
    <w:p w14:paraId="7B3C2601" w14:textId="77777777" w:rsidR="003251A7" w:rsidRPr="00B62815" w:rsidRDefault="003251A7" w:rsidP="003251A7">
      <w:pPr>
        <w:jc w:val="center"/>
        <w:rPr>
          <w:rFonts w:asciiTheme="minorHAnsi" w:hAnsiTheme="minorHAnsi" w:cstheme="minorHAnsi"/>
          <w:b/>
          <w:color w:val="5B9BD5"/>
          <w:sz w:val="22"/>
          <w:szCs w:val="22"/>
          <w:lang w:val="es-ES"/>
        </w:rPr>
      </w:pPr>
    </w:p>
    <w:p w14:paraId="4D8AE162" w14:textId="77777777" w:rsidR="003251A7" w:rsidRPr="00B62815" w:rsidRDefault="003251A7" w:rsidP="003251A7">
      <w:pPr>
        <w:pStyle w:val="Default"/>
        <w:jc w:val="both"/>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Diálogo /cooperación para prevenir, combatir y eliminar el terrorismo</w:t>
      </w:r>
    </w:p>
    <w:p w14:paraId="63F55187" w14:textId="77777777" w:rsidR="003251A7" w:rsidRPr="00B62815" w:rsidRDefault="003251A7" w:rsidP="00E67635">
      <w:pPr>
        <w:pStyle w:val="Default"/>
        <w:numPr>
          <w:ilvl w:val="0"/>
          <w:numId w:val="40"/>
        </w:numPr>
        <w:jc w:val="both"/>
        <w:rPr>
          <w:rFonts w:asciiTheme="minorHAnsi" w:hAnsiTheme="minorHAnsi" w:cstheme="minorHAnsi"/>
          <w:color w:val="auto"/>
          <w:sz w:val="22"/>
          <w:szCs w:val="22"/>
          <w:lang w:val="es-419"/>
        </w:rPr>
      </w:pPr>
      <w:r w:rsidRPr="00B62815">
        <w:rPr>
          <w:rFonts w:asciiTheme="minorHAnsi" w:hAnsiTheme="minorHAnsi" w:cstheme="minorHAnsi"/>
          <w:color w:val="auto"/>
          <w:sz w:val="22"/>
          <w:szCs w:val="22"/>
          <w:lang w:val="es-419"/>
        </w:rPr>
        <w:t xml:space="preserve">Realización del XIX Período Ordinario de Sesiones del CICTE.   </w:t>
      </w:r>
    </w:p>
    <w:p w14:paraId="55459B95" w14:textId="77777777" w:rsidR="003251A7" w:rsidRPr="00B62815" w:rsidRDefault="003251A7" w:rsidP="00E67635">
      <w:pPr>
        <w:pStyle w:val="Default"/>
        <w:numPr>
          <w:ilvl w:val="0"/>
          <w:numId w:val="40"/>
        </w:numPr>
        <w:jc w:val="both"/>
        <w:rPr>
          <w:rFonts w:asciiTheme="minorHAnsi" w:hAnsiTheme="minorHAnsi" w:cstheme="minorHAnsi"/>
          <w:color w:val="auto"/>
          <w:sz w:val="22"/>
          <w:szCs w:val="22"/>
          <w:lang w:val="es-419"/>
        </w:rPr>
      </w:pPr>
      <w:r w:rsidRPr="00B62815">
        <w:rPr>
          <w:rFonts w:asciiTheme="minorHAnsi" w:hAnsiTheme="minorHAnsi" w:cstheme="minorHAnsi"/>
          <w:color w:val="auto"/>
          <w:sz w:val="22"/>
          <w:szCs w:val="22"/>
          <w:lang w:val="es-419"/>
        </w:rPr>
        <w:lastRenderedPageBreak/>
        <w:t xml:space="preserve">Fortalecimiento de las relaciones de cooperación con la ONU y otros organismos internacionales/regionales. </w:t>
      </w:r>
    </w:p>
    <w:p w14:paraId="6A6E806A" w14:textId="77777777" w:rsidR="003251A7" w:rsidRPr="00B62815" w:rsidRDefault="003251A7" w:rsidP="00E67635">
      <w:pPr>
        <w:pStyle w:val="Default"/>
        <w:numPr>
          <w:ilvl w:val="0"/>
          <w:numId w:val="40"/>
        </w:numPr>
        <w:jc w:val="both"/>
        <w:rPr>
          <w:rFonts w:asciiTheme="minorHAnsi" w:hAnsiTheme="minorHAnsi" w:cstheme="minorHAnsi"/>
          <w:color w:val="auto"/>
          <w:sz w:val="22"/>
          <w:szCs w:val="22"/>
          <w:lang w:val="es-419"/>
        </w:rPr>
      </w:pPr>
      <w:r w:rsidRPr="00B62815">
        <w:rPr>
          <w:rFonts w:asciiTheme="minorHAnsi" w:hAnsiTheme="minorHAnsi" w:cstheme="minorHAnsi"/>
          <w:color w:val="auto"/>
          <w:sz w:val="22"/>
          <w:szCs w:val="22"/>
          <w:lang w:val="es-419"/>
        </w:rPr>
        <w:t xml:space="preserve">Participación en foros de diálogo político sobre la lucha contra el terrorismo a nivel global, hemisférico y regional, incluyendo la asistencia en calidad de observador a la </w:t>
      </w:r>
      <w:r w:rsidRPr="00B62815">
        <w:rPr>
          <w:rFonts w:asciiTheme="minorHAnsi" w:hAnsiTheme="minorHAnsi" w:cstheme="minorHAnsi"/>
          <w:sz w:val="22"/>
          <w:szCs w:val="22"/>
          <w:lang w:val="es-419"/>
        </w:rPr>
        <w:t>II Conferencia Ministerial Hemisférica de Lucha contra el Terrorismo.</w:t>
      </w:r>
    </w:p>
    <w:p w14:paraId="2C4141D1" w14:textId="77777777" w:rsidR="003251A7" w:rsidRPr="00B62815" w:rsidRDefault="003251A7" w:rsidP="00E67635">
      <w:pPr>
        <w:pStyle w:val="Default"/>
        <w:numPr>
          <w:ilvl w:val="0"/>
          <w:numId w:val="40"/>
        </w:numPr>
        <w:jc w:val="both"/>
        <w:rPr>
          <w:rFonts w:asciiTheme="minorHAnsi" w:hAnsiTheme="minorHAnsi" w:cstheme="minorHAnsi"/>
          <w:color w:val="auto"/>
          <w:sz w:val="22"/>
          <w:szCs w:val="22"/>
          <w:lang w:val="es-419"/>
        </w:rPr>
      </w:pPr>
      <w:r w:rsidRPr="00B62815">
        <w:rPr>
          <w:rFonts w:asciiTheme="minorHAnsi" w:hAnsiTheme="minorHAnsi" w:cstheme="minorHAnsi"/>
          <w:color w:val="auto"/>
          <w:sz w:val="22"/>
          <w:szCs w:val="22"/>
          <w:lang w:val="es-419"/>
        </w:rPr>
        <w:t xml:space="preserve">Diseño de mecanismos de cooperación hemisférica, como la nueva Red Interamericana contra el Terrorismo. </w:t>
      </w:r>
    </w:p>
    <w:p w14:paraId="5E86CA90" w14:textId="77777777" w:rsidR="003251A7" w:rsidRPr="00B62815" w:rsidRDefault="003251A7" w:rsidP="003251A7">
      <w:pPr>
        <w:pStyle w:val="Default"/>
        <w:ind w:left="360"/>
        <w:jc w:val="both"/>
        <w:rPr>
          <w:rFonts w:asciiTheme="minorHAnsi" w:hAnsiTheme="minorHAnsi" w:cstheme="minorHAnsi"/>
          <w:color w:val="auto"/>
          <w:sz w:val="22"/>
          <w:szCs w:val="22"/>
          <w:lang w:val="es-419"/>
        </w:rPr>
      </w:pPr>
    </w:p>
    <w:p w14:paraId="7415D5C5" w14:textId="77777777" w:rsidR="003251A7" w:rsidRPr="00B62815" w:rsidRDefault="003251A7" w:rsidP="003251A7">
      <w:pPr>
        <w:jc w:val="center"/>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 xml:space="preserve">Asistencia técnica y legislativa/implementación de instrumentos internacionales contra el terrorismo </w:t>
      </w:r>
    </w:p>
    <w:p w14:paraId="04B6D025" w14:textId="77777777" w:rsidR="003251A7" w:rsidRPr="00B62815" w:rsidRDefault="003251A7" w:rsidP="00E67635">
      <w:pPr>
        <w:numPr>
          <w:ilvl w:val="0"/>
          <w:numId w:val="41"/>
        </w:numPr>
        <w:jc w:val="both"/>
        <w:rPr>
          <w:rFonts w:asciiTheme="minorHAnsi" w:hAnsiTheme="minorHAnsi" w:cstheme="minorHAnsi"/>
          <w:sz w:val="22"/>
          <w:szCs w:val="22"/>
          <w:lang w:val="es-ES_tradnl"/>
        </w:rPr>
      </w:pPr>
      <w:r w:rsidRPr="00B62815">
        <w:rPr>
          <w:rFonts w:asciiTheme="minorHAnsi" w:hAnsiTheme="minorHAnsi" w:cstheme="minorHAnsi"/>
          <w:sz w:val="22"/>
          <w:szCs w:val="22"/>
          <w:lang w:val="es-419"/>
        </w:rPr>
        <w:t xml:space="preserve">Capacitación de más de 300 funcionarios de Panamá y Paraguay en materia de lucha contra el financiamiento del terrorismo, implementación de regímenes de sanciones financieras dirigidas y sistemas para las designaciones domésticas. </w:t>
      </w:r>
    </w:p>
    <w:p w14:paraId="745BCC5E" w14:textId="77777777" w:rsidR="003251A7" w:rsidRPr="00B62815" w:rsidRDefault="003251A7" w:rsidP="00E67635">
      <w:pPr>
        <w:numPr>
          <w:ilvl w:val="0"/>
          <w:numId w:val="41"/>
        </w:numPr>
        <w:jc w:val="both"/>
        <w:rPr>
          <w:rFonts w:asciiTheme="minorHAnsi" w:hAnsiTheme="minorHAnsi" w:cstheme="minorHAnsi"/>
          <w:sz w:val="22"/>
          <w:szCs w:val="22"/>
          <w:lang w:val="es-ES_tradnl"/>
        </w:rPr>
      </w:pPr>
      <w:r w:rsidRPr="00B62815">
        <w:rPr>
          <w:rFonts w:asciiTheme="minorHAnsi" w:hAnsiTheme="minorHAnsi" w:cstheme="minorHAnsi"/>
          <w:sz w:val="22"/>
          <w:szCs w:val="22"/>
          <w:lang w:val="es-419"/>
        </w:rPr>
        <w:t xml:space="preserve">Capacitación de más de 50 funcionarios de Argentina, Brasil y Paraguay sobre riesgos y vulnerabilidades de lavado de activos y financiamiento del terrorismo en la Triple Frontera. </w:t>
      </w:r>
    </w:p>
    <w:p w14:paraId="00BC2372" w14:textId="77777777" w:rsidR="003251A7" w:rsidRPr="00B62815" w:rsidRDefault="003251A7" w:rsidP="00E67635">
      <w:pPr>
        <w:numPr>
          <w:ilvl w:val="0"/>
          <w:numId w:val="41"/>
        </w:numPr>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 xml:space="preserve">Asistencia técnica a las autoridades de Colombia, Jamaica, Panamá, Paraguay, República Dominicana y Uruguay) para implementar la resolución 1540 (2004) del Consejo de Seguridad de la ONU, relativa a la no proliferación de armas de destrucción masiva a actores no estatales y facilitación de 2 revisiones entre pares sobre prácticas efectivas en la materia (Uruguay/Paraguay-República Dominicana/ Panamá). </w:t>
      </w:r>
    </w:p>
    <w:p w14:paraId="4CA8721A" w14:textId="77777777" w:rsidR="003251A7" w:rsidRPr="00B62815" w:rsidRDefault="003251A7" w:rsidP="003251A7">
      <w:pPr>
        <w:rPr>
          <w:rFonts w:asciiTheme="minorHAnsi" w:hAnsiTheme="minorHAnsi" w:cstheme="minorHAnsi"/>
          <w:b/>
          <w:color w:val="5B9BD5"/>
          <w:sz w:val="22"/>
          <w:szCs w:val="22"/>
          <w:lang w:val="es-ES"/>
        </w:rPr>
      </w:pPr>
    </w:p>
    <w:p w14:paraId="752E374B" w14:textId="77777777" w:rsidR="003251A7" w:rsidRPr="00B62815" w:rsidRDefault="003251A7" w:rsidP="003251A7">
      <w:pPr>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 xml:space="preserve">Fomento de la capacidad en materia de ciberseguridad </w:t>
      </w:r>
    </w:p>
    <w:p w14:paraId="090C3A7A" w14:textId="77777777" w:rsidR="003251A7" w:rsidRPr="00B62815" w:rsidRDefault="003251A7" w:rsidP="00E67635">
      <w:pPr>
        <w:numPr>
          <w:ilvl w:val="0"/>
          <w:numId w:val="42"/>
        </w:numPr>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Apoyo en el desarrollo de estrategias nacionales de ciberseguridad de Belize y Ecuador, así como en el fortalecimiento de la Red Hemisférica de Equipos de Respuesta a Incidentes de Seguridad Informática (CSIRT por siglas en inglés) que tiene 26 CSIRTS de 18 países.</w:t>
      </w:r>
    </w:p>
    <w:p w14:paraId="352C021C" w14:textId="77777777" w:rsidR="003251A7" w:rsidRPr="00B62815" w:rsidRDefault="003251A7" w:rsidP="00E67635">
      <w:pPr>
        <w:numPr>
          <w:ilvl w:val="0"/>
          <w:numId w:val="42"/>
        </w:numPr>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 xml:space="preserve">Entrenamientos especializados en ciberseguridad para 3,500 personas de diversos sectores de la sociedad con responsabilidades en la materia, 790 mujeres participantes en la iniciativa </w:t>
      </w:r>
      <w:r w:rsidRPr="00B62815">
        <w:rPr>
          <w:rFonts w:asciiTheme="minorHAnsi" w:hAnsiTheme="minorHAnsi" w:cstheme="minorHAnsi"/>
          <w:i/>
          <w:sz w:val="22"/>
          <w:szCs w:val="22"/>
          <w:lang w:val="es-ES_tradnl"/>
        </w:rPr>
        <w:t>Cyberwomen Challenge</w:t>
      </w:r>
      <w:r w:rsidRPr="00B62815">
        <w:rPr>
          <w:rFonts w:asciiTheme="minorHAnsi" w:hAnsiTheme="minorHAnsi" w:cstheme="minorHAnsi"/>
          <w:sz w:val="22"/>
          <w:szCs w:val="22"/>
          <w:lang w:val="es-ES_tradnl"/>
        </w:rPr>
        <w:t xml:space="preserve"> y</w:t>
      </w:r>
      <w:r w:rsidRPr="00B62815">
        <w:rPr>
          <w:rFonts w:asciiTheme="minorHAnsi" w:hAnsiTheme="minorHAnsi" w:cstheme="minorHAnsi"/>
          <w:i/>
          <w:sz w:val="22"/>
          <w:szCs w:val="22"/>
          <w:lang w:val="es-ES_tradnl"/>
        </w:rPr>
        <w:t xml:space="preserve"> </w:t>
      </w:r>
      <w:r w:rsidRPr="00B62815">
        <w:rPr>
          <w:rFonts w:asciiTheme="minorHAnsi" w:hAnsiTheme="minorHAnsi" w:cstheme="minorHAnsi"/>
          <w:sz w:val="22"/>
          <w:szCs w:val="22"/>
          <w:lang w:val="es-ES_tradnl"/>
        </w:rPr>
        <w:t xml:space="preserve">181 estudiantes universitarios que integran el programa “Creando una trayectoria profesional en ciberseguridad”. </w:t>
      </w:r>
    </w:p>
    <w:p w14:paraId="7459B0F4" w14:textId="77777777" w:rsidR="003251A7" w:rsidRPr="00B62815" w:rsidRDefault="003251A7" w:rsidP="003251A7">
      <w:pPr>
        <w:ind w:left="360"/>
        <w:jc w:val="both"/>
        <w:rPr>
          <w:rFonts w:asciiTheme="minorHAnsi" w:hAnsiTheme="minorHAnsi" w:cstheme="minorHAnsi"/>
          <w:sz w:val="22"/>
          <w:szCs w:val="22"/>
          <w:lang w:val="es-ES_tradnl"/>
        </w:rPr>
      </w:pPr>
    </w:p>
    <w:p w14:paraId="5937ED79" w14:textId="0458D93E" w:rsidR="00E74BA0" w:rsidRDefault="00E74BA0" w:rsidP="003251A7">
      <w:pPr>
        <w:rPr>
          <w:rFonts w:asciiTheme="minorHAnsi" w:hAnsiTheme="minorHAnsi" w:cstheme="minorHAnsi"/>
          <w:b/>
          <w:color w:val="5B9BD5"/>
          <w:sz w:val="22"/>
          <w:szCs w:val="22"/>
          <w:lang w:val="es-ES"/>
        </w:rPr>
      </w:pPr>
    </w:p>
    <w:p w14:paraId="5F92C73C" w14:textId="77777777" w:rsidR="00B22AF2" w:rsidRDefault="00B22AF2" w:rsidP="003251A7">
      <w:pPr>
        <w:rPr>
          <w:rFonts w:asciiTheme="minorHAnsi" w:hAnsiTheme="minorHAnsi" w:cstheme="minorHAnsi"/>
          <w:b/>
          <w:color w:val="5B9BD5"/>
          <w:sz w:val="22"/>
          <w:szCs w:val="22"/>
          <w:lang w:val="es-ES"/>
        </w:rPr>
      </w:pPr>
    </w:p>
    <w:p w14:paraId="2FE6771B" w14:textId="724EEF1C" w:rsidR="003251A7" w:rsidRPr="00B62815" w:rsidRDefault="003251A7" w:rsidP="003251A7">
      <w:pPr>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lastRenderedPageBreak/>
        <w:t>Fomento de la capacidad en materia de controles fronterizos</w:t>
      </w:r>
    </w:p>
    <w:p w14:paraId="37740107" w14:textId="77777777" w:rsidR="003251A7" w:rsidRPr="00B62815" w:rsidRDefault="003251A7" w:rsidP="00E67635">
      <w:pPr>
        <w:numPr>
          <w:ilvl w:val="0"/>
          <w:numId w:val="42"/>
        </w:numPr>
        <w:jc w:val="both"/>
        <w:rPr>
          <w:rFonts w:asciiTheme="minorHAnsi" w:hAnsiTheme="minorHAnsi" w:cstheme="minorHAnsi"/>
          <w:sz w:val="22"/>
          <w:szCs w:val="22"/>
          <w:lang w:val="es-US"/>
        </w:rPr>
      </w:pPr>
      <w:r w:rsidRPr="00B62815">
        <w:rPr>
          <w:rFonts w:asciiTheme="minorHAnsi" w:hAnsiTheme="minorHAnsi" w:cstheme="minorHAnsi"/>
          <w:sz w:val="22"/>
          <w:szCs w:val="22"/>
          <w:lang w:val="es-ES_tradnl"/>
        </w:rPr>
        <w:t xml:space="preserve">Realización del primer entrenamiento técnico binacional sobre seguridad de carga y contenedores en frontera terrestre Haití/República Dominicana, con la participación de más de 50 funcionarios de ambos países e instructores de la región. </w:t>
      </w:r>
    </w:p>
    <w:p w14:paraId="7858488D" w14:textId="77777777" w:rsidR="003251A7" w:rsidRPr="00B62815" w:rsidRDefault="003251A7" w:rsidP="00E67635">
      <w:pPr>
        <w:numPr>
          <w:ilvl w:val="0"/>
          <w:numId w:val="42"/>
        </w:numPr>
        <w:jc w:val="both"/>
        <w:rPr>
          <w:rFonts w:asciiTheme="minorHAnsi" w:hAnsiTheme="minorHAnsi" w:cstheme="minorHAnsi"/>
          <w:sz w:val="22"/>
          <w:szCs w:val="22"/>
          <w:lang w:val="es-US"/>
        </w:rPr>
      </w:pPr>
      <w:r w:rsidRPr="00B62815">
        <w:rPr>
          <w:rFonts w:asciiTheme="minorHAnsi" w:hAnsiTheme="minorHAnsi" w:cstheme="minorHAnsi"/>
          <w:sz w:val="22"/>
          <w:szCs w:val="22"/>
          <w:lang w:val="es-ES_tradnl"/>
        </w:rPr>
        <w:t xml:space="preserve">Capacitación de más de 100 funcionarios de </w:t>
      </w:r>
      <w:r w:rsidRPr="00B62815">
        <w:rPr>
          <w:rFonts w:asciiTheme="minorHAnsi" w:hAnsiTheme="minorHAnsi" w:cstheme="minorHAnsi"/>
          <w:sz w:val="22"/>
          <w:szCs w:val="22"/>
          <w:lang w:val="es-US"/>
        </w:rPr>
        <w:t>Argentina, Haití, Perú y República Dominicana</w:t>
      </w:r>
      <w:r w:rsidRPr="00B62815">
        <w:rPr>
          <w:rFonts w:asciiTheme="minorHAnsi" w:hAnsiTheme="minorHAnsi" w:cstheme="minorHAnsi"/>
          <w:sz w:val="22"/>
          <w:szCs w:val="22"/>
          <w:lang w:val="es-ES_tradnl"/>
        </w:rPr>
        <w:t xml:space="preserve"> -</w:t>
      </w:r>
      <w:r w:rsidRPr="00B62815">
        <w:rPr>
          <w:rFonts w:asciiTheme="minorHAnsi" w:hAnsiTheme="minorHAnsi" w:cstheme="minorHAnsi"/>
          <w:sz w:val="22"/>
          <w:szCs w:val="22"/>
          <w:lang w:val="es-US"/>
        </w:rPr>
        <w:t xml:space="preserve">con competencias en fronteras terrestres y puertos- en materia de seguridad, control e inspección de carga y medios de transporte terrestres y marítimos. </w:t>
      </w:r>
    </w:p>
    <w:p w14:paraId="6DE42F59" w14:textId="77777777" w:rsidR="003251A7" w:rsidRPr="00B62815" w:rsidRDefault="003251A7" w:rsidP="00E67635">
      <w:pPr>
        <w:numPr>
          <w:ilvl w:val="0"/>
          <w:numId w:val="42"/>
        </w:numPr>
        <w:jc w:val="both"/>
        <w:rPr>
          <w:rFonts w:asciiTheme="minorHAnsi" w:hAnsiTheme="minorHAnsi" w:cstheme="minorHAnsi"/>
          <w:sz w:val="22"/>
          <w:szCs w:val="22"/>
          <w:lang w:val="es-ES_tradnl"/>
        </w:rPr>
      </w:pPr>
      <w:r w:rsidRPr="00B62815">
        <w:rPr>
          <w:rFonts w:asciiTheme="minorHAnsi" w:hAnsiTheme="minorHAnsi" w:cstheme="minorHAnsi"/>
          <w:sz w:val="22"/>
          <w:szCs w:val="22"/>
          <w:lang w:val="es-US"/>
        </w:rPr>
        <w:t xml:space="preserve">Entrenamiento especializado en seguridad turística para más de 148 participantes de Centroamérica, México y el Caribe, así como la publicación del documento “Seguridad turística en México, Centroamérica y el Caribe 2016-2019: Principales conclusiones y recomendaciones”. </w:t>
      </w:r>
    </w:p>
    <w:p w14:paraId="65F95959" w14:textId="77777777" w:rsidR="003251A7" w:rsidRPr="00B62815" w:rsidRDefault="003251A7" w:rsidP="00E67635">
      <w:pPr>
        <w:numPr>
          <w:ilvl w:val="0"/>
          <w:numId w:val="42"/>
        </w:numPr>
        <w:jc w:val="both"/>
        <w:rPr>
          <w:rFonts w:asciiTheme="minorHAnsi" w:hAnsiTheme="minorHAnsi" w:cstheme="minorHAnsi"/>
          <w:sz w:val="22"/>
          <w:szCs w:val="22"/>
          <w:lang w:val="es-US"/>
        </w:rPr>
      </w:pPr>
      <w:r w:rsidRPr="00B62815">
        <w:rPr>
          <w:rFonts w:asciiTheme="minorHAnsi" w:hAnsiTheme="minorHAnsi" w:cstheme="minorHAnsi"/>
          <w:sz w:val="22"/>
          <w:szCs w:val="22"/>
          <w:lang w:val="es-ES_tradnl"/>
        </w:rPr>
        <w:t xml:space="preserve">Lanzamiento de la iniciativa para apoyar el desarrollo de estrategias nacionales de seguridad marítima en Antigua y Barbuda, Barbados, Dominica, Granada, San Cristóbal y Nieves, Santa Lucía, San Vicente y las Granadinas. </w:t>
      </w:r>
    </w:p>
    <w:p w14:paraId="29E59A74" w14:textId="77777777" w:rsidR="003251A7" w:rsidRPr="00B62815" w:rsidRDefault="003251A7" w:rsidP="00E67635">
      <w:pPr>
        <w:pStyle w:val="Default"/>
        <w:numPr>
          <w:ilvl w:val="0"/>
          <w:numId w:val="42"/>
        </w:numPr>
        <w:jc w:val="both"/>
        <w:rPr>
          <w:rFonts w:asciiTheme="minorHAnsi" w:hAnsiTheme="minorHAnsi" w:cstheme="minorHAnsi"/>
          <w:iCs/>
          <w:color w:val="auto"/>
          <w:sz w:val="22"/>
          <w:szCs w:val="22"/>
          <w:lang w:val="es-419"/>
        </w:rPr>
      </w:pPr>
      <w:r w:rsidRPr="00B62815">
        <w:rPr>
          <w:rFonts w:asciiTheme="minorHAnsi" w:hAnsiTheme="minorHAnsi" w:cstheme="minorHAnsi"/>
          <w:iCs/>
          <w:color w:val="auto"/>
          <w:sz w:val="22"/>
          <w:szCs w:val="22"/>
          <w:lang w:val="es-419"/>
        </w:rPr>
        <w:t xml:space="preserve">Capacitación de 49 oficiales de gobierno y representantes del sector privado de países del MERCOSUR y asistencia técnica a oficiales de aduanas de Argentina en aspectos de la seguridad de la cadena de suministro internacional por medio de los programas de operadores económicos autorizados. </w:t>
      </w:r>
    </w:p>
    <w:p w14:paraId="686315ED" w14:textId="77777777" w:rsidR="003251A7" w:rsidRPr="00B62815" w:rsidRDefault="003251A7" w:rsidP="003251A7">
      <w:pPr>
        <w:spacing w:after="160" w:line="256" w:lineRule="auto"/>
        <w:contextualSpacing/>
        <w:jc w:val="both"/>
        <w:rPr>
          <w:rFonts w:asciiTheme="minorHAnsi" w:hAnsiTheme="minorHAnsi" w:cstheme="minorHAnsi"/>
          <w:sz w:val="22"/>
          <w:szCs w:val="22"/>
          <w:lang w:val="es-US"/>
        </w:rPr>
      </w:pPr>
    </w:p>
    <w:p w14:paraId="3C4D115F" w14:textId="77777777" w:rsidR="003251A7" w:rsidRPr="00B62815" w:rsidRDefault="003251A7" w:rsidP="003251A7">
      <w:pPr>
        <w:spacing w:before="120" w:after="120"/>
        <w:rPr>
          <w:rFonts w:asciiTheme="minorHAnsi" w:eastAsia="Times New Roman" w:hAnsiTheme="minorHAnsi" w:cstheme="minorHAnsi"/>
          <w:b/>
          <w:bCs/>
          <w:color w:val="5B9BD5"/>
          <w:sz w:val="22"/>
          <w:szCs w:val="22"/>
          <w:lang w:val="es-ES"/>
        </w:rPr>
      </w:pPr>
      <w:r w:rsidRPr="00B62815">
        <w:rPr>
          <w:rFonts w:asciiTheme="minorHAnsi" w:eastAsia="Times New Roman" w:hAnsiTheme="minorHAnsi" w:cstheme="minorHAnsi"/>
          <w:b/>
          <w:bCs/>
          <w:color w:val="5B9BD5"/>
          <w:sz w:val="22"/>
          <w:szCs w:val="22"/>
          <w:lang w:val="es-ES"/>
        </w:rPr>
        <w:t>Links de Información</w:t>
      </w:r>
    </w:p>
    <w:p w14:paraId="73A02F0B" w14:textId="77777777" w:rsidR="003251A7" w:rsidRPr="00B62815" w:rsidRDefault="003251A7" w:rsidP="003251A7">
      <w:pPr>
        <w:spacing w:before="120" w:after="120"/>
        <w:rPr>
          <w:rFonts w:asciiTheme="minorHAnsi" w:eastAsia="Calibri" w:hAnsiTheme="minorHAnsi" w:cstheme="minorHAnsi"/>
          <w:sz w:val="22"/>
          <w:szCs w:val="22"/>
          <w:lang w:val="es-US"/>
        </w:rPr>
      </w:pPr>
      <w:r w:rsidRPr="00B62815">
        <w:rPr>
          <w:rFonts w:asciiTheme="minorHAnsi" w:hAnsiTheme="minorHAnsi" w:cstheme="minorHAnsi"/>
          <w:sz w:val="22"/>
          <w:szCs w:val="22"/>
          <w:lang w:val="es-US"/>
        </w:rPr>
        <w:t>Página web del CICTE - www.cicte.oas.org  y redes sociales  @OEA_CICTE   y @OEA_Cyber</w:t>
      </w:r>
    </w:p>
    <w:p w14:paraId="6339A86A" w14:textId="77777777" w:rsidR="003251A7" w:rsidRPr="00B62815" w:rsidRDefault="003251A7" w:rsidP="001C2CF3">
      <w:pPr>
        <w:spacing w:before="120" w:after="120"/>
        <w:rPr>
          <w:rFonts w:asciiTheme="minorHAnsi" w:eastAsia="Times New Roman" w:hAnsiTheme="minorHAnsi" w:cstheme="minorHAnsi"/>
          <w:b/>
          <w:bCs/>
          <w:color w:val="5B9BD5"/>
          <w:sz w:val="22"/>
          <w:szCs w:val="22"/>
          <w:lang w:val="es-ES"/>
        </w:rPr>
      </w:pPr>
      <w:r w:rsidRPr="00B62815">
        <w:rPr>
          <w:rFonts w:asciiTheme="minorHAnsi" w:eastAsia="Times New Roman" w:hAnsiTheme="minorHAnsi" w:cstheme="minorHAnsi"/>
          <w:b/>
          <w:bCs/>
          <w:color w:val="5B9BD5"/>
          <w:sz w:val="22"/>
          <w:szCs w:val="22"/>
          <w:lang w:val="es-ES"/>
        </w:rPr>
        <w:t>FOTOS</w:t>
      </w:r>
    </w:p>
    <w:p w14:paraId="35FEC83E" w14:textId="77777777" w:rsidR="003251A7" w:rsidRPr="00B62815" w:rsidRDefault="001C2CF3" w:rsidP="003251A7">
      <w:pPr>
        <w:jc w:val="center"/>
        <w:rPr>
          <w:rFonts w:asciiTheme="minorHAnsi" w:eastAsia="Times New Roman" w:hAnsiTheme="minorHAnsi" w:cstheme="minorHAnsi"/>
          <w:b/>
          <w:bCs/>
          <w:color w:val="5B9BD5"/>
          <w:sz w:val="22"/>
          <w:szCs w:val="22"/>
          <w:lang w:val="es-ES"/>
        </w:rPr>
      </w:pPr>
      <w:r w:rsidRPr="00B62815">
        <w:rPr>
          <w:rFonts w:asciiTheme="minorHAnsi" w:eastAsia="Calibri" w:hAnsiTheme="minorHAnsi" w:cstheme="minorHAnsi"/>
          <w:noProof/>
          <w:sz w:val="22"/>
          <w:szCs w:val="22"/>
        </w:rPr>
        <w:drawing>
          <wp:anchor distT="0" distB="0" distL="114300" distR="114300" simplePos="0" relativeHeight="251670528" behindDoc="1" locked="0" layoutInCell="1" allowOverlap="1" wp14:anchorId="38D98A14" wp14:editId="0C92E574">
            <wp:simplePos x="0" y="0"/>
            <wp:positionH relativeFrom="margin">
              <wp:posOffset>3275965</wp:posOffset>
            </wp:positionH>
            <wp:positionV relativeFrom="paragraph">
              <wp:posOffset>119380</wp:posOffset>
            </wp:positionV>
            <wp:extent cx="2512695" cy="1884045"/>
            <wp:effectExtent l="0" t="0" r="1905" b="1905"/>
            <wp:wrapTight wrapText="bothSides">
              <wp:wrapPolygon edited="0">
                <wp:start x="0" y="0"/>
                <wp:lineTo x="0" y="21403"/>
                <wp:lineTo x="21453" y="21403"/>
                <wp:lineTo x="21453" y="0"/>
                <wp:lineTo x="0" y="0"/>
              </wp:wrapPolygon>
            </wp:wrapTight>
            <wp:docPr id="134" name="Picture 10" descr="Simpos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posio 2"/>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512695" cy="1884045"/>
                    </a:xfrm>
                    <a:prstGeom prst="rect">
                      <a:avLst/>
                    </a:prstGeom>
                    <a:noFill/>
                  </pic:spPr>
                </pic:pic>
              </a:graphicData>
            </a:graphic>
            <wp14:sizeRelH relativeFrom="page">
              <wp14:pctWidth>0</wp14:pctWidth>
            </wp14:sizeRelH>
            <wp14:sizeRelV relativeFrom="page">
              <wp14:pctHeight>0</wp14:pctHeight>
            </wp14:sizeRelV>
          </wp:anchor>
        </w:drawing>
      </w:r>
      <w:r w:rsidRPr="00B62815">
        <w:rPr>
          <w:rFonts w:asciiTheme="minorHAnsi" w:eastAsia="Calibri" w:hAnsiTheme="minorHAnsi" w:cstheme="minorHAnsi"/>
          <w:noProof/>
          <w:sz w:val="22"/>
          <w:szCs w:val="22"/>
        </w:rPr>
        <w:drawing>
          <wp:anchor distT="0" distB="0" distL="114300" distR="114300" simplePos="0" relativeHeight="251668480" behindDoc="1" locked="0" layoutInCell="1" allowOverlap="1" wp14:anchorId="45F391B0" wp14:editId="2C28EB59">
            <wp:simplePos x="0" y="0"/>
            <wp:positionH relativeFrom="column">
              <wp:posOffset>-95250</wp:posOffset>
            </wp:positionH>
            <wp:positionV relativeFrom="paragraph">
              <wp:posOffset>119380</wp:posOffset>
            </wp:positionV>
            <wp:extent cx="2761615" cy="1801495"/>
            <wp:effectExtent l="0" t="0" r="635" b="8255"/>
            <wp:wrapTight wrapText="bothSides">
              <wp:wrapPolygon edited="0">
                <wp:start x="0" y="0"/>
                <wp:lineTo x="0" y="21471"/>
                <wp:lineTo x="21456" y="21471"/>
                <wp:lineTo x="21456" y="0"/>
                <wp:lineTo x="0" y="0"/>
              </wp:wrapPolygon>
            </wp:wrapTight>
            <wp:docPr id="133" name="Picture 7" descr="47952041521_7e6f87dac2_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952041521_7e6f87dac2_w (1)"/>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761615" cy="1801495"/>
                    </a:xfrm>
                    <a:prstGeom prst="rect">
                      <a:avLst/>
                    </a:prstGeom>
                    <a:noFill/>
                  </pic:spPr>
                </pic:pic>
              </a:graphicData>
            </a:graphic>
            <wp14:sizeRelH relativeFrom="page">
              <wp14:pctWidth>0</wp14:pctWidth>
            </wp14:sizeRelH>
            <wp14:sizeRelV relativeFrom="page">
              <wp14:pctHeight>0</wp14:pctHeight>
            </wp14:sizeRelV>
          </wp:anchor>
        </w:drawing>
      </w:r>
    </w:p>
    <w:p w14:paraId="0A54D548" w14:textId="77777777" w:rsidR="003251A7" w:rsidRPr="00B62815" w:rsidRDefault="003251A7" w:rsidP="003251A7">
      <w:pPr>
        <w:jc w:val="center"/>
        <w:rPr>
          <w:rFonts w:asciiTheme="minorHAnsi" w:eastAsia="Times New Roman" w:hAnsiTheme="minorHAnsi" w:cstheme="minorHAnsi"/>
          <w:b/>
          <w:bCs/>
          <w:color w:val="5B9BD5"/>
          <w:sz w:val="22"/>
          <w:szCs w:val="22"/>
          <w:lang w:val="es-ES"/>
        </w:rPr>
      </w:pPr>
    </w:p>
    <w:p w14:paraId="7386EE10" w14:textId="77777777" w:rsidR="003251A7" w:rsidRPr="00B62815" w:rsidRDefault="003251A7" w:rsidP="003251A7">
      <w:pPr>
        <w:jc w:val="center"/>
        <w:rPr>
          <w:rFonts w:asciiTheme="minorHAnsi" w:eastAsia="Times New Roman" w:hAnsiTheme="minorHAnsi" w:cstheme="minorHAnsi"/>
          <w:b/>
          <w:bCs/>
          <w:color w:val="5B9BD5"/>
          <w:sz w:val="22"/>
          <w:szCs w:val="22"/>
          <w:lang w:val="es-ES"/>
        </w:rPr>
      </w:pPr>
    </w:p>
    <w:p w14:paraId="1A67E3E3" w14:textId="77777777" w:rsidR="003251A7" w:rsidRPr="00B62815" w:rsidRDefault="003251A7" w:rsidP="003251A7">
      <w:pPr>
        <w:jc w:val="center"/>
        <w:rPr>
          <w:rFonts w:asciiTheme="minorHAnsi" w:eastAsia="Times New Roman" w:hAnsiTheme="minorHAnsi" w:cstheme="minorHAnsi"/>
          <w:b/>
          <w:bCs/>
          <w:color w:val="5B9BD5"/>
          <w:sz w:val="22"/>
          <w:szCs w:val="22"/>
          <w:lang w:val="es-ES"/>
        </w:rPr>
      </w:pPr>
    </w:p>
    <w:p w14:paraId="1E9E298C" w14:textId="77777777" w:rsidR="003251A7" w:rsidRPr="00B62815" w:rsidRDefault="003251A7" w:rsidP="003251A7">
      <w:pPr>
        <w:jc w:val="center"/>
        <w:rPr>
          <w:rFonts w:asciiTheme="minorHAnsi" w:eastAsia="Times New Roman" w:hAnsiTheme="minorHAnsi" w:cstheme="minorHAnsi"/>
          <w:b/>
          <w:bCs/>
          <w:color w:val="5B9BD5"/>
          <w:sz w:val="22"/>
          <w:szCs w:val="22"/>
          <w:lang w:val="es-ES"/>
        </w:rPr>
      </w:pPr>
    </w:p>
    <w:p w14:paraId="34ACAE89" w14:textId="77777777" w:rsidR="003251A7" w:rsidRPr="00B62815" w:rsidRDefault="003251A7" w:rsidP="003251A7">
      <w:pPr>
        <w:jc w:val="center"/>
        <w:rPr>
          <w:rFonts w:asciiTheme="minorHAnsi" w:eastAsia="Times New Roman" w:hAnsiTheme="minorHAnsi" w:cstheme="minorHAnsi"/>
          <w:b/>
          <w:bCs/>
          <w:color w:val="5B9BD5"/>
          <w:sz w:val="22"/>
          <w:szCs w:val="22"/>
          <w:lang w:val="es-ES"/>
        </w:rPr>
      </w:pPr>
    </w:p>
    <w:p w14:paraId="5FB08CF8" w14:textId="77777777" w:rsidR="003251A7" w:rsidRPr="00B62815" w:rsidRDefault="003251A7" w:rsidP="003251A7">
      <w:pPr>
        <w:jc w:val="center"/>
        <w:rPr>
          <w:rFonts w:asciiTheme="minorHAnsi" w:eastAsia="Times New Roman" w:hAnsiTheme="minorHAnsi" w:cstheme="minorHAnsi"/>
          <w:b/>
          <w:bCs/>
          <w:color w:val="5B9BD5"/>
          <w:sz w:val="22"/>
          <w:szCs w:val="22"/>
          <w:lang w:val="es-ES"/>
        </w:rPr>
      </w:pPr>
    </w:p>
    <w:p w14:paraId="131CDFB6" w14:textId="77777777" w:rsidR="003251A7" w:rsidRPr="00B62815" w:rsidRDefault="003251A7" w:rsidP="003251A7">
      <w:pPr>
        <w:jc w:val="center"/>
        <w:rPr>
          <w:rFonts w:asciiTheme="minorHAnsi" w:eastAsia="Times New Roman" w:hAnsiTheme="minorHAnsi" w:cstheme="minorHAnsi"/>
          <w:b/>
          <w:bCs/>
          <w:color w:val="5B9BD5"/>
          <w:sz w:val="22"/>
          <w:szCs w:val="22"/>
          <w:lang w:val="es-ES"/>
        </w:rPr>
      </w:pPr>
    </w:p>
    <w:p w14:paraId="55BF05E2" w14:textId="77777777" w:rsidR="003251A7" w:rsidRPr="00B62815" w:rsidRDefault="003251A7" w:rsidP="003251A7">
      <w:pPr>
        <w:jc w:val="center"/>
        <w:rPr>
          <w:rFonts w:asciiTheme="minorHAnsi" w:eastAsia="Times New Roman" w:hAnsiTheme="minorHAnsi" w:cstheme="minorHAnsi"/>
          <w:b/>
          <w:bCs/>
          <w:color w:val="5B9BD5"/>
          <w:sz w:val="22"/>
          <w:szCs w:val="22"/>
          <w:lang w:val="es-ES"/>
        </w:rPr>
      </w:pPr>
    </w:p>
    <w:p w14:paraId="1C5194DB" w14:textId="77777777" w:rsidR="003251A7" w:rsidRPr="00B62815" w:rsidRDefault="003251A7" w:rsidP="003251A7">
      <w:pPr>
        <w:jc w:val="center"/>
        <w:rPr>
          <w:rFonts w:asciiTheme="minorHAnsi" w:eastAsia="Times New Roman" w:hAnsiTheme="minorHAnsi" w:cstheme="minorHAnsi"/>
          <w:b/>
          <w:bCs/>
          <w:color w:val="5B9BD5"/>
          <w:sz w:val="22"/>
          <w:szCs w:val="22"/>
          <w:lang w:val="es-ES"/>
        </w:rPr>
      </w:pPr>
    </w:p>
    <w:p w14:paraId="00C862AA" w14:textId="48FB300E" w:rsidR="008C10A9" w:rsidRPr="00B62815" w:rsidRDefault="008C10A9" w:rsidP="00386551">
      <w:pPr>
        <w:pStyle w:val="ListParagraph"/>
        <w:spacing w:after="200" w:line="276" w:lineRule="auto"/>
        <w:contextualSpacing/>
        <w:rPr>
          <w:rFonts w:asciiTheme="minorHAnsi" w:hAnsiTheme="minorHAnsi" w:cstheme="minorHAnsi"/>
          <w:sz w:val="22"/>
          <w:szCs w:val="22"/>
          <w:lang w:val="es-ES"/>
        </w:rPr>
      </w:pPr>
    </w:p>
    <w:p w14:paraId="227DC3B7" w14:textId="77777777" w:rsidR="00491A44" w:rsidRPr="00B62815" w:rsidRDefault="00491A44" w:rsidP="00386551">
      <w:pPr>
        <w:pStyle w:val="ListParagraph"/>
        <w:spacing w:after="200" w:line="276" w:lineRule="auto"/>
        <w:contextualSpacing/>
        <w:rPr>
          <w:rFonts w:asciiTheme="minorHAnsi" w:hAnsiTheme="minorHAnsi" w:cstheme="minorHAnsi"/>
          <w:sz w:val="22"/>
          <w:szCs w:val="22"/>
          <w:lang w:val="es-ES"/>
        </w:rPr>
      </w:pPr>
    </w:p>
    <w:p w14:paraId="4DCA008C" w14:textId="676F7189" w:rsidR="00491A44" w:rsidRPr="00B62815" w:rsidRDefault="0078523B" w:rsidP="00386551">
      <w:pPr>
        <w:pStyle w:val="ListParagraph"/>
        <w:spacing w:after="200" w:line="276" w:lineRule="auto"/>
        <w:contextualSpacing/>
        <w:rPr>
          <w:rFonts w:asciiTheme="minorHAnsi" w:hAnsiTheme="minorHAnsi" w:cstheme="minorHAnsi"/>
          <w:sz w:val="22"/>
          <w:szCs w:val="22"/>
          <w:lang w:val="es-ES"/>
        </w:rPr>
      </w:pPr>
      <w:r w:rsidRPr="00B62815">
        <w:rPr>
          <w:rFonts w:asciiTheme="minorHAnsi" w:hAnsiTheme="minorHAnsi" w:cstheme="minorHAnsi"/>
          <w:noProof/>
          <w:sz w:val="22"/>
          <w:szCs w:val="22"/>
        </w:rPr>
        <w:drawing>
          <wp:anchor distT="0" distB="0" distL="114300" distR="114300" simplePos="0" relativeHeight="251672576" behindDoc="1" locked="0" layoutInCell="1" allowOverlap="1" wp14:anchorId="58386213" wp14:editId="7A04CE43">
            <wp:simplePos x="0" y="0"/>
            <wp:positionH relativeFrom="column">
              <wp:posOffset>1471930</wp:posOffset>
            </wp:positionH>
            <wp:positionV relativeFrom="paragraph">
              <wp:posOffset>125095</wp:posOffset>
            </wp:positionV>
            <wp:extent cx="2456815" cy="1841500"/>
            <wp:effectExtent l="0" t="0" r="635" b="6350"/>
            <wp:wrapTight wrapText="bothSides">
              <wp:wrapPolygon edited="0">
                <wp:start x="0" y="0"/>
                <wp:lineTo x="0" y="21451"/>
                <wp:lineTo x="21438" y="21451"/>
                <wp:lineTo x="21438" y="0"/>
                <wp:lineTo x="0" y="0"/>
              </wp:wrapPolygon>
            </wp:wrapTight>
            <wp:docPr id="135" name="Picture 11" descr="Montevideo agos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tevideo agosto 2019"/>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456815" cy="1841500"/>
                    </a:xfrm>
                    <a:prstGeom prst="rect">
                      <a:avLst/>
                    </a:prstGeom>
                    <a:noFill/>
                  </pic:spPr>
                </pic:pic>
              </a:graphicData>
            </a:graphic>
            <wp14:sizeRelH relativeFrom="page">
              <wp14:pctWidth>0</wp14:pctWidth>
            </wp14:sizeRelH>
            <wp14:sizeRelV relativeFrom="page">
              <wp14:pctHeight>0</wp14:pctHeight>
            </wp14:sizeRelV>
          </wp:anchor>
        </w:drawing>
      </w:r>
    </w:p>
    <w:p w14:paraId="5983E19F" w14:textId="77777777" w:rsidR="00491A44" w:rsidRPr="00B62815" w:rsidRDefault="00491A44" w:rsidP="00386551">
      <w:pPr>
        <w:pStyle w:val="ListParagraph"/>
        <w:spacing w:after="200" w:line="276" w:lineRule="auto"/>
        <w:contextualSpacing/>
        <w:rPr>
          <w:rFonts w:asciiTheme="minorHAnsi" w:hAnsiTheme="minorHAnsi" w:cstheme="minorHAnsi"/>
          <w:sz w:val="22"/>
          <w:szCs w:val="22"/>
          <w:lang w:val="es-ES"/>
        </w:rPr>
      </w:pPr>
    </w:p>
    <w:p w14:paraId="3373825B" w14:textId="77777777" w:rsidR="00491A44" w:rsidRPr="00B62815" w:rsidRDefault="00491A44" w:rsidP="00386551">
      <w:pPr>
        <w:pStyle w:val="ListParagraph"/>
        <w:spacing w:after="200" w:line="276" w:lineRule="auto"/>
        <w:contextualSpacing/>
        <w:rPr>
          <w:rFonts w:asciiTheme="minorHAnsi" w:hAnsiTheme="minorHAnsi" w:cstheme="minorHAnsi"/>
          <w:sz w:val="22"/>
          <w:szCs w:val="22"/>
          <w:lang w:val="es-ES"/>
        </w:rPr>
      </w:pPr>
    </w:p>
    <w:p w14:paraId="715C9E9E" w14:textId="77777777" w:rsidR="00B12E1F" w:rsidRPr="00B62815" w:rsidRDefault="00B12E1F" w:rsidP="00386551">
      <w:pPr>
        <w:pStyle w:val="ListParagraph"/>
        <w:spacing w:after="200" w:line="276" w:lineRule="auto"/>
        <w:contextualSpacing/>
        <w:rPr>
          <w:rFonts w:asciiTheme="minorHAnsi" w:hAnsiTheme="minorHAnsi" w:cstheme="minorHAnsi"/>
          <w:sz w:val="22"/>
          <w:szCs w:val="22"/>
          <w:lang w:val="es-ES"/>
        </w:rPr>
      </w:pPr>
    </w:p>
    <w:p w14:paraId="093E1122" w14:textId="77777777" w:rsidR="001C2CF3" w:rsidRPr="00B62815" w:rsidRDefault="001C2CF3" w:rsidP="00386551">
      <w:pPr>
        <w:pStyle w:val="ListParagraph"/>
        <w:spacing w:after="200" w:line="276" w:lineRule="auto"/>
        <w:contextualSpacing/>
        <w:rPr>
          <w:rFonts w:asciiTheme="minorHAnsi" w:hAnsiTheme="minorHAnsi" w:cstheme="minorHAnsi"/>
          <w:sz w:val="22"/>
          <w:szCs w:val="22"/>
          <w:lang w:val="es-ES"/>
        </w:rPr>
      </w:pPr>
    </w:p>
    <w:p w14:paraId="2D23F109" w14:textId="77777777" w:rsidR="001C2CF3" w:rsidRPr="00B62815" w:rsidRDefault="001C2CF3" w:rsidP="00386551">
      <w:pPr>
        <w:pStyle w:val="ListParagraph"/>
        <w:spacing w:after="200" w:line="276" w:lineRule="auto"/>
        <w:contextualSpacing/>
        <w:rPr>
          <w:rFonts w:asciiTheme="minorHAnsi" w:hAnsiTheme="minorHAnsi" w:cstheme="minorHAnsi"/>
          <w:sz w:val="22"/>
          <w:szCs w:val="22"/>
          <w:lang w:val="es-ES"/>
        </w:rPr>
      </w:pPr>
    </w:p>
    <w:p w14:paraId="56E2BC23" w14:textId="77777777" w:rsidR="001C2CF3" w:rsidRPr="00B62815" w:rsidRDefault="001C2CF3" w:rsidP="00386551">
      <w:pPr>
        <w:pStyle w:val="ListParagraph"/>
        <w:spacing w:after="200" w:line="276" w:lineRule="auto"/>
        <w:contextualSpacing/>
        <w:rPr>
          <w:rFonts w:asciiTheme="minorHAnsi" w:hAnsiTheme="minorHAnsi" w:cstheme="minorHAnsi"/>
          <w:sz w:val="22"/>
          <w:szCs w:val="22"/>
          <w:lang w:val="es-ES"/>
        </w:rPr>
      </w:pPr>
    </w:p>
    <w:p w14:paraId="53586AB2" w14:textId="77777777" w:rsidR="001C2CF3" w:rsidRPr="00B62815" w:rsidRDefault="001C2CF3" w:rsidP="00386551">
      <w:pPr>
        <w:pStyle w:val="ListParagraph"/>
        <w:spacing w:after="200" w:line="276" w:lineRule="auto"/>
        <w:contextualSpacing/>
        <w:rPr>
          <w:rFonts w:asciiTheme="minorHAnsi" w:hAnsiTheme="minorHAnsi" w:cstheme="minorHAnsi"/>
          <w:sz w:val="22"/>
          <w:szCs w:val="22"/>
          <w:lang w:val="es-ES"/>
        </w:rPr>
      </w:pPr>
    </w:p>
    <w:p w14:paraId="020222A8" w14:textId="284440DE" w:rsidR="001C2CF3" w:rsidRPr="00B62815" w:rsidRDefault="001C2CF3" w:rsidP="00386551">
      <w:pPr>
        <w:pStyle w:val="ListParagraph"/>
        <w:spacing w:after="200" w:line="276" w:lineRule="auto"/>
        <w:contextualSpacing/>
        <w:rPr>
          <w:rFonts w:asciiTheme="minorHAnsi" w:hAnsiTheme="minorHAnsi" w:cstheme="minorHAnsi"/>
          <w:sz w:val="22"/>
          <w:szCs w:val="22"/>
          <w:lang w:val="es-ES"/>
        </w:rPr>
      </w:pPr>
    </w:p>
    <w:p w14:paraId="5D795BA4" w14:textId="4BCFF10E" w:rsidR="0078523B" w:rsidRPr="00B62815" w:rsidRDefault="0078523B" w:rsidP="00386551">
      <w:pPr>
        <w:pStyle w:val="ListParagraph"/>
        <w:spacing w:after="200" w:line="276" w:lineRule="auto"/>
        <w:contextualSpacing/>
        <w:rPr>
          <w:rFonts w:asciiTheme="minorHAnsi" w:hAnsiTheme="minorHAnsi" w:cstheme="minorHAnsi"/>
          <w:sz w:val="22"/>
          <w:szCs w:val="22"/>
          <w:lang w:val="es-ES"/>
        </w:rPr>
      </w:pPr>
    </w:p>
    <w:p w14:paraId="035F8B18" w14:textId="09E6F310" w:rsidR="0078523B" w:rsidRDefault="0078523B" w:rsidP="00386551">
      <w:pPr>
        <w:pStyle w:val="ListParagraph"/>
        <w:spacing w:after="200" w:line="276" w:lineRule="auto"/>
        <w:contextualSpacing/>
        <w:rPr>
          <w:rFonts w:asciiTheme="minorHAnsi" w:hAnsiTheme="minorHAnsi" w:cstheme="minorHAnsi"/>
          <w:sz w:val="22"/>
          <w:szCs w:val="22"/>
          <w:lang w:val="es-ES"/>
        </w:rPr>
      </w:pPr>
    </w:p>
    <w:p w14:paraId="7C0753FF" w14:textId="77777777" w:rsidR="00E74BA0" w:rsidRPr="00B62815" w:rsidRDefault="00E74BA0" w:rsidP="00386551">
      <w:pPr>
        <w:pStyle w:val="ListParagraph"/>
        <w:spacing w:after="200" w:line="276" w:lineRule="auto"/>
        <w:contextualSpacing/>
        <w:rPr>
          <w:rFonts w:asciiTheme="minorHAnsi" w:hAnsiTheme="minorHAnsi" w:cstheme="minorHAnsi"/>
          <w:sz w:val="22"/>
          <w:szCs w:val="22"/>
          <w:lang w:val="es-ES"/>
        </w:rPr>
      </w:pPr>
    </w:p>
    <w:p w14:paraId="26F84167" w14:textId="77777777" w:rsidR="008646CD" w:rsidRPr="00B62815" w:rsidRDefault="008646CD" w:rsidP="00E67635">
      <w:pPr>
        <w:pStyle w:val="ListParagraph"/>
        <w:numPr>
          <w:ilvl w:val="2"/>
          <w:numId w:val="17"/>
        </w:numPr>
        <w:spacing w:after="200" w:line="276" w:lineRule="auto"/>
        <w:ind w:hanging="1080"/>
        <w:contextualSpacing/>
        <w:outlineLvl w:val="2"/>
        <w:rPr>
          <w:rFonts w:asciiTheme="minorHAnsi" w:hAnsiTheme="minorHAnsi" w:cstheme="minorHAnsi"/>
          <w:color w:val="E36C0A"/>
          <w:sz w:val="22"/>
          <w:szCs w:val="22"/>
          <w:lang w:val="es-ES"/>
        </w:rPr>
      </w:pPr>
      <w:bookmarkStart w:id="40" w:name="_Toc39675838"/>
      <w:bookmarkStart w:id="41" w:name="_Toc40191061"/>
      <w:r w:rsidRPr="00B62815">
        <w:rPr>
          <w:rFonts w:asciiTheme="minorHAnsi" w:hAnsiTheme="minorHAnsi" w:cstheme="minorHAnsi"/>
          <w:color w:val="E36C0A"/>
          <w:sz w:val="22"/>
          <w:szCs w:val="22"/>
          <w:lang w:val="es-ES"/>
        </w:rPr>
        <w:t>Departamento de Seguridad Pública</w:t>
      </w:r>
      <w:r w:rsidR="005C0634" w:rsidRPr="00B62815">
        <w:rPr>
          <w:rFonts w:asciiTheme="minorHAnsi" w:hAnsiTheme="minorHAnsi" w:cstheme="minorHAnsi"/>
          <w:color w:val="E36C0A"/>
          <w:sz w:val="22"/>
          <w:szCs w:val="22"/>
          <w:lang w:val="es-ES"/>
        </w:rPr>
        <w:t xml:space="preserve"> (DSP)</w:t>
      </w:r>
      <w:bookmarkEnd w:id="40"/>
      <w:bookmarkEnd w:id="41"/>
    </w:p>
    <w:p w14:paraId="1CF1D301" w14:textId="77777777" w:rsidR="00386551" w:rsidRPr="00B62815" w:rsidRDefault="00386551" w:rsidP="003F0CD0">
      <w:pPr>
        <w:pStyle w:val="ListParagraph"/>
        <w:contextualSpacing/>
        <w:rPr>
          <w:rFonts w:asciiTheme="minorHAnsi" w:hAnsiTheme="minorHAnsi" w:cstheme="minorHAnsi"/>
          <w:sz w:val="22"/>
          <w:szCs w:val="22"/>
          <w:lang w:val="es-ES"/>
        </w:rPr>
      </w:pPr>
    </w:p>
    <w:p w14:paraId="04389BE4" w14:textId="77777777" w:rsidR="008C10A9" w:rsidRPr="00B62815" w:rsidRDefault="008C10A9" w:rsidP="008C10A9">
      <w:pPr>
        <w:pStyle w:val="NoSpacing"/>
        <w:shd w:val="clear" w:color="auto" w:fill="FFFFFF"/>
        <w:jc w:val="both"/>
        <w:rPr>
          <w:rFonts w:asciiTheme="minorHAnsi" w:hAnsiTheme="minorHAnsi" w:cstheme="minorHAnsi"/>
          <w:lang w:val="es-US"/>
        </w:rPr>
      </w:pPr>
      <w:r w:rsidRPr="00B62815">
        <w:rPr>
          <w:rFonts w:asciiTheme="minorHAnsi" w:hAnsiTheme="minorHAnsi" w:cstheme="minorHAnsi"/>
          <w:lang w:val="es-US"/>
        </w:rPr>
        <w:t>El Departamento, respondiendo a Resoluciones de la Asamblea General y a los mandatos de las Reuniones de Ministros de Seguridad Pública (MISPA) y reuniones de autoridades nacionales y de la Convención Interamericana contra la Fabricación y Tráfico Ilícito de Armas de Fuego (CIFTA) realizó, en estrecha colaboración con los Estados Miembros, diversas acciones en las áreas de: información y conocimiento, prevención de la violencia y el delito, prevención de homicidios intencionales, asistencia y protección a víctimas de trata de personas, desarrollo y profesionalización policial, rehabilitación y reinserción de jóvenes en conflicto con la ley, enfrentamiento a la proliferación y el tráfico ilícito de armas pequeñas y ligeras y acción contra minas antipersonal, contribuyendo al desarrollo e implementación de políticas públicas capaces de promover un hemisferio más seguro y pacífico.</w:t>
      </w:r>
    </w:p>
    <w:p w14:paraId="0AC13B18" w14:textId="77777777" w:rsidR="008C10A9" w:rsidRPr="00B62815" w:rsidRDefault="008C10A9" w:rsidP="008C10A9">
      <w:pPr>
        <w:pStyle w:val="NoSpacing"/>
        <w:shd w:val="clear" w:color="auto" w:fill="FFFFFF"/>
        <w:jc w:val="both"/>
        <w:rPr>
          <w:rFonts w:asciiTheme="minorHAnsi" w:hAnsiTheme="minorHAnsi" w:cstheme="minorHAnsi"/>
          <w:lang w:val="es-US"/>
        </w:rPr>
      </w:pPr>
    </w:p>
    <w:p w14:paraId="3204C337" w14:textId="77777777" w:rsidR="008C10A9" w:rsidRPr="00B62815" w:rsidRDefault="008C10A9" w:rsidP="008C10A9">
      <w:pPr>
        <w:rPr>
          <w:rFonts w:asciiTheme="minorHAnsi" w:hAnsiTheme="minorHAnsi" w:cstheme="minorHAnsi"/>
          <w:b/>
          <w:sz w:val="22"/>
          <w:szCs w:val="22"/>
          <w:lang w:val="es-ES"/>
        </w:rPr>
      </w:pPr>
      <w:r w:rsidRPr="00B62815">
        <w:rPr>
          <w:rFonts w:asciiTheme="minorHAnsi" w:hAnsiTheme="minorHAnsi" w:cstheme="minorHAnsi"/>
          <w:b/>
          <w:sz w:val="22"/>
          <w:szCs w:val="22"/>
          <w:lang w:val="es-ES"/>
        </w:rPr>
        <w:t>Logros y Resultados 2019</w:t>
      </w:r>
    </w:p>
    <w:p w14:paraId="7BC1D0FF" w14:textId="77777777" w:rsidR="008C10A9" w:rsidRPr="00B62815" w:rsidRDefault="008C10A9" w:rsidP="008C10A9">
      <w:pPr>
        <w:jc w:val="center"/>
        <w:rPr>
          <w:rFonts w:asciiTheme="minorHAnsi" w:hAnsiTheme="minorHAnsi" w:cstheme="minorHAnsi"/>
          <w:b/>
          <w:color w:val="5B9BD5"/>
          <w:sz w:val="22"/>
          <w:szCs w:val="22"/>
          <w:lang w:val="es-ES"/>
        </w:rPr>
      </w:pPr>
    </w:p>
    <w:p w14:paraId="557BB36E" w14:textId="77777777" w:rsidR="008C10A9" w:rsidRPr="00B62815" w:rsidRDefault="008C10A9" w:rsidP="008C10A9">
      <w:pPr>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lastRenderedPageBreak/>
        <w:t>VII Reunión de Ministros en Materia de Seguridad Pública (MISPA)</w:t>
      </w:r>
    </w:p>
    <w:p w14:paraId="059F7947" w14:textId="77777777" w:rsidR="008C10A9" w:rsidRPr="00B62815" w:rsidRDefault="008C10A9" w:rsidP="00E67635">
      <w:pPr>
        <w:pStyle w:val="ListParagraph"/>
        <w:numPr>
          <w:ilvl w:val="0"/>
          <w:numId w:val="45"/>
        </w:numPr>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Aprobación de las Recomendaciones de Quito para el Fortalecimiento de la Cooperación Internacional en materia de Seguridad Pública en la Prevención y Lucha contra la Delincuencia Organizada Transnacional</w:t>
      </w:r>
    </w:p>
    <w:p w14:paraId="51FC4500" w14:textId="77777777" w:rsidR="008C10A9" w:rsidRPr="00B62815" w:rsidRDefault="008C10A9" w:rsidP="008C10A9">
      <w:pPr>
        <w:tabs>
          <w:tab w:val="left" w:pos="270"/>
          <w:tab w:val="left" w:pos="450"/>
        </w:tabs>
        <w:rPr>
          <w:rFonts w:asciiTheme="minorHAnsi" w:hAnsiTheme="minorHAnsi" w:cstheme="minorHAnsi"/>
          <w:b/>
          <w:sz w:val="22"/>
          <w:szCs w:val="22"/>
          <w:lang w:val="es-US"/>
        </w:rPr>
      </w:pPr>
    </w:p>
    <w:p w14:paraId="55EFF148" w14:textId="77777777" w:rsidR="008C10A9" w:rsidRPr="00B62815" w:rsidRDefault="008C10A9" w:rsidP="008C10A9">
      <w:pPr>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Prevención de la violencia y el delito:</w:t>
      </w:r>
    </w:p>
    <w:p w14:paraId="710840A7" w14:textId="77777777" w:rsidR="008C10A9" w:rsidRPr="00B62815" w:rsidRDefault="008C10A9" w:rsidP="00E67635">
      <w:pPr>
        <w:pStyle w:val="ListParagraph"/>
        <w:numPr>
          <w:ilvl w:val="0"/>
          <w:numId w:val="45"/>
        </w:numPr>
        <w:tabs>
          <w:tab w:val="left" w:pos="270"/>
          <w:tab w:val="left" w:pos="450"/>
        </w:tabs>
        <w:contextualSpacing/>
        <w:rPr>
          <w:rFonts w:asciiTheme="minorHAnsi" w:hAnsiTheme="minorHAnsi" w:cstheme="minorHAnsi"/>
          <w:sz w:val="22"/>
          <w:szCs w:val="22"/>
          <w:lang w:val="es-US"/>
        </w:rPr>
      </w:pPr>
      <w:r w:rsidRPr="00B62815">
        <w:rPr>
          <w:rFonts w:asciiTheme="minorHAnsi" w:hAnsiTheme="minorHAnsi" w:cstheme="minorHAnsi"/>
          <w:sz w:val="22"/>
          <w:szCs w:val="22"/>
          <w:lang w:val="es-US"/>
        </w:rPr>
        <w:t>Primer Plan de Acción Hemisférico, para Orientar la Elaboración de Políticas Públicas de Prevención de Homicidio Intencional, aprobado y vigente</w:t>
      </w:r>
    </w:p>
    <w:p w14:paraId="64A53D47" w14:textId="77777777" w:rsidR="008C10A9" w:rsidRPr="00B62815" w:rsidRDefault="008C10A9" w:rsidP="00E67635">
      <w:pPr>
        <w:pStyle w:val="ListParagraph"/>
        <w:numPr>
          <w:ilvl w:val="0"/>
          <w:numId w:val="45"/>
        </w:numPr>
        <w:tabs>
          <w:tab w:val="left" w:pos="270"/>
          <w:tab w:val="left" w:pos="450"/>
        </w:tabs>
        <w:contextualSpacing/>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100 jóvenes en situación de alta vulnerabilidad beneficiados del proyecto para prevención de la violencia juvenil a través de la música en Honduras </w:t>
      </w:r>
    </w:p>
    <w:p w14:paraId="322CBB50" w14:textId="77777777" w:rsidR="008C10A9" w:rsidRPr="00B62815" w:rsidRDefault="008C10A9" w:rsidP="00E67635">
      <w:pPr>
        <w:pStyle w:val="ListParagraph"/>
        <w:numPr>
          <w:ilvl w:val="0"/>
          <w:numId w:val="45"/>
        </w:numPr>
        <w:tabs>
          <w:tab w:val="left" w:pos="270"/>
          <w:tab w:val="left" w:pos="450"/>
        </w:tabs>
        <w:contextualSpacing/>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140 funcionarios gubernamentales y no gubernamentales fortalecieron sus capacidades para la asistencia y protección a víctimas de trata de Personas en Honduras y Guatemala </w:t>
      </w:r>
    </w:p>
    <w:p w14:paraId="791AC2D4" w14:textId="77777777" w:rsidR="008C10A9" w:rsidRPr="00B62815" w:rsidRDefault="008C10A9" w:rsidP="008C10A9">
      <w:pPr>
        <w:jc w:val="both"/>
        <w:rPr>
          <w:rFonts w:asciiTheme="minorHAnsi" w:hAnsiTheme="minorHAnsi" w:cstheme="minorHAnsi"/>
          <w:sz w:val="22"/>
          <w:szCs w:val="22"/>
          <w:lang w:val="es-ES_tradnl"/>
        </w:rPr>
      </w:pPr>
    </w:p>
    <w:p w14:paraId="12B125E5" w14:textId="77777777" w:rsidR="008C10A9" w:rsidRPr="00B62815" w:rsidRDefault="008C10A9" w:rsidP="008C10A9">
      <w:pPr>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A New Path (Un Nuevo Camino)</w:t>
      </w:r>
    </w:p>
    <w:p w14:paraId="310784CE" w14:textId="77777777" w:rsidR="008C10A9" w:rsidRPr="00B62815" w:rsidRDefault="008C10A9" w:rsidP="00E67635">
      <w:pPr>
        <w:pStyle w:val="ListParagraph"/>
        <w:numPr>
          <w:ilvl w:val="0"/>
          <w:numId w:val="45"/>
        </w:numPr>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+550 jóvenes de Jamaica beneficiados, en donde un 70% recibió capacitación en programas educativos, participaron de iniciativas de emprendimiento y recibieron oportunidades laborales </w:t>
      </w:r>
    </w:p>
    <w:p w14:paraId="087E98AC" w14:textId="77777777" w:rsidR="008C10A9" w:rsidRPr="00B62815" w:rsidRDefault="008C10A9" w:rsidP="00E67635">
      <w:pPr>
        <w:pStyle w:val="ListParagraph"/>
        <w:numPr>
          <w:ilvl w:val="0"/>
          <w:numId w:val="45"/>
        </w:numPr>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Sistema de Gestión de Casos desarrollado e implementado en todos los centros juveniles; y más de 100 funcionarios penitenciarios capacitados </w:t>
      </w:r>
    </w:p>
    <w:p w14:paraId="7BB3BD0C" w14:textId="77777777" w:rsidR="008C10A9" w:rsidRPr="00B62815" w:rsidRDefault="008C10A9" w:rsidP="00E67635">
      <w:pPr>
        <w:pStyle w:val="ListParagraph"/>
        <w:numPr>
          <w:ilvl w:val="0"/>
          <w:numId w:val="45"/>
        </w:numPr>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Construcción de aulas multipropósito en el centro correccional de South Camp inició</w:t>
      </w:r>
    </w:p>
    <w:p w14:paraId="396868E6" w14:textId="77777777" w:rsidR="008C10A9" w:rsidRPr="00B62815" w:rsidRDefault="008C10A9" w:rsidP="008C10A9">
      <w:pPr>
        <w:rPr>
          <w:rFonts w:asciiTheme="minorHAnsi" w:hAnsiTheme="minorHAnsi" w:cstheme="minorHAnsi"/>
          <w:b/>
          <w:color w:val="5B9BD5"/>
          <w:sz w:val="22"/>
          <w:szCs w:val="22"/>
          <w:lang w:val="es-ES"/>
        </w:rPr>
      </w:pPr>
    </w:p>
    <w:p w14:paraId="758D1CFD" w14:textId="77777777" w:rsidR="008C10A9" w:rsidRPr="00B62815" w:rsidRDefault="008C10A9" w:rsidP="008C10A9">
      <w:pPr>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Red Interamericana de Desarrollo y Profesionalización Policial:</w:t>
      </w:r>
    </w:p>
    <w:p w14:paraId="419E0328" w14:textId="77777777" w:rsidR="008C10A9" w:rsidRPr="00B62815" w:rsidRDefault="008C10A9" w:rsidP="00E67635">
      <w:pPr>
        <w:pStyle w:val="ListParagraph"/>
        <w:numPr>
          <w:ilvl w:val="0"/>
          <w:numId w:val="45"/>
        </w:numPr>
        <w:contextualSpacing/>
        <w:rPr>
          <w:rFonts w:asciiTheme="minorHAnsi" w:hAnsiTheme="minorHAnsi" w:cstheme="minorHAnsi"/>
          <w:sz w:val="22"/>
          <w:szCs w:val="22"/>
          <w:lang w:val="es-US"/>
        </w:rPr>
      </w:pPr>
      <w:r w:rsidRPr="00B62815">
        <w:rPr>
          <w:rFonts w:asciiTheme="minorHAnsi" w:hAnsiTheme="minorHAnsi" w:cstheme="minorHAnsi"/>
          <w:sz w:val="22"/>
          <w:szCs w:val="22"/>
          <w:lang w:val="es-US"/>
        </w:rPr>
        <w:t>60 oficiales de policía (20 mujeres y 40 hombres) de 27 Estados Miembros fortalecieron sus habilidades policiales en el Segundo Curso Presencial realizado en Ecuador, con 180 horas de duración y certificado por la Universidad de São Paulo</w:t>
      </w:r>
    </w:p>
    <w:p w14:paraId="65EBE913" w14:textId="77777777" w:rsidR="008C10A9" w:rsidRPr="00B62815" w:rsidRDefault="008C10A9" w:rsidP="00E67635">
      <w:pPr>
        <w:pStyle w:val="ListParagraph"/>
        <w:numPr>
          <w:ilvl w:val="0"/>
          <w:numId w:val="45"/>
        </w:numPr>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Plataforma Virtual de intercambio de información policial desarrollada; y Guía educativa para la  implementación del primer Curso Virtual en Investigación Policial de la Delincuencia Organizada Transnacional elaborada</w:t>
      </w:r>
    </w:p>
    <w:p w14:paraId="26596C0C" w14:textId="77777777" w:rsidR="008C10A9" w:rsidRPr="00B62815" w:rsidRDefault="008C10A9" w:rsidP="008C10A9">
      <w:pPr>
        <w:pStyle w:val="ListParagraph"/>
        <w:ind w:left="360"/>
        <w:jc w:val="both"/>
        <w:rPr>
          <w:rFonts w:asciiTheme="minorHAnsi" w:hAnsiTheme="minorHAnsi" w:cstheme="minorHAnsi"/>
          <w:sz w:val="22"/>
          <w:szCs w:val="22"/>
          <w:lang w:val="es-US"/>
        </w:rPr>
      </w:pPr>
    </w:p>
    <w:p w14:paraId="4F92E2A6" w14:textId="77777777" w:rsidR="008C10A9" w:rsidRPr="00B62815" w:rsidRDefault="008C10A9" w:rsidP="008C10A9">
      <w:pPr>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Contrarrestando la Proliferación y el tráfico ilícito de armas de pequeñas y ligeras y sus municiones, y su impacto en América Latina y el Caribe</w:t>
      </w:r>
    </w:p>
    <w:p w14:paraId="510DCF6C" w14:textId="77777777" w:rsidR="008C10A9" w:rsidRPr="00B62815" w:rsidRDefault="008C10A9" w:rsidP="00E67635">
      <w:pPr>
        <w:numPr>
          <w:ilvl w:val="0"/>
          <w:numId w:val="45"/>
        </w:numPr>
        <w:spacing w:line="276" w:lineRule="auto"/>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lastRenderedPageBreak/>
        <w:t>Oficiales de Estados Miembros fortalecieron su conocimiento técnico en Seguridad Física y Gestión de Arsenales, en técnicas de marcaje de armas y en Eliminación de Artefactos Explosivos al nivel 3 (EOD3).</w:t>
      </w:r>
    </w:p>
    <w:p w14:paraId="19DB4943" w14:textId="77777777" w:rsidR="008C10A9" w:rsidRPr="00B62815" w:rsidRDefault="008C10A9" w:rsidP="00E67635">
      <w:pPr>
        <w:numPr>
          <w:ilvl w:val="0"/>
          <w:numId w:val="45"/>
        </w:numPr>
        <w:spacing w:line="276" w:lineRule="auto"/>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Destrucción de 1,109 armas pequeñas y ligeras confiscadas y 341,186 municiones de pequeño calibre, con un peso total de 5.399 toneladas.</w:t>
      </w:r>
    </w:p>
    <w:p w14:paraId="0C965FD1" w14:textId="77777777" w:rsidR="008C10A9" w:rsidRPr="00B62815" w:rsidRDefault="008C10A9" w:rsidP="008C10A9">
      <w:pPr>
        <w:pStyle w:val="NoSpacing"/>
        <w:shd w:val="clear" w:color="auto" w:fill="FFFFFF"/>
        <w:jc w:val="both"/>
        <w:rPr>
          <w:rFonts w:asciiTheme="minorHAnsi" w:hAnsiTheme="minorHAnsi" w:cstheme="minorHAnsi"/>
          <w:lang w:val="es-AR"/>
        </w:rPr>
      </w:pPr>
    </w:p>
    <w:p w14:paraId="7FE68B8C" w14:textId="77777777" w:rsidR="008C10A9" w:rsidRPr="00B62815" w:rsidRDefault="008C10A9" w:rsidP="008C10A9">
      <w:pPr>
        <w:rPr>
          <w:rFonts w:asciiTheme="minorHAnsi" w:hAnsiTheme="minorHAnsi" w:cstheme="minorHAnsi"/>
          <w:b/>
          <w:color w:val="5B9BD5"/>
          <w:sz w:val="22"/>
          <w:szCs w:val="22"/>
          <w:lang w:val="es-ES"/>
        </w:rPr>
      </w:pPr>
      <w:r w:rsidRPr="00B62815">
        <w:rPr>
          <w:rFonts w:asciiTheme="minorHAnsi" w:hAnsiTheme="minorHAnsi" w:cstheme="minorHAnsi"/>
          <w:b/>
          <w:color w:val="5B9BD5"/>
          <w:sz w:val="22"/>
          <w:szCs w:val="22"/>
          <w:lang w:val="es-ES"/>
        </w:rPr>
        <w:t>Programa de Acción Integral contra Minas Antipersonal (AICMA)</w:t>
      </w:r>
    </w:p>
    <w:p w14:paraId="4A8463A8" w14:textId="77777777" w:rsidR="008C10A9" w:rsidRPr="00B62815" w:rsidRDefault="008C10A9" w:rsidP="00E67635">
      <w:pPr>
        <w:pStyle w:val="ListParagraph"/>
        <w:numPr>
          <w:ilvl w:val="0"/>
          <w:numId w:val="45"/>
        </w:numPr>
        <w:contextualSpacing/>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Ejecución de 1,015 evaluaciones operacionales en 8 Organizaciones de Desminado Humanitario (civiles y militares).</w:t>
      </w:r>
    </w:p>
    <w:p w14:paraId="53F01027" w14:textId="77777777" w:rsidR="008C10A9" w:rsidRPr="00B62815" w:rsidRDefault="008C10A9" w:rsidP="00E67635">
      <w:pPr>
        <w:pStyle w:val="ListParagraph"/>
        <w:numPr>
          <w:ilvl w:val="0"/>
          <w:numId w:val="45"/>
        </w:numPr>
        <w:contextualSpacing/>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Monitoreo del 88.2% de todas las operaciones de desminado que ejecutan en Colombia</w:t>
      </w:r>
    </w:p>
    <w:p w14:paraId="3BA88621" w14:textId="77777777" w:rsidR="008C10A9" w:rsidRPr="00B62815" w:rsidRDefault="008C10A9" w:rsidP="00E67635">
      <w:pPr>
        <w:pStyle w:val="ListParagraph"/>
        <w:numPr>
          <w:ilvl w:val="0"/>
          <w:numId w:val="45"/>
        </w:numPr>
        <w:contextualSpacing/>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Asistencia en la Rehabilitación física, psicosocial y socioeconómica de 103 sobrevivientes de minas y familiares identificados. </w:t>
      </w:r>
    </w:p>
    <w:p w14:paraId="4B2E7149" w14:textId="77777777" w:rsidR="008C10A9" w:rsidRPr="00B62815" w:rsidRDefault="008C10A9" w:rsidP="00E67635">
      <w:pPr>
        <w:pStyle w:val="ListParagraph"/>
        <w:numPr>
          <w:ilvl w:val="0"/>
          <w:numId w:val="45"/>
        </w:numPr>
        <w:contextualSpacing/>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Educación en el Riesgo de Minas (ERM) de alrededor 12,254 hombres, mujeres, niños y niñas en 242 comunidades ubicadas en 40 municipios diferentes. </w:t>
      </w:r>
    </w:p>
    <w:p w14:paraId="4FBCDA6E" w14:textId="77777777" w:rsidR="008C10A9" w:rsidRPr="00B62815" w:rsidRDefault="008C10A9" w:rsidP="008C10A9">
      <w:pPr>
        <w:pStyle w:val="ListParagraph"/>
        <w:ind w:left="360"/>
        <w:contextualSpacing/>
        <w:jc w:val="both"/>
        <w:rPr>
          <w:rFonts w:asciiTheme="minorHAnsi" w:hAnsiTheme="minorHAnsi" w:cstheme="minorHAnsi"/>
          <w:sz w:val="22"/>
          <w:szCs w:val="22"/>
          <w:lang w:val="es-AR"/>
        </w:rPr>
      </w:pPr>
    </w:p>
    <w:p w14:paraId="1B1490CB" w14:textId="77777777" w:rsidR="008C10A9" w:rsidRPr="00B62815" w:rsidRDefault="008C10A9" w:rsidP="008C10A9">
      <w:pPr>
        <w:spacing w:before="120" w:after="120"/>
        <w:rPr>
          <w:rFonts w:asciiTheme="minorHAnsi" w:eastAsia="Times New Roman" w:hAnsiTheme="minorHAnsi" w:cstheme="minorHAnsi"/>
          <w:b/>
          <w:bCs/>
          <w:color w:val="5B9BD5"/>
          <w:sz w:val="22"/>
          <w:szCs w:val="22"/>
          <w:lang w:val="es-ES"/>
        </w:rPr>
      </w:pPr>
      <w:r w:rsidRPr="00B62815">
        <w:rPr>
          <w:rFonts w:asciiTheme="minorHAnsi" w:eastAsia="Times New Roman" w:hAnsiTheme="minorHAnsi" w:cstheme="minorHAnsi"/>
          <w:b/>
          <w:bCs/>
          <w:color w:val="5B9BD5"/>
          <w:sz w:val="22"/>
          <w:szCs w:val="22"/>
          <w:lang w:val="es-ES"/>
        </w:rPr>
        <w:t>Links de Información</w:t>
      </w:r>
    </w:p>
    <w:p w14:paraId="7F03859F" w14:textId="77777777" w:rsidR="008C10A9" w:rsidRPr="00B62815" w:rsidRDefault="00573283" w:rsidP="00E67635">
      <w:pPr>
        <w:pStyle w:val="ListParagraph"/>
        <w:numPr>
          <w:ilvl w:val="0"/>
          <w:numId w:val="46"/>
        </w:numPr>
        <w:rPr>
          <w:rFonts w:asciiTheme="minorHAnsi" w:eastAsia="Calibri" w:hAnsiTheme="minorHAnsi" w:cstheme="minorHAnsi"/>
          <w:sz w:val="22"/>
          <w:szCs w:val="22"/>
          <w:lang w:val="es-US"/>
        </w:rPr>
      </w:pPr>
      <w:hyperlink r:id="rId75" w:history="1">
        <w:r w:rsidR="008C10A9" w:rsidRPr="00B62815">
          <w:rPr>
            <w:rStyle w:val="Hyperlink"/>
            <w:rFonts w:asciiTheme="minorHAnsi" w:hAnsiTheme="minorHAnsi" w:cstheme="minorHAnsi"/>
            <w:sz w:val="22"/>
            <w:szCs w:val="22"/>
            <w:lang w:val="es-US"/>
          </w:rPr>
          <w:t>Departamento de Seguridad Pública</w:t>
        </w:r>
      </w:hyperlink>
    </w:p>
    <w:p w14:paraId="452A28B6" w14:textId="77777777" w:rsidR="008C10A9" w:rsidRPr="00B62815" w:rsidRDefault="008C10A9" w:rsidP="00E67635">
      <w:pPr>
        <w:pStyle w:val="ListParagraph"/>
        <w:numPr>
          <w:ilvl w:val="0"/>
          <w:numId w:val="46"/>
        </w:num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Twitter del Departamento de Seguridad Pública: @OEA_Seguridad </w:t>
      </w:r>
    </w:p>
    <w:p w14:paraId="7D68A302" w14:textId="77777777" w:rsidR="008C10A9" w:rsidRPr="00B62815" w:rsidRDefault="00573283" w:rsidP="00E67635">
      <w:pPr>
        <w:pStyle w:val="ListParagraph"/>
        <w:numPr>
          <w:ilvl w:val="0"/>
          <w:numId w:val="46"/>
        </w:numPr>
        <w:rPr>
          <w:rStyle w:val="Hyperlink"/>
          <w:rFonts w:asciiTheme="minorHAnsi" w:hAnsiTheme="minorHAnsi" w:cstheme="minorHAnsi"/>
          <w:color w:val="auto"/>
          <w:sz w:val="22"/>
          <w:szCs w:val="22"/>
          <w:u w:val="none"/>
          <w:lang w:val="es-US"/>
        </w:rPr>
      </w:pPr>
      <w:hyperlink r:id="rId76" w:history="1">
        <w:r w:rsidR="008C10A9" w:rsidRPr="00B62815">
          <w:rPr>
            <w:rStyle w:val="Hyperlink"/>
            <w:rFonts w:asciiTheme="minorHAnsi" w:hAnsiTheme="minorHAnsi" w:cstheme="minorHAnsi"/>
            <w:sz w:val="22"/>
            <w:szCs w:val="22"/>
            <w:lang w:val="es-US"/>
          </w:rPr>
          <w:t>Plan de Acción para Orientar la Elaboración de Políticas de Prevención y Reducción del Homicidio Intencional</w:t>
        </w:r>
      </w:hyperlink>
    </w:p>
    <w:p w14:paraId="32427C36" w14:textId="77777777" w:rsidR="008C10A9" w:rsidRPr="00B62815" w:rsidRDefault="008C10A9" w:rsidP="008C10A9">
      <w:pPr>
        <w:pStyle w:val="ListParagraph"/>
        <w:rPr>
          <w:rStyle w:val="Hyperlink"/>
          <w:rFonts w:asciiTheme="minorHAnsi" w:hAnsiTheme="minorHAnsi" w:cstheme="minorHAnsi"/>
          <w:sz w:val="22"/>
          <w:szCs w:val="22"/>
          <w:lang w:val="es-US"/>
        </w:rPr>
      </w:pPr>
    </w:p>
    <w:p w14:paraId="3BA40074" w14:textId="77777777" w:rsidR="008C10A9" w:rsidRPr="00B62815" w:rsidRDefault="008C10A9" w:rsidP="008C10A9">
      <w:pPr>
        <w:tabs>
          <w:tab w:val="left" w:pos="1710"/>
        </w:tabs>
        <w:rPr>
          <w:rFonts w:asciiTheme="minorHAnsi" w:eastAsia="Times New Roman" w:hAnsiTheme="minorHAnsi" w:cstheme="minorHAnsi"/>
          <w:b/>
          <w:bCs/>
          <w:color w:val="5B9BD5"/>
          <w:sz w:val="22"/>
          <w:szCs w:val="22"/>
          <w:lang w:val="es-ES"/>
        </w:rPr>
      </w:pPr>
      <w:r w:rsidRPr="00B62815">
        <w:rPr>
          <w:rFonts w:asciiTheme="minorHAnsi" w:eastAsia="Times New Roman" w:hAnsiTheme="minorHAnsi" w:cstheme="minorHAnsi"/>
          <w:b/>
          <w:bCs/>
          <w:color w:val="5B9BD5"/>
          <w:sz w:val="22"/>
          <w:szCs w:val="22"/>
          <w:lang w:val="es-ES"/>
        </w:rPr>
        <w:t>Fotos</w:t>
      </w:r>
    </w:p>
    <w:p w14:paraId="1DB23E01" w14:textId="77777777" w:rsidR="008C10A9" w:rsidRPr="00B62815" w:rsidRDefault="001C2CF3" w:rsidP="008C10A9">
      <w:pPr>
        <w:tabs>
          <w:tab w:val="left" w:pos="1710"/>
        </w:tabs>
        <w:rPr>
          <w:rFonts w:asciiTheme="minorHAnsi" w:eastAsia="Calibri" w:hAnsiTheme="minorHAnsi" w:cstheme="minorHAnsi"/>
          <w:sz w:val="22"/>
          <w:szCs w:val="22"/>
          <w:lang w:val="es-US"/>
        </w:rPr>
      </w:pPr>
      <w:r w:rsidRPr="00B62815">
        <w:rPr>
          <w:rFonts w:asciiTheme="minorHAnsi" w:eastAsia="Calibri" w:hAnsiTheme="minorHAnsi" w:cstheme="minorHAnsi"/>
          <w:noProof/>
          <w:sz w:val="22"/>
          <w:szCs w:val="22"/>
        </w:rPr>
        <w:drawing>
          <wp:anchor distT="0" distB="0" distL="114300" distR="114300" simplePos="0" relativeHeight="251680768" behindDoc="0" locked="0" layoutInCell="1" allowOverlap="1" wp14:anchorId="170977B1" wp14:editId="61417AEB">
            <wp:simplePos x="0" y="0"/>
            <wp:positionH relativeFrom="column">
              <wp:posOffset>3381375</wp:posOffset>
            </wp:positionH>
            <wp:positionV relativeFrom="paragraph">
              <wp:posOffset>586740</wp:posOffset>
            </wp:positionV>
            <wp:extent cx="3067050" cy="1490345"/>
            <wp:effectExtent l="0" t="0" r="0" b="0"/>
            <wp:wrapSquare wrapText="bothSides"/>
            <wp:docPr id="139" name="Picture 4" descr="20190208_1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208_114340"/>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067050" cy="1490345"/>
                    </a:xfrm>
                    <a:prstGeom prst="rect">
                      <a:avLst/>
                    </a:prstGeom>
                    <a:noFill/>
                  </pic:spPr>
                </pic:pic>
              </a:graphicData>
            </a:graphic>
            <wp14:sizeRelH relativeFrom="page">
              <wp14:pctWidth>0</wp14:pctWidth>
            </wp14:sizeRelH>
            <wp14:sizeRelV relativeFrom="page">
              <wp14:pctHeight>0</wp14:pctHeight>
            </wp14:sizeRelV>
          </wp:anchor>
        </w:drawing>
      </w:r>
      <w:r w:rsidRPr="00B62815">
        <w:rPr>
          <w:rFonts w:asciiTheme="minorHAnsi" w:eastAsia="Calibri" w:hAnsiTheme="minorHAnsi" w:cstheme="minorHAnsi"/>
          <w:noProof/>
          <w:sz w:val="22"/>
          <w:szCs w:val="22"/>
        </w:rPr>
        <w:drawing>
          <wp:anchor distT="0" distB="0" distL="114300" distR="114300" simplePos="0" relativeHeight="251678720" behindDoc="0" locked="0" layoutInCell="1" allowOverlap="1" wp14:anchorId="28157D5D" wp14:editId="5B771327">
            <wp:simplePos x="0" y="0"/>
            <wp:positionH relativeFrom="column">
              <wp:posOffset>0</wp:posOffset>
            </wp:positionH>
            <wp:positionV relativeFrom="paragraph">
              <wp:posOffset>161290</wp:posOffset>
            </wp:positionV>
            <wp:extent cx="3286125" cy="2019300"/>
            <wp:effectExtent l="0" t="0" r="0" b="0"/>
            <wp:wrapSquare wrapText="bothSides"/>
            <wp:docPr id="138" name="Picture 6" descr="EF5k7BTXUAAxI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5k7BTXUAAxIDX"/>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3286125" cy="2019300"/>
                    </a:xfrm>
                    <a:prstGeom prst="rect">
                      <a:avLst/>
                    </a:prstGeom>
                    <a:noFill/>
                  </pic:spPr>
                </pic:pic>
              </a:graphicData>
            </a:graphic>
            <wp14:sizeRelH relativeFrom="page">
              <wp14:pctWidth>0</wp14:pctWidth>
            </wp14:sizeRelH>
            <wp14:sizeRelV relativeFrom="page">
              <wp14:pctHeight>0</wp14:pctHeight>
            </wp14:sizeRelV>
          </wp:anchor>
        </w:drawing>
      </w:r>
    </w:p>
    <w:p w14:paraId="5A017A5D" w14:textId="77777777" w:rsidR="005C0634" w:rsidRPr="00B62815" w:rsidRDefault="005C0634" w:rsidP="003F0CD0">
      <w:pPr>
        <w:pStyle w:val="ListParagraph"/>
        <w:spacing w:line="276" w:lineRule="auto"/>
        <w:ind w:left="0"/>
        <w:contextualSpacing/>
        <w:rPr>
          <w:rFonts w:asciiTheme="minorHAnsi" w:hAnsiTheme="minorHAnsi" w:cstheme="minorHAnsi"/>
          <w:sz w:val="22"/>
          <w:szCs w:val="22"/>
          <w:lang w:val="es-ES"/>
        </w:rPr>
      </w:pPr>
    </w:p>
    <w:p w14:paraId="05C01F00" w14:textId="77777777" w:rsidR="00C17A15" w:rsidRPr="00B62815" w:rsidRDefault="00C17A15" w:rsidP="003F0CD0">
      <w:pPr>
        <w:pStyle w:val="ListParagraph"/>
        <w:spacing w:line="276" w:lineRule="auto"/>
        <w:ind w:left="0"/>
        <w:contextualSpacing/>
        <w:rPr>
          <w:rFonts w:asciiTheme="minorHAnsi" w:hAnsiTheme="minorHAnsi" w:cstheme="minorHAnsi"/>
          <w:sz w:val="22"/>
          <w:szCs w:val="22"/>
          <w:lang w:val="es-ES"/>
        </w:rPr>
      </w:pPr>
    </w:p>
    <w:p w14:paraId="3671F4FA" w14:textId="77777777" w:rsidR="004E6904" w:rsidRPr="00B62815" w:rsidRDefault="004E6904" w:rsidP="003F0CD0">
      <w:pPr>
        <w:pStyle w:val="ListParagraph"/>
        <w:spacing w:line="276" w:lineRule="auto"/>
        <w:ind w:left="0"/>
        <w:contextualSpacing/>
        <w:rPr>
          <w:rFonts w:asciiTheme="minorHAnsi" w:hAnsiTheme="minorHAnsi" w:cstheme="minorHAnsi"/>
          <w:sz w:val="22"/>
          <w:szCs w:val="22"/>
          <w:lang w:val="es-ES"/>
        </w:rPr>
      </w:pPr>
    </w:p>
    <w:p w14:paraId="4CCFFA94" w14:textId="77777777" w:rsidR="00491A44" w:rsidRPr="00B62815" w:rsidRDefault="00491A44" w:rsidP="003F0CD0">
      <w:pPr>
        <w:pStyle w:val="ListParagraph"/>
        <w:spacing w:line="276" w:lineRule="auto"/>
        <w:ind w:left="0"/>
        <w:contextualSpacing/>
        <w:rPr>
          <w:rFonts w:asciiTheme="minorHAnsi" w:hAnsiTheme="minorHAnsi" w:cstheme="minorHAnsi"/>
          <w:sz w:val="22"/>
          <w:szCs w:val="22"/>
          <w:lang w:val="es-ES"/>
        </w:rPr>
      </w:pPr>
    </w:p>
    <w:p w14:paraId="61CCDED9" w14:textId="77777777" w:rsidR="00386551" w:rsidRPr="00B62815" w:rsidRDefault="00386551" w:rsidP="00E67635">
      <w:pPr>
        <w:pStyle w:val="ListParagraph"/>
        <w:numPr>
          <w:ilvl w:val="2"/>
          <w:numId w:val="17"/>
        </w:numPr>
        <w:spacing w:line="276" w:lineRule="auto"/>
        <w:ind w:hanging="1080"/>
        <w:contextualSpacing/>
        <w:outlineLvl w:val="2"/>
        <w:rPr>
          <w:rFonts w:asciiTheme="minorHAnsi" w:hAnsiTheme="minorHAnsi" w:cstheme="minorHAnsi"/>
          <w:color w:val="E36C0A"/>
          <w:sz w:val="22"/>
          <w:szCs w:val="22"/>
          <w:lang w:val="es-ES"/>
        </w:rPr>
      </w:pPr>
      <w:bookmarkStart w:id="42" w:name="_Toc39675839"/>
      <w:bookmarkStart w:id="43" w:name="_Toc40191062"/>
      <w:r w:rsidRPr="00B62815">
        <w:rPr>
          <w:rFonts w:asciiTheme="minorHAnsi" w:hAnsiTheme="minorHAnsi" w:cstheme="minorHAnsi"/>
          <w:color w:val="E36C0A"/>
          <w:sz w:val="22"/>
          <w:szCs w:val="22"/>
          <w:lang w:val="es-ES"/>
        </w:rPr>
        <w:t>Departamento contra la Delincuencia Organizada Transnacional</w:t>
      </w:r>
      <w:r w:rsidR="006B6D6C" w:rsidRPr="00B62815">
        <w:rPr>
          <w:rFonts w:asciiTheme="minorHAnsi" w:hAnsiTheme="minorHAnsi" w:cstheme="minorHAnsi"/>
          <w:color w:val="E36C0A"/>
          <w:sz w:val="22"/>
          <w:szCs w:val="22"/>
          <w:lang w:val="es-ES"/>
        </w:rPr>
        <w:t xml:space="preserve"> (D</w:t>
      </w:r>
      <w:r w:rsidR="005C0634" w:rsidRPr="00B62815">
        <w:rPr>
          <w:rFonts w:asciiTheme="minorHAnsi" w:hAnsiTheme="minorHAnsi" w:cstheme="minorHAnsi"/>
          <w:color w:val="E36C0A"/>
          <w:sz w:val="22"/>
          <w:szCs w:val="22"/>
          <w:lang w:val="es-ES"/>
        </w:rPr>
        <w:t>DOT)</w:t>
      </w:r>
      <w:bookmarkEnd w:id="42"/>
      <w:bookmarkEnd w:id="43"/>
    </w:p>
    <w:p w14:paraId="0B8E17EE" w14:textId="77777777" w:rsidR="008C10A9" w:rsidRPr="00B62815" w:rsidRDefault="008C10A9" w:rsidP="008C10A9">
      <w:pPr>
        <w:pStyle w:val="ListParagraph"/>
        <w:spacing w:line="276" w:lineRule="auto"/>
        <w:ind w:left="1080"/>
        <w:contextualSpacing/>
        <w:outlineLvl w:val="2"/>
        <w:rPr>
          <w:rFonts w:asciiTheme="minorHAnsi" w:hAnsiTheme="minorHAnsi" w:cstheme="minorHAnsi"/>
          <w:color w:val="E36C0A"/>
          <w:sz w:val="22"/>
          <w:szCs w:val="22"/>
          <w:lang w:val="es-ES"/>
        </w:rPr>
      </w:pPr>
    </w:p>
    <w:p w14:paraId="6538CAEB" w14:textId="79910672" w:rsidR="008C10A9" w:rsidRPr="00B62815" w:rsidRDefault="008C10A9" w:rsidP="008C10A9">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En 2019, se designó al primer director del Departamento contra la Delincuencia Organizada Transnacional (DDOT</w:t>
      </w:r>
      <w:r w:rsidR="001C2FC3">
        <w:rPr>
          <w:rFonts w:asciiTheme="minorHAnsi" w:hAnsiTheme="minorHAnsi" w:cstheme="minorHAnsi"/>
          <w:sz w:val="22"/>
          <w:szCs w:val="22"/>
          <w:lang w:val="es-US"/>
        </w:rPr>
        <w:t>)</w:t>
      </w:r>
      <w:r w:rsidRPr="00B62815">
        <w:rPr>
          <w:rFonts w:asciiTheme="minorHAnsi" w:hAnsiTheme="minorHAnsi" w:cstheme="minorHAnsi"/>
          <w:sz w:val="22"/>
          <w:szCs w:val="22"/>
          <w:lang w:val="es-US"/>
        </w:rPr>
        <w:t xml:space="preserve"> consolidando así su liderazgo tanto frente a otras instancias dentro de la OEA, como ante sus Estados Miembros, Observadores Permanentes y otros organismos internacionales.</w:t>
      </w:r>
    </w:p>
    <w:p w14:paraId="4ECD81D2" w14:textId="77777777" w:rsidR="008C10A9" w:rsidRPr="00B62815" w:rsidRDefault="008C10A9" w:rsidP="008C10A9">
      <w:pPr>
        <w:jc w:val="both"/>
        <w:rPr>
          <w:rFonts w:asciiTheme="minorHAnsi" w:hAnsiTheme="minorHAnsi" w:cstheme="minorHAnsi"/>
          <w:sz w:val="22"/>
          <w:szCs w:val="22"/>
          <w:lang w:val="es-US"/>
        </w:rPr>
      </w:pPr>
    </w:p>
    <w:p w14:paraId="3CFA3712" w14:textId="77777777" w:rsidR="008C10A9" w:rsidRPr="00B62815" w:rsidRDefault="008C10A9" w:rsidP="008C10A9">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El DDOT publicó la “Guía Práctica de Técnicas Especiales de Investigación (TEIS) en Casos de Delincuencia Organizada Transnacional” y capacitó a 124 investigadores, fiscales y analistas de inteligencia criminal de América Latina en aplicación de TEIS. Adicionalmente, 55 fiscales, policías e inspectores de trabajo de El Salvador, Guatemala y Honduras fueron entrenados para la persecución de la trata de personas y el tráfico ilícito de migrantes, conforme los marcos legislativos nacionales e internacionales. </w:t>
      </w:r>
    </w:p>
    <w:p w14:paraId="661F88F3" w14:textId="77777777" w:rsidR="008C10A9" w:rsidRPr="00B62815" w:rsidRDefault="008C10A9" w:rsidP="008C10A9">
      <w:pPr>
        <w:jc w:val="both"/>
        <w:rPr>
          <w:rFonts w:asciiTheme="minorHAnsi" w:hAnsiTheme="minorHAnsi" w:cstheme="minorHAnsi"/>
          <w:sz w:val="22"/>
          <w:szCs w:val="22"/>
          <w:lang w:val="es-US"/>
        </w:rPr>
      </w:pPr>
    </w:p>
    <w:p w14:paraId="62D5C331" w14:textId="77777777" w:rsidR="008C10A9" w:rsidRPr="00B62815" w:rsidRDefault="008C10A9" w:rsidP="008C10A9">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El DDOT apoyó a Surinam en su Evaluación Nacional de Riesgo (ENR) de lavado de activos y financiamiento del terrorismo, específicamente en el proceso de recolección y análisis de la información para la ENR. Más de 20 sesiones de capacitación virtual y presencial fueron impartidas a alrededor de 200 funcionarios de sectores público y privado.</w:t>
      </w:r>
    </w:p>
    <w:p w14:paraId="3DAE24BD" w14:textId="77777777" w:rsidR="008C10A9" w:rsidRPr="00B62815" w:rsidRDefault="008C10A9" w:rsidP="008C10A9">
      <w:pPr>
        <w:jc w:val="both"/>
        <w:rPr>
          <w:rFonts w:asciiTheme="minorHAnsi" w:hAnsiTheme="minorHAnsi" w:cstheme="minorHAnsi"/>
          <w:sz w:val="22"/>
          <w:szCs w:val="22"/>
          <w:lang w:val="es-US"/>
        </w:rPr>
      </w:pPr>
    </w:p>
    <w:p w14:paraId="5CC43CC0" w14:textId="77777777" w:rsidR="008C10A9" w:rsidRPr="00B62815" w:rsidRDefault="008C10A9" w:rsidP="008C10A9">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En el marco del Grupo de Expertos para el Control del Lavado de Activos (GELAVEX), el DDOT brindó servicios de secretaría técnica en sus dos reuniones anuales. Durante el 2019, el GELAVEX aprobó 5 nuevos documentos de referencia hemisférica en la materia.</w:t>
      </w:r>
    </w:p>
    <w:p w14:paraId="6F5B86A3" w14:textId="77777777" w:rsidR="008C10A9" w:rsidRPr="00B62815" w:rsidRDefault="008C10A9" w:rsidP="008C10A9">
      <w:pPr>
        <w:jc w:val="both"/>
        <w:rPr>
          <w:rFonts w:asciiTheme="minorHAnsi" w:hAnsiTheme="minorHAnsi" w:cstheme="minorHAnsi"/>
          <w:sz w:val="22"/>
          <w:szCs w:val="22"/>
          <w:lang w:val="es-US"/>
        </w:rPr>
      </w:pPr>
    </w:p>
    <w:p w14:paraId="254902D8" w14:textId="77777777" w:rsidR="008C10A9" w:rsidRPr="00B62815" w:rsidRDefault="008C10A9" w:rsidP="008C10A9">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En Perú, el DDOT inició el proyecto “Fortaleciendo el sistema anti-lavado de activos y contra el financiamiento del terrorismo (ALA/CFT)”, presentando a las autoridades nacionales sus objetivos y resultados esperados, en apoyo a la implementación del Plan Nacional ALA/CFT. En este marco, 25 analistas de la Unidad de Inteligencia Financiera (UIF) fueron entrenados en Auditoria Forense y contabilidad creativa; 150 funcionarios de sectores público y privado participaron en un seminario ALA/CFT en operaciones de casinos y juegos de azar. El DDOT inició asesoría especializada para la UIF en análisis estratégico.</w:t>
      </w:r>
    </w:p>
    <w:p w14:paraId="7CFED409" w14:textId="77777777" w:rsidR="004E6904" w:rsidRPr="00B62815" w:rsidRDefault="004E6904" w:rsidP="008C10A9">
      <w:pPr>
        <w:jc w:val="both"/>
        <w:rPr>
          <w:rFonts w:asciiTheme="minorHAnsi" w:hAnsiTheme="minorHAnsi" w:cstheme="minorHAnsi"/>
          <w:sz w:val="22"/>
          <w:szCs w:val="22"/>
          <w:lang w:val="es-US"/>
        </w:rPr>
      </w:pPr>
    </w:p>
    <w:p w14:paraId="5719469E" w14:textId="77777777" w:rsidR="008C10A9" w:rsidRPr="00B62815" w:rsidRDefault="008C10A9" w:rsidP="008C10A9">
      <w:pPr>
        <w:rPr>
          <w:rFonts w:asciiTheme="minorHAnsi" w:hAnsiTheme="minorHAnsi" w:cstheme="minorHAnsi"/>
          <w:b/>
          <w:sz w:val="22"/>
          <w:szCs w:val="22"/>
          <w:lang w:val="es-ES"/>
        </w:rPr>
      </w:pPr>
      <w:r w:rsidRPr="00B62815">
        <w:rPr>
          <w:rFonts w:asciiTheme="minorHAnsi" w:hAnsiTheme="minorHAnsi" w:cstheme="minorHAnsi"/>
          <w:b/>
          <w:sz w:val="22"/>
          <w:szCs w:val="22"/>
          <w:lang w:val="es-ES"/>
        </w:rPr>
        <w:t>Logros y Resultados 2019</w:t>
      </w:r>
    </w:p>
    <w:p w14:paraId="7FB70438" w14:textId="77777777" w:rsidR="008C10A9" w:rsidRPr="00B62815" w:rsidRDefault="008C10A9" w:rsidP="008C10A9">
      <w:pPr>
        <w:jc w:val="both"/>
        <w:rPr>
          <w:rFonts w:asciiTheme="minorHAnsi" w:hAnsiTheme="minorHAnsi" w:cstheme="minorHAnsi"/>
          <w:sz w:val="22"/>
          <w:szCs w:val="22"/>
          <w:lang w:val="es-US"/>
        </w:rPr>
      </w:pPr>
    </w:p>
    <w:p w14:paraId="2B29DCF8"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lastRenderedPageBreak/>
        <w:t>Guía Práctica de Técnicas Especiales de Investigación (TEIS) en Casos de Delincuencia Organizada Transnacional publicada;</w:t>
      </w:r>
    </w:p>
    <w:p w14:paraId="000EDD0E"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124 investigadores, fiscales y analistas de inteligencia criminal de América Latina capacitados para la efectiva aplicación de las Técnicas Especiales de Investigación (TEIS);</w:t>
      </w:r>
    </w:p>
    <w:p w14:paraId="55431616"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55 fiscales, policías e inspectores de trabajo de El Salvador, Guatemala y Honduras entrenados para investigar y perseguir los delitos de trata de personas y tráfico ilícito de migrantes;</w:t>
      </w:r>
    </w:p>
    <w:p w14:paraId="09B32616"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Fase de recolección de información para la Evaluación Nacional de Riesgo (ENR) de lavado de activos y financiamiento del terrorismo (LA/FT) de Suriname concluida;</w:t>
      </w:r>
    </w:p>
    <w:p w14:paraId="38C8BDCF"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Aumento de la consciencia sobre los riesgos de lavado de activos y financiamiento del terrorismo de varios sectores de la economía de Suriname;</w:t>
      </w:r>
    </w:p>
    <w:p w14:paraId="0826814C"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200 funcionarios de los sectores público y privado de Suriname capacitados en materia de análisis de riesgo de lavado de activos y financiamiento del terrorismo (LA/FT);</w:t>
      </w:r>
    </w:p>
    <w:p w14:paraId="483B04F2"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5 nuevos documentos de referencia en materia de decomiso de bienes de origen ilícito e investigación de lavado de activos y financiamiento del terrorismo (LA/FT) aprobados por el GELAVEX;</w:t>
      </w:r>
    </w:p>
    <w:p w14:paraId="1B398491"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25 analistas de la Unidad de Inteligencia Financiera (UIF) de Perú entrenados para aplicar procedimientos de auditoria forense a la investigación de LA/FT y contabilidad creativa;</w:t>
      </w:r>
    </w:p>
    <w:p w14:paraId="089F818D"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150 funcionarios de los sectores público y privado con aumento del conocimiento sobre prevención y detección de LA/FT en operaciones de casinos y juegos de azar;</w:t>
      </w:r>
    </w:p>
    <w:p w14:paraId="6A39ADA6" w14:textId="77777777" w:rsidR="008C10A9" w:rsidRPr="00B62815" w:rsidRDefault="008C10A9" w:rsidP="00E67635">
      <w:pPr>
        <w:pStyle w:val="ListParagraph"/>
        <w:numPr>
          <w:ilvl w:val="0"/>
          <w:numId w:val="43"/>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Fortalezas y debilidades en materia de análisis estratégico por la Unidad de Inteligencia Financiera UIF de Perú diagnosticadas y plan de acción diseñado;  </w:t>
      </w:r>
    </w:p>
    <w:p w14:paraId="41C7B8AF" w14:textId="77777777" w:rsidR="008C10A9" w:rsidRPr="00B62815" w:rsidRDefault="008C10A9" w:rsidP="008C10A9">
      <w:pPr>
        <w:pStyle w:val="ListParagraph"/>
        <w:spacing w:after="160" w:line="256" w:lineRule="auto"/>
        <w:ind w:left="360" w:hanging="360"/>
        <w:contextualSpacing/>
        <w:jc w:val="both"/>
        <w:rPr>
          <w:rFonts w:asciiTheme="minorHAnsi" w:hAnsiTheme="minorHAnsi" w:cstheme="minorHAnsi"/>
          <w:sz w:val="22"/>
          <w:szCs w:val="22"/>
          <w:lang w:val="es-US"/>
        </w:rPr>
      </w:pPr>
    </w:p>
    <w:p w14:paraId="085CCEC7" w14:textId="77777777" w:rsidR="008C10A9" w:rsidRPr="00B62815" w:rsidRDefault="008C10A9" w:rsidP="008C10A9">
      <w:pPr>
        <w:pStyle w:val="ListParagraph"/>
        <w:spacing w:before="120" w:after="120"/>
        <w:ind w:left="360" w:hanging="360"/>
        <w:rPr>
          <w:rFonts w:asciiTheme="minorHAnsi" w:eastAsia="Times New Roman" w:hAnsiTheme="minorHAnsi" w:cstheme="minorHAnsi"/>
          <w:b/>
          <w:bCs/>
          <w:color w:val="5B9BD5"/>
          <w:sz w:val="22"/>
          <w:szCs w:val="22"/>
          <w:lang w:val="es-ES"/>
        </w:rPr>
      </w:pPr>
      <w:r w:rsidRPr="00B62815">
        <w:rPr>
          <w:rFonts w:asciiTheme="minorHAnsi" w:eastAsia="Times New Roman" w:hAnsiTheme="minorHAnsi" w:cstheme="minorHAnsi"/>
          <w:b/>
          <w:bCs/>
          <w:color w:val="5B9BD5"/>
          <w:sz w:val="22"/>
          <w:szCs w:val="22"/>
          <w:lang w:val="es-ES"/>
        </w:rPr>
        <w:t>Links de Información</w:t>
      </w:r>
    </w:p>
    <w:p w14:paraId="6B754A63" w14:textId="77777777" w:rsidR="008C10A9" w:rsidRPr="00B62815" w:rsidRDefault="008C10A9" w:rsidP="00E67635">
      <w:pPr>
        <w:pStyle w:val="ListParagraph"/>
        <w:numPr>
          <w:ilvl w:val="0"/>
          <w:numId w:val="44"/>
        </w:numPr>
        <w:spacing w:after="160" w:line="256" w:lineRule="auto"/>
        <w:ind w:left="360"/>
        <w:contextualSpacing/>
        <w:jc w:val="both"/>
        <w:rPr>
          <w:rFonts w:asciiTheme="minorHAnsi" w:eastAsia="Calibri" w:hAnsiTheme="minorHAnsi" w:cstheme="minorHAnsi"/>
          <w:sz w:val="22"/>
          <w:szCs w:val="22"/>
          <w:lang w:val="es-US"/>
        </w:rPr>
      </w:pPr>
      <w:r w:rsidRPr="00B62815">
        <w:rPr>
          <w:rFonts w:asciiTheme="minorHAnsi" w:hAnsiTheme="minorHAnsi" w:cstheme="minorHAnsi"/>
          <w:sz w:val="22"/>
          <w:szCs w:val="22"/>
          <w:lang w:val="es-US"/>
        </w:rPr>
        <w:t xml:space="preserve">Guía Práctica de Técnicas Especiales de Investigación (TEIS) en Casos de Delincuencia Organizada Transnacional: </w:t>
      </w:r>
      <w:hyperlink r:id="rId79" w:history="1">
        <w:r w:rsidRPr="00B62815">
          <w:rPr>
            <w:rStyle w:val="Hyperlink"/>
            <w:rFonts w:asciiTheme="minorHAnsi" w:hAnsiTheme="minorHAnsi" w:cstheme="minorHAnsi"/>
            <w:sz w:val="22"/>
            <w:szCs w:val="22"/>
            <w:lang w:val="es-US"/>
          </w:rPr>
          <w:t>http://www.oas.org/es/ssm/template.asp?file=/es/ssm/ddot/publicaciones/default_spa.asp</w:t>
        </w:r>
      </w:hyperlink>
    </w:p>
    <w:p w14:paraId="0DB39B3D" w14:textId="77777777" w:rsidR="008C10A9" w:rsidRPr="00B62815" w:rsidRDefault="008C10A9" w:rsidP="00E67635">
      <w:pPr>
        <w:pStyle w:val="ListParagraph"/>
        <w:numPr>
          <w:ilvl w:val="0"/>
          <w:numId w:val="44"/>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GELAVEX: Estudio de legislación comparada y directrices técnicas de los organismos internacionales en cuanto al uso de los informes de inteligencia en la región:</w:t>
      </w:r>
    </w:p>
    <w:p w14:paraId="3E573147" w14:textId="77777777" w:rsidR="008C10A9" w:rsidRPr="00B62815" w:rsidRDefault="008C10A9" w:rsidP="008C10A9">
      <w:pPr>
        <w:pStyle w:val="ListParagraph"/>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 </w:t>
      </w:r>
      <w:hyperlink r:id="rId80" w:history="1">
        <w:r w:rsidRPr="00B62815">
          <w:rPr>
            <w:rStyle w:val="Hyperlink"/>
            <w:rFonts w:asciiTheme="minorHAnsi" w:hAnsiTheme="minorHAnsi" w:cstheme="minorHAnsi"/>
            <w:sz w:val="22"/>
            <w:szCs w:val="22"/>
            <w:lang w:val="es-US"/>
          </w:rPr>
          <w:t>http://www.cicad.oas.org/cicaddocs/Document.aspx?Id=5585</w:t>
        </w:r>
      </w:hyperlink>
      <w:r w:rsidRPr="00B62815">
        <w:rPr>
          <w:rFonts w:asciiTheme="minorHAnsi" w:hAnsiTheme="minorHAnsi" w:cstheme="minorHAnsi"/>
          <w:sz w:val="22"/>
          <w:szCs w:val="22"/>
          <w:lang w:val="es-US"/>
        </w:rPr>
        <w:t xml:space="preserve"> </w:t>
      </w:r>
    </w:p>
    <w:p w14:paraId="320A3A86" w14:textId="77777777" w:rsidR="008C10A9" w:rsidRPr="00B62815" w:rsidRDefault="008C10A9" w:rsidP="00E67635">
      <w:pPr>
        <w:pStyle w:val="ListParagraph"/>
        <w:numPr>
          <w:ilvl w:val="0"/>
          <w:numId w:val="44"/>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lastRenderedPageBreak/>
        <w:t xml:space="preserve">GELAVEX: Guía de buenas prácticas en el uso de informes periciales para probar el delito de lavado de dinero: </w:t>
      </w:r>
      <w:hyperlink r:id="rId81" w:history="1">
        <w:r w:rsidRPr="00B62815">
          <w:rPr>
            <w:rStyle w:val="Hyperlink"/>
            <w:rFonts w:asciiTheme="minorHAnsi" w:hAnsiTheme="minorHAnsi" w:cstheme="minorHAnsi"/>
            <w:sz w:val="22"/>
            <w:szCs w:val="22"/>
            <w:lang w:val="es-US"/>
          </w:rPr>
          <w:t>http://www.cicad.oas.org/cicaddocs/Document.aspx?Id=5586</w:t>
        </w:r>
      </w:hyperlink>
      <w:r w:rsidRPr="00B62815">
        <w:rPr>
          <w:rFonts w:asciiTheme="minorHAnsi" w:hAnsiTheme="minorHAnsi" w:cstheme="minorHAnsi"/>
          <w:sz w:val="22"/>
          <w:szCs w:val="22"/>
          <w:lang w:val="es-US"/>
        </w:rPr>
        <w:t xml:space="preserve"> </w:t>
      </w:r>
    </w:p>
    <w:p w14:paraId="4D73F654" w14:textId="77777777" w:rsidR="008C10A9" w:rsidRPr="00B62815" w:rsidRDefault="008C10A9" w:rsidP="00E67635">
      <w:pPr>
        <w:pStyle w:val="ListParagraph"/>
        <w:numPr>
          <w:ilvl w:val="0"/>
          <w:numId w:val="44"/>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GELAVEX: Estudio de la trata y el tráfico ilícito de migrantes como delitos base de lavado de dinero en los países de la OEA: </w:t>
      </w:r>
      <w:hyperlink r:id="rId82" w:history="1">
        <w:r w:rsidRPr="00B62815">
          <w:rPr>
            <w:rStyle w:val="Hyperlink"/>
            <w:rFonts w:asciiTheme="minorHAnsi" w:hAnsiTheme="minorHAnsi" w:cstheme="minorHAnsi"/>
            <w:sz w:val="22"/>
            <w:szCs w:val="22"/>
            <w:lang w:val="es-US"/>
          </w:rPr>
          <w:t>http://www.cicad.oas.org/cicaddocs/Document.aspx?Id=5584</w:t>
        </w:r>
      </w:hyperlink>
      <w:r w:rsidRPr="00B62815">
        <w:rPr>
          <w:rFonts w:asciiTheme="minorHAnsi" w:hAnsiTheme="minorHAnsi" w:cstheme="minorHAnsi"/>
          <w:sz w:val="22"/>
          <w:szCs w:val="22"/>
          <w:lang w:val="es-US"/>
        </w:rPr>
        <w:t xml:space="preserve"> </w:t>
      </w:r>
    </w:p>
    <w:p w14:paraId="74BDD193" w14:textId="77777777" w:rsidR="008C10A9" w:rsidRPr="00B62815" w:rsidRDefault="008C10A9" w:rsidP="00E67635">
      <w:pPr>
        <w:pStyle w:val="ListParagraph"/>
        <w:numPr>
          <w:ilvl w:val="0"/>
          <w:numId w:val="44"/>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GELAVEX: Estudio de aplicación y tratamiento decomiso de bienes de valor equivalente y bienes mezclados en los estados miembros de la OEA: </w:t>
      </w:r>
    </w:p>
    <w:p w14:paraId="311DE52C" w14:textId="77777777" w:rsidR="008C10A9" w:rsidRPr="00B62815" w:rsidRDefault="00573283" w:rsidP="008C10A9">
      <w:pPr>
        <w:pStyle w:val="ListParagraph"/>
        <w:spacing w:after="160" w:line="256" w:lineRule="auto"/>
        <w:ind w:left="360"/>
        <w:contextualSpacing/>
        <w:jc w:val="both"/>
        <w:rPr>
          <w:rFonts w:asciiTheme="minorHAnsi" w:hAnsiTheme="minorHAnsi" w:cstheme="minorHAnsi"/>
          <w:sz w:val="22"/>
          <w:szCs w:val="22"/>
          <w:lang w:val="es-US"/>
        </w:rPr>
      </w:pPr>
      <w:hyperlink r:id="rId83" w:history="1">
        <w:r w:rsidR="008C10A9" w:rsidRPr="00B62815">
          <w:rPr>
            <w:rStyle w:val="Hyperlink"/>
            <w:rFonts w:asciiTheme="minorHAnsi" w:hAnsiTheme="minorHAnsi" w:cstheme="minorHAnsi"/>
            <w:sz w:val="22"/>
            <w:szCs w:val="22"/>
            <w:lang w:val="es-US"/>
          </w:rPr>
          <w:t>http://www.cicad.oas.org/cicaddocs/Document.aspx?Id=5473</w:t>
        </w:r>
      </w:hyperlink>
      <w:r w:rsidR="008C10A9" w:rsidRPr="00B62815">
        <w:rPr>
          <w:rFonts w:asciiTheme="minorHAnsi" w:hAnsiTheme="minorHAnsi" w:cstheme="minorHAnsi"/>
          <w:sz w:val="22"/>
          <w:szCs w:val="22"/>
          <w:lang w:val="es-US"/>
        </w:rPr>
        <w:t xml:space="preserve"> </w:t>
      </w:r>
    </w:p>
    <w:p w14:paraId="62ED8AB2" w14:textId="77777777" w:rsidR="008C10A9" w:rsidRPr="00B62815" w:rsidRDefault="008C10A9" w:rsidP="00E67635">
      <w:pPr>
        <w:pStyle w:val="ListParagraph"/>
        <w:numPr>
          <w:ilvl w:val="0"/>
          <w:numId w:val="44"/>
        </w:numPr>
        <w:spacing w:after="160" w:line="256" w:lineRule="auto"/>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GELAVEX: Estudio sobre la auto sostenibilidad de bienes incautados y decomisados en los estados miembros de la OEA: </w:t>
      </w:r>
      <w:hyperlink r:id="rId84" w:history="1">
        <w:r w:rsidRPr="00B62815">
          <w:rPr>
            <w:rStyle w:val="Hyperlink"/>
            <w:rFonts w:asciiTheme="minorHAnsi" w:hAnsiTheme="minorHAnsi" w:cstheme="minorHAnsi"/>
            <w:sz w:val="22"/>
            <w:szCs w:val="22"/>
            <w:lang w:val="es-US"/>
          </w:rPr>
          <w:t>http://www.cicad.oas.org/cicaddocs/Document.aspx?Id=5474</w:t>
        </w:r>
      </w:hyperlink>
      <w:r w:rsidRPr="00B62815">
        <w:rPr>
          <w:rFonts w:asciiTheme="minorHAnsi" w:hAnsiTheme="minorHAnsi" w:cstheme="minorHAnsi"/>
          <w:sz w:val="22"/>
          <w:szCs w:val="22"/>
          <w:lang w:val="es-US"/>
        </w:rPr>
        <w:t xml:space="preserve"> </w:t>
      </w:r>
    </w:p>
    <w:p w14:paraId="597AFABF" w14:textId="3B67F13F" w:rsidR="008C10A9" w:rsidRPr="00B62815" w:rsidRDefault="00B22AF2" w:rsidP="008C10A9">
      <w:pPr>
        <w:spacing w:before="120" w:after="120"/>
        <w:ind w:left="360" w:hanging="360"/>
        <w:jc w:val="both"/>
        <w:rPr>
          <w:rFonts w:asciiTheme="minorHAnsi" w:eastAsia="Times New Roman" w:hAnsiTheme="minorHAnsi" w:cstheme="minorHAnsi"/>
          <w:b/>
          <w:bCs/>
          <w:color w:val="5B9BD5"/>
          <w:sz w:val="22"/>
          <w:szCs w:val="22"/>
          <w:lang w:val="es-ES"/>
        </w:rPr>
      </w:pPr>
      <w:r w:rsidRPr="00B62815">
        <w:rPr>
          <w:rFonts w:asciiTheme="minorHAnsi" w:hAnsiTheme="minorHAnsi" w:cstheme="minorHAnsi"/>
          <w:noProof/>
          <w:sz w:val="22"/>
          <w:szCs w:val="22"/>
        </w:rPr>
        <w:drawing>
          <wp:anchor distT="0" distB="0" distL="114300" distR="114300" simplePos="0" relativeHeight="251676672" behindDoc="0" locked="0" layoutInCell="1" allowOverlap="1" wp14:anchorId="0226AC1E" wp14:editId="3C415C31">
            <wp:simplePos x="0" y="0"/>
            <wp:positionH relativeFrom="margin">
              <wp:posOffset>-635</wp:posOffset>
            </wp:positionH>
            <wp:positionV relativeFrom="paragraph">
              <wp:posOffset>243839</wp:posOffset>
            </wp:positionV>
            <wp:extent cx="1657518" cy="2498725"/>
            <wp:effectExtent l="0" t="0" r="0" b="0"/>
            <wp:wrapNone/>
            <wp:docPr id="136" name="Picture 4" descr="Cover G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Guia"/>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661931" cy="2505378"/>
                    </a:xfrm>
                    <a:prstGeom prst="rect">
                      <a:avLst/>
                    </a:prstGeom>
                    <a:noFill/>
                    <a:ln>
                      <a:noFill/>
                    </a:ln>
                  </pic:spPr>
                </pic:pic>
              </a:graphicData>
            </a:graphic>
            <wp14:sizeRelH relativeFrom="page">
              <wp14:pctWidth>0</wp14:pctWidth>
            </wp14:sizeRelH>
            <wp14:sizeRelV relativeFrom="page">
              <wp14:pctHeight>0</wp14:pctHeight>
            </wp14:sizeRelV>
          </wp:anchor>
        </w:drawing>
      </w:r>
      <w:r w:rsidR="008C10A9" w:rsidRPr="00B62815">
        <w:rPr>
          <w:rFonts w:asciiTheme="minorHAnsi" w:eastAsia="Times New Roman" w:hAnsiTheme="minorHAnsi" w:cstheme="minorHAnsi"/>
          <w:b/>
          <w:bCs/>
          <w:color w:val="5B9BD5"/>
          <w:sz w:val="22"/>
          <w:szCs w:val="22"/>
          <w:lang w:val="es-ES"/>
        </w:rPr>
        <w:t>Fotos</w:t>
      </w:r>
    </w:p>
    <w:p w14:paraId="5DF2606E" w14:textId="11FD3F09" w:rsidR="003009D1" w:rsidRPr="00B62815" w:rsidRDefault="003009D1" w:rsidP="003009D1">
      <w:pPr>
        <w:tabs>
          <w:tab w:val="left" w:pos="3225"/>
        </w:tabs>
        <w:jc w:val="both"/>
        <w:rPr>
          <w:rFonts w:asciiTheme="minorHAnsi" w:eastAsia="Times New Roman" w:hAnsiTheme="minorHAnsi" w:cstheme="minorHAnsi"/>
          <w:noProof/>
          <w:sz w:val="22"/>
          <w:szCs w:val="22"/>
        </w:rPr>
      </w:pPr>
    </w:p>
    <w:p w14:paraId="366A3D25" w14:textId="77777777" w:rsidR="0028223C" w:rsidRPr="00B62815" w:rsidRDefault="001C2CF3" w:rsidP="003009D1">
      <w:pPr>
        <w:tabs>
          <w:tab w:val="left" w:pos="3225"/>
        </w:tabs>
        <w:jc w:val="both"/>
        <w:rPr>
          <w:rFonts w:asciiTheme="minorHAnsi" w:eastAsia="Times New Roman" w:hAnsiTheme="minorHAnsi" w:cstheme="minorHAnsi"/>
          <w:noProof/>
          <w:sz w:val="22"/>
          <w:szCs w:val="22"/>
        </w:rPr>
      </w:pPr>
      <w:r w:rsidRPr="00B62815">
        <w:rPr>
          <w:rFonts w:asciiTheme="minorHAnsi" w:hAnsiTheme="minorHAnsi" w:cstheme="minorHAnsi"/>
          <w:noProof/>
          <w:sz w:val="22"/>
          <w:szCs w:val="22"/>
        </w:rPr>
        <w:drawing>
          <wp:anchor distT="0" distB="0" distL="114300" distR="114300" simplePos="0" relativeHeight="251674624" behindDoc="0" locked="0" layoutInCell="1" allowOverlap="1" wp14:anchorId="0FBAA392" wp14:editId="0621C35A">
            <wp:simplePos x="0" y="0"/>
            <wp:positionH relativeFrom="column">
              <wp:posOffset>2025015</wp:posOffset>
            </wp:positionH>
            <wp:positionV relativeFrom="paragraph">
              <wp:posOffset>7620</wp:posOffset>
            </wp:positionV>
            <wp:extent cx="4114800" cy="2314575"/>
            <wp:effectExtent l="0" t="0" r="0" b="0"/>
            <wp:wrapNone/>
            <wp:docPr id="137" name="Picture 5" descr="GELAVEX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AVEX_CO"/>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41148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87E79" w14:textId="77777777" w:rsidR="00C17A15" w:rsidRPr="00B62815" w:rsidRDefault="00C17A15" w:rsidP="003009D1">
      <w:pPr>
        <w:tabs>
          <w:tab w:val="left" w:pos="3225"/>
        </w:tabs>
        <w:jc w:val="both"/>
        <w:rPr>
          <w:rFonts w:asciiTheme="minorHAnsi" w:eastAsia="Times New Roman" w:hAnsiTheme="minorHAnsi" w:cstheme="minorHAnsi"/>
          <w:sz w:val="22"/>
          <w:szCs w:val="22"/>
          <w:lang w:val="es-ES"/>
        </w:rPr>
      </w:pPr>
    </w:p>
    <w:p w14:paraId="54D8AD1D" w14:textId="77777777" w:rsidR="003009D1" w:rsidRPr="00B62815" w:rsidRDefault="003009D1" w:rsidP="003009D1">
      <w:pPr>
        <w:tabs>
          <w:tab w:val="left" w:pos="3225"/>
        </w:tabs>
        <w:jc w:val="both"/>
        <w:rPr>
          <w:rFonts w:asciiTheme="minorHAnsi" w:eastAsia="Times New Roman" w:hAnsiTheme="minorHAnsi" w:cstheme="minorHAnsi"/>
          <w:b/>
          <w:color w:val="4F81BD"/>
          <w:sz w:val="22"/>
          <w:szCs w:val="22"/>
          <w:lang w:val="es-ES"/>
        </w:rPr>
      </w:pPr>
    </w:p>
    <w:p w14:paraId="1776247A" w14:textId="77777777" w:rsidR="003009D1" w:rsidRPr="00B62815" w:rsidRDefault="003009D1" w:rsidP="003009D1">
      <w:pPr>
        <w:tabs>
          <w:tab w:val="left" w:pos="3225"/>
        </w:tabs>
        <w:jc w:val="both"/>
        <w:rPr>
          <w:rFonts w:asciiTheme="minorHAnsi" w:eastAsia="Times New Roman" w:hAnsiTheme="minorHAnsi" w:cstheme="minorHAnsi"/>
          <w:b/>
          <w:color w:val="4F81BD"/>
          <w:sz w:val="22"/>
          <w:szCs w:val="22"/>
          <w:lang w:val="es-ES"/>
        </w:rPr>
      </w:pPr>
    </w:p>
    <w:p w14:paraId="2A622839" w14:textId="77777777" w:rsidR="003009D1" w:rsidRPr="00B62815" w:rsidRDefault="003009D1" w:rsidP="003009D1">
      <w:pPr>
        <w:tabs>
          <w:tab w:val="left" w:pos="3225"/>
        </w:tabs>
        <w:jc w:val="both"/>
        <w:rPr>
          <w:rFonts w:asciiTheme="minorHAnsi" w:eastAsia="Times New Roman" w:hAnsiTheme="minorHAnsi" w:cstheme="minorHAnsi"/>
          <w:b/>
          <w:color w:val="4F81BD"/>
          <w:sz w:val="22"/>
          <w:szCs w:val="22"/>
          <w:lang w:val="es-ES"/>
        </w:rPr>
      </w:pPr>
    </w:p>
    <w:p w14:paraId="12ADECA0"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355B6867"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0EC10CB1"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1F108A8A"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589F985D"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7DA50584"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3ED1A213"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0B4375F7"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36114E03"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50EA954B"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526E2DAB" w14:textId="77777777" w:rsidR="008C10A9" w:rsidRPr="00B62815" w:rsidRDefault="008C10A9" w:rsidP="003009D1">
      <w:pPr>
        <w:tabs>
          <w:tab w:val="left" w:pos="3225"/>
        </w:tabs>
        <w:jc w:val="both"/>
        <w:rPr>
          <w:rFonts w:asciiTheme="minorHAnsi" w:eastAsia="Times New Roman" w:hAnsiTheme="minorHAnsi" w:cstheme="minorHAnsi"/>
          <w:b/>
          <w:color w:val="4F81BD"/>
          <w:sz w:val="22"/>
          <w:szCs w:val="22"/>
          <w:lang w:val="es-ES"/>
        </w:rPr>
      </w:pPr>
    </w:p>
    <w:p w14:paraId="67DAE7A3" w14:textId="77777777" w:rsidR="008646CD" w:rsidRPr="00B62815" w:rsidRDefault="00C329E8" w:rsidP="00E67635">
      <w:pPr>
        <w:pStyle w:val="ListParagraph"/>
        <w:numPr>
          <w:ilvl w:val="1"/>
          <w:numId w:val="17"/>
        </w:numPr>
        <w:ind w:left="720" w:hanging="720"/>
        <w:contextualSpacing/>
        <w:outlineLvl w:val="1"/>
        <w:rPr>
          <w:rFonts w:asciiTheme="minorHAnsi" w:hAnsiTheme="minorHAnsi" w:cstheme="minorHAnsi"/>
          <w:b/>
          <w:color w:val="1F497D"/>
          <w:sz w:val="22"/>
          <w:szCs w:val="22"/>
          <w:lang w:val="es-ES"/>
        </w:rPr>
      </w:pPr>
      <w:bookmarkStart w:id="44" w:name="_Toc39675840"/>
      <w:bookmarkStart w:id="45" w:name="_Toc40191063"/>
      <w:r w:rsidRPr="00B62815">
        <w:rPr>
          <w:rFonts w:asciiTheme="minorHAnsi" w:hAnsiTheme="minorHAnsi" w:cstheme="minorHAnsi"/>
          <w:b/>
          <w:color w:val="1F497D"/>
          <w:sz w:val="22"/>
          <w:szCs w:val="22"/>
          <w:lang w:val="es-ES"/>
        </w:rPr>
        <w:t>SECRETARÍA DE ADMINISTRACIÓN Y FINANZAS</w:t>
      </w:r>
      <w:bookmarkEnd w:id="44"/>
      <w:bookmarkEnd w:id="45"/>
    </w:p>
    <w:p w14:paraId="53F55558" w14:textId="77777777" w:rsidR="008C10A9" w:rsidRPr="00B62815" w:rsidRDefault="008C10A9" w:rsidP="008C10A9">
      <w:pPr>
        <w:pStyle w:val="ListParagraph"/>
        <w:contextualSpacing/>
        <w:outlineLvl w:val="1"/>
        <w:rPr>
          <w:rFonts w:asciiTheme="minorHAnsi" w:hAnsiTheme="minorHAnsi" w:cstheme="minorHAnsi"/>
          <w:b/>
          <w:color w:val="1F497D"/>
          <w:sz w:val="22"/>
          <w:szCs w:val="22"/>
          <w:lang w:val="es-ES"/>
        </w:rPr>
      </w:pPr>
    </w:p>
    <w:p w14:paraId="05D7F7D9" w14:textId="77777777" w:rsidR="00FB7E47" w:rsidRPr="00B62815" w:rsidRDefault="00FB7E47" w:rsidP="00FB7E47">
      <w:pPr>
        <w:autoSpaceDE w:val="0"/>
        <w:autoSpaceDN w:val="0"/>
        <w:jc w:val="both"/>
        <w:rPr>
          <w:rFonts w:asciiTheme="minorHAnsi" w:hAnsiTheme="minorHAnsi" w:cstheme="minorHAnsi"/>
          <w:color w:val="222222"/>
          <w:sz w:val="22"/>
          <w:szCs w:val="22"/>
          <w:lang w:val="es-ES"/>
        </w:rPr>
      </w:pPr>
      <w:r w:rsidRPr="00B62815">
        <w:rPr>
          <w:rFonts w:asciiTheme="minorHAnsi" w:hAnsiTheme="minorHAnsi" w:cstheme="minorHAnsi"/>
          <w:color w:val="222222"/>
          <w:sz w:val="22"/>
          <w:szCs w:val="22"/>
          <w:lang w:val="es-ES"/>
        </w:rPr>
        <w:lastRenderedPageBreak/>
        <w:t xml:space="preserve">La SAF está conformada por la Oficina Ejecutiva del Secretario de Administración y Finanzas (“OESAF”) y las siguientes dependencias: Departamento de Recursos Humanos; Departamento de Servicios Financieros, Departamento de Servicios de Información y Tecnología, Departamento de Servicios de Compras y Departamento de Servicios Generales. </w:t>
      </w:r>
    </w:p>
    <w:p w14:paraId="494C025E" w14:textId="77777777" w:rsidR="00FB7E47" w:rsidRPr="00B62815" w:rsidRDefault="00FB7E47" w:rsidP="00FB7E47">
      <w:pPr>
        <w:autoSpaceDE w:val="0"/>
        <w:autoSpaceDN w:val="0"/>
        <w:jc w:val="both"/>
        <w:rPr>
          <w:rFonts w:asciiTheme="minorHAnsi" w:hAnsiTheme="minorHAnsi" w:cstheme="minorHAnsi"/>
          <w:color w:val="222222"/>
          <w:sz w:val="22"/>
          <w:szCs w:val="22"/>
          <w:lang w:val="es-ES"/>
        </w:rPr>
      </w:pPr>
    </w:p>
    <w:p w14:paraId="0403B561" w14:textId="77777777" w:rsidR="00FB7E47" w:rsidRPr="00B62815" w:rsidRDefault="00FB7E47" w:rsidP="00FB7E47">
      <w:pPr>
        <w:autoSpaceDE w:val="0"/>
        <w:autoSpaceDN w:val="0"/>
        <w:jc w:val="both"/>
        <w:rPr>
          <w:rFonts w:asciiTheme="minorHAnsi" w:hAnsiTheme="minorHAnsi" w:cstheme="minorHAnsi"/>
          <w:color w:val="222222"/>
          <w:sz w:val="22"/>
          <w:szCs w:val="22"/>
          <w:lang w:val="es-ES"/>
        </w:rPr>
      </w:pPr>
      <w:r w:rsidRPr="00B62815">
        <w:rPr>
          <w:rFonts w:asciiTheme="minorHAnsi" w:hAnsiTheme="minorHAnsi" w:cstheme="minorHAnsi"/>
          <w:color w:val="222222"/>
          <w:sz w:val="22"/>
          <w:szCs w:val="22"/>
          <w:lang w:val="es-ES"/>
        </w:rPr>
        <w:t>La OESAF brinda liderazgo, dirección y orientación a todas las áreas sobre actividades de apoyo administrativo y financiero mientras conduce directamente las funciones administrativas críticas de la Secretaría General.</w:t>
      </w:r>
    </w:p>
    <w:p w14:paraId="7B816897" w14:textId="77777777" w:rsidR="001C2FC3" w:rsidRPr="00B62815" w:rsidRDefault="001C2FC3" w:rsidP="00FB7E47">
      <w:pPr>
        <w:jc w:val="both"/>
        <w:rPr>
          <w:rFonts w:asciiTheme="minorHAnsi" w:hAnsiTheme="minorHAnsi" w:cstheme="minorHAnsi"/>
          <w:color w:val="222222"/>
          <w:sz w:val="22"/>
          <w:szCs w:val="22"/>
          <w:u w:val="single"/>
          <w:lang w:val="es-ES"/>
        </w:rPr>
      </w:pPr>
    </w:p>
    <w:p w14:paraId="33E3D45D" w14:textId="1C441F99" w:rsidR="00FB7E47" w:rsidRPr="00B62815" w:rsidRDefault="00FB7E47" w:rsidP="00FB7E47">
      <w:pPr>
        <w:jc w:val="both"/>
        <w:rPr>
          <w:rFonts w:asciiTheme="minorHAnsi" w:hAnsiTheme="minorHAnsi" w:cstheme="minorHAnsi"/>
          <w:color w:val="222222"/>
          <w:sz w:val="22"/>
          <w:szCs w:val="22"/>
          <w:lang w:val="es-ES"/>
        </w:rPr>
      </w:pPr>
      <w:r w:rsidRPr="00B62815">
        <w:rPr>
          <w:rFonts w:asciiTheme="minorHAnsi" w:hAnsiTheme="minorHAnsi" w:cstheme="minorHAnsi"/>
          <w:color w:val="222222"/>
          <w:sz w:val="22"/>
          <w:szCs w:val="22"/>
          <w:lang w:val="es-ES"/>
        </w:rPr>
        <w:t>Durante el 2019, la O</w:t>
      </w:r>
      <w:r w:rsidR="001C2FC3">
        <w:rPr>
          <w:rFonts w:asciiTheme="minorHAnsi" w:hAnsiTheme="minorHAnsi" w:cstheme="minorHAnsi"/>
          <w:color w:val="222222"/>
          <w:sz w:val="22"/>
          <w:szCs w:val="22"/>
          <w:lang w:val="es-ES"/>
        </w:rPr>
        <w:t>ficina del Secretario</w:t>
      </w:r>
      <w:r w:rsidR="00AB75FF">
        <w:rPr>
          <w:rFonts w:asciiTheme="minorHAnsi" w:hAnsiTheme="minorHAnsi" w:cstheme="minorHAnsi"/>
          <w:color w:val="222222"/>
          <w:sz w:val="22"/>
          <w:szCs w:val="22"/>
          <w:lang w:val="es-ES"/>
        </w:rPr>
        <w:t xml:space="preserve"> (OESAF) </w:t>
      </w:r>
      <w:r w:rsidRPr="00B62815">
        <w:rPr>
          <w:rFonts w:asciiTheme="minorHAnsi" w:hAnsiTheme="minorHAnsi" w:cstheme="minorHAnsi"/>
          <w:color w:val="222222"/>
          <w:sz w:val="22"/>
          <w:szCs w:val="22"/>
          <w:lang w:val="es-ES"/>
        </w:rPr>
        <w:t xml:space="preserve">continuó apoyando a los órganos normativos de la Organización, principalmente a la Comisión de Asuntos Administrativos y Presupuestarios (CAAP), actuando como principal enlace entre la misma y la Secretaría General. La OESAF también dio apoyo a los esfuerzos del grupo de trabajo del Consejo Permanente para la implementación del Plan de Modernización de la Gestión. </w:t>
      </w:r>
      <w:r w:rsidR="00F755C5" w:rsidRPr="00B62815">
        <w:rPr>
          <w:rFonts w:asciiTheme="minorHAnsi" w:hAnsiTheme="minorHAnsi" w:cstheme="minorHAnsi"/>
          <w:color w:val="222222"/>
          <w:sz w:val="22"/>
          <w:szCs w:val="22"/>
          <w:lang w:val="es-ES"/>
        </w:rPr>
        <w:t>Asimismo,</w:t>
      </w:r>
      <w:r w:rsidRPr="00B62815">
        <w:rPr>
          <w:rFonts w:asciiTheme="minorHAnsi" w:hAnsiTheme="minorHAnsi" w:cstheme="minorHAnsi"/>
          <w:color w:val="222222"/>
          <w:sz w:val="22"/>
          <w:szCs w:val="22"/>
          <w:lang w:val="es-ES"/>
        </w:rPr>
        <w:t xml:space="preserve"> ha brindado constante apoyo durante la implementación del Proyecto de Tecnología en la logística y administración de recursos. </w:t>
      </w:r>
    </w:p>
    <w:p w14:paraId="4656C156" w14:textId="77777777" w:rsidR="00507ABF" w:rsidRPr="00B62815" w:rsidRDefault="00507ABF" w:rsidP="00FB7E47">
      <w:pPr>
        <w:jc w:val="both"/>
        <w:rPr>
          <w:rFonts w:asciiTheme="minorHAnsi" w:hAnsiTheme="minorHAnsi" w:cstheme="minorHAnsi"/>
          <w:color w:val="222222"/>
          <w:sz w:val="22"/>
          <w:szCs w:val="22"/>
          <w:lang w:val="es-ES_tradnl"/>
        </w:rPr>
      </w:pPr>
    </w:p>
    <w:p w14:paraId="0943DA03" w14:textId="480B0CCE" w:rsidR="00FB7E47" w:rsidRDefault="00FB7E47" w:rsidP="00FB7E47">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Logros alcanzados:</w:t>
      </w:r>
    </w:p>
    <w:p w14:paraId="6AF711AD" w14:textId="77777777" w:rsidR="001C2FC3" w:rsidRPr="00B62815" w:rsidRDefault="001C2FC3" w:rsidP="00FB7E47">
      <w:pPr>
        <w:jc w:val="both"/>
        <w:rPr>
          <w:rFonts w:asciiTheme="minorHAnsi" w:hAnsiTheme="minorHAnsi" w:cstheme="minorHAnsi"/>
          <w:sz w:val="22"/>
          <w:szCs w:val="22"/>
          <w:lang w:val="es-ES"/>
        </w:rPr>
      </w:pPr>
    </w:p>
    <w:p w14:paraId="0B0F496F" w14:textId="77777777" w:rsidR="00FB7E47" w:rsidRPr="00B62815" w:rsidRDefault="00FB7E47" w:rsidP="00E67635">
      <w:pPr>
        <w:numPr>
          <w:ilvl w:val="0"/>
          <w:numId w:val="56"/>
        </w:numPr>
        <w:spacing w:after="200" w:line="276" w:lineRule="auto"/>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La OESAF coordinó con todas las áreas de la Secretaría General para facilitar la ejecución de programas desde el punto de vista administrativo y financiero. A pesar de las limitaciones del techo de ejecución presupuestaria establecido para el 2019, la OESAF, gracias a una cuidadosa gestión de gastos y de ingresos, pudo acomodar diversas necesidades presupuestarias durante este año de austeridad financiera. </w:t>
      </w:r>
    </w:p>
    <w:p w14:paraId="6480DE78" w14:textId="77777777" w:rsidR="00FB7E47" w:rsidRPr="00B62815" w:rsidRDefault="00FB7E47" w:rsidP="00E67635">
      <w:pPr>
        <w:numPr>
          <w:ilvl w:val="0"/>
          <w:numId w:val="56"/>
        </w:numPr>
        <w:spacing w:after="200" w:line="276" w:lineRule="auto"/>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continuó con la revisión de los controles y procedimientos internos para fortalecer el registro de la información financiera. Este tema es crítico para cimentar la confianza de los donantes con respecto a la capacidad de la SG/OEA para controlar adecuadamente la ejecución de contribuciones a Fondos Específicos dirigidos a proyectos de la OEA.</w:t>
      </w:r>
    </w:p>
    <w:p w14:paraId="3EE395CF" w14:textId="77777777" w:rsidR="00FB7E47" w:rsidRPr="00B62815" w:rsidRDefault="00FB7E47" w:rsidP="00E67635">
      <w:pPr>
        <w:numPr>
          <w:ilvl w:val="0"/>
          <w:numId w:val="56"/>
        </w:numPr>
        <w:spacing w:after="200" w:line="276" w:lineRule="auto"/>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lastRenderedPageBreak/>
        <w:t>El Consejo Permanente, mediante resolución CP/Res. 1100 (2160/18) autorizó los recursos necesarios consignados en un fondo de tecnología para financiar la actualización del sistema de control de Gestión Integrado en la Nube – OASCORE el cual inició su implementación y finalizará en el mes de enero del año 2021.</w:t>
      </w:r>
    </w:p>
    <w:p w14:paraId="3BF6F579" w14:textId="77777777" w:rsidR="00FB7E47" w:rsidRPr="00B62815" w:rsidRDefault="00FB7E47" w:rsidP="00E67635">
      <w:pPr>
        <w:numPr>
          <w:ilvl w:val="0"/>
          <w:numId w:val="56"/>
        </w:numPr>
        <w:spacing w:after="200" w:line="276" w:lineRule="auto"/>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La SAF continuó trabajando arduamente para superar los desafíos ocasionados por la excesiva carga de trabajo, y, a la vez, compensar las tareas de posiciones que permanecieron vacantes durante el 2019. </w:t>
      </w:r>
    </w:p>
    <w:p w14:paraId="0C34038B" w14:textId="77777777" w:rsidR="00FB7E47" w:rsidRPr="00B62815" w:rsidRDefault="00FB7E47" w:rsidP="00E67635">
      <w:pPr>
        <w:numPr>
          <w:ilvl w:val="0"/>
          <w:numId w:val="56"/>
        </w:numPr>
        <w:spacing w:after="200" w:line="276" w:lineRule="auto"/>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 solicitud del</w:t>
      </w:r>
      <w:r w:rsidR="00507ABF" w:rsidRPr="00B62815">
        <w:rPr>
          <w:rFonts w:asciiTheme="minorHAnsi" w:hAnsiTheme="minorHAnsi" w:cstheme="minorHAnsi"/>
          <w:sz w:val="22"/>
          <w:szCs w:val="22"/>
          <w:lang w:val="es-ES"/>
        </w:rPr>
        <w:t xml:space="preserve"> Secretario General, la SAF fue</w:t>
      </w:r>
      <w:r w:rsidRPr="00B62815">
        <w:rPr>
          <w:rFonts w:asciiTheme="minorHAnsi" w:hAnsiTheme="minorHAnsi" w:cstheme="minorHAnsi"/>
          <w:sz w:val="22"/>
          <w:szCs w:val="22"/>
          <w:lang w:val="es-ES"/>
        </w:rPr>
        <w:t xml:space="preserve"> designada para la preparación del Programa de Presupuesto del año 2020, el cual fue exitosamente aprobado durante la Asamblea General del mes de junio de 2019.</w:t>
      </w:r>
    </w:p>
    <w:p w14:paraId="4278A424" w14:textId="77777777" w:rsidR="00FB7E47" w:rsidRPr="00B62815" w:rsidRDefault="00FB7E47" w:rsidP="00FB7E47">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La SAF rutinariamente da a conocer sus avances y desafíos a los Estados Miembros a través del "Informe Semestral sobre la Administración de los Recursos y el Desempeño en la OEA". Este cubre las actividades de la SAF y responde a las recomendaciones de la Junta de Auditores Externos de la OEA, así como a los mandatos derivados de la resolución sobre el presupuesto.</w:t>
      </w:r>
    </w:p>
    <w:p w14:paraId="1F9DAA87" w14:textId="77777777" w:rsidR="00FB7E47" w:rsidRPr="00B62815" w:rsidRDefault="00FB7E47" w:rsidP="00AA26E4">
      <w:pPr>
        <w:pStyle w:val="Heading3"/>
        <w:rPr>
          <w:rFonts w:asciiTheme="minorHAnsi" w:hAnsiTheme="minorHAnsi" w:cstheme="minorHAnsi"/>
          <w:b w:val="0"/>
          <w:bCs w:val="0"/>
          <w:iCs/>
          <w:caps/>
          <w:color w:val="FF9900"/>
          <w:sz w:val="22"/>
          <w:szCs w:val="22"/>
          <w:lang w:val="es-ES"/>
        </w:rPr>
      </w:pPr>
      <w:bookmarkStart w:id="46" w:name="_Toc39675841"/>
      <w:bookmarkStart w:id="47" w:name="_Toc40191064"/>
      <w:r w:rsidRPr="00B62815">
        <w:rPr>
          <w:rFonts w:asciiTheme="minorHAnsi" w:hAnsiTheme="minorHAnsi" w:cstheme="minorHAnsi"/>
          <w:b w:val="0"/>
          <w:bCs w:val="0"/>
          <w:iCs/>
          <w:caps/>
          <w:color w:val="FF9900"/>
          <w:sz w:val="22"/>
          <w:szCs w:val="22"/>
          <w:lang w:val="es-ES"/>
        </w:rPr>
        <w:t>2.6.1</w:t>
      </w:r>
      <w:r w:rsidRPr="00B62815">
        <w:rPr>
          <w:rFonts w:asciiTheme="minorHAnsi" w:hAnsiTheme="minorHAnsi" w:cstheme="minorHAnsi"/>
          <w:b w:val="0"/>
          <w:bCs w:val="0"/>
          <w:iCs/>
          <w:color w:val="FF9900"/>
          <w:sz w:val="22"/>
          <w:szCs w:val="22"/>
          <w:lang w:val="es-ES"/>
        </w:rPr>
        <w:t xml:space="preserve"> </w:t>
      </w:r>
      <w:r w:rsidRPr="00B62815">
        <w:rPr>
          <w:rFonts w:asciiTheme="minorHAnsi" w:hAnsiTheme="minorHAnsi" w:cstheme="minorHAnsi"/>
          <w:b w:val="0"/>
          <w:bCs w:val="0"/>
          <w:iCs/>
          <w:color w:val="FF9900"/>
          <w:sz w:val="22"/>
          <w:szCs w:val="22"/>
          <w:lang w:val="es-ES"/>
        </w:rPr>
        <w:tab/>
        <w:t>Departamento de Recursos Humanos (DRH)</w:t>
      </w:r>
      <w:bookmarkEnd w:id="46"/>
      <w:bookmarkEnd w:id="47"/>
    </w:p>
    <w:p w14:paraId="6C18E90F" w14:textId="77777777" w:rsidR="00FB7E47" w:rsidRPr="00B62815" w:rsidRDefault="00FB7E47" w:rsidP="005A1CA9">
      <w:pPr>
        <w:rPr>
          <w:rFonts w:asciiTheme="minorHAnsi" w:hAnsiTheme="minorHAnsi" w:cstheme="minorHAnsi"/>
          <w:color w:val="222222"/>
          <w:sz w:val="22"/>
          <w:szCs w:val="22"/>
          <w:lang w:val="es-ES"/>
        </w:rPr>
      </w:pPr>
      <w:bookmarkStart w:id="48" w:name="_Toc39674619"/>
      <w:r w:rsidRPr="00B62815">
        <w:rPr>
          <w:rFonts w:asciiTheme="minorHAnsi" w:hAnsiTheme="minorHAnsi" w:cstheme="minorHAnsi"/>
          <w:color w:val="222222"/>
          <w:sz w:val="22"/>
          <w:szCs w:val="22"/>
          <w:lang w:val="es-ES"/>
        </w:rPr>
        <w:t>Durante el año 2019, el DRH llevó a cabo actividades y proyectos orientados a: 1. diseñar una estrategia de la gestión de Recursos Humanos;2. asegurar el cumplimiento de los mandatos encomendados; e 3. implementar iniciativas enfocadas al bienestar del personal.</w:t>
      </w:r>
      <w:bookmarkEnd w:id="48"/>
    </w:p>
    <w:p w14:paraId="12B1D778" w14:textId="77777777" w:rsidR="00FB7E47" w:rsidRPr="00B62815" w:rsidRDefault="00FB7E47" w:rsidP="005A1CA9">
      <w:pPr>
        <w:rPr>
          <w:rFonts w:asciiTheme="minorHAnsi" w:hAnsiTheme="minorHAnsi" w:cstheme="minorHAnsi"/>
          <w:color w:val="222222"/>
          <w:sz w:val="22"/>
          <w:szCs w:val="22"/>
          <w:u w:val="single"/>
          <w:lang w:val="es-ES"/>
        </w:rPr>
      </w:pPr>
    </w:p>
    <w:p w14:paraId="4BA3C32D" w14:textId="77777777" w:rsidR="00FB7E47" w:rsidRPr="00B62815" w:rsidRDefault="00FB7E47" w:rsidP="005A1CA9">
      <w:pPr>
        <w:rPr>
          <w:rFonts w:asciiTheme="minorHAnsi" w:hAnsiTheme="minorHAnsi" w:cstheme="minorHAnsi"/>
          <w:bCs/>
          <w:sz w:val="22"/>
          <w:szCs w:val="22"/>
          <w:lang w:val="es-ES"/>
        </w:rPr>
      </w:pPr>
      <w:r w:rsidRPr="00B62815">
        <w:rPr>
          <w:rFonts w:asciiTheme="minorHAnsi" w:hAnsiTheme="minorHAnsi" w:cstheme="minorHAnsi"/>
          <w:bCs/>
          <w:sz w:val="22"/>
          <w:szCs w:val="22"/>
          <w:lang w:val="es-ES"/>
        </w:rPr>
        <w:t xml:space="preserve">El DRH implementó cambios al plan de salud, resultando en eficiencias y reducción de costos.  A la vez, formuló una propuesta para una administración más robusta del programa de selección y reclutamiento, gestionó una campaña de implementación de la visión de la cultura organizacional, fomentó alianzas estratégicas y acuerdos de cooperación para la selección de pasantes y, en colaboración con otras áreas, efectuó capacitaciones para cubrir áreas de mejora en habilidades y competencias. </w:t>
      </w:r>
    </w:p>
    <w:p w14:paraId="6483721B" w14:textId="77777777" w:rsidR="00FB7E47" w:rsidRPr="00B62815" w:rsidRDefault="00FB7E47" w:rsidP="00FB7E47">
      <w:pPr>
        <w:autoSpaceDE w:val="0"/>
        <w:autoSpaceDN w:val="0"/>
        <w:jc w:val="both"/>
        <w:rPr>
          <w:rFonts w:asciiTheme="minorHAnsi" w:hAnsiTheme="minorHAnsi" w:cstheme="minorHAnsi"/>
          <w:b/>
          <w:bCs/>
          <w:color w:val="31859C"/>
          <w:sz w:val="22"/>
          <w:szCs w:val="22"/>
          <w:lang w:val="es-ES"/>
        </w:rPr>
      </w:pPr>
    </w:p>
    <w:p w14:paraId="21BD7111" w14:textId="77777777" w:rsidR="00FB7E47" w:rsidRPr="00B62815" w:rsidRDefault="00FB7E47" w:rsidP="00E67635">
      <w:pPr>
        <w:numPr>
          <w:ilvl w:val="0"/>
          <w:numId w:val="59"/>
        </w:numPr>
        <w:spacing w:line="259" w:lineRule="auto"/>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 xml:space="preserve">Ajustes al Plan de Salud de la OEA: </w:t>
      </w:r>
      <w:r w:rsidRPr="00B62815">
        <w:rPr>
          <w:rFonts w:asciiTheme="minorHAnsi" w:hAnsiTheme="minorHAnsi" w:cstheme="minorHAnsi"/>
          <w:sz w:val="22"/>
          <w:szCs w:val="22"/>
          <w:lang w:val="es-ES"/>
        </w:rPr>
        <w:t xml:space="preserve">Los beneficios del Plan de Salud la SG/OEA fueron ajustados en mayo de 2019, debido a que su solvencia estaba comprometida. Se realizó </w:t>
      </w:r>
      <w:r w:rsidRPr="00B62815">
        <w:rPr>
          <w:rFonts w:asciiTheme="minorHAnsi" w:hAnsiTheme="minorHAnsi" w:cstheme="minorHAnsi"/>
          <w:sz w:val="22"/>
          <w:szCs w:val="22"/>
          <w:lang w:val="es-ES"/>
        </w:rPr>
        <w:lastRenderedPageBreak/>
        <w:t>una exitosa campaña de comunicación, con el fin de promover y resaltar la importancia del uso responsable del plan entre sus participantes, para apoyar su sostenibilidad a largo plazo. SAF/DRH ha seguido monitoreando el progreso de estos ajustes. Las cifras preliminares muestran una disminución de aproximadamente el 11% en los gastos de reclamos para el 2019. SAF/DRH continuará monitoreando y tomando las medidas necesarias para llevar el plan hacia la sostenibilidad.</w:t>
      </w:r>
    </w:p>
    <w:p w14:paraId="7BA76B4B" w14:textId="77777777" w:rsidR="00FB7E47" w:rsidRPr="00B62815" w:rsidRDefault="00FB7E47" w:rsidP="00FB7E47">
      <w:pPr>
        <w:autoSpaceDE w:val="0"/>
        <w:autoSpaceDN w:val="0"/>
        <w:jc w:val="both"/>
        <w:rPr>
          <w:rFonts w:asciiTheme="minorHAnsi" w:hAnsiTheme="minorHAnsi" w:cstheme="minorHAnsi"/>
          <w:sz w:val="22"/>
          <w:szCs w:val="22"/>
          <w:lang w:val="es-ES"/>
        </w:rPr>
      </w:pPr>
    </w:p>
    <w:p w14:paraId="60CC1F72" w14:textId="77777777" w:rsidR="00FB7E47" w:rsidRPr="00B62815" w:rsidRDefault="00FB7E47" w:rsidP="00E67635">
      <w:pPr>
        <w:numPr>
          <w:ilvl w:val="0"/>
          <w:numId w:val="59"/>
        </w:numPr>
        <w:spacing w:line="259" w:lineRule="auto"/>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 xml:space="preserve">Cultura Organizacional de la OEA: </w:t>
      </w:r>
      <w:r w:rsidRPr="00B62815">
        <w:rPr>
          <w:rFonts w:asciiTheme="minorHAnsi" w:hAnsiTheme="minorHAnsi" w:cstheme="minorHAnsi"/>
          <w:bCs/>
          <w:sz w:val="22"/>
          <w:szCs w:val="22"/>
          <w:lang w:val="es-ES"/>
        </w:rPr>
        <w:t xml:space="preserve">Campaña de implementación de la visión de la cultura de la Organización. La visión cultural fue definida por el Secretario General y liderada por el DRH. Como resultado, el mapa de la Cultura Organizacional de la OEA fue diseñado y desplegado a través de diferentes actividades y ocho (8) videos, para promover el sentido de pertenencia y conciencia de la cultura y valores de la misión de la SG/OEA. Los elementos de la Cultura Organizacional de la OEA son: Conscientes de nuestra misión, Comprometidos, Acción y Resultados, Transformadores, Aprendices permanentes, Colaboración y Confianza, Inspiradores y Movilizadores, Empoderadores, Diversos e Incluyentes. </w:t>
      </w:r>
    </w:p>
    <w:p w14:paraId="11DF345B" w14:textId="77777777" w:rsidR="00FB7E47" w:rsidRPr="00B62815" w:rsidRDefault="00FB7E47" w:rsidP="00FB7E47">
      <w:pPr>
        <w:autoSpaceDE w:val="0"/>
        <w:autoSpaceDN w:val="0"/>
        <w:adjustRightInd w:val="0"/>
        <w:jc w:val="both"/>
        <w:rPr>
          <w:rFonts w:asciiTheme="minorHAnsi" w:hAnsiTheme="minorHAnsi" w:cstheme="minorHAnsi"/>
          <w:sz w:val="22"/>
          <w:szCs w:val="22"/>
          <w:lang w:val="es-ES"/>
        </w:rPr>
      </w:pPr>
    </w:p>
    <w:p w14:paraId="3AE835AA" w14:textId="77777777" w:rsidR="00FB7E47" w:rsidRPr="00B62815" w:rsidRDefault="00FB7E47" w:rsidP="00E67635">
      <w:pPr>
        <w:numPr>
          <w:ilvl w:val="0"/>
          <w:numId w:val="60"/>
        </w:numPr>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 xml:space="preserve">Código de Ética y Conducta, Curso en línea: </w:t>
      </w:r>
      <w:r w:rsidRPr="00B62815">
        <w:rPr>
          <w:rFonts w:asciiTheme="minorHAnsi" w:hAnsiTheme="minorHAnsi" w:cstheme="minorHAnsi"/>
          <w:sz w:val="22"/>
          <w:szCs w:val="22"/>
          <w:lang w:val="es-ES"/>
        </w:rPr>
        <w:t>Trabajo colaborativo realizado por la Consejería Estratégica para el Desarrollo Organizacional y Gestión por Resultados (CEDOGR), SAF/DHR y SEDI/El Portal Educativo de las Américas, para crear e implementar un programa de capacitación obligatoria en línea para todo el personal, incluyendo a los consultores (CPRs). Un total de 683 miembros de la SG/OEA se integraron al curso, dando así por cumplido el mandato de la Asamblea General.</w:t>
      </w:r>
    </w:p>
    <w:p w14:paraId="795F93D8" w14:textId="77777777" w:rsidR="00FB7E47" w:rsidRPr="00B62815" w:rsidRDefault="00FB7E47" w:rsidP="00FB7E47">
      <w:pPr>
        <w:spacing w:after="160" w:line="259" w:lineRule="auto"/>
        <w:ind w:left="720"/>
        <w:contextualSpacing/>
        <w:rPr>
          <w:rFonts w:asciiTheme="minorHAnsi" w:hAnsiTheme="minorHAnsi" w:cstheme="minorHAnsi"/>
          <w:b/>
          <w:bCs/>
          <w:color w:val="4472C4"/>
          <w:sz w:val="22"/>
          <w:szCs w:val="22"/>
          <w:lang w:val="es-ES"/>
        </w:rPr>
      </w:pPr>
    </w:p>
    <w:p w14:paraId="62B7C48C" w14:textId="77777777" w:rsidR="00FB7E47" w:rsidRPr="00B62815" w:rsidRDefault="00FB7E47" w:rsidP="00E67635">
      <w:pPr>
        <w:numPr>
          <w:ilvl w:val="0"/>
          <w:numId w:val="60"/>
        </w:numPr>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 xml:space="preserve">Reclutamiento y Selección: </w:t>
      </w:r>
      <w:r w:rsidRPr="00B62815">
        <w:rPr>
          <w:rFonts w:asciiTheme="minorHAnsi" w:hAnsiTheme="minorHAnsi" w:cstheme="minorHAnsi"/>
          <w:sz w:val="22"/>
          <w:szCs w:val="22"/>
          <w:lang w:val="es-ES"/>
        </w:rPr>
        <w:t>El DRH desarrolló y presentó a la CAAP una propuesta integral sobre un nuevo proceso de selección de reclutamiento y nombramiento, alineada con el marco de las Organizaciones de Alto Rendimiento (OAR) o, por sus siglas en inglés, HPO, (High Performance Organizations).</w:t>
      </w:r>
    </w:p>
    <w:p w14:paraId="3EFC0B19" w14:textId="77777777" w:rsidR="00FB7E47" w:rsidRPr="00B62815" w:rsidRDefault="00FB7E47" w:rsidP="00FB7E47">
      <w:pPr>
        <w:jc w:val="both"/>
        <w:rPr>
          <w:rFonts w:asciiTheme="minorHAnsi" w:hAnsiTheme="minorHAnsi" w:cstheme="minorHAnsi"/>
          <w:b/>
          <w:bCs/>
          <w:color w:val="4472C4"/>
          <w:sz w:val="22"/>
          <w:szCs w:val="22"/>
          <w:lang w:val="es-ES"/>
        </w:rPr>
      </w:pPr>
    </w:p>
    <w:p w14:paraId="6642888F" w14:textId="77777777" w:rsidR="00FB7E47" w:rsidRPr="00B62815" w:rsidRDefault="00FB7E47" w:rsidP="00E67635">
      <w:pPr>
        <w:numPr>
          <w:ilvl w:val="0"/>
          <w:numId w:val="60"/>
        </w:numPr>
        <w:spacing w:line="259" w:lineRule="auto"/>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 xml:space="preserve">Escuela de Liderazgo para Transcender (L2T Academy): </w:t>
      </w:r>
      <w:r w:rsidRPr="00B62815">
        <w:rPr>
          <w:rFonts w:asciiTheme="minorHAnsi" w:hAnsiTheme="minorHAnsi" w:cstheme="minorHAnsi"/>
          <w:sz w:val="22"/>
          <w:szCs w:val="22"/>
          <w:lang w:val="es-ES"/>
        </w:rPr>
        <w:t xml:space="preserve">Ochenta (80) funcionarios con responsabilidades de supervisión asistieron dos días continuos a un programa en temas </w:t>
      </w:r>
      <w:r w:rsidRPr="00B62815">
        <w:rPr>
          <w:rFonts w:asciiTheme="minorHAnsi" w:hAnsiTheme="minorHAnsi" w:cstheme="minorHAnsi"/>
          <w:sz w:val="22"/>
          <w:szCs w:val="22"/>
          <w:lang w:val="es-ES"/>
        </w:rPr>
        <w:lastRenderedPageBreak/>
        <w:t>sobre gestión, liderazgo y competencias de inteligencia interpersonal. Este programa tenía como objetivo fortalecer las habilidades para convertirse en gerentes más inspiradores y efectivos.</w:t>
      </w:r>
    </w:p>
    <w:p w14:paraId="217DC4EC" w14:textId="77777777" w:rsidR="00FB7E47" w:rsidRPr="00B62815" w:rsidRDefault="00FB7E47" w:rsidP="00FB7E47">
      <w:pPr>
        <w:rPr>
          <w:rFonts w:asciiTheme="minorHAnsi" w:hAnsiTheme="minorHAnsi" w:cstheme="minorHAnsi"/>
          <w:sz w:val="22"/>
          <w:szCs w:val="22"/>
          <w:lang w:val="es-ES"/>
        </w:rPr>
      </w:pPr>
    </w:p>
    <w:p w14:paraId="70F84595" w14:textId="77777777" w:rsidR="00FB7E47" w:rsidRPr="00B62815" w:rsidRDefault="00FB7E47" w:rsidP="00E67635">
      <w:pPr>
        <w:numPr>
          <w:ilvl w:val="0"/>
          <w:numId w:val="60"/>
        </w:numPr>
        <w:spacing w:line="259" w:lineRule="auto"/>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 xml:space="preserve">Actividades de Bienestar: </w:t>
      </w:r>
      <w:r w:rsidRPr="00B62815">
        <w:rPr>
          <w:rFonts w:asciiTheme="minorHAnsi" w:hAnsiTheme="minorHAnsi" w:cstheme="minorHAnsi"/>
          <w:sz w:val="22"/>
          <w:szCs w:val="22"/>
          <w:lang w:val="es-ES"/>
        </w:rPr>
        <w:t xml:space="preserve">El DRH implementó con éxito 20 actividades de bienestar para todo el personal sobre diferentes temas relacionados con salud, que incluyeron: prevención de enfermedades cardíacas, salud mental, conciencia del cáncer, abandono del hábito de fumar, campaña contra la gripe, meditación, la feria de la salud, entre otras. </w:t>
      </w:r>
    </w:p>
    <w:p w14:paraId="7F9259A4" w14:textId="77777777" w:rsidR="00FB7E47" w:rsidRPr="00B62815" w:rsidRDefault="00FB7E47" w:rsidP="00FB7E47">
      <w:pPr>
        <w:autoSpaceDE w:val="0"/>
        <w:autoSpaceDN w:val="0"/>
        <w:jc w:val="both"/>
        <w:rPr>
          <w:rFonts w:asciiTheme="minorHAnsi" w:hAnsiTheme="minorHAnsi" w:cstheme="minorHAnsi"/>
          <w:b/>
          <w:bCs/>
          <w:color w:val="4472C4"/>
          <w:sz w:val="22"/>
          <w:szCs w:val="22"/>
          <w:lang w:val="es-ES"/>
        </w:rPr>
      </w:pPr>
    </w:p>
    <w:p w14:paraId="2C85D3CD" w14:textId="77777777" w:rsidR="00FB7E47" w:rsidRPr="00B62815" w:rsidRDefault="00FB7E47" w:rsidP="00E67635">
      <w:pPr>
        <w:numPr>
          <w:ilvl w:val="0"/>
          <w:numId w:val="60"/>
        </w:numPr>
        <w:autoSpaceDE w:val="0"/>
        <w:autoSpaceDN w:val="0"/>
        <w:contextualSpacing/>
        <w:jc w:val="both"/>
        <w:rPr>
          <w:rFonts w:asciiTheme="minorHAnsi" w:hAnsiTheme="minorHAnsi" w:cstheme="minorHAnsi"/>
          <w:sz w:val="22"/>
          <w:szCs w:val="22"/>
          <w:lang w:val="es-ES"/>
        </w:rPr>
      </w:pPr>
      <w:r w:rsidRPr="00B62815">
        <w:rPr>
          <w:rFonts w:asciiTheme="minorHAnsi" w:hAnsiTheme="minorHAnsi" w:cstheme="minorHAnsi"/>
          <w:b/>
          <w:bCs/>
          <w:i/>
          <w:color w:val="4472C4"/>
          <w:sz w:val="22"/>
          <w:szCs w:val="22"/>
          <w:lang w:val="es-ES"/>
        </w:rPr>
        <w:t>“Cuidar Cuidándonos”</w:t>
      </w:r>
      <w:r w:rsidRPr="00B62815">
        <w:rPr>
          <w:rFonts w:asciiTheme="minorHAnsi" w:hAnsiTheme="minorHAnsi" w:cstheme="minorHAnsi"/>
          <w:b/>
          <w:bCs/>
          <w:color w:val="4472C4"/>
          <w:sz w:val="22"/>
          <w:szCs w:val="22"/>
          <w:lang w:val="es-ES"/>
        </w:rPr>
        <w:t xml:space="preserve"> Kit de herramientas para aliviar el estrés de la CIDH: </w:t>
      </w:r>
      <w:r w:rsidRPr="00B62815">
        <w:rPr>
          <w:rFonts w:asciiTheme="minorHAnsi" w:hAnsiTheme="minorHAnsi" w:cstheme="minorHAnsi"/>
          <w:sz w:val="22"/>
          <w:szCs w:val="22"/>
          <w:lang w:val="es-ES"/>
        </w:rPr>
        <w:t>Propuesta para proporcionar capacitación en resiliencia y estrés, servicios de apoyo emocional y herramientas destinadas a apoyar el bienestar del personal de la CIDH, con el fin de ayudarlos a progresar en su trabajo diario en materia de Derechos Humanos.</w:t>
      </w:r>
    </w:p>
    <w:p w14:paraId="251B369E" w14:textId="77777777" w:rsidR="00FB7E47" w:rsidRPr="00B62815" w:rsidRDefault="00FB7E47" w:rsidP="00FB7E47">
      <w:pPr>
        <w:autoSpaceDE w:val="0"/>
        <w:autoSpaceDN w:val="0"/>
        <w:jc w:val="both"/>
        <w:rPr>
          <w:rFonts w:asciiTheme="minorHAnsi" w:hAnsiTheme="minorHAnsi" w:cstheme="minorHAnsi"/>
          <w:sz w:val="22"/>
          <w:szCs w:val="22"/>
          <w:lang w:val="es-ES"/>
        </w:rPr>
      </w:pPr>
    </w:p>
    <w:p w14:paraId="200B0864" w14:textId="77777777" w:rsidR="00FB7E47" w:rsidRPr="00B62815" w:rsidRDefault="00FB7E47" w:rsidP="00E67635">
      <w:pPr>
        <w:numPr>
          <w:ilvl w:val="0"/>
          <w:numId w:val="60"/>
        </w:numPr>
        <w:autoSpaceDE w:val="0"/>
        <w:autoSpaceDN w:val="0"/>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 xml:space="preserve">Nueva Sala de Lactancia: </w:t>
      </w:r>
      <w:r w:rsidRPr="00B62815">
        <w:rPr>
          <w:rFonts w:asciiTheme="minorHAnsi" w:hAnsiTheme="minorHAnsi" w:cstheme="minorHAnsi"/>
          <w:bCs/>
          <w:sz w:val="22"/>
          <w:szCs w:val="22"/>
          <w:lang w:val="es-ES"/>
        </w:rPr>
        <w:t>En un esfuerzo por apoyar a las madres lactantes en su lugar de trabajo, el DRH junto con el Departamento de Servicios Generales (DSG), estrenó una nueva Sala de Lactancia ubicada en el Edificio Principal (17 &amp; Constitution).</w:t>
      </w:r>
    </w:p>
    <w:p w14:paraId="624DB89F" w14:textId="77777777" w:rsidR="00FB7E47" w:rsidRPr="00B62815" w:rsidRDefault="00FB7E47" w:rsidP="00FB7E47">
      <w:pPr>
        <w:autoSpaceDE w:val="0"/>
        <w:autoSpaceDN w:val="0"/>
        <w:spacing w:line="259" w:lineRule="auto"/>
        <w:jc w:val="both"/>
        <w:rPr>
          <w:rFonts w:asciiTheme="minorHAnsi" w:hAnsiTheme="minorHAnsi" w:cstheme="minorHAnsi"/>
          <w:bCs/>
          <w:sz w:val="22"/>
          <w:szCs w:val="22"/>
          <w:lang w:val="es-ES"/>
        </w:rPr>
      </w:pPr>
    </w:p>
    <w:p w14:paraId="5AB092DD" w14:textId="77777777" w:rsidR="00FB7E47" w:rsidRPr="00B62815" w:rsidRDefault="00FB7E47" w:rsidP="00E67635">
      <w:pPr>
        <w:numPr>
          <w:ilvl w:val="0"/>
          <w:numId w:val="60"/>
        </w:numPr>
        <w:autoSpaceDE w:val="0"/>
        <w:autoSpaceDN w:val="0"/>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 xml:space="preserve">Programa de visas G-5: </w:t>
      </w:r>
      <w:r w:rsidRPr="00B62815">
        <w:rPr>
          <w:rFonts w:asciiTheme="minorHAnsi" w:hAnsiTheme="minorHAnsi" w:cstheme="minorHAnsi"/>
          <w:sz w:val="22"/>
          <w:szCs w:val="22"/>
          <w:lang w:val="es-ES"/>
        </w:rPr>
        <w:t>Requisito obligatorio de selección de proveedor para pago de nómina a empleados domésticos bajo el programa de visas G-5, patrocinados por los funcionarios poseedores de visas G-4. Este requisito es parte de una iniciativa del Departamento de Estado de los Estados Unidos para garantizar el cumplimiento del programa.</w:t>
      </w:r>
    </w:p>
    <w:p w14:paraId="42FEFFBA" w14:textId="77777777" w:rsidR="00FB7E47" w:rsidRPr="00B62815" w:rsidRDefault="00FB7E47" w:rsidP="00FB7E47">
      <w:pPr>
        <w:autoSpaceDE w:val="0"/>
        <w:autoSpaceDN w:val="0"/>
        <w:spacing w:line="259" w:lineRule="auto"/>
        <w:jc w:val="both"/>
        <w:rPr>
          <w:rFonts w:asciiTheme="minorHAnsi" w:hAnsiTheme="minorHAnsi" w:cstheme="minorHAnsi"/>
          <w:sz w:val="22"/>
          <w:szCs w:val="22"/>
          <w:lang w:val="es-ES"/>
        </w:rPr>
      </w:pPr>
    </w:p>
    <w:p w14:paraId="4BA55B6F" w14:textId="77777777" w:rsidR="00FB7E47" w:rsidRPr="00B62815" w:rsidRDefault="00FB7E47" w:rsidP="00E67635">
      <w:pPr>
        <w:numPr>
          <w:ilvl w:val="0"/>
          <w:numId w:val="60"/>
        </w:numPr>
        <w:autoSpaceDE w:val="0"/>
        <w:autoSpaceDN w:val="0"/>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 xml:space="preserve">Alianza estratégica con la Fundación Amazon </w:t>
      </w:r>
      <w:r w:rsidRPr="00B62815">
        <w:rPr>
          <w:rFonts w:asciiTheme="minorHAnsi" w:hAnsiTheme="minorHAnsi" w:cstheme="minorHAnsi"/>
          <w:b/>
          <w:bCs/>
          <w:i/>
          <w:color w:val="4472C4"/>
          <w:sz w:val="22"/>
          <w:szCs w:val="22"/>
          <w:lang w:val="es-ES"/>
        </w:rPr>
        <w:t>Conservation Team</w:t>
      </w:r>
      <w:r w:rsidRPr="00B62815">
        <w:rPr>
          <w:rFonts w:asciiTheme="minorHAnsi" w:hAnsiTheme="minorHAnsi" w:cstheme="minorHAnsi"/>
          <w:b/>
          <w:bCs/>
          <w:color w:val="4472C4"/>
          <w:sz w:val="22"/>
          <w:szCs w:val="22"/>
          <w:lang w:val="es-ES"/>
        </w:rPr>
        <w:t>: Primera pasante indígena</w:t>
      </w:r>
    </w:p>
    <w:p w14:paraId="21B19B80" w14:textId="77777777" w:rsidR="00FB7E47" w:rsidRPr="00B62815" w:rsidRDefault="00FB7E47" w:rsidP="00FB7E47">
      <w:pPr>
        <w:spacing w:after="160" w:line="259" w:lineRule="auto"/>
        <w:ind w:left="720"/>
        <w:contextualSpacing/>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En el marco del reciente Acuerdo de Cooperación firmado en 2019 entre la SG/OEA y la organización </w:t>
      </w:r>
      <w:r w:rsidRPr="00B62815">
        <w:rPr>
          <w:rFonts w:asciiTheme="minorHAnsi" w:hAnsiTheme="minorHAnsi" w:cstheme="minorHAnsi"/>
          <w:i/>
          <w:iCs/>
          <w:sz w:val="22"/>
          <w:szCs w:val="22"/>
          <w:lang w:val="es-ES"/>
        </w:rPr>
        <w:t>Amazon Conservation Team</w:t>
      </w:r>
      <w:r w:rsidRPr="00B62815">
        <w:rPr>
          <w:rFonts w:asciiTheme="minorHAnsi" w:hAnsiTheme="minorHAnsi" w:cstheme="minorHAnsi"/>
          <w:sz w:val="22"/>
          <w:szCs w:val="22"/>
          <w:lang w:val="es-ES"/>
        </w:rPr>
        <w:t xml:space="preserve">, y en colaboración con la Universidad Externado de Colombia, el Programa de Pasantías recibió durante la Sesión de Invierno/Primavera 2020 su primera pasante indígena perteneciente a la comunidad Inga y Camëntsá de Colombia. Este es un hito importante hacia un Programa de Pasantías más </w:t>
      </w:r>
      <w:r w:rsidRPr="00B62815">
        <w:rPr>
          <w:rFonts w:asciiTheme="minorHAnsi" w:hAnsiTheme="minorHAnsi" w:cstheme="minorHAnsi"/>
          <w:sz w:val="22"/>
          <w:szCs w:val="22"/>
          <w:lang w:val="es-ES"/>
        </w:rPr>
        <w:lastRenderedPageBreak/>
        <w:t>diverso y el logro de los objetivos de la Declaración Americana sobre los Derechos de los Pueblos Indígenas.</w:t>
      </w:r>
    </w:p>
    <w:p w14:paraId="35A73FBD" w14:textId="77777777" w:rsidR="00FB7E47" w:rsidRPr="00B62815" w:rsidRDefault="00FB7E47" w:rsidP="00FB7E47">
      <w:pPr>
        <w:spacing w:after="160" w:line="259" w:lineRule="auto"/>
        <w:ind w:left="720"/>
        <w:contextualSpacing/>
        <w:jc w:val="both"/>
        <w:rPr>
          <w:rFonts w:asciiTheme="minorHAnsi" w:hAnsiTheme="minorHAnsi" w:cstheme="minorHAnsi"/>
          <w:sz w:val="22"/>
          <w:szCs w:val="22"/>
          <w:lang w:val="es-ES"/>
        </w:rPr>
      </w:pPr>
    </w:p>
    <w:p w14:paraId="6C44FF03" w14:textId="77777777" w:rsidR="00FB7E47" w:rsidRPr="00B62815" w:rsidRDefault="00FB7E47" w:rsidP="00E67635">
      <w:pPr>
        <w:numPr>
          <w:ilvl w:val="0"/>
          <w:numId w:val="60"/>
        </w:numPr>
        <w:autoSpaceDE w:val="0"/>
        <w:autoSpaceDN w:val="0"/>
        <w:contextualSpacing/>
        <w:jc w:val="both"/>
        <w:rPr>
          <w:rFonts w:asciiTheme="minorHAnsi" w:hAnsiTheme="minorHAnsi" w:cstheme="minorHAnsi"/>
          <w:b/>
          <w:bCs/>
          <w:color w:val="4472C4"/>
          <w:sz w:val="22"/>
          <w:szCs w:val="22"/>
          <w:lang w:val="es-ES"/>
        </w:rPr>
      </w:pPr>
      <w:r w:rsidRPr="00B62815">
        <w:rPr>
          <w:rFonts w:asciiTheme="minorHAnsi" w:hAnsiTheme="minorHAnsi" w:cstheme="minorHAnsi"/>
          <w:b/>
          <w:bCs/>
          <w:color w:val="4472C4"/>
          <w:sz w:val="22"/>
          <w:szCs w:val="22"/>
          <w:lang w:val="es-ES"/>
        </w:rPr>
        <w:t>Acuerdos de cooperación con universidades para financiar futuros pasantes.</w:t>
      </w:r>
    </w:p>
    <w:p w14:paraId="2DF80FA0" w14:textId="77777777" w:rsidR="00FB7E47" w:rsidRPr="00B62815" w:rsidRDefault="00FB7E47" w:rsidP="00FB7E47">
      <w:pPr>
        <w:spacing w:after="160" w:line="259" w:lineRule="auto"/>
        <w:ind w:left="720"/>
        <w:contextualSpacing/>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La SG/OEA suscribió dos importantes Acuerdos de Cooperación con la Fundación Universidad de Oviedo y la Universidad Internacional de la Rioja (UNIR), mediante los cuales cada universidad brinda apoyo financiero a 15 beneficiarios para participar en el Programa de Pasantías de la OEA durante el 2020. El patrocinio de los estudiantes contribuirá en gran medida a un Programa más diverso, al reducir las barreras financieras para talentosos/as postulantes.</w:t>
      </w:r>
    </w:p>
    <w:p w14:paraId="741E19F7" w14:textId="17A789AB" w:rsidR="008E7191" w:rsidRDefault="008E7191" w:rsidP="00FB7E47">
      <w:pPr>
        <w:spacing w:after="160" w:line="259" w:lineRule="auto"/>
        <w:contextualSpacing/>
        <w:jc w:val="both"/>
        <w:rPr>
          <w:rFonts w:asciiTheme="minorHAnsi" w:hAnsiTheme="minorHAnsi" w:cstheme="minorHAnsi"/>
          <w:color w:val="222222"/>
          <w:sz w:val="22"/>
          <w:szCs w:val="22"/>
          <w:u w:val="single"/>
          <w:lang w:val="es-ES"/>
        </w:rPr>
      </w:pPr>
    </w:p>
    <w:p w14:paraId="11592B68" w14:textId="1A480C1F" w:rsidR="004C6314" w:rsidRDefault="004C6314" w:rsidP="00FB7E47">
      <w:pPr>
        <w:spacing w:after="160" w:line="259" w:lineRule="auto"/>
        <w:contextualSpacing/>
        <w:jc w:val="both"/>
        <w:rPr>
          <w:rFonts w:asciiTheme="minorHAnsi" w:hAnsiTheme="minorHAnsi" w:cstheme="minorHAnsi"/>
          <w:color w:val="222222"/>
          <w:sz w:val="22"/>
          <w:szCs w:val="22"/>
          <w:u w:val="single"/>
          <w:lang w:val="es-ES"/>
        </w:rPr>
      </w:pPr>
    </w:p>
    <w:p w14:paraId="5905CB24" w14:textId="6BF14085" w:rsidR="004C6314" w:rsidRDefault="004C6314">
      <w:pPr>
        <w:rPr>
          <w:rFonts w:asciiTheme="minorHAnsi" w:hAnsiTheme="minorHAnsi" w:cstheme="minorHAnsi"/>
          <w:color w:val="222222"/>
          <w:sz w:val="22"/>
          <w:szCs w:val="22"/>
          <w:u w:val="single"/>
          <w:lang w:val="es-ES"/>
        </w:rPr>
      </w:pPr>
      <w:r>
        <w:rPr>
          <w:rFonts w:asciiTheme="minorHAnsi" w:hAnsiTheme="minorHAnsi" w:cstheme="minorHAnsi"/>
          <w:color w:val="222222"/>
          <w:sz w:val="22"/>
          <w:szCs w:val="22"/>
          <w:u w:val="single"/>
          <w:lang w:val="es-ES"/>
        </w:rPr>
        <w:br w:type="page"/>
      </w:r>
    </w:p>
    <w:p w14:paraId="41D6FD22" w14:textId="77777777" w:rsidR="00FB7E47" w:rsidRPr="00B62815" w:rsidRDefault="00FB7E47" w:rsidP="00FB7E47">
      <w:pPr>
        <w:spacing w:after="160" w:line="259" w:lineRule="auto"/>
        <w:contextualSpacing/>
        <w:jc w:val="both"/>
        <w:rPr>
          <w:rFonts w:asciiTheme="minorHAnsi" w:hAnsiTheme="minorHAnsi" w:cstheme="minorHAnsi"/>
          <w:color w:val="222222"/>
          <w:sz w:val="22"/>
          <w:szCs w:val="22"/>
          <w:u w:val="single"/>
          <w:lang w:val="es-ES"/>
        </w:rPr>
      </w:pPr>
      <w:r w:rsidRPr="00B62815">
        <w:rPr>
          <w:rFonts w:asciiTheme="minorHAnsi" w:hAnsiTheme="minorHAnsi" w:cstheme="minorHAnsi"/>
          <w:color w:val="222222"/>
          <w:sz w:val="22"/>
          <w:szCs w:val="22"/>
          <w:u w:val="single"/>
          <w:lang w:val="es-ES"/>
        </w:rPr>
        <w:lastRenderedPageBreak/>
        <w:t xml:space="preserve">Imágenes:   </w:t>
      </w:r>
    </w:p>
    <w:p w14:paraId="4A651E17" w14:textId="77777777" w:rsidR="00FB7E47" w:rsidRPr="00B62815" w:rsidRDefault="001C2CF3" w:rsidP="009A0C2D">
      <w:pPr>
        <w:rPr>
          <w:rFonts w:asciiTheme="minorHAnsi" w:hAnsiTheme="minorHAnsi" w:cstheme="minorHAnsi"/>
          <w:color w:val="222222"/>
          <w:sz w:val="22"/>
          <w:szCs w:val="22"/>
          <w:lang w:val="es-ES"/>
        </w:rPr>
      </w:pPr>
      <w:bookmarkStart w:id="49" w:name="_Toc39674620"/>
      <w:r w:rsidRPr="00B62815">
        <w:rPr>
          <w:rFonts w:asciiTheme="minorHAnsi" w:hAnsiTheme="minorHAnsi" w:cstheme="minorHAnsi"/>
          <w:noProof/>
          <w:color w:val="222222"/>
          <w:sz w:val="22"/>
          <w:szCs w:val="22"/>
        </w:rPr>
        <w:drawing>
          <wp:inline distT="0" distB="0" distL="0" distR="0" wp14:anchorId="585006B8" wp14:editId="173C6817">
            <wp:extent cx="2581275" cy="3446145"/>
            <wp:effectExtent l="0" t="0" r="0" b="0"/>
            <wp:docPr id="11" name="Picture 65" descr="Grup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upo 4"/>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581275" cy="3446145"/>
                    </a:xfrm>
                    <a:prstGeom prst="rect">
                      <a:avLst/>
                    </a:prstGeom>
                    <a:noFill/>
                    <a:ln>
                      <a:noFill/>
                    </a:ln>
                  </pic:spPr>
                </pic:pic>
              </a:graphicData>
            </a:graphic>
          </wp:inline>
        </w:drawing>
      </w:r>
      <w:bookmarkEnd w:id="49"/>
    </w:p>
    <w:p w14:paraId="24403532" w14:textId="77777777" w:rsidR="00FB7E47" w:rsidRPr="00B62815" w:rsidRDefault="00FB7E47" w:rsidP="009A0C2D">
      <w:pPr>
        <w:rPr>
          <w:rFonts w:asciiTheme="minorHAnsi" w:hAnsiTheme="minorHAnsi" w:cstheme="minorHAnsi"/>
          <w:color w:val="222222"/>
          <w:sz w:val="22"/>
          <w:szCs w:val="22"/>
          <w:lang w:val="es-ES"/>
        </w:rPr>
      </w:pPr>
      <w:bookmarkStart w:id="50" w:name="_Toc39674621"/>
      <w:r w:rsidRPr="00B62815">
        <w:rPr>
          <w:rFonts w:asciiTheme="minorHAnsi" w:hAnsiTheme="minorHAnsi" w:cstheme="minorHAnsi"/>
          <w:color w:val="222222"/>
          <w:sz w:val="22"/>
          <w:szCs w:val="22"/>
          <w:lang w:val="es-ES"/>
        </w:rPr>
        <w:t>Escuela de Liderazgo</w:t>
      </w:r>
      <w:bookmarkEnd w:id="50"/>
    </w:p>
    <w:p w14:paraId="4E4574AA" w14:textId="77777777" w:rsidR="00FB7E47" w:rsidRPr="00B62815" w:rsidRDefault="00FB7E47" w:rsidP="009A0C2D">
      <w:pPr>
        <w:rPr>
          <w:rFonts w:asciiTheme="minorHAnsi" w:hAnsiTheme="minorHAnsi" w:cstheme="minorHAnsi"/>
          <w:color w:val="222222"/>
          <w:sz w:val="22"/>
          <w:szCs w:val="22"/>
          <w:lang w:val="es-ES"/>
        </w:rPr>
      </w:pPr>
      <w:r w:rsidRPr="00B62815">
        <w:rPr>
          <w:rFonts w:asciiTheme="minorHAnsi" w:hAnsiTheme="minorHAnsi" w:cstheme="minorHAnsi"/>
          <w:color w:val="222222"/>
          <w:sz w:val="22"/>
          <w:szCs w:val="22"/>
          <w:lang w:val="es-ES"/>
        </w:rPr>
        <w:t xml:space="preserve">   </w:t>
      </w:r>
    </w:p>
    <w:p w14:paraId="59996BC2" w14:textId="77777777" w:rsidR="00FB7E47" w:rsidRPr="00B62815" w:rsidRDefault="001C2CF3" w:rsidP="009A0C2D">
      <w:pPr>
        <w:rPr>
          <w:rFonts w:asciiTheme="minorHAnsi" w:hAnsiTheme="minorHAnsi" w:cstheme="minorHAnsi"/>
          <w:color w:val="222222"/>
          <w:sz w:val="22"/>
          <w:szCs w:val="22"/>
          <w:lang w:val="es-ES"/>
        </w:rPr>
      </w:pPr>
      <w:bookmarkStart w:id="51" w:name="_Toc39674622"/>
      <w:r w:rsidRPr="00B62815">
        <w:rPr>
          <w:rFonts w:asciiTheme="minorHAnsi" w:hAnsiTheme="minorHAnsi" w:cstheme="minorHAnsi"/>
          <w:noProof/>
          <w:color w:val="222222"/>
          <w:sz w:val="22"/>
          <w:szCs w:val="22"/>
        </w:rPr>
        <w:lastRenderedPageBreak/>
        <w:drawing>
          <wp:inline distT="0" distB="0" distL="0" distR="0" wp14:anchorId="62232F13" wp14:editId="7AD1DE3D">
            <wp:extent cx="4142740" cy="3290570"/>
            <wp:effectExtent l="0" t="0" r="0" b="0"/>
            <wp:docPr id="12" name="Picture 1" descr="50fff531-468a-4d21-99df-0324ac0a4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fff531-468a-4d21-99df-0324ac0a44b0"/>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4142740" cy="3290570"/>
                    </a:xfrm>
                    <a:prstGeom prst="rect">
                      <a:avLst/>
                    </a:prstGeom>
                    <a:noFill/>
                    <a:ln>
                      <a:noFill/>
                    </a:ln>
                  </pic:spPr>
                </pic:pic>
              </a:graphicData>
            </a:graphic>
          </wp:inline>
        </w:drawing>
      </w:r>
      <w:bookmarkEnd w:id="51"/>
    </w:p>
    <w:p w14:paraId="6DC7CEAF" w14:textId="77777777" w:rsidR="00FB7E47" w:rsidRPr="00B62815" w:rsidRDefault="00FB7E47" w:rsidP="009A0C2D">
      <w:pPr>
        <w:rPr>
          <w:rFonts w:asciiTheme="minorHAnsi" w:hAnsiTheme="minorHAnsi" w:cstheme="minorHAnsi"/>
          <w:color w:val="222222"/>
          <w:sz w:val="22"/>
          <w:szCs w:val="22"/>
          <w:lang w:val="es-ES"/>
        </w:rPr>
      </w:pPr>
      <w:r w:rsidRPr="00B62815">
        <w:rPr>
          <w:rFonts w:asciiTheme="minorHAnsi" w:hAnsiTheme="minorHAnsi" w:cstheme="minorHAnsi"/>
          <w:color w:val="222222"/>
          <w:sz w:val="22"/>
          <w:szCs w:val="22"/>
          <w:lang w:val="es-ES"/>
        </w:rPr>
        <w:t xml:space="preserve">  </w:t>
      </w:r>
      <w:bookmarkStart w:id="52" w:name="_Toc39674623"/>
      <w:r w:rsidRPr="00B62815">
        <w:rPr>
          <w:rFonts w:asciiTheme="minorHAnsi" w:hAnsiTheme="minorHAnsi" w:cstheme="minorHAnsi"/>
          <w:color w:val="222222"/>
          <w:sz w:val="22"/>
          <w:szCs w:val="22"/>
          <w:lang w:val="es-ES"/>
        </w:rPr>
        <w:t>Feria de la Salud</w:t>
      </w:r>
      <w:bookmarkEnd w:id="52"/>
    </w:p>
    <w:p w14:paraId="25510E48" w14:textId="77777777" w:rsidR="00FB7E47" w:rsidRPr="00DF4328" w:rsidRDefault="00FB7E47" w:rsidP="00DF4328">
      <w:pPr>
        <w:pStyle w:val="Heading3"/>
        <w:rPr>
          <w:rFonts w:asciiTheme="minorHAnsi" w:hAnsiTheme="minorHAnsi" w:cstheme="minorHAnsi"/>
          <w:b w:val="0"/>
          <w:bCs w:val="0"/>
          <w:iCs/>
          <w:caps/>
          <w:color w:val="FF9900"/>
          <w:sz w:val="22"/>
          <w:szCs w:val="22"/>
          <w:lang w:val="es-ES"/>
        </w:rPr>
      </w:pPr>
      <w:r w:rsidRPr="00B62815">
        <w:rPr>
          <w:rFonts w:asciiTheme="minorHAnsi" w:hAnsiTheme="minorHAnsi" w:cstheme="minorHAnsi"/>
          <w:iCs/>
          <w:caps/>
          <w:color w:val="FF9900"/>
          <w:sz w:val="22"/>
          <w:szCs w:val="22"/>
          <w:lang w:val="es-ES"/>
        </w:rPr>
        <w:br w:type="page"/>
      </w:r>
      <w:bookmarkStart w:id="53" w:name="_Toc39675842"/>
      <w:bookmarkStart w:id="54" w:name="_Toc40191065"/>
      <w:r w:rsidRPr="00DF4328">
        <w:rPr>
          <w:rFonts w:asciiTheme="minorHAnsi" w:hAnsiTheme="minorHAnsi" w:cstheme="minorHAnsi"/>
          <w:b w:val="0"/>
          <w:iCs/>
          <w:caps/>
          <w:color w:val="FF9900"/>
          <w:sz w:val="22"/>
          <w:szCs w:val="22"/>
          <w:lang w:val="es-ES"/>
        </w:rPr>
        <w:lastRenderedPageBreak/>
        <w:t xml:space="preserve">2.6.2 </w:t>
      </w:r>
      <w:r w:rsidRPr="00DF4328">
        <w:rPr>
          <w:rFonts w:asciiTheme="minorHAnsi" w:hAnsiTheme="minorHAnsi" w:cstheme="minorHAnsi"/>
          <w:b w:val="0"/>
          <w:iCs/>
          <w:caps/>
          <w:color w:val="FF9900"/>
          <w:sz w:val="22"/>
          <w:szCs w:val="22"/>
          <w:lang w:val="es-ES"/>
        </w:rPr>
        <w:tab/>
        <w:t>D</w:t>
      </w:r>
      <w:r w:rsidRPr="00DF4328">
        <w:rPr>
          <w:rFonts w:asciiTheme="minorHAnsi" w:hAnsiTheme="minorHAnsi" w:cstheme="minorHAnsi"/>
          <w:b w:val="0"/>
          <w:iCs/>
          <w:color w:val="FF9900"/>
          <w:sz w:val="22"/>
          <w:szCs w:val="22"/>
          <w:lang w:val="es-ES"/>
        </w:rPr>
        <w:t xml:space="preserve">epartamento de Servicios Financieros </w:t>
      </w:r>
      <w:r w:rsidRPr="00DF4328">
        <w:rPr>
          <w:rFonts w:asciiTheme="minorHAnsi" w:hAnsiTheme="minorHAnsi" w:cstheme="minorHAnsi"/>
          <w:b w:val="0"/>
          <w:iCs/>
          <w:caps/>
          <w:color w:val="FF9900"/>
          <w:sz w:val="22"/>
          <w:szCs w:val="22"/>
          <w:lang w:val="es-ES"/>
        </w:rPr>
        <w:t>(DFS)</w:t>
      </w:r>
      <w:bookmarkEnd w:id="53"/>
      <w:bookmarkEnd w:id="54"/>
    </w:p>
    <w:p w14:paraId="319D99A1" w14:textId="77777777" w:rsidR="00FB7E47" w:rsidRPr="00B62815" w:rsidRDefault="00FB7E47" w:rsidP="00FB7E47">
      <w:pPr>
        <w:keepNext/>
        <w:widowControl w:val="0"/>
        <w:autoSpaceDE w:val="0"/>
        <w:autoSpaceDN w:val="0"/>
        <w:jc w:val="both"/>
        <w:outlineLvl w:val="1"/>
        <w:rPr>
          <w:rFonts w:asciiTheme="minorHAnsi" w:eastAsia="Times New Roman" w:hAnsiTheme="minorHAnsi" w:cstheme="minorHAnsi"/>
          <w:b/>
          <w:bCs/>
          <w:iCs/>
          <w:caps/>
          <w:color w:val="FF9900"/>
          <w:sz w:val="22"/>
          <w:szCs w:val="22"/>
          <w:lang w:val="es-ES"/>
        </w:rPr>
      </w:pPr>
    </w:p>
    <w:p w14:paraId="061B752E" w14:textId="77777777" w:rsidR="00FB7E47" w:rsidRPr="00B62815" w:rsidRDefault="00FB7E47" w:rsidP="00FB7E47">
      <w:pPr>
        <w:autoSpaceDE w:val="0"/>
        <w:autoSpaceDN w:val="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Durante 2019 el DFS logró mantener la calidad de sus servicios y controles internos, esto a pesar de la reducción de personal experimentada por el departamento en los últimos años y las exigencias que ha traído la implementación del proyecto de ERP.  El DFS completó nueve auditorías externas de proyectos financiados con fondos específicos solicitadas por donantes, una de ellas coordinada por el donante directamente, obteniendo informes limpios “Informe sin salvedades”, siendo esta denominación el resultado máximo que se puede obtener para este tipo de auditorías. Asimismo, se ha mantenido en forma periódica la rendición de cuentas de todos los fondos de la organización, publicando los estados financieros a través de la página web de la OEA.</w:t>
      </w:r>
    </w:p>
    <w:p w14:paraId="666B2852" w14:textId="77777777" w:rsidR="00FB7E47" w:rsidRPr="00B62815" w:rsidRDefault="00FB7E47" w:rsidP="00FB7E47">
      <w:pPr>
        <w:autoSpaceDE w:val="0"/>
        <w:autoSpaceDN w:val="0"/>
        <w:jc w:val="both"/>
        <w:rPr>
          <w:rFonts w:asciiTheme="minorHAnsi" w:eastAsia="Times New Roman" w:hAnsiTheme="minorHAnsi" w:cstheme="minorHAnsi"/>
          <w:sz w:val="22"/>
          <w:szCs w:val="22"/>
          <w:lang w:val="es-ES"/>
        </w:rPr>
      </w:pPr>
    </w:p>
    <w:p w14:paraId="37F6BDFD" w14:textId="77777777" w:rsidR="00FB7E47" w:rsidRPr="00B62815" w:rsidRDefault="00FB7E47" w:rsidP="00FB7E47">
      <w:pPr>
        <w:autoSpaceDE w:val="0"/>
        <w:autoSpaceDN w:val="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 xml:space="preserve">No </w:t>
      </w:r>
      <w:r w:rsidR="008E7191" w:rsidRPr="00B62815">
        <w:rPr>
          <w:rFonts w:asciiTheme="minorHAnsi" w:eastAsia="Times New Roman" w:hAnsiTheme="minorHAnsi" w:cstheme="minorHAnsi"/>
          <w:sz w:val="22"/>
          <w:szCs w:val="22"/>
          <w:lang w:val="es-ES"/>
        </w:rPr>
        <w:t>obstante</w:t>
      </w:r>
      <w:r w:rsidRPr="00B62815">
        <w:rPr>
          <w:rFonts w:asciiTheme="minorHAnsi" w:eastAsia="Times New Roman" w:hAnsiTheme="minorHAnsi" w:cstheme="minorHAnsi"/>
          <w:sz w:val="22"/>
          <w:szCs w:val="22"/>
          <w:lang w:val="es-ES"/>
        </w:rPr>
        <w:t xml:space="preserve"> lo anterior, el DFS no cuenta con capacidad adicional para reasignar funciones de puestos congelados, operando a máxima capacidad y sin los niveles óptimos de personal. Esta situación pone en peligro el funcionamiento adecuado de los controles internos financieros a corto, mediano y largo plazo. </w:t>
      </w:r>
    </w:p>
    <w:p w14:paraId="0FE3517B" w14:textId="77777777" w:rsidR="00FB7E47" w:rsidRPr="00B62815" w:rsidRDefault="00FB7E47" w:rsidP="00FB7E47">
      <w:pPr>
        <w:autoSpaceDE w:val="0"/>
        <w:autoSpaceDN w:val="0"/>
        <w:jc w:val="both"/>
        <w:rPr>
          <w:rFonts w:asciiTheme="minorHAnsi" w:eastAsia="Times New Roman" w:hAnsiTheme="minorHAnsi" w:cstheme="minorHAnsi"/>
          <w:sz w:val="22"/>
          <w:szCs w:val="22"/>
          <w:lang w:val="es-ES"/>
        </w:rPr>
      </w:pPr>
    </w:p>
    <w:p w14:paraId="1EB98280" w14:textId="77777777" w:rsidR="00FB7E47" w:rsidRPr="00B62815" w:rsidRDefault="00FB7E47" w:rsidP="00FB7E47">
      <w:pPr>
        <w:autoSpaceDE w:val="0"/>
        <w:autoSpaceDN w:val="0"/>
        <w:jc w:val="both"/>
        <w:rPr>
          <w:rFonts w:asciiTheme="minorHAnsi" w:eastAsia="Times New Roman" w:hAnsiTheme="minorHAnsi" w:cstheme="minorHAnsi"/>
          <w:b/>
          <w:i/>
          <w:spacing w:val="-2"/>
          <w:sz w:val="22"/>
          <w:szCs w:val="22"/>
          <w:lang w:val="es-ES"/>
        </w:rPr>
      </w:pPr>
      <w:r w:rsidRPr="00B62815">
        <w:rPr>
          <w:rFonts w:asciiTheme="minorHAnsi" w:eastAsia="Times New Roman" w:hAnsiTheme="minorHAnsi" w:cstheme="minorHAnsi"/>
          <w:b/>
          <w:i/>
          <w:spacing w:val="-2"/>
          <w:sz w:val="22"/>
          <w:szCs w:val="22"/>
          <w:lang w:val="es-ES"/>
        </w:rPr>
        <w:t>Resultados financieros de los principales fondos administrados por la Secretaría General de la OEA</w:t>
      </w:r>
      <w:r w:rsidRPr="00B62815">
        <w:rPr>
          <w:rStyle w:val="FootnoteReference"/>
          <w:rFonts w:asciiTheme="minorHAnsi" w:eastAsia="Times New Roman" w:hAnsiTheme="minorHAnsi" w:cstheme="minorHAnsi"/>
          <w:b/>
          <w:i/>
          <w:spacing w:val="-2"/>
          <w:sz w:val="22"/>
          <w:szCs w:val="22"/>
          <w:lang w:val="es-ES"/>
        </w:rPr>
        <w:footnoteReference w:customMarkFollows="1" w:id="1"/>
        <w:sym w:font="Symbol" w:char="F02A"/>
      </w:r>
      <w:r w:rsidRPr="00B62815">
        <w:rPr>
          <w:rFonts w:asciiTheme="minorHAnsi" w:eastAsia="Times New Roman" w:hAnsiTheme="minorHAnsi" w:cstheme="minorHAnsi"/>
          <w:b/>
          <w:i/>
          <w:spacing w:val="-2"/>
          <w:sz w:val="22"/>
          <w:szCs w:val="22"/>
          <w:lang w:val="es-ES"/>
        </w:rPr>
        <w:t xml:space="preserve">: </w:t>
      </w:r>
    </w:p>
    <w:p w14:paraId="4DD01F6C" w14:textId="77777777" w:rsidR="00FB7E47" w:rsidRPr="00B62815" w:rsidRDefault="00FB7E47" w:rsidP="00FB7E47">
      <w:pPr>
        <w:autoSpaceDE w:val="0"/>
        <w:autoSpaceDN w:val="0"/>
        <w:jc w:val="both"/>
        <w:rPr>
          <w:rFonts w:asciiTheme="minorHAnsi" w:eastAsia="Times New Roman" w:hAnsiTheme="minorHAnsi" w:cstheme="minorHAnsi"/>
          <w:b/>
          <w:i/>
          <w:spacing w:val="-2"/>
          <w:sz w:val="22"/>
          <w:szCs w:val="22"/>
          <w:lang w:val="es-ES"/>
        </w:rPr>
      </w:pPr>
    </w:p>
    <w:p w14:paraId="4452518B" w14:textId="77777777" w:rsidR="00FB7E47" w:rsidRPr="00B62815" w:rsidRDefault="00FB7E47" w:rsidP="00FB7E47">
      <w:pPr>
        <w:autoSpaceDE w:val="0"/>
        <w:autoSpaceDN w:val="0"/>
        <w:jc w:val="both"/>
        <w:rPr>
          <w:rFonts w:asciiTheme="minorHAnsi" w:eastAsia="Times New Roman" w:hAnsiTheme="minorHAnsi" w:cstheme="minorHAnsi"/>
          <w:b/>
          <w:i/>
          <w:spacing w:val="-2"/>
          <w:sz w:val="22"/>
          <w:szCs w:val="22"/>
          <w:lang w:val="es-ES"/>
        </w:rPr>
      </w:pPr>
      <w:r w:rsidRPr="00B62815">
        <w:rPr>
          <w:rFonts w:asciiTheme="minorHAnsi" w:hAnsiTheme="minorHAnsi" w:cstheme="minorHAnsi"/>
          <w:b/>
          <w:i/>
          <w:sz w:val="22"/>
          <w:szCs w:val="22"/>
          <w:lang w:val="es-ES"/>
        </w:rPr>
        <w:t xml:space="preserve">Fondo Regular </w:t>
      </w:r>
    </w:p>
    <w:p w14:paraId="250F1D23" w14:textId="77777777" w:rsidR="00FB7E47" w:rsidRPr="00B62815" w:rsidRDefault="00FB7E47" w:rsidP="00E67635">
      <w:pPr>
        <w:numPr>
          <w:ilvl w:val="0"/>
          <w:numId w:val="49"/>
        </w:numPr>
        <w:tabs>
          <w:tab w:val="clear" w:pos="720"/>
        </w:tabs>
        <w:ind w:left="54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La Asamblea General aprobó el 27 de junio de 2019 el programa-presupuesto enero-diciembre 2020, por un techo presupuestario de $85,157,203, pero con una ejecución reducida de $82,700,000, un nivel igual al aprobado para la ejecución del período fiscal enero-diciembre 2019. Para su financiamiento, se estableció una asignación neta de cuotas de $84,658,903 y otros ingresos de $498,300.</w:t>
      </w:r>
    </w:p>
    <w:p w14:paraId="4FDD80CF" w14:textId="77777777" w:rsidR="00FB7E47" w:rsidRPr="00B62815" w:rsidRDefault="00FB7E47" w:rsidP="00E67635">
      <w:pPr>
        <w:numPr>
          <w:ilvl w:val="0"/>
          <w:numId w:val="49"/>
        </w:numPr>
        <w:tabs>
          <w:tab w:val="clear" w:pos="720"/>
        </w:tabs>
        <w:ind w:left="54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Al cierre del período fiscal 2019, la Secretaría General ejecutó $81.6 millones que corresponde al 98.7% del presupuesto aprobado. La sub-ejecución presupuestaria de $1.1 millones es un ahorro que ayuda al aumento del sub-fondo de Reserva del Fondo Regular.</w:t>
      </w:r>
    </w:p>
    <w:p w14:paraId="7FA36EC5" w14:textId="7E42A905" w:rsidR="00FB7E47" w:rsidRPr="00B62815" w:rsidRDefault="00FB7E47" w:rsidP="00E67635">
      <w:pPr>
        <w:numPr>
          <w:ilvl w:val="0"/>
          <w:numId w:val="49"/>
        </w:numPr>
        <w:tabs>
          <w:tab w:val="clear" w:pos="720"/>
        </w:tabs>
        <w:ind w:left="54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lastRenderedPageBreak/>
        <w:t>El sub-fondo de reserva terminó con un saldo en déficit de $9.5 millones al final de 2019.  No obstante, el saldo incrementaría considerablemente si las cuotas adeudadas de $32.0 millones son recibidas. El saldo de la Reserva incluyendo las cuotas devengadas seria $22.5 millones.</w:t>
      </w:r>
    </w:p>
    <w:p w14:paraId="3BDD7926" w14:textId="77777777" w:rsidR="00FB7E47" w:rsidRPr="00B62815" w:rsidRDefault="00FB7E47" w:rsidP="00E67635">
      <w:pPr>
        <w:numPr>
          <w:ilvl w:val="0"/>
          <w:numId w:val="49"/>
        </w:numPr>
        <w:tabs>
          <w:tab w:val="clear" w:pos="720"/>
        </w:tabs>
        <w:ind w:left="54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Al 31 de diciembre de 2019, el saldo del efectivo finalizó con un saldo de cero. Este saldo incluye un préstamo temporal de la cuenta de Tesorería de la OEA por $6.8 millones de acuerdo a lo aprobado por el Consejo Permanente a través de la resolución CP/RES. 1105 (2168/18) rev.1.</w:t>
      </w:r>
    </w:p>
    <w:p w14:paraId="3A7D6AC4" w14:textId="77777777" w:rsidR="00FB7E47" w:rsidRPr="00B62815" w:rsidRDefault="00FB7E47" w:rsidP="00FB7E47">
      <w:pPr>
        <w:rPr>
          <w:rFonts w:asciiTheme="minorHAnsi" w:hAnsiTheme="minorHAnsi" w:cstheme="minorHAnsi"/>
          <w:sz w:val="22"/>
          <w:szCs w:val="22"/>
          <w:lang w:val="es-ES"/>
        </w:rPr>
      </w:pPr>
    </w:p>
    <w:p w14:paraId="7875B160" w14:textId="77777777" w:rsidR="00FB7E47" w:rsidRPr="00B62815" w:rsidRDefault="00FB7E47" w:rsidP="00FB7E47">
      <w:pPr>
        <w:autoSpaceDE w:val="0"/>
        <w:autoSpaceDN w:val="0"/>
        <w:jc w:val="both"/>
        <w:rPr>
          <w:rFonts w:asciiTheme="minorHAnsi" w:hAnsiTheme="minorHAnsi" w:cstheme="minorHAnsi"/>
          <w:b/>
          <w:i/>
          <w:sz w:val="22"/>
          <w:szCs w:val="22"/>
          <w:lang w:val="es-ES"/>
        </w:rPr>
      </w:pPr>
      <w:r w:rsidRPr="00B62815">
        <w:rPr>
          <w:rFonts w:asciiTheme="minorHAnsi" w:hAnsiTheme="minorHAnsi" w:cstheme="minorHAnsi"/>
          <w:b/>
          <w:i/>
          <w:sz w:val="22"/>
          <w:szCs w:val="22"/>
          <w:lang w:val="es-ES"/>
        </w:rPr>
        <w:t>Fondos Específicos</w:t>
      </w:r>
    </w:p>
    <w:p w14:paraId="5622975A" w14:textId="77777777" w:rsidR="00FB7E47" w:rsidRPr="00B62815" w:rsidRDefault="00FB7E47" w:rsidP="00E67635">
      <w:pPr>
        <w:numPr>
          <w:ilvl w:val="0"/>
          <w:numId w:val="49"/>
        </w:numPr>
        <w:tabs>
          <w:tab w:val="clear" w:pos="720"/>
        </w:tabs>
        <w:ind w:left="54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Las contribuciones a los Fondos Específicos fueron de $61.3 millones en 2019 en comparación a $41.4 millones en 2018, un incremento de $19.9 millones o equivalente al 48%.</w:t>
      </w:r>
    </w:p>
    <w:p w14:paraId="08152BB2" w14:textId="07BD8DDE" w:rsidR="00FB7E47" w:rsidRPr="00B62815" w:rsidRDefault="00FB7E47" w:rsidP="00E67635">
      <w:pPr>
        <w:numPr>
          <w:ilvl w:val="0"/>
          <w:numId w:val="49"/>
        </w:numPr>
        <w:tabs>
          <w:tab w:val="clear" w:pos="720"/>
        </w:tabs>
        <w:ind w:left="54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Los tres mayores contribuyentes en 2019 fueron los Estados Unidos con $25.3 millones</w:t>
      </w:r>
      <w:r w:rsidR="00842C4B">
        <w:rPr>
          <w:rFonts w:asciiTheme="minorHAnsi" w:hAnsiTheme="minorHAnsi" w:cstheme="minorHAnsi"/>
          <w:sz w:val="22"/>
          <w:szCs w:val="22"/>
          <w:lang w:val="es-ES"/>
        </w:rPr>
        <w:t>,</w:t>
      </w:r>
      <w:r w:rsidRPr="00B62815">
        <w:rPr>
          <w:rFonts w:asciiTheme="minorHAnsi" w:hAnsiTheme="minorHAnsi" w:cstheme="minorHAnsi"/>
          <w:sz w:val="22"/>
          <w:szCs w:val="22"/>
          <w:lang w:val="es-ES"/>
        </w:rPr>
        <w:t xml:space="preserve"> </w:t>
      </w:r>
      <w:r w:rsidR="00842C4B">
        <w:rPr>
          <w:rFonts w:asciiTheme="minorHAnsi" w:hAnsiTheme="minorHAnsi" w:cstheme="minorHAnsi"/>
          <w:sz w:val="22"/>
          <w:szCs w:val="22"/>
          <w:lang w:val="es-ES"/>
        </w:rPr>
        <w:t>o</w:t>
      </w:r>
      <w:r w:rsidRPr="00B62815">
        <w:rPr>
          <w:rFonts w:asciiTheme="minorHAnsi" w:hAnsiTheme="minorHAnsi" w:cstheme="minorHAnsi"/>
          <w:sz w:val="22"/>
          <w:szCs w:val="22"/>
          <w:lang w:val="es-ES"/>
        </w:rPr>
        <w:t xml:space="preserve"> 41.3% de las contribuciones totales, seguido por la Unión Europea con $5.0 millones</w:t>
      </w:r>
      <w:r w:rsidR="00842C4B">
        <w:rPr>
          <w:rFonts w:asciiTheme="minorHAnsi" w:hAnsiTheme="minorHAnsi" w:cstheme="minorHAnsi"/>
          <w:sz w:val="22"/>
          <w:szCs w:val="22"/>
          <w:lang w:val="es-ES"/>
        </w:rPr>
        <w:t>, o</w:t>
      </w:r>
      <w:r w:rsidRPr="00B62815">
        <w:rPr>
          <w:rFonts w:asciiTheme="minorHAnsi" w:hAnsiTheme="minorHAnsi" w:cstheme="minorHAnsi"/>
          <w:sz w:val="22"/>
          <w:szCs w:val="22"/>
          <w:lang w:val="es-ES"/>
        </w:rPr>
        <w:t xml:space="preserve"> 8.1%</w:t>
      </w:r>
      <w:r w:rsidR="00842C4B">
        <w:rPr>
          <w:rFonts w:asciiTheme="minorHAnsi" w:hAnsiTheme="minorHAnsi" w:cstheme="minorHAnsi"/>
          <w:sz w:val="22"/>
          <w:szCs w:val="22"/>
          <w:lang w:val="es-ES"/>
        </w:rPr>
        <w:t>,</w:t>
      </w:r>
      <w:r w:rsidRPr="00B62815">
        <w:rPr>
          <w:rFonts w:asciiTheme="minorHAnsi" w:hAnsiTheme="minorHAnsi" w:cstheme="minorHAnsi"/>
          <w:sz w:val="22"/>
          <w:szCs w:val="22"/>
          <w:lang w:val="es-ES"/>
        </w:rPr>
        <w:t xml:space="preserve"> y Canadá con $3.3 millones</w:t>
      </w:r>
      <w:r w:rsidR="00842C4B">
        <w:rPr>
          <w:rFonts w:asciiTheme="minorHAnsi" w:hAnsiTheme="minorHAnsi" w:cstheme="minorHAnsi"/>
          <w:sz w:val="22"/>
          <w:szCs w:val="22"/>
          <w:lang w:val="es-ES"/>
        </w:rPr>
        <w:t xml:space="preserve">, o </w:t>
      </w:r>
      <w:r w:rsidRPr="00B62815">
        <w:rPr>
          <w:rFonts w:asciiTheme="minorHAnsi" w:hAnsiTheme="minorHAnsi" w:cstheme="minorHAnsi"/>
          <w:sz w:val="22"/>
          <w:szCs w:val="22"/>
          <w:lang w:val="es-ES"/>
        </w:rPr>
        <w:t>5.4%. Las contribuciones de los Estados Miembros representan el 55.1% del total recibido, mientras que las de los Observadores Permanentes constituyen el 34.4% y otros donantes e instituciones el 10.5%.</w:t>
      </w:r>
    </w:p>
    <w:p w14:paraId="2F39F088" w14:textId="77777777" w:rsidR="00FB7E47" w:rsidRPr="00B62815" w:rsidRDefault="00FB7E47" w:rsidP="00E67635">
      <w:pPr>
        <w:numPr>
          <w:ilvl w:val="0"/>
          <w:numId w:val="49"/>
        </w:numPr>
        <w:tabs>
          <w:tab w:val="clear" w:pos="720"/>
        </w:tabs>
        <w:ind w:left="54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En comparación con 2018, los Estados Miembros incrementaron sus contribuciones en un 58%, de igual forma las contribuciones de los Observadores Permanentes subieron en un 31%, y las contribuciones de otros donantes e instituciones aumentaron en un 63%.</w:t>
      </w:r>
    </w:p>
    <w:p w14:paraId="5CCD52F8" w14:textId="77777777" w:rsidR="00FB7E47" w:rsidRPr="00B62815" w:rsidRDefault="00FB7E47" w:rsidP="00E67635">
      <w:pPr>
        <w:numPr>
          <w:ilvl w:val="0"/>
          <w:numId w:val="49"/>
        </w:numPr>
        <w:tabs>
          <w:tab w:val="clear" w:pos="720"/>
        </w:tabs>
        <w:ind w:left="54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En 2019, el total de gastos de los Fondos Específicos alcanzó la suma de $60.8 millones aumentando levemente en comparación al año 2018. El 42.4% del total de los gastos está relacionado con los proyectos gestionados bajo el Capítulo 6 - Secretaría para el Fortalecimiento de la Democracia, seguido con el 27.7% del Capítulo 8 - Secretaría de Seguridad Multidimensional</w:t>
      </w:r>
      <w:r w:rsidRPr="00B62815" w:rsidDel="00D97E84">
        <w:rPr>
          <w:rFonts w:asciiTheme="minorHAnsi" w:hAnsiTheme="minorHAnsi" w:cstheme="minorHAnsi"/>
          <w:sz w:val="22"/>
          <w:szCs w:val="22"/>
          <w:lang w:val="es-ES"/>
        </w:rPr>
        <w:t xml:space="preserve"> </w:t>
      </w:r>
      <w:r w:rsidRPr="00B62815">
        <w:rPr>
          <w:rFonts w:asciiTheme="minorHAnsi" w:hAnsiTheme="minorHAnsi" w:cstheme="minorHAnsi"/>
          <w:sz w:val="22"/>
          <w:szCs w:val="22"/>
          <w:lang w:val="es-ES"/>
        </w:rPr>
        <w:t xml:space="preserve">y el 12.9% del Capítulo 3 - Organismos Principales y Especializados.  </w:t>
      </w:r>
    </w:p>
    <w:p w14:paraId="4BF4CB76" w14:textId="77777777" w:rsidR="00FB7E47" w:rsidRPr="00B62815" w:rsidRDefault="00FB7E47" w:rsidP="00E67635">
      <w:pPr>
        <w:numPr>
          <w:ilvl w:val="0"/>
          <w:numId w:val="50"/>
        </w:numPr>
        <w:tabs>
          <w:tab w:val="clear" w:pos="720"/>
        </w:tabs>
        <w:autoSpaceDE w:val="0"/>
        <w:autoSpaceDN w:val="0"/>
        <w:adjustRightInd w:val="0"/>
        <w:ind w:left="54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Con relación a los $60.8 millones de gastos totales, $24.7 millones o el 40.5% está relacionado con gastos de contratos por resultados, mientras que $11.9 millones o el 19.7% equivalen a gastos de personal y $9.8 millones o el 16.2% está relacionado con gastos de viajes.</w:t>
      </w:r>
    </w:p>
    <w:p w14:paraId="092E3FC4" w14:textId="77777777" w:rsidR="00FB7E47" w:rsidRPr="00B62815" w:rsidRDefault="00FB7E47" w:rsidP="00FB7E47">
      <w:pPr>
        <w:autoSpaceDE w:val="0"/>
        <w:autoSpaceDN w:val="0"/>
        <w:adjustRightInd w:val="0"/>
        <w:jc w:val="both"/>
        <w:rPr>
          <w:rFonts w:asciiTheme="minorHAnsi" w:hAnsiTheme="minorHAnsi" w:cstheme="minorHAnsi"/>
          <w:color w:val="000000"/>
          <w:sz w:val="22"/>
          <w:szCs w:val="22"/>
          <w:shd w:val="clear" w:color="auto" w:fill="FFFFFF"/>
          <w:lang w:val="es-ES"/>
        </w:rPr>
      </w:pPr>
    </w:p>
    <w:p w14:paraId="4E510A22" w14:textId="77777777" w:rsidR="00FB7E47" w:rsidRPr="00B62815" w:rsidRDefault="00FB7E47" w:rsidP="00FB7E47">
      <w:pPr>
        <w:autoSpaceDE w:val="0"/>
        <w:autoSpaceDN w:val="0"/>
        <w:adjustRightInd w:val="0"/>
        <w:jc w:val="both"/>
        <w:rPr>
          <w:rFonts w:asciiTheme="minorHAnsi" w:hAnsiTheme="minorHAnsi" w:cstheme="minorHAnsi"/>
          <w:b/>
          <w:i/>
          <w:color w:val="000000"/>
          <w:sz w:val="22"/>
          <w:szCs w:val="22"/>
          <w:shd w:val="clear" w:color="auto" w:fill="FFFFFF"/>
          <w:lang w:val="es-ES"/>
        </w:rPr>
      </w:pPr>
      <w:r w:rsidRPr="00B62815">
        <w:rPr>
          <w:rFonts w:asciiTheme="minorHAnsi" w:hAnsiTheme="minorHAnsi" w:cstheme="minorHAnsi"/>
          <w:b/>
          <w:i/>
          <w:color w:val="000000"/>
          <w:sz w:val="22"/>
          <w:szCs w:val="22"/>
          <w:shd w:val="clear" w:color="auto" w:fill="FFFFFF"/>
          <w:lang w:val="es-ES"/>
        </w:rPr>
        <w:t>Fondo de Recuperación de Costos Indirectos (FICR)</w:t>
      </w:r>
    </w:p>
    <w:p w14:paraId="15FEA294" w14:textId="77777777" w:rsidR="00FB7E47" w:rsidRPr="00B62815" w:rsidRDefault="00FB7E47" w:rsidP="00E67635">
      <w:pPr>
        <w:numPr>
          <w:ilvl w:val="0"/>
          <w:numId w:val="50"/>
        </w:numPr>
        <w:tabs>
          <w:tab w:val="clear" w:pos="720"/>
        </w:tabs>
        <w:autoSpaceDE w:val="0"/>
        <w:autoSpaceDN w:val="0"/>
        <w:adjustRightInd w:val="0"/>
        <w:ind w:left="540"/>
        <w:jc w:val="both"/>
        <w:rPr>
          <w:rFonts w:asciiTheme="minorHAnsi" w:hAnsiTheme="minorHAnsi" w:cstheme="minorHAnsi"/>
          <w:color w:val="000000"/>
          <w:sz w:val="22"/>
          <w:szCs w:val="22"/>
          <w:shd w:val="clear" w:color="auto" w:fill="FFFFFF"/>
          <w:lang w:val="es-ES"/>
        </w:rPr>
      </w:pPr>
      <w:r w:rsidRPr="00B62815">
        <w:rPr>
          <w:rFonts w:asciiTheme="minorHAnsi" w:hAnsiTheme="minorHAnsi" w:cstheme="minorHAnsi"/>
          <w:color w:val="000000"/>
          <w:sz w:val="22"/>
          <w:szCs w:val="22"/>
          <w:shd w:val="clear" w:color="auto" w:fill="FFFFFF"/>
          <w:lang w:val="es-ES"/>
        </w:rPr>
        <w:lastRenderedPageBreak/>
        <w:t>Los ingresos durante el año ascendieron a $9.2 millones en comparación al año 2018 que totalizaron $7.1 millones, un incremento del 29%. Esto se debe mayormente a la temporalidad de la programación de fondos recibidos en años anteriores y al ingreso de mayores contribuciones en efectivo durante 2019.</w:t>
      </w:r>
    </w:p>
    <w:p w14:paraId="64AFD4A4" w14:textId="77777777" w:rsidR="00FB7E47" w:rsidRPr="00B62815" w:rsidRDefault="00FB7E47" w:rsidP="00E67635">
      <w:pPr>
        <w:numPr>
          <w:ilvl w:val="0"/>
          <w:numId w:val="50"/>
        </w:numPr>
        <w:tabs>
          <w:tab w:val="clear" w:pos="720"/>
        </w:tabs>
        <w:autoSpaceDE w:val="0"/>
        <w:autoSpaceDN w:val="0"/>
        <w:adjustRightInd w:val="0"/>
        <w:ind w:left="540"/>
        <w:jc w:val="both"/>
        <w:rPr>
          <w:rFonts w:asciiTheme="minorHAnsi" w:hAnsiTheme="minorHAnsi" w:cstheme="minorHAnsi"/>
          <w:color w:val="000000"/>
          <w:sz w:val="22"/>
          <w:szCs w:val="22"/>
          <w:shd w:val="clear" w:color="auto" w:fill="FFFFFF"/>
          <w:lang w:val="es-ES"/>
        </w:rPr>
      </w:pPr>
      <w:r w:rsidRPr="00B62815">
        <w:rPr>
          <w:rFonts w:asciiTheme="minorHAnsi" w:hAnsiTheme="minorHAnsi" w:cstheme="minorHAnsi"/>
          <w:color w:val="000000"/>
          <w:sz w:val="22"/>
          <w:szCs w:val="22"/>
          <w:shd w:val="clear" w:color="auto" w:fill="FFFFFF"/>
          <w:lang w:val="es-ES"/>
        </w:rPr>
        <w:t>Al cierre del período fiscal 2019, la Secretaría General ejecutó $5.4 millones que corresponde al 98.6% del presupuesto aprobado. La sub-ejecución presupuestaria de $77 miles es un ahorro que ayuda al aumento del Fondo de Reserva del Fondo ICR.</w:t>
      </w:r>
    </w:p>
    <w:p w14:paraId="487D7F5B" w14:textId="77777777" w:rsidR="00FB7E47" w:rsidRPr="00B62815" w:rsidRDefault="00FB7E47" w:rsidP="00E67635">
      <w:pPr>
        <w:numPr>
          <w:ilvl w:val="0"/>
          <w:numId w:val="50"/>
        </w:numPr>
        <w:tabs>
          <w:tab w:val="clear" w:pos="720"/>
        </w:tabs>
        <w:autoSpaceDE w:val="0"/>
        <w:autoSpaceDN w:val="0"/>
        <w:adjustRightInd w:val="0"/>
        <w:ind w:left="540"/>
        <w:jc w:val="both"/>
        <w:rPr>
          <w:rFonts w:asciiTheme="minorHAnsi" w:hAnsiTheme="minorHAnsi" w:cstheme="minorHAnsi"/>
          <w:color w:val="000000"/>
          <w:sz w:val="22"/>
          <w:szCs w:val="22"/>
          <w:shd w:val="clear" w:color="auto" w:fill="FFFFFF"/>
          <w:lang w:val="es-ES"/>
        </w:rPr>
      </w:pPr>
      <w:r w:rsidRPr="00B62815">
        <w:rPr>
          <w:rFonts w:asciiTheme="minorHAnsi" w:hAnsiTheme="minorHAnsi" w:cstheme="minorHAnsi"/>
          <w:color w:val="000000"/>
          <w:sz w:val="22"/>
          <w:szCs w:val="22"/>
          <w:shd w:val="clear" w:color="auto" w:fill="FFFFFF"/>
          <w:lang w:val="es-ES"/>
        </w:rPr>
        <w:t>Durante 2019 se realizó la programación de $0.5 millones de la reserva para suplementar las apropiaciones del capítulo 12.</w:t>
      </w:r>
    </w:p>
    <w:p w14:paraId="118B8F7E" w14:textId="77777777" w:rsidR="00FB7E47" w:rsidRPr="00B62815" w:rsidRDefault="00FB7E47" w:rsidP="00E67635">
      <w:pPr>
        <w:numPr>
          <w:ilvl w:val="0"/>
          <w:numId w:val="50"/>
        </w:numPr>
        <w:tabs>
          <w:tab w:val="clear" w:pos="720"/>
        </w:tabs>
        <w:autoSpaceDE w:val="0"/>
        <w:autoSpaceDN w:val="0"/>
        <w:adjustRightInd w:val="0"/>
        <w:ind w:left="540"/>
        <w:jc w:val="both"/>
        <w:rPr>
          <w:rFonts w:asciiTheme="minorHAnsi" w:hAnsiTheme="minorHAnsi" w:cstheme="minorHAnsi"/>
          <w:color w:val="000000"/>
          <w:sz w:val="22"/>
          <w:szCs w:val="22"/>
          <w:shd w:val="clear" w:color="auto" w:fill="FFFFFF"/>
          <w:lang w:val="es-ES"/>
        </w:rPr>
      </w:pPr>
      <w:r w:rsidRPr="00B62815">
        <w:rPr>
          <w:rFonts w:asciiTheme="minorHAnsi" w:hAnsiTheme="minorHAnsi" w:cstheme="minorHAnsi"/>
          <w:color w:val="000000"/>
          <w:sz w:val="22"/>
          <w:szCs w:val="22"/>
          <w:shd w:val="clear" w:color="auto" w:fill="FFFFFF"/>
          <w:lang w:val="es-ES"/>
        </w:rPr>
        <w:t>El Fondo de Reserva del FICR finalizó con un saldo positivo de $6.6 millones al final de 2019.</w:t>
      </w:r>
    </w:p>
    <w:p w14:paraId="031C6EB1" w14:textId="77777777" w:rsidR="00FB7E47" w:rsidRPr="00B62815" w:rsidRDefault="00FB7E47" w:rsidP="00AA26E4">
      <w:pPr>
        <w:pStyle w:val="Heading3"/>
        <w:rPr>
          <w:rFonts w:asciiTheme="minorHAnsi" w:hAnsiTheme="minorHAnsi" w:cstheme="minorHAnsi"/>
          <w:b w:val="0"/>
          <w:bCs w:val="0"/>
          <w:iCs/>
          <w:caps/>
          <w:color w:val="FF9900"/>
          <w:sz w:val="22"/>
          <w:szCs w:val="22"/>
          <w:lang w:val="es-ES"/>
        </w:rPr>
      </w:pPr>
      <w:bookmarkStart w:id="55" w:name="_Toc39675843"/>
      <w:bookmarkStart w:id="56" w:name="_Toc40191066"/>
      <w:r w:rsidRPr="00B62815">
        <w:rPr>
          <w:rFonts w:asciiTheme="minorHAnsi" w:hAnsiTheme="minorHAnsi" w:cstheme="minorHAnsi"/>
          <w:b w:val="0"/>
          <w:bCs w:val="0"/>
          <w:iCs/>
          <w:caps/>
          <w:color w:val="FF9900"/>
          <w:sz w:val="22"/>
          <w:szCs w:val="22"/>
          <w:lang w:val="es-ES"/>
        </w:rPr>
        <w:t>2.6.3</w:t>
      </w:r>
      <w:r w:rsidRPr="00B62815">
        <w:rPr>
          <w:rFonts w:asciiTheme="minorHAnsi" w:hAnsiTheme="minorHAnsi" w:cstheme="minorHAnsi"/>
          <w:b w:val="0"/>
          <w:bCs w:val="0"/>
          <w:iCs/>
          <w:caps/>
          <w:color w:val="FF9900"/>
          <w:sz w:val="22"/>
          <w:szCs w:val="22"/>
          <w:lang w:val="es-ES"/>
        </w:rPr>
        <w:tab/>
      </w:r>
      <w:r w:rsidRPr="00B62815">
        <w:rPr>
          <w:rFonts w:asciiTheme="minorHAnsi" w:hAnsiTheme="minorHAnsi" w:cstheme="minorHAnsi"/>
          <w:b w:val="0"/>
          <w:bCs w:val="0"/>
          <w:iCs/>
          <w:color w:val="FF9900"/>
          <w:sz w:val="22"/>
          <w:szCs w:val="22"/>
          <w:lang w:val="es-ES"/>
        </w:rPr>
        <w:t xml:space="preserve">Departamento de Servicios de Información y Tecnología </w:t>
      </w:r>
      <w:r w:rsidR="00751287" w:rsidRPr="00B62815">
        <w:rPr>
          <w:rFonts w:asciiTheme="minorHAnsi" w:hAnsiTheme="minorHAnsi" w:cstheme="minorHAnsi"/>
          <w:b w:val="0"/>
          <w:bCs w:val="0"/>
          <w:iCs/>
          <w:caps/>
          <w:color w:val="FF9900"/>
          <w:sz w:val="22"/>
          <w:szCs w:val="22"/>
          <w:lang w:val="es-ES"/>
        </w:rPr>
        <w:t>–</w:t>
      </w:r>
      <w:r w:rsidRPr="00B62815">
        <w:rPr>
          <w:rFonts w:asciiTheme="minorHAnsi" w:hAnsiTheme="minorHAnsi" w:cstheme="minorHAnsi"/>
          <w:b w:val="0"/>
          <w:bCs w:val="0"/>
          <w:iCs/>
          <w:caps/>
          <w:color w:val="FF9900"/>
          <w:sz w:val="22"/>
          <w:szCs w:val="22"/>
          <w:lang w:val="es-ES"/>
        </w:rPr>
        <w:t xml:space="preserve"> DOITS</w:t>
      </w:r>
      <w:bookmarkEnd w:id="55"/>
      <w:bookmarkEnd w:id="56"/>
    </w:p>
    <w:p w14:paraId="74CF25A9" w14:textId="77777777" w:rsidR="00751287" w:rsidRPr="00B62815" w:rsidRDefault="00751287" w:rsidP="00FB7E47">
      <w:pPr>
        <w:jc w:val="both"/>
        <w:rPr>
          <w:rFonts w:asciiTheme="minorHAnsi" w:eastAsia="Times New Roman" w:hAnsiTheme="minorHAnsi" w:cstheme="minorHAnsi"/>
          <w:b/>
          <w:bCs/>
          <w:iCs/>
          <w:caps/>
          <w:color w:val="FF9900"/>
          <w:sz w:val="22"/>
          <w:szCs w:val="22"/>
          <w:lang w:val="es-ES"/>
        </w:rPr>
      </w:pPr>
    </w:p>
    <w:p w14:paraId="49E4A86D" w14:textId="77777777" w:rsidR="00FB7E47" w:rsidRPr="00B62815" w:rsidRDefault="00FB7E47" w:rsidP="00FB7E47">
      <w:pPr>
        <w:autoSpaceDE w:val="0"/>
        <w:autoSpaceDN w:val="0"/>
        <w:adjustRightInd w:val="0"/>
        <w:jc w:val="both"/>
        <w:rPr>
          <w:rFonts w:asciiTheme="minorHAnsi" w:hAnsiTheme="minorHAnsi" w:cstheme="minorHAnsi"/>
          <w:bCs/>
          <w:sz w:val="22"/>
          <w:szCs w:val="22"/>
          <w:lang w:val="es-ES"/>
        </w:rPr>
      </w:pPr>
      <w:r w:rsidRPr="00B62815">
        <w:rPr>
          <w:rFonts w:asciiTheme="minorHAnsi" w:hAnsiTheme="minorHAnsi" w:cstheme="minorHAnsi"/>
          <w:bCs/>
          <w:sz w:val="22"/>
          <w:szCs w:val="22"/>
          <w:lang w:val="es-ES"/>
        </w:rPr>
        <w:t xml:space="preserve">Durante el período considerado, el Departamento de Servicios de Información y Tecnología (SAF/DOITS) mantuvo sus esfuerzos al límite de su capacidad para continuar con el nivel de servicios que presta a la Secretaría General de la OEA (SG/OEA) en las áreas de Infraestructura de Redes, Comunicaciones, Análisis y Programación, Estructuración de Datos, Calidad de Software, Administración de Sistemas y Seguridad Informática </w:t>
      </w:r>
      <w:r w:rsidRPr="00B62815">
        <w:rPr>
          <w:rFonts w:asciiTheme="minorHAnsi" w:hAnsiTheme="minorHAnsi" w:cstheme="minorHAnsi"/>
          <w:sz w:val="22"/>
          <w:szCs w:val="22"/>
          <w:lang w:val="es-ES"/>
        </w:rPr>
        <w:t xml:space="preserve">y con esto </w:t>
      </w:r>
      <w:r w:rsidRPr="00B62815">
        <w:rPr>
          <w:rFonts w:asciiTheme="minorHAnsi" w:hAnsiTheme="minorHAnsi" w:cstheme="minorHAnsi"/>
          <w:bCs/>
          <w:sz w:val="22"/>
          <w:szCs w:val="22"/>
          <w:lang w:val="es-ES"/>
        </w:rPr>
        <w:t>satisfacer la creciente demanda de la áreas de la SG/OEA por más y mejores servicios, herramientas tecnológicas para mejorar la productividad del personal y hacer frente a todos los nuevos requerimientos por parte de las áreas sustantivas en función del Plan de Modernización de la OEA,  los mandatos recibidos y cumplir en la medida de lo posible con las recomendaciones de la Junta de Auditores Externos.</w:t>
      </w:r>
    </w:p>
    <w:p w14:paraId="641E3AE2" w14:textId="77777777" w:rsidR="00FB7E47" w:rsidRPr="00B62815" w:rsidRDefault="00FB7E47" w:rsidP="00FB7E47">
      <w:pPr>
        <w:autoSpaceDE w:val="0"/>
        <w:autoSpaceDN w:val="0"/>
        <w:adjustRightInd w:val="0"/>
        <w:jc w:val="both"/>
        <w:rPr>
          <w:rFonts w:asciiTheme="minorHAnsi" w:hAnsiTheme="minorHAnsi" w:cstheme="minorHAnsi"/>
          <w:bCs/>
          <w:sz w:val="22"/>
          <w:szCs w:val="22"/>
          <w:lang w:val="es-ES"/>
        </w:rPr>
      </w:pPr>
    </w:p>
    <w:p w14:paraId="76C5CF68" w14:textId="77777777" w:rsidR="00FB7E47" w:rsidRPr="00B62815" w:rsidRDefault="00FB7E47" w:rsidP="00FB7E47">
      <w:pPr>
        <w:autoSpaceDE w:val="0"/>
        <w:autoSpaceDN w:val="0"/>
        <w:adjustRightInd w:val="0"/>
        <w:jc w:val="both"/>
        <w:rPr>
          <w:rFonts w:asciiTheme="minorHAnsi" w:hAnsiTheme="minorHAnsi" w:cstheme="minorHAnsi"/>
          <w:b/>
          <w:bCs/>
          <w:sz w:val="22"/>
          <w:szCs w:val="22"/>
          <w:lang w:val="es-ES"/>
        </w:rPr>
      </w:pPr>
      <w:r w:rsidRPr="00B62815">
        <w:rPr>
          <w:rFonts w:asciiTheme="minorHAnsi" w:hAnsiTheme="minorHAnsi" w:cstheme="minorHAnsi"/>
          <w:b/>
          <w:bCs/>
          <w:sz w:val="22"/>
          <w:szCs w:val="22"/>
          <w:lang w:val="es-ES"/>
        </w:rPr>
        <w:t>Objetivos alcanzados en este período:</w:t>
      </w:r>
    </w:p>
    <w:p w14:paraId="1DB2CAC9" w14:textId="77777777" w:rsidR="00FB7E47" w:rsidRPr="00B62815" w:rsidRDefault="00FB7E47" w:rsidP="00FB7E47">
      <w:pPr>
        <w:autoSpaceDE w:val="0"/>
        <w:autoSpaceDN w:val="0"/>
        <w:adjustRightInd w:val="0"/>
        <w:jc w:val="both"/>
        <w:rPr>
          <w:rFonts w:asciiTheme="minorHAnsi" w:hAnsiTheme="minorHAnsi" w:cstheme="minorHAnsi"/>
          <w:bCs/>
          <w:sz w:val="22"/>
          <w:szCs w:val="22"/>
          <w:lang w:val="es-ES"/>
        </w:rPr>
      </w:pPr>
    </w:p>
    <w:p w14:paraId="6F1A3A30" w14:textId="77777777" w:rsidR="00FB7E47" w:rsidRPr="00B62815" w:rsidRDefault="00FB7E47" w:rsidP="00FB7E47">
      <w:pPr>
        <w:autoSpaceDE w:val="0"/>
        <w:autoSpaceDN w:val="0"/>
        <w:adjustRightInd w:val="0"/>
        <w:rPr>
          <w:rFonts w:asciiTheme="minorHAnsi" w:hAnsiTheme="minorHAnsi" w:cstheme="minorHAnsi"/>
          <w:b/>
          <w:sz w:val="22"/>
          <w:szCs w:val="22"/>
          <w:lang w:val="es-ES" w:eastAsia="es-CL"/>
        </w:rPr>
      </w:pPr>
      <w:r w:rsidRPr="00B62815">
        <w:rPr>
          <w:rFonts w:asciiTheme="minorHAnsi" w:hAnsiTheme="minorHAnsi" w:cstheme="minorHAnsi"/>
          <w:b/>
          <w:sz w:val="22"/>
          <w:szCs w:val="22"/>
          <w:u w:val="single"/>
          <w:lang w:val="es-ES"/>
        </w:rPr>
        <w:t>Infraestructura Tecnológica de Redes y Comunicaciones</w:t>
      </w:r>
    </w:p>
    <w:p w14:paraId="5C3733FA" w14:textId="77777777" w:rsidR="00FB7E47" w:rsidRPr="00B62815" w:rsidRDefault="00FB7E47" w:rsidP="00FB7E47">
      <w:pPr>
        <w:autoSpaceDE w:val="0"/>
        <w:autoSpaceDN w:val="0"/>
        <w:adjustRightInd w:val="0"/>
        <w:jc w:val="both"/>
        <w:rPr>
          <w:rFonts w:asciiTheme="minorHAnsi" w:hAnsiTheme="minorHAnsi" w:cstheme="minorHAnsi"/>
          <w:sz w:val="22"/>
          <w:szCs w:val="22"/>
          <w:lang w:val="es-ES"/>
        </w:rPr>
      </w:pPr>
    </w:p>
    <w:p w14:paraId="4CD1F76E" w14:textId="77777777" w:rsidR="00FB7E47" w:rsidRPr="00B62815" w:rsidRDefault="00FB7E47" w:rsidP="00E67635">
      <w:pPr>
        <w:numPr>
          <w:ilvl w:val="0"/>
          <w:numId w:val="14"/>
        </w:numPr>
        <w:autoSpaceDE w:val="0"/>
        <w:autoSpaceDN w:val="0"/>
        <w:ind w:left="72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continuó con el proyecto de consolidación de la infraestructura virtual de servidores disminuyendo la huella de carbono generada.</w:t>
      </w:r>
    </w:p>
    <w:p w14:paraId="2E0E093C" w14:textId="10B36847" w:rsidR="00FB7E47" w:rsidRPr="00B62815" w:rsidRDefault="001C2CF3" w:rsidP="00E67635">
      <w:pPr>
        <w:numPr>
          <w:ilvl w:val="0"/>
          <w:numId w:val="14"/>
        </w:numPr>
        <w:autoSpaceDE w:val="0"/>
        <w:autoSpaceDN w:val="0"/>
        <w:ind w:left="720"/>
        <w:jc w:val="both"/>
        <w:rPr>
          <w:rFonts w:asciiTheme="minorHAnsi" w:hAnsiTheme="minorHAnsi" w:cstheme="minorHAnsi"/>
          <w:sz w:val="22"/>
          <w:szCs w:val="22"/>
          <w:lang w:val="es-ES"/>
        </w:rPr>
      </w:pPr>
      <w:r w:rsidRPr="00B62815">
        <w:rPr>
          <w:rFonts w:asciiTheme="minorHAnsi" w:hAnsiTheme="minorHAnsi" w:cstheme="minorHAnsi"/>
          <w:noProof/>
          <w:sz w:val="22"/>
          <w:szCs w:val="22"/>
        </w:rPr>
        <w:lastRenderedPageBreak/>
        <w:drawing>
          <wp:anchor distT="237744" distB="261493" distL="352044" distR="371602" simplePos="0" relativeHeight="251686912" behindDoc="0" locked="0" layoutInCell="1" allowOverlap="1" wp14:anchorId="6047D167" wp14:editId="3E395760">
            <wp:simplePos x="0" y="0"/>
            <wp:positionH relativeFrom="column">
              <wp:posOffset>4186555</wp:posOffset>
            </wp:positionH>
            <wp:positionV relativeFrom="paragraph">
              <wp:posOffset>357505</wp:posOffset>
            </wp:positionV>
            <wp:extent cx="2198878" cy="1996821"/>
            <wp:effectExtent l="152400" t="152400" r="144780" b="137160"/>
            <wp:wrapSquare wrapText="bothSides"/>
            <wp:docPr id="152" name="Picture 1"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image005"/>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198370" cy="19964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B7E47" w:rsidRPr="00B62815">
        <w:rPr>
          <w:rFonts w:asciiTheme="minorHAnsi" w:hAnsiTheme="minorHAnsi" w:cstheme="minorHAnsi"/>
          <w:sz w:val="22"/>
          <w:szCs w:val="22"/>
          <w:lang w:val="es-ES"/>
        </w:rPr>
        <w:t xml:space="preserve">La actividad de Soporte a Usuarios (HelpDesk) se mantuvo en niveles constantes con alrededor de 7.700 solicitudes recibidas. </w:t>
      </w:r>
    </w:p>
    <w:p w14:paraId="4DB42DE1" w14:textId="7087F7A8" w:rsidR="0078523B" w:rsidRPr="00B62815" w:rsidRDefault="0078523B" w:rsidP="0078523B">
      <w:pPr>
        <w:autoSpaceDE w:val="0"/>
        <w:autoSpaceDN w:val="0"/>
        <w:jc w:val="both"/>
        <w:rPr>
          <w:rFonts w:asciiTheme="minorHAnsi" w:hAnsiTheme="minorHAnsi" w:cstheme="minorHAnsi"/>
          <w:sz w:val="22"/>
          <w:szCs w:val="22"/>
          <w:lang w:val="es-ES"/>
        </w:rPr>
      </w:pPr>
    </w:p>
    <w:p w14:paraId="2B34DA00" w14:textId="2CA9C1A0" w:rsidR="0078523B" w:rsidRPr="00B62815" w:rsidRDefault="0078523B" w:rsidP="0078523B">
      <w:pPr>
        <w:autoSpaceDE w:val="0"/>
        <w:autoSpaceDN w:val="0"/>
        <w:jc w:val="both"/>
        <w:rPr>
          <w:rFonts w:asciiTheme="minorHAnsi" w:hAnsiTheme="minorHAnsi" w:cstheme="minorHAnsi"/>
          <w:sz w:val="22"/>
          <w:szCs w:val="22"/>
          <w:lang w:val="es-ES"/>
        </w:rPr>
      </w:pPr>
    </w:p>
    <w:p w14:paraId="0775E701" w14:textId="74614FC2" w:rsidR="0078523B" w:rsidRPr="00B62815" w:rsidRDefault="0078523B" w:rsidP="0078523B">
      <w:pPr>
        <w:autoSpaceDE w:val="0"/>
        <w:autoSpaceDN w:val="0"/>
        <w:jc w:val="both"/>
        <w:rPr>
          <w:rFonts w:asciiTheme="minorHAnsi" w:hAnsiTheme="minorHAnsi" w:cstheme="minorHAnsi"/>
          <w:sz w:val="22"/>
          <w:szCs w:val="22"/>
          <w:lang w:val="es-ES"/>
        </w:rPr>
      </w:pPr>
    </w:p>
    <w:p w14:paraId="543DB14C" w14:textId="3F3835E8" w:rsidR="0078523B" w:rsidRPr="00B62815" w:rsidRDefault="0078523B" w:rsidP="0078523B">
      <w:pPr>
        <w:autoSpaceDE w:val="0"/>
        <w:autoSpaceDN w:val="0"/>
        <w:jc w:val="both"/>
        <w:rPr>
          <w:rFonts w:asciiTheme="minorHAnsi" w:hAnsiTheme="minorHAnsi" w:cstheme="minorHAnsi"/>
          <w:sz w:val="22"/>
          <w:szCs w:val="22"/>
          <w:lang w:val="es-ES"/>
        </w:rPr>
      </w:pPr>
    </w:p>
    <w:p w14:paraId="6A78CEA2" w14:textId="23B69065" w:rsidR="0078523B" w:rsidRPr="00B62815" w:rsidRDefault="0078523B" w:rsidP="0078523B">
      <w:pPr>
        <w:autoSpaceDE w:val="0"/>
        <w:autoSpaceDN w:val="0"/>
        <w:jc w:val="both"/>
        <w:rPr>
          <w:rFonts w:asciiTheme="minorHAnsi" w:hAnsiTheme="minorHAnsi" w:cstheme="minorHAnsi"/>
          <w:sz w:val="22"/>
          <w:szCs w:val="22"/>
          <w:lang w:val="es-ES"/>
        </w:rPr>
      </w:pPr>
    </w:p>
    <w:p w14:paraId="2DCE3B39" w14:textId="5552470D" w:rsidR="0078523B" w:rsidRPr="00B62815" w:rsidRDefault="0078523B" w:rsidP="0078523B">
      <w:pPr>
        <w:autoSpaceDE w:val="0"/>
        <w:autoSpaceDN w:val="0"/>
        <w:jc w:val="both"/>
        <w:rPr>
          <w:rFonts w:asciiTheme="minorHAnsi" w:hAnsiTheme="minorHAnsi" w:cstheme="minorHAnsi"/>
          <w:sz w:val="22"/>
          <w:szCs w:val="22"/>
          <w:lang w:val="es-ES"/>
        </w:rPr>
      </w:pPr>
    </w:p>
    <w:p w14:paraId="507CA679" w14:textId="27218C97" w:rsidR="0078523B" w:rsidRPr="00B62815" w:rsidRDefault="0078523B" w:rsidP="0078523B">
      <w:pPr>
        <w:autoSpaceDE w:val="0"/>
        <w:autoSpaceDN w:val="0"/>
        <w:jc w:val="both"/>
        <w:rPr>
          <w:rFonts w:asciiTheme="minorHAnsi" w:hAnsiTheme="minorHAnsi" w:cstheme="minorHAnsi"/>
          <w:sz w:val="22"/>
          <w:szCs w:val="22"/>
          <w:lang w:val="es-ES"/>
        </w:rPr>
      </w:pPr>
    </w:p>
    <w:p w14:paraId="4D1B465C" w14:textId="3EF936E6" w:rsidR="0078523B" w:rsidRPr="00B62815" w:rsidRDefault="0078523B" w:rsidP="0078523B">
      <w:pPr>
        <w:autoSpaceDE w:val="0"/>
        <w:autoSpaceDN w:val="0"/>
        <w:jc w:val="both"/>
        <w:rPr>
          <w:rFonts w:asciiTheme="minorHAnsi" w:hAnsiTheme="minorHAnsi" w:cstheme="minorHAnsi"/>
          <w:sz w:val="22"/>
          <w:szCs w:val="22"/>
          <w:lang w:val="es-ES"/>
        </w:rPr>
      </w:pPr>
    </w:p>
    <w:p w14:paraId="79BBEC3E" w14:textId="257EE5FF" w:rsidR="0078523B" w:rsidRPr="00B62815" w:rsidRDefault="0078523B" w:rsidP="0078523B">
      <w:pPr>
        <w:autoSpaceDE w:val="0"/>
        <w:autoSpaceDN w:val="0"/>
        <w:jc w:val="both"/>
        <w:rPr>
          <w:rFonts w:asciiTheme="minorHAnsi" w:hAnsiTheme="minorHAnsi" w:cstheme="minorHAnsi"/>
          <w:sz w:val="22"/>
          <w:szCs w:val="22"/>
          <w:lang w:val="es-ES"/>
        </w:rPr>
      </w:pPr>
    </w:p>
    <w:p w14:paraId="104A38DD" w14:textId="318AFF1C" w:rsidR="0078523B" w:rsidRPr="00B62815" w:rsidRDefault="0078523B" w:rsidP="0078523B">
      <w:pPr>
        <w:autoSpaceDE w:val="0"/>
        <w:autoSpaceDN w:val="0"/>
        <w:jc w:val="both"/>
        <w:rPr>
          <w:rFonts w:asciiTheme="minorHAnsi" w:hAnsiTheme="minorHAnsi" w:cstheme="minorHAnsi"/>
          <w:sz w:val="22"/>
          <w:szCs w:val="22"/>
          <w:lang w:val="es-ES"/>
        </w:rPr>
      </w:pPr>
    </w:p>
    <w:p w14:paraId="3C6990BE" w14:textId="3A813D80" w:rsidR="0078523B" w:rsidRPr="00B62815" w:rsidRDefault="0078523B" w:rsidP="0078523B">
      <w:pPr>
        <w:autoSpaceDE w:val="0"/>
        <w:autoSpaceDN w:val="0"/>
        <w:jc w:val="both"/>
        <w:rPr>
          <w:rFonts w:asciiTheme="minorHAnsi" w:hAnsiTheme="minorHAnsi" w:cstheme="minorHAnsi"/>
          <w:sz w:val="22"/>
          <w:szCs w:val="22"/>
          <w:lang w:val="es-ES"/>
        </w:rPr>
      </w:pPr>
    </w:p>
    <w:p w14:paraId="0B2122BB" w14:textId="5043E0A3" w:rsidR="0078523B" w:rsidRPr="00B62815" w:rsidRDefault="0078523B" w:rsidP="0078523B">
      <w:pPr>
        <w:autoSpaceDE w:val="0"/>
        <w:autoSpaceDN w:val="0"/>
        <w:jc w:val="both"/>
        <w:rPr>
          <w:rFonts w:asciiTheme="minorHAnsi" w:hAnsiTheme="minorHAnsi" w:cstheme="minorHAnsi"/>
          <w:sz w:val="22"/>
          <w:szCs w:val="22"/>
          <w:lang w:val="es-ES"/>
        </w:rPr>
      </w:pPr>
    </w:p>
    <w:p w14:paraId="570DB643" w14:textId="17476306" w:rsidR="0078523B" w:rsidRPr="00B62815" w:rsidRDefault="0078523B" w:rsidP="0078523B">
      <w:pPr>
        <w:autoSpaceDE w:val="0"/>
        <w:autoSpaceDN w:val="0"/>
        <w:jc w:val="both"/>
        <w:rPr>
          <w:rFonts w:asciiTheme="minorHAnsi" w:hAnsiTheme="minorHAnsi" w:cstheme="minorHAnsi"/>
          <w:sz w:val="22"/>
          <w:szCs w:val="22"/>
          <w:lang w:val="es-ES"/>
        </w:rPr>
      </w:pPr>
    </w:p>
    <w:p w14:paraId="5543AFE4" w14:textId="77777777" w:rsidR="0078523B" w:rsidRPr="00B62815" w:rsidRDefault="0078523B" w:rsidP="0078523B">
      <w:pPr>
        <w:autoSpaceDE w:val="0"/>
        <w:autoSpaceDN w:val="0"/>
        <w:rPr>
          <w:rFonts w:asciiTheme="minorHAnsi" w:hAnsiTheme="minorHAnsi" w:cstheme="minorHAnsi"/>
          <w:sz w:val="22"/>
          <w:szCs w:val="22"/>
          <w:lang w:val="es-ES"/>
        </w:rPr>
      </w:pPr>
    </w:p>
    <w:p w14:paraId="3CE0FE7B" w14:textId="77777777" w:rsidR="0078523B" w:rsidRPr="00B62815" w:rsidRDefault="0078523B" w:rsidP="0078523B">
      <w:pPr>
        <w:autoSpaceDE w:val="0"/>
        <w:autoSpaceDN w:val="0"/>
        <w:rPr>
          <w:rFonts w:asciiTheme="minorHAnsi" w:hAnsiTheme="minorHAnsi" w:cstheme="minorHAnsi"/>
          <w:sz w:val="22"/>
          <w:szCs w:val="22"/>
          <w:lang w:val="es-ES"/>
        </w:rPr>
      </w:pPr>
    </w:p>
    <w:p w14:paraId="626709FB" w14:textId="77777777" w:rsidR="0078523B" w:rsidRPr="00B62815" w:rsidRDefault="0078523B" w:rsidP="0078523B">
      <w:pPr>
        <w:autoSpaceDE w:val="0"/>
        <w:autoSpaceDN w:val="0"/>
        <w:rPr>
          <w:rFonts w:asciiTheme="minorHAnsi" w:hAnsiTheme="minorHAnsi" w:cstheme="minorHAnsi"/>
          <w:sz w:val="22"/>
          <w:szCs w:val="22"/>
          <w:lang w:val="es-ES"/>
        </w:rPr>
      </w:pPr>
    </w:p>
    <w:p w14:paraId="0D0DCCF4" w14:textId="77777777" w:rsidR="0078523B" w:rsidRPr="00B62815" w:rsidRDefault="0078523B" w:rsidP="0078523B">
      <w:pPr>
        <w:autoSpaceDE w:val="0"/>
        <w:autoSpaceDN w:val="0"/>
        <w:rPr>
          <w:rFonts w:asciiTheme="minorHAnsi" w:hAnsiTheme="minorHAnsi" w:cstheme="minorHAnsi"/>
          <w:sz w:val="22"/>
          <w:szCs w:val="22"/>
          <w:lang w:val="es-ES"/>
        </w:rPr>
      </w:pPr>
    </w:p>
    <w:p w14:paraId="6B850734" w14:textId="6D96EDB8" w:rsidR="00FB7E47" w:rsidRPr="00B62815" w:rsidRDefault="00FB7E47" w:rsidP="00680BD9">
      <w:pPr>
        <w:pStyle w:val="ListParagraph"/>
        <w:numPr>
          <w:ilvl w:val="0"/>
          <w:numId w:val="116"/>
        </w:numPr>
        <w:autoSpaceDE w:val="0"/>
        <w:autoSpaceDN w:val="0"/>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Se implementó la herramienta </w:t>
      </w:r>
      <w:hyperlink r:id="rId90" w:history="1">
        <w:r w:rsidRPr="00B62815">
          <w:rPr>
            <w:rFonts w:asciiTheme="minorHAnsi" w:hAnsiTheme="minorHAnsi" w:cstheme="minorHAnsi"/>
            <w:color w:val="0563C1"/>
            <w:sz w:val="22"/>
            <w:szCs w:val="22"/>
            <w:u w:val="single"/>
            <w:lang w:val="es-ES"/>
          </w:rPr>
          <w:t>http://doityourself.oas.org</w:t>
        </w:r>
      </w:hyperlink>
      <w:r w:rsidRPr="00B62815">
        <w:rPr>
          <w:rFonts w:asciiTheme="minorHAnsi" w:hAnsiTheme="minorHAnsi" w:cstheme="minorHAnsi"/>
          <w:sz w:val="22"/>
          <w:szCs w:val="22"/>
          <w:lang w:val="es-ES"/>
        </w:rPr>
        <w:t>, para que los usuarios puedan en cualquier momento realizar el desbloqueo de su cuenta o cambio de contraseña por sí solos.</w:t>
      </w:r>
      <w:r w:rsidRPr="00B62815">
        <w:rPr>
          <w:rFonts w:asciiTheme="minorHAnsi" w:eastAsia="Times New Roman" w:hAnsiTheme="minorHAnsi" w:cstheme="minorHAnsi"/>
          <w:color w:val="000000"/>
          <w:sz w:val="22"/>
          <w:szCs w:val="22"/>
          <w:lang w:val="es-ES"/>
        </w:rPr>
        <w:t xml:space="preserve"> </w:t>
      </w:r>
    </w:p>
    <w:p w14:paraId="7D3D88CA" w14:textId="77777777" w:rsidR="00FB7E47" w:rsidRPr="00B62815" w:rsidRDefault="00FB7E47" w:rsidP="00E67635">
      <w:pPr>
        <w:numPr>
          <w:ilvl w:val="0"/>
          <w:numId w:val="14"/>
        </w:numPr>
        <w:autoSpaceDE w:val="0"/>
        <w:autoSpaceDN w:val="0"/>
        <w:ind w:left="72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continuó con la migración del sistema de archivos compartidos (File Share) a una plataforma de colaboración organizacional basada en web (SharePoint), la cual va en un 95%.</w:t>
      </w:r>
    </w:p>
    <w:p w14:paraId="3CB5A93D" w14:textId="77777777" w:rsidR="00FB7E47" w:rsidRPr="00B62815" w:rsidRDefault="00FB7E47" w:rsidP="00E67635">
      <w:pPr>
        <w:numPr>
          <w:ilvl w:val="0"/>
          <w:numId w:val="14"/>
        </w:numPr>
        <w:autoSpaceDE w:val="0"/>
        <w:autoSpaceDN w:val="0"/>
        <w:ind w:left="72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amplió el sistema de comunicación y mensajería institucional (JABBER) para ser accedido desde cualquier dispositivo fuera de la red de la organización.</w:t>
      </w:r>
    </w:p>
    <w:p w14:paraId="202A6CBE" w14:textId="77777777" w:rsidR="00FB7E47" w:rsidRPr="00B62815" w:rsidRDefault="00FB7E47" w:rsidP="00E67635">
      <w:pPr>
        <w:numPr>
          <w:ilvl w:val="0"/>
          <w:numId w:val="14"/>
        </w:numPr>
        <w:autoSpaceDE w:val="0"/>
        <w:autoSpaceDN w:val="0"/>
        <w:ind w:left="72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finalizó la implementación del proyecto de monitoreo ambiental en los centros de datos y los closets de comunicaciones de los tres edificios.</w:t>
      </w:r>
    </w:p>
    <w:p w14:paraId="169A77DD" w14:textId="77777777" w:rsidR="00FB7E47" w:rsidRPr="00B62815" w:rsidRDefault="00FB7E47" w:rsidP="00E67635">
      <w:pPr>
        <w:numPr>
          <w:ilvl w:val="0"/>
          <w:numId w:val="14"/>
        </w:numPr>
        <w:autoSpaceDE w:val="0"/>
        <w:autoSpaceDN w:val="0"/>
        <w:ind w:left="72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Se implementó para SSM/CICAD toda la infraestructura necesaria para la conexión de una oficina en México con la infraestructura de la SEDE, manteniendo la seguridad y </w:t>
      </w:r>
      <w:r w:rsidRPr="00B62815">
        <w:rPr>
          <w:rFonts w:asciiTheme="minorHAnsi" w:hAnsiTheme="minorHAnsi" w:cstheme="minorHAnsi"/>
          <w:sz w:val="22"/>
          <w:szCs w:val="22"/>
          <w:lang w:val="es-ES"/>
        </w:rPr>
        <w:lastRenderedPageBreak/>
        <w:t>conectividad con todos los sistemas de la organización. Esto nos servirá como proyecto piloto, para luego poderlo replicar a todas las oficinas nacionales y proyectos fuera de la SEDE.</w:t>
      </w:r>
    </w:p>
    <w:p w14:paraId="3EF50DA9" w14:textId="77777777" w:rsidR="00FB7E47" w:rsidRPr="00B62815" w:rsidRDefault="00FB7E47" w:rsidP="00E67635">
      <w:pPr>
        <w:numPr>
          <w:ilvl w:val="0"/>
          <w:numId w:val="14"/>
        </w:numPr>
        <w:autoSpaceDE w:val="0"/>
        <w:autoSpaceDN w:val="0"/>
        <w:ind w:left="72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comenzó el montaje tecnológico de la oficina en El Salvador del CICIES.</w:t>
      </w:r>
    </w:p>
    <w:p w14:paraId="5A19E4F5" w14:textId="77777777" w:rsidR="00FB7E47" w:rsidRPr="00B62815" w:rsidRDefault="00FB7E47" w:rsidP="00E67635">
      <w:pPr>
        <w:numPr>
          <w:ilvl w:val="0"/>
          <w:numId w:val="14"/>
        </w:numPr>
        <w:autoSpaceDE w:val="0"/>
        <w:autoSpaceDN w:val="0"/>
        <w:adjustRightInd w:val="0"/>
        <w:ind w:left="720"/>
        <w:jc w:val="both"/>
        <w:rPr>
          <w:rFonts w:asciiTheme="minorHAnsi" w:hAnsiTheme="minorHAnsi" w:cstheme="minorHAnsi"/>
          <w:bCs/>
          <w:sz w:val="22"/>
          <w:szCs w:val="22"/>
          <w:lang w:val="es-ES"/>
        </w:rPr>
      </w:pPr>
      <w:r w:rsidRPr="00B62815">
        <w:rPr>
          <w:rFonts w:asciiTheme="minorHAnsi" w:hAnsiTheme="minorHAnsi" w:cstheme="minorHAnsi"/>
          <w:bCs/>
          <w:sz w:val="22"/>
          <w:szCs w:val="22"/>
          <w:lang w:val="es-ES"/>
        </w:rPr>
        <w:t xml:space="preserve">Se comenzó con el reemplazo tecnológico de más de 550 puestos de trabajo obsoletos, cuyo sistema operativo (Windows 7) presenta un serio riesgo de seguridad informática para la Organización. </w:t>
      </w:r>
    </w:p>
    <w:p w14:paraId="2E717FAB" w14:textId="77777777" w:rsidR="00751287" w:rsidRPr="00B62815" w:rsidRDefault="00751287" w:rsidP="00751287">
      <w:pPr>
        <w:autoSpaceDE w:val="0"/>
        <w:autoSpaceDN w:val="0"/>
        <w:adjustRightInd w:val="0"/>
        <w:rPr>
          <w:rFonts w:asciiTheme="minorHAnsi" w:hAnsiTheme="minorHAnsi" w:cstheme="minorHAnsi"/>
          <w:bCs/>
          <w:sz w:val="22"/>
          <w:szCs w:val="22"/>
          <w:lang w:val="es-ES"/>
        </w:rPr>
      </w:pPr>
    </w:p>
    <w:p w14:paraId="533B95D7" w14:textId="77777777" w:rsidR="00FB7E47" w:rsidRPr="00B62815" w:rsidRDefault="00FB7E47" w:rsidP="00751287">
      <w:pPr>
        <w:autoSpaceDE w:val="0"/>
        <w:autoSpaceDN w:val="0"/>
        <w:adjustRightInd w:val="0"/>
        <w:rPr>
          <w:rFonts w:asciiTheme="minorHAnsi" w:hAnsiTheme="minorHAnsi" w:cstheme="minorHAnsi"/>
          <w:b/>
          <w:bCs/>
          <w:sz w:val="22"/>
          <w:szCs w:val="22"/>
          <w:u w:val="single"/>
          <w:lang w:val="es-ES"/>
        </w:rPr>
      </w:pPr>
      <w:r w:rsidRPr="00B62815">
        <w:rPr>
          <w:rFonts w:asciiTheme="minorHAnsi" w:hAnsiTheme="minorHAnsi" w:cstheme="minorHAnsi"/>
          <w:b/>
          <w:bCs/>
          <w:sz w:val="22"/>
          <w:szCs w:val="22"/>
          <w:u w:val="single"/>
          <w:lang w:val="es-ES"/>
        </w:rPr>
        <w:t>Seguridad Informática</w:t>
      </w:r>
    </w:p>
    <w:p w14:paraId="2FF04754" w14:textId="77777777" w:rsidR="00FB7E47" w:rsidRPr="00B62815" w:rsidRDefault="00FB7E47" w:rsidP="00FB7E47">
      <w:pPr>
        <w:autoSpaceDE w:val="0"/>
        <w:autoSpaceDN w:val="0"/>
        <w:adjustRightInd w:val="0"/>
        <w:jc w:val="both"/>
        <w:rPr>
          <w:rFonts w:asciiTheme="minorHAnsi" w:hAnsiTheme="minorHAnsi" w:cstheme="minorHAnsi"/>
          <w:bCs/>
          <w:sz w:val="22"/>
          <w:szCs w:val="22"/>
          <w:u w:val="single"/>
          <w:lang w:val="es-ES"/>
        </w:rPr>
      </w:pPr>
    </w:p>
    <w:p w14:paraId="3667B925" w14:textId="2B492E42" w:rsidR="00FB7E47" w:rsidRPr="00842C4B" w:rsidRDefault="00FB7E47" w:rsidP="00842C4B">
      <w:pPr>
        <w:numPr>
          <w:ilvl w:val="0"/>
          <w:numId w:val="13"/>
        </w:numPr>
        <w:autoSpaceDE w:val="0"/>
        <w:autoSpaceDN w:val="0"/>
        <w:ind w:left="720"/>
        <w:jc w:val="both"/>
        <w:rPr>
          <w:rFonts w:asciiTheme="minorHAnsi" w:hAnsiTheme="minorHAnsi" w:cstheme="minorHAnsi"/>
          <w:sz w:val="22"/>
          <w:szCs w:val="22"/>
          <w:lang w:val="es-ES" w:eastAsia="es-CL"/>
        </w:rPr>
      </w:pPr>
      <w:r w:rsidRPr="00B62815">
        <w:rPr>
          <w:rFonts w:asciiTheme="minorHAnsi" w:hAnsiTheme="minorHAnsi" w:cstheme="minorHAnsi"/>
          <w:sz w:val="22"/>
          <w:szCs w:val="22"/>
          <w:lang w:val="es-ES"/>
        </w:rPr>
        <w:t>La actividad de prevención y alerta por eventuales ataques informáticos se incrementó en un 40%, con cerca de 140.000 eventos analizados durante el año, comparados con alrededor de 100.000 eventos analizados en el 2018</w:t>
      </w:r>
      <w:r w:rsidR="001C2CF3" w:rsidRPr="00B62815">
        <w:rPr>
          <w:rFonts w:asciiTheme="minorHAnsi" w:hAnsiTheme="minorHAnsi" w:cstheme="minorHAnsi"/>
          <w:noProof/>
          <w:sz w:val="22"/>
          <w:szCs w:val="22"/>
        </w:rPr>
        <w:drawing>
          <wp:anchor distT="237744" distB="252349" distL="352044" distR="368808" simplePos="0" relativeHeight="251684864" behindDoc="0" locked="0" layoutInCell="1" allowOverlap="1" wp14:anchorId="38D9DA7D" wp14:editId="189FB45F">
            <wp:simplePos x="0" y="0"/>
            <wp:positionH relativeFrom="margin">
              <wp:posOffset>-209550</wp:posOffset>
            </wp:positionH>
            <wp:positionV relativeFrom="margin">
              <wp:posOffset>1200150</wp:posOffset>
            </wp:positionV>
            <wp:extent cx="2686304" cy="1760601"/>
            <wp:effectExtent l="152400" t="171450" r="152400" b="144780"/>
            <wp:wrapThrough wrapText="bothSides">
              <wp:wrapPolygon edited="0">
                <wp:start x="-460" y="-2104"/>
                <wp:lineTo x="-1226" y="-1636"/>
                <wp:lineTo x="-1226" y="18234"/>
                <wp:lineTo x="1838" y="23377"/>
                <wp:lineTo x="22366" y="23377"/>
                <wp:lineTo x="22826" y="21039"/>
                <wp:lineTo x="22826" y="5844"/>
                <wp:lineTo x="22366" y="2338"/>
                <wp:lineTo x="22366" y="2104"/>
                <wp:lineTo x="19762" y="-2104"/>
                <wp:lineTo x="-460" y="-2104"/>
              </wp:wrapPolygon>
            </wp:wrapThrough>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686050" cy="17602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42C4B">
        <w:rPr>
          <w:rFonts w:asciiTheme="minorHAnsi" w:hAnsiTheme="minorHAnsi" w:cstheme="minorHAnsi"/>
          <w:sz w:val="22"/>
          <w:szCs w:val="22"/>
          <w:lang w:val="es-ES" w:eastAsia="es-CL"/>
        </w:rPr>
        <w:t>.</w:t>
      </w:r>
    </w:p>
    <w:p w14:paraId="4436817B" w14:textId="77777777" w:rsidR="00FB7E47" w:rsidRPr="00B62815" w:rsidRDefault="00FB7E47" w:rsidP="00E67635">
      <w:pPr>
        <w:numPr>
          <w:ilvl w:val="0"/>
          <w:numId w:val="13"/>
        </w:numPr>
        <w:autoSpaceDE w:val="0"/>
        <w:autoSpaceDN w:val="0"/>
        <w:ind w:left="720"/>
        <w:jc w:val="both"/>
        <w:rPr>
          <w:rFonts w:asciiTheme="minorHAnsi" w:hAnsiTheme="minorHAnsi" w:cstheme="minorHAnsi"/>
          <w:sz w:val="22"/>
          <w:szCs w:val="22"/>
          <w:lang w:val="es-ES" w:eastAsia="es-CL"/>
        </w:rPr>
      </w:pPr>
      <w:r w:rsidRPr="00B62815">
        <w:rPr>
          <w:rFonts w:asciiTheme="minorHAnsi" w:hAnsiTheme="minorHAnsi" w:cstheme="minorHAnsi"/>
          <w:sz w:val="22"/>
          <w:szCs w:val="22"/>
          <w:lang w:val="es-ES"/>
        </w:rPr>
        <w:t xml:space="preserve">Dada la incorporación de nuevas técnicas de detección, mitigación temprana y el incremento de ataques informáticos, el número de acciones se incrementó del rango de 50,000 a 75,000 acciones tomadas para mitigar posibles ataques sobre la red informática de la SG/OEA. </w:t>
      </w:r>
    </w:p>
    <w:p w14:paraId="7A1218A2" w14:textId="0EB5AAE8" w:rsidR="00FB7E47" w:rsidRDefault="00FB7E47" w:rsidP="00FB7E47">
      <w:pPr>
        <w:autoSpaceDE w:val="0"/>
        <w:autoSpaceDN w:val="0"/>
        <w:adjustRightInd w:val="0"/>
        <w:jc w:val="both"/>
        <w:rPr>
          <w:rFonts w:asciiTheme="minorHAnsi" w:hAnsiTheme="minorHAnsi" w:cstheme="minorHAnsi"/>
          <w:b/>
          <w:bCs/>
          <w:sz w:val="22"/>
          <w:szCs w:val="22"/>
          <w:u w:val="single"/>
          <w:lang w:val="es-ES"/>
        </w:rPr>
      </w:pPr>
    </w:p>
    <w:p w14:paraId="6A6A4631" w14:textId="77777777" w:rsidR="00B22AF2" w:rsidRPr="00B62815" w:rsidRDefault="00B22AF2" w:rsidP="00FB7E47">
      <w:pPr>
        <w:autoSpaceDE w:val="0"/>
        <w:autoSpaceDN w:val="0"/>
        <w:adjustRightInd w:val="0"/>
        <w:jc w:val="both"/>
        <w:rPr>
          <w:rFonts w:asciiTheme="minorHAnsi" w:hAnsiTheme="minorHAnsi" w:cstheme="minorHAnsi"/>
          <w:b/>
          <w:bCs/>
          <w:sz w:val="22"/>
          <w:szCs w:val="22"/>
          <w:u w:val="single"/>
          <w:lang w:val="es-ES"/>
        </w:rPr>
      </w:pPr>
    </w:p>
    <w:p w14:paraId="7FE356FE" w14:textId="77777777" w:rsidR="00E74BA0" w:rsidRDefault="00E74BA0" w:rsidP="00751287">
      <w:pPr>
        <w:autoSpaceDE w:val="0"/>
        <w:autoSpaceDN w:val="0"/>
        <w:adjustRightInd w:val="0"/>
        <w:rPr>
          <w:rFonts w:asciiTheme="minorHAnsi" w:hAnsiTheme="minorHAnsi" w:cstheme="minorHAnsi"/>
          <w:b/>
          <w:bCs/>
          <w:sz w:val="22"/>
          <w:szCs w:val="22"/>
          <w:u w:val="single"/>
          <w:lang w:val="es-ES"/>
        </w:rPr>
      </w:pPr>
    </w:p>
    <w:p w14:paraId="2347ED99" w14:textId="5B9BB7B4" w:rsidR="00FB7E47" w:rsidRPr="00B62815" w:rsidRDefault="00FB7E47" w:rsidP="00751287">
      <w:pPr>
        <w:autoSpaceDE w:val="0"/>
        <w:autoSpaceDN w:val="0"/>
        <w:adjustRightInd w:val="0"/>
        <w:rPr>
          <w:rFonts w:asciiTheme="minorHAnsi" w:hAnsiTheme="minorHAnsi" w:cstheme="minorHAnsi"/>
          <w:b/>
          <w:bCs/>
          <w:sz w:val="22"/>
          <w:szCs w:val="22"/>
          <w:u w:val="single"/>
          <w:lang w:val="es-ES"/>
        </w:rPr>
      </w:pPr>
      <w:r w:rsidRPr="00B62815">
        <w:rPr>
          <w:rFonts w:asciiTheme="minorHAnsi" w:hAnsiTheme="minorHAnsi" w:cstheme="minorHAnsi"/>
          <w:b/>
          <w:bCs/>
          <w:sz w:val="22"/>
          <w:szCs w:val="22"/>
          <w:u w:val="single"/>
          <w:lang w:val="es-ES"/>
        </w:rPr>
        <w:t>Desarrollo de aplicaciones</w:t>
      </w:r>
    </w:p>
    <w:p w14:paraId="1972CC0B" w14:textId="77777777" w:rsidR="00FB7E47" w:rsidRPr="00B62815" w:rsidRDefault="00FB7E47" w:rsidP="00FB7E47">
      <w:pPr>
        <w:autoSpaceDE w:val="0"/>
        <w:autoSpaceDN w:val="0"/>
        <w:adjustRightInd w:val="0"/>
        <w:jc w:val="both"/>
        <w:rPr>
          <w:rFonts w:asciiTheme="minorHAnsi" w:hAnsiTheme="minorHAnsi" w:cstheme="minorHAnsi"/>
          <w:bCs/>
          <w:sz w:val="22"/>
          <w:szCs w:val="22"/>
          <w:u w:val="single"/>
          <w:lang w:val="es-ES"/>
        </w:rPr>
      </w:pPr>
    </w:p>
    <w:p w14:paraId="640A8415" w14:textId="77777777" w:rsidR="00FB7E47" w:rsidRPr="00B62815" w:rsidRDefault="00FB7E47" w:rsidP="00E67635">
      <w:pPr>
        <w:numPr>
          <w:ilvl w:val="0"/>
          <w:numId w:val="13"/>
        </w:numPr>
        <w:autoSpaceDE w:val="0"/>
        <w:autoSpaceDN w:val="0"/>
        <w:ind w:left="72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Nuevas aplicaciones fueron puestas en marcha ayudando a diferentes áreas de la organización a facilitar sus actividades cotidianas, así como cumplir sus objetivos organizacionales.  Dentro de estas aplicaciones se destacan:</w:t>
      </w:r>
    </w:p>
    <w:p w14:paraId="0279FB6A" w14:textId="77777777" w:rsidR="00FB7E47" w:rsidRPr="00B62815" w:rsidRDefault="00FB7E47" w:rsidP="00FB7E47">
      <w:pPr>
        <w:autoSpaceDE w:val="0"/>
        <w:autoSpaceDN w:val="0"/>
        <w:ind w:left="720"/>
        <w:jc w:val="both"/>
        <w:rPr>
          <w:rFonts w:asciiTheme="minorHAnsi" w:hAnsiTheme="minorHAnsi" w:cstheme="minorHAnsi"/>
          <w:sz w:val="22"/>
          <w:szCs w:val="22"/>
          <w:lang w:val="es-ES"/>
        </w:rPr>
      </w:pPr>
    </w:p>
    <w:p w14:paraId="1CAEC68F" w14:textId="77777777" w:rsidR="00FB7E47" w:rsidRPr="00B62815" w:rsidRDefault="001C2CF3" w:rsidP="00E67635">
      <w:pPr>
        <w:numPr>
          <w:ilvl w:val="0"/>
          <w:numId w:val="62"/>
        </w:numPr>
        <w:autoSpaceDE w:val="0"/>
        <w:autoSpaceDN w:val="0"/>
        <w:ind w:left="1080"/>
        <w:jc w:val="both"/>
        <w:rPr>
          <w:rFonts w:asciiTheme="minorHAnsi" w:hAnsiTheme="minorHAnsi" w:cstheme="minorHAnsi"/>
          <w:sz w:val="22"/>
          <w:szCs w:val="22"/>
          <w:lang w:val="es-ES"/>
        </w:rPr>
      </w:pPr>
      <w:r w:rsidRPr="00B62815">
        <w:rPr>
          <w:rFonts w:asciiTheme="minorHAnsi" w:hAnsiTheme="minorHAnsi" w:cstheme="minorHAnsi"/>
          <w:noProof/>
          <w:sz w:val="22"/>
          <w:szCs w:val="22"/>
        </w:rPr>
        <w:lastRenderedPageBreak/>
        <w:drawing>
          <wp:anchor distT="0" distB="412338" distL="321588" distR="584931" simplePos="0" relativeHeight="251688960" behindDoc="1" locked="0" layoutInCell="1" allowOverlap="1" wp14:anchorId="41D75483" wp14:editId="7CD201AC">
            <wp:simplePos x="0" y="0"/>
            <wp:positionH relativeFrom="column">
              <wp:posOffset>3184652</wp:posOffset>
            </wp:positionH>
            <wp:positionV relativeFrom="paragraph">
              <wp:posOffset>16510</wp:posOffset>
            </wp:positionV>
            <wp:extent cx="3167634" cy="2740406"/>
            <wp:effectExtent l="133350" t="0" r="242570" b="231775"/>
            <wp:wrapTight wrapText="bothSides">
              <wp:wrapPolygon edited="0">
                <wp:start x="5067" y="1652"/>
                <wp:lineTo x="1949" y="3304"/>
                <wp:lineTo x="1949" y="4355"/>
                <wp:lineTo x="1429" y="4355"/>
                <wp:lineTo x="1429" y="6758"/>
                <wp:lineTo x="779" y="6758"/>
                <wp:lineTo x="779" y="9161"/>
                <wp:lineTo x="260" y="9161"/>
                <wp:lineTo x="260" y="11563"/>
                <wp:lineTo x="-260" y="11563"/>
                <wp:lineTo x="-260" y="13966"/>
                <wp:lineTo x="-779" y="13966"/>
                <wp:lineTo x="-909" y="18772"/>
                <wp:lineTo x="-650" y="21175"/>
                <wp:lineTo x="4677" y="21175"/>
                <wp:lineTo x="4677" y="23127"/>
                <wp:lineTo x="17018" y="23427"/>
                <wp:lineTo x="18318" y="23427"/>
                <wp:lineTo x="18447" y="23127"/>
                <wp:lineTo x="21306" y="21325"/>
                <wp:lineTo x="21306" y="21175"/>
                <wp:lineTo x="22085" y="18922"/>
                <wp:lineTo x="22735" y="11563"/>
                <wp:lineTo x="23254" y="6758"/>
                <wp:lineTo x="22475" y="4505"/>
                <wp:lineTo x="22475" y="4355"/>
                <wp:lineTo x="6885" y="1952"/>
                <wp:lineTo x="6755" y="1652"/>
                <wp:lineTo x="5067" y="1652"/>
              </wp:wrapPolygon>
            </wp:wrapTight>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167380" cy="27400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FB7E47" w:rsidRPr="00B62815">
        <w:rPr>
          <w:rFonts w:asciiTheme="minorHAnsi" w:hAnsiTheme="minorHAnsi" w:cstheme="minorHAnsi"/>
          <w:sz w:val="22"/>
          <w:szCs w:val="22"/>
          <w:lang w:val="es-ES"/>
        </w:rPr>
        <w:t>“CooperaNet” para SEDI</w:t>
      </w:r>
    </w:p>
    <w:p w14:paraId="78042681" w14:textId="77777777" w:rsidR="00FB7E47" w:rsidRPr="00B62815" w:rsidRDefault="00FB7E47" w:rsidP="00FB7E47">
      <w:pPr>
        <w:autoSpaceDE w:val="0"/>
        <w:autoSpaceDN w:val="0"/>
        <w:ind w:left="1440"/>
        <w:jc w:val="both"/>
        <w:rPr>
          <w:rFonts w:asciiTheme="minorHAnsi" w:hAnsiTheme="minorHAnsi" w:cstheme="minorHAnsi"/>
          <w:sz w:val="22"/>
          <w:szCs w:val="22"/>
          <w:lang w:val="es-ES"/>
        </w:rPr>
      </w:pPr>
    </w:p>
    <w:p w14:paraId="52460970" w14:textId="77777777" w:rsidR="00FB7E47" w:rsidRPr="00B62815" w:rsidRDefault="00FB7E47" w:rsidP="00E67635">
      <w:pPr>
        <w:numPr>
          <w:ilvl w:val="0"/>
          <w:numId w:val="62"/>
        </w:numPr>
        <w:autoSpaceDE w:val="0"/>
        <w:autoSpaceDN w:val="0"/>
        <w:ind w:left="1080"/>
        <w:jc w:val="both"/>
        <w:rPr>
          <w:rFonts w:asciiTheme="minorHAnsi" w:hAnsiTheme="minorHAnsi" w:cstheme="minorHAnsi"/>
          <w:sz w:val="22"/>
          <w:szCs w:val="22"/>
        </w:rPr>
      </w:pPr>
      <w:r w:rsidRPr="00B62815">
        <w:rPr>
          <w:rFonts w:asciiTheme="minorHAnsi" w:hAnsiTheme="minorHAnsi" w:cstheme="minorHAnsi"/>
          <w:sz w:val="22"/>
          <w:szCs w:val="22"/>
        </w:rPr>
        <w:t>“Strategic Plan System (STPS)” para DPE</w:t>
      </w:r>
    </w:p>
    <w:p w14:paraId="63E50126" w14:textId="77777777" w:rsidR="00FB7E47" w:rsidRPr="00B62815" w:rsidRDefault="00FB7E47" w:rsidP="00FB7E47">
      <w:pPr>
        <w:autoSpaceDE w:val="0"/>
        <w:autoSpaceDN w:val="0"/>
        <w:ind w:left="720"/>
        <w:jc w:val="both"/>
        <w:rPr>
          <w:rFonts w:asciiTheme="minorHAnsi" w:hAnsiTheme="minorHAnsi" w:cstheme="minorHAnsi"/>
          <w:sz w:val="22"/>
          <w:szCs w:val="22"/>
        </w:rPr>
      </w:pPr>
    </w:p>
    <w:p w14:paraId="636A0B7C" w14:textId="77777777" w:rsidR="00FB7E47" w:rsidRPr="00B62815" w:rsidRDefault="00FB7E47" w:rsidP="00E67635">
      <w:pPr>
        <w:numPr>
          <w:ilvl w:val="0"/>
          <w:numId w:val="62"/>
        </w:numPr>
        <w:autoSpaceDE w:val="0"/>
        <w:autoSpaceDN w:val="0"/>
        <w:ind w:left="1080"/>
        <w:jc w:val="both"/>
        <w:rPr>
          <w:rFonts w:asciiTheme="minorHAnsi" w:hAnsiTheme="minorHAnsi" w:cstheme="minorHAnsi"/>
          <w:sz w:val="22"/>
          <w:szCs w:val="22"/>
        </w:rPr>
      </w:pPr>
      <w:r w:rsidRPr="00B62815">
        <w:rPr>
          <w:rFonts w:asciiTheme="minorHAnsi" w:hAnsiTheme="minorHAnsi" w:cstheme="minorHAnsi"/>
          <w:sz w:val="22"/>
          <w:szCs w:val="22"/>
        </w:rPr>
        <w:t>“Inter-American Network for Police Development and Professionalization system (REDPPOL)” para SMS</w:t>
      </w:r>
    </w:p>
    <w:p w14:paraId="76477779" w14:textId="77777777" w:rsidR="00FB7E47" w:rsidRPr="00B62815" w:rsidRDefault="00FB7E47" w:rsidP="00FB7E47">
      <w:pPr>
        <w:autoSpaceDE w:val="0"/>
        <w:autoSpaceDN w:val="0"/>
        <w:ind w:left="1440"/>
        <w:jc w:val="both"/>
        <w:rPr>
          <w:rFonts w:asciiTheme="minorHAnsi" w:hAnsiTheme="minorHAnsi" w:cstheme="minorHAnsi"/>
          <w:sz w:val="22"/>
          <w:szCs w:val="22"/>
        </w:rPr>
      </w:pPr>
    </w:p>
    <w:p w14:paraId="2EBF5E96" w14:textId="77777777" w:rsidR="00FB7E47" w:rsidRPr="00B62815" w:rsidRDefault="00FB7E47" w:rsidP="00E67635">
      <w:pPr>
        <w:numPr>
          <w:ilvl w:val="0"/>
          <w:numId w:val="62"/>
        </w:numPr>
        <w:autoSpaceDE w:val="0"/>
        <w:autoSpaceDN w:val="0"/>
        <w:ind w:left="108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“Inter-American SIMORE” para CIDH</w:t>
      </w:r>
    </w:p>
    <w:p w14:paraId="7E9C5D41" w14:textId="3CEF62C5" w:rsidR="00FB7E47" w:rsidRPr="00B62815" w:rsidRDefault="00FB7E47" w:rsidP="008E7191">
      <w:pPr>
        <w:autoSpaceDE w:val="0"/>
        <w:autoSpaceDN w:val="0"/>
        <w:jc w:val="both"/>
        <w:rPr>
          <w:rFonts w:asciiTheme="minorHAnsi" w:hAnsiTheme="minorHAnsi" w:cstheme="minorHAnsi"/>
          <w:sz w:val="22"/>
          <w:szCs w:val="22"/>
          <w:lang w:val="es-ES"/>
        </w:rPr>
      </w:pPr>
    </w:p>
    <w:p w14:paraId="46ACFBCE" w14:textId="16D5D442" w:rsidR="0078523B" w:rsidRPr="00B62815" w:rsidRDefault="0078523B" w:rsidP="008E7191">
      <w:pPr>
        <w:autoSpaceDE w:val="0"/>
        <w:autoSpaceDN w:val="0"/>
        <w:jc w:val="both"/>
        <w:rPr>
          <w:rFonts w:asciiTheme="minorHAnsi" w:hAnsiTheme="minorHAnsi" w:cstheme="minorHAnsi"/>
          <w:sz w:val="22"/>
          <w:szCs w:val="22"/>
          <w:lang w:val="es-ES"/>
        </w:rPr>
      </w:pPr>
    </w:p>
    <w:p w14:paraId="243CAA97" w14:textId="078C5135" w:rsidR="0078523B" w:rsidRPr="00B62815" w:rsidRDefault="0078523B" w:rsidP="008E7191">
      <w:pPr>
        <w:autoSpaceDE w:val="0"/>
        <w:autoSpaceDN w:val="0"/>
        <w:jc w:val="both"/>
        <w:rPr>
          <w:rFonts w:asciiTheme="minorHAnsi" w:hAnsiTheme="minorHAnsi" w:cstheme="minorHAnsi"/>
          <w:sz w:val="22"/>
          <w:szCs w:val="22"/>
          <w:lang w:val="es-ES"/>
        </w:rPr>
      </w:pPr>
    </w:p>
    <w:p w14:paraId="2D141F5E" w14:textId="7FEE1E39" w:rsidR="0078523B" w:rsidRPr="00B62815" w:rsidRDefault="0078523B" w:rsidP="008E7191">
      <w:pPr>
        <w:autoSpaceDE w:val="0"/>
        <w:autoSpaceDN w:val="0"/>
        <w:jc w:val="both"/>
        <w:rPr>
          <w:rFonts w:asciiTheme="minorHAnsi" w:hAnsiTheme="minorHAnsi" w:cstheme="minorHAnsi"/>
          <w:sz w:val="22"/>
          <w:szCs w:val="22"/>
          <w:lang w:val="es-ES"/>
        </w:rPr>
      </w:pPr>
    </w:p>
    <w:p w14:paraId="6D0A70AF" w14:textId="7F0B863E" w:rsidR="0078523B" w:rsidRPr="00B62815" w:rsidRDefault="0078523B" w:rsidP="008E7191">
      <w:pPr>
        <w:autoSpaceDE w:val="0"/>
        <w:autoSpaceDN w:val="0"/>
        <w:jc w:val="both"/>
        <w:rPr>
          <w:rFonts w:asciiTheme="minorHAnsi" w:hAnsiTheme="minorHAnsi" w:cstheme="minorHAnsi"/>
          <w:sz w:val="22"/>
          <w:szCs w:val="22"/>
          <w:lang w:val="es-ES"/>
        </w:rPr>
      </w:pPr>
    </w:p>
    <w:p w14:paraId="7829FC3F" w14:textId="0F555C6C" w:rsidR="0078523B" w:rsidRPr="00B62815" w:rsidRDefault="0078523B" w:rsidP="008E7191">
      <w:pPr>
        <w:autoSpaceDE w:val="0"/>
        <w:autoSpaceDN w:val="0"/>
        <w:jc w:val="both"/>
        <w:rPr>
          <w:rFonts w:asciiTheme="minorHAnsi" w:hAnsiTheme="minorHAnsi" w:cstheme="minorHAnsi"/>
          <w:sz w:val="22"/>
          <w:szCs w:val="22"/>
          <w:lang w:val="es-ES"/>
        </w:rPr>
      </w:pPr>
    </w:p>
    <w:p w14:paraId="58C74CC3" w14:textId="0E472140" w:rsidR="0078523B" w:rsidRPr="00B62815" w:rsidRDefault="0078523B" w:rsidP="008E7191">
      <w:pPr>
        <w:autoSpaceDE w:val="0"/>
        <w:autoSpaceDN w:val="0"/>
        <w:jc w:val="both"/>
        <w:rPr>
          <w:rFonts w:asciiTheme="minorHAnsi" w:hAnsiTheme="minorHAnsi" w:cstheme="minorHAnsi"/>
          <w:sz w:val="22"/>
          <w:szCs w:val="22"/>
          <w:lang w:val="es-ES"/>
        </w:rPr>
      </w:pPr>
    </w:p>
    <w:p w14:paraId="59D35B22" w14:textId="77777777" w:rsidR="0078523B" w:rsidRPr="00B62815" w:rsidRDefault="0078523B" w:rsidP="008E7191">
      <w:pPr>
        <w:autoSpaceDE w:val="0"/>
        <w:autoSpaceDN w:val="0"/>
        <w:jc w:val="both"/>
        <w:rPr>
          <w:rFonts w:asciiTheme="minorHAnsi" w:hAnsiTheme="minorHAnsi" w:cstheme="minorHAnsi"/>
          <w:sz w:val="22"/>
          <w:szCs w:val="22"/>
          <w:lang w:val="es-ES"/>
        </w:rPr>
      </w:pPr>
    </w:p>
    <w:p w14:paraId="4FB292BB" w14:textId="73436209" w:rsidR="008E7191" w:rsidRDefault="008E7191" w:rsidP="008E7191">
      <w:pPr>
        <w:autoSpaceDE w:val="0"/>
        <w:autoSpaceDN w:val="0"/>
        <w:jc w:val="both"/>
        <w:rPr>
          <w:rFonts w:asciiTheme="minorHAnsi" w:hAnsiTheme="minorHAnsi" w:cstheme="minorHAnsi"/>
          <w:sz w:val="22"/>
          <w:szCs w:val="22"/>
          <w:lang w:val="es-ES"/>
        </w:rPr>
      </w:pPr>
    </w:p>
    <w:p w14:paraId="7B14E6E1" w14:textId="77777777" w:rsidR="00D91028" w:rsidRPr="00B62815" w:rsidRDefault="00D91028" w:rsidP="008E7191">
      <w:pPr>
        <w:autoSpaceDE w:val="0"/>
        <w:autoSpaceDN w:val="0"/>
        <w:jc w:val="both"/>
        <w:rPr>
          <w:rFonts w:asciiTheme="minorHAnsi" w:hAnsiTheme="minorHAnsi" w:cstheme="minorHAnsi"/>
          <w:sz w:val="22"/>
          <w:szCs w:val="22"/>
          <w:lang w:val="es-ES"/>
        </w:rPr>
      </w:pPr>
    </w:p>
    <w:p w14:paraId="10B3DD30" w14:textId="19E1B78A" w:rsidR="00FB7E47" w:rsidRPr="00E74BA0" w:rsidRDefault="00FB7E47" w:rsidP="00AA26E4">
      <w:pPr>
        <w:pStyle w:val="Heading3"/>
        <w:rPr>
          <w:rFonts w:asciiTheme="minorHAnsi" w:hAnsiTheme="minorHAnsi" w:cstheme="minorHAnsi"/>
          <w:b w:val="0"/>
          <w:bCs w:val="0"/>
          <w:iCs/>
          <w:color w:val="FF9900"/>
          <w:sz w:val="22"/>
          <w:szCs w:val="22"/>
          <w:lang w:val="es-ES"/>
        </w:rPr>
      </w:pPr>
      <w:bookmarkStart w:id="57" w:name="_Toc39675844"/>
      <w:bookmarkStart w:id="58" w:name="_Toc40191067"/>
      <w:r w:rsidRPr="00B62815">
        <w:rPr>
          <w:rFonts w:asciiTheme="minorHAnsi" w:hAnsiTheme="minorHAnsi" w:cstheme="minorHAnsi"/>
          <w:b w:val="0"/>
          <w:bCs w:val="0"/>
          <w:iCs/>
          <w:caps/>
          <w:color w:val="FF9900"/>
          <w:sz w:val="22"/>
          <w:szCs w:val="22"/>
          <w:lang w:val="es-ES"/>
        </w:rPr>
        <w:t>2.6.4</w:t>
      </w:r>
      <w:r w:rsidRPr="00B62815">
        <w:rPr>
          <w:rFonts w:asciiTheme="minorHAnsi" w:hAnsiTheme="minorHAnsi" w:cstheme="minorHAnsi"/>
          <w:b w:val="0"/>
          <w:bCs w:val="0"/>
          <w:iCs/>
          <w:caps/>
          <w:color w:val="FF9900"/>
          <w:sz w:val="22"/>
          <w:szCs w:val="22"/>
          <w:lang w:val="es-ES"/>
        </w:rPr>
        <w:tab/>
      </w:r>
      <w:r w:rsidRPr="00B62815">
        <w:rPr>
          <w:rFonts w:asciiTheme="minorHAnsi" w:hAnsiTheme="minorHAnsi" w:cstheme="minorHAnsi"/>
          <w:b w:val="0"/>
          <w:bCs w:val="0"/>
          <w:iCs/>
          <w:color w:val="FF9900"/>
          <w:sz w:val="22"/>
          <w:szCs w:val="22"/>
          <w:lang w:val="es-ES"/>
        </w:rPr>
        <w:t>Departamento de Servicios de Compras</w:t>
      </w:r>
      <w:bookmarkEnd w:id="57"/>
      <w:bookmarkEnd w:id="58"/>
      <w:r w:rsidR="00E74BA0">
        <w:rPr>
          <w:rFonts w:asciiTheme="minorHAnsi" w:hAnsiTheme="minorHAnsi" w:cstheme="minorHAnsi"/>
          <w:b w:val="0"/>
          <w:bCs w:val="0"/>
          <w:iCs/>
          <w:color w:val="FF9900"/>
          <w:sz w:val="22"/>
          <w:szCs w:val="22"/>
          <w:lang w:val="es-ES"/>
        </w:rPr>
        <w:t xml:space="preserve"> </w:t>
      </w:r>
    </w:p>
    <w:p w14:paraId="5F393854" w14:textId="77777777" w:rsidR="00751287" w:rsidRPr="00B62815" w:rsidRDefault="00751287" w:rsidP="00FB7E47">
      <w:pPr>
        <w:outlineLvl w:val="0"/>
        <w:rPr>
          <w:rFonts w:asciiTheme="minorHAnsi" w:eastAsia="Times New Roman" w:hAnsiTheme="minorHAnsi" w:cstheme="minorHAnsi"/>
          <w:b/>
          <w:sz w:val="22"/>
          <w:szCs w:val="22"/>
          <w:lang w:val="es-ES"/>
        </w:rPr>
      </w:pPr>
    </w:p>
    <w:p w14:paraId="3132C9B4" w14:textId="77777777" w:rsidR="00FB7E47" w:rsidRPr="00B62815" w:rsidRDefault="00FB7E47" w:rsidP="00EB309D">
      <w:pPr>
        <w:rPr>
          <w:rFonts w:asciiTheme="minorHAnsi" w:eastAsia="Times New Roman" w:hAnsiTheme="minorHAnsi" w:cstheme="minorHAnsi"/>
          <w:b/>
          <w:sz w:val="22"/>
          <w:szCs w:val="22"/>
          <w:lang w:val="es-ES"/>
        </w:rPr>
      </w:pPr>
      <w:r w:rsidRPr="00B62815">
        <w:rPr>
          <w:rFonts w:asciiTheme="minorHAnsi" w:eastAsia="Times New Roman" w:hAnsiTheme="minorHAnsi" w:cstheme="minorHAnsi"/>
          <w:b/>
          <w:sz w:val="22"/>
          <w:szCs w:val="22"/>
          <w:lang w:val="es-ES"/>
        </w:rPr>
        <w:t>Administración de Compras</w:t>
      </w:r>
    </w:p>
    <w:p w14:paraId="0470DA68" w14:textId="77777777" w:rsidR="00FB7E47" w:rsidRPr="00B62815" w:rsidRDefault="00FB7E47" w:rsidP="00FB7E47">
      <w:pPr>
        <w:outlineLvl w:val="0"/>
        <w:rPr>
          <w:rFonts w:asciiTheme="minorHAnsi" w:eastAsia="Times New Roman" w:hAnsiTheme="minorHAnsi" w:cstheme="minorHAnsi"/>
          <w:sz w:val="22"/>
          <w:szCs w:val="22"/>
          <w:lang w:val="es-ES"/>
        </w:rPr>
      </w:pPr>
    </w:p>
    <w:p w14:paraId="78777D5A" w14:textId="77777777" w:rsidR="00FB7E47" w:rsidRPr="00B62815" w:rsidRDefault="001C2CF3" w:rsidP="00E67635">
      <w:pPr>
        <w:numPr>
          <w:ilvl w:val="0"/>
          <w:numId w:val="52"/>
        </w:numPr>
        <w:jc w:val="both"/>
        <w:rPr>
          <w:rFonts w:asciiTheme="minorHAnsi" w:eastAsia="Times New Roman" w:hAnsiTheme="minorHAnsi" w:cstheme="minorHAnsi"/>
          <w:sz w:val="22"/>
          <w:szCs w:val="22"/>
          <w:lang w:val="es-ES"/>
        </w:rPr>
      </w:pPr>
      <w:r w:rsidRPr="00B62815">
        <w:rPr>
          <w:rFonts w:asciiTheme="minorHAnsi" w:hAnsiTheme="minorHAnsi" w:cstheme="minorHAnsi"/>
          <w:noProof/>
          <w:sz w:val="22"/>
          <w:szCs w:val="22"/>
        </w:rPr>
        <w:lastRenderedPageBreak/>
        <w:drawing>
          <wp:anchor distT="0" distB="0" distL="114300" distR="114300" simplePos="0" relativeHeight="251695104" behindDoc="0" locked="0" layoutInCell="1" allowOverlap="1" wp14:anchorId="1F972CC1" wp14:editId="059CB8F7">
            <wp:simplePos x="0" y="0"/>
            <wp:positionH relativeFrom="column">
              <wp:posOffset>3684905</wp:posOffset>
            </wp:positionH>
            <wp:positionV relativeFrom="paragraph">
              <wp:posOffset>54610</wp:posOffset>
            </wp:positionV>
            <wp:extent cx="2601595" cy="1953895"/>
            <wp:effectExtent l="0" t="0" r="0" b="0"/>
            <wp:wrapSquare wrapText="bothSides"/>
            <wp:docPr id="149" name="Picture 27" descr="Foro 2019 - I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o 2019 - IMF"/>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601595"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47" w:rsidRPr="00B62815">
        <w:rPr>
          <w:rFonts w:asciiTheme="minorHAnsi" w:eastAsia="Times New Roman" w:hAnsiTheme="minorHAnsi" w:cstheme="minorHAnsi"/>
          <w:sz w:val="22"/>
          <w:szCs w:val="22"/>
          <w:lang w:val="es-ES"/>
        </w:rPr>
        <w:t xml:space="preserve">Se continuaron los esfuerzos para colaborar con organismos multilaterales (BID, BM, FMI, OPS y ONU) en temas de interés común y para aumentar nuestro poder de negociación. El foro 2019, auspiciado por el Fondo Monetario Internacional, ratificó la preocupación del atraso de la OEA en ciertos campos relacionados a compras, modernización y mejores prácticas. </w:t>
      </w:r>
    </w:p>
    <w:p w14:paraId="1B10E108" w14:textId="77777777" w:rsidR="00FB7E47" w:rsidRPr="00B62815" w:rsidRDefault="00FB7E47" w:rsidP="00E67635">
      <w:pPr>
        <w:numPr>
          <w:ilvl w:val="0"/>
          <w:numId w:val="52"/>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Se registraron aproximadamente 35 mil transacciones por un valor estimado de USD87.95 millones.</w:t>
      </w:r>
    </w:p>
    <w:p w14:paraId="7195A2C8" w14:textId="77777777" w:rsidR="00FB7E47" w:rsidRPr="00B62815" w:rsidRDefault="00FB7E47" w:rsidP="00E67635">
      <w:pPr>
        <w:numPr>
          <w:ilvl w:val="0"/>
          <w:numId w:val="52"/>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Se adjudicaron 4 licitaciones formales y 2 compras medianas. Los contratos adjudicados durante este periodo produjeron ahorros que superan USD152 mil.</w:t>
      </w:r>
    </w:p>
    <w:p w14:paraId="1492B950" w14:textId="77777777" w:rsidR="00FB7E47" w:rsidRPr="00B62815" w:rsidRDefault="00FB7E47" w:rsidP="00E67635">
      <w:pPr>
        <w:numPr>
          <w:ilvl w:val="0"/>
          <w:numId w:val="52"/>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 xml:space="preserve">Se renovó el portafolio de seguros de la SG/OEA exitosamente; se logró añadir al portafolio la cobertura para “Fallo de sistema” (“System Failure”) y la cobertura de Responsabilidad del Empleador para el personal internacional de la MAPP contra accidentes en el lugar de trabajo. </w:t>
      </w:r>
    </w:p>
    <w:p w14:paraId="5BDBDFD8" w14:textId="79D35B61" w:rsidR="00FB7E47" w:rsidRDefault="00FB7E47" w:rsidP="00FB7E47">
      <w:pPr>
        <w:ind w:left="720"/>
        <w:jc w:val="both"/>
        <w:rPr>
          <w:rFonts w:asciiTheme="minorHAnsi" w:eastAsia="Times New Roman" w:hAnsiTheme="minorHAnsi" w:cstheme="minorHAnsi"/>
          <w:b/>
          <w:sz w:val="22"/>
          <w:szCs w:val="22"/>
          <w:lang w:val="es-ES"/>
        </w:rPr>
      </w:pPr>
    </w:p>
    <w:p w14:paraId="3C659DB0" w14:textId="77777777" w:rsidR="00B22AF2" w:rsidRPr="00B62815" w:rsidRDefault="00B22AF2" w:rsidP="00FB7E47">
      <w:pPr>
        <w:ind w:left="720"/>
        <w:jc w:val="both"/>
        <w:rPr>
          <w:rFonts w:asciiTheme="minorHAnsi" w:eastAsia="Times New Roman" w:hAnsiTheme="minorHAnsi" w:cstheme="minorHAnsi"/>
          <w:b/>
          <w:sz w:val="22"/>
          <w:szCs w:val="22"/>
          <w:lang w:val="es-ES"/>
        </w:rPr>
      </w:pPr>
    </w:p>
    <w:p w14:paraId="1D273AA3" w14:textId="385627DB" w:rsidR="00FB7E47" w:rsidRPr="00B62815" w:rsidRDefault="00FB7E47" w:rsidP="00EB309D">
      <w:pPr>
        <w:rPr>
          <w:rFonts w:asciiTheme="minorHAnsi" w:eastAsia="Times New Roman" w:hAnsiTheme="minorHAnsi" w:cstheme="minorHAnsi"/>
          <w:b/>
          <w:sz w:val="22"/>
          <w:szCs w:val="22"/>
          <w:lang w:val="es-ES"/>
        </w:rPr>
      </w:pPr>
      <w:r w:rsidRPr="00B62815">
        <w:rPr>
          <w:rFonts w:asciiTheme="minorHAnsi" w:eastAsia="Times New Roman" w:hAnsiTheme="minorHAnsi" w:cstheme="minorHAnsi"/>
          <w:b/>
          <w:sz w:val="22"/>
          <w:szCs w:val="22"/>
          <w:lang w:val="es-ES"/>
        </w:rPr>
        <w:t>Administración de Viajes</w:t>
      </w:r>
    </w:p>
    <w:p w14:paraId="0501388A" w14:textId="77777777" w:rsidR="00FB7E47" w:rsidRPr="00B62815" w:rsidRDefault="00FB7E47" w:rsidP="00FB7E47">
      <w:pPr>
        <w:outlineLvl w:val="0"/>
        <w:rPr>
          <w:rFonts w:asciiTheme="minorHAnsi" w:eastAsia="Times New Roman" w:hAnsiTheme="minorHAnsi" w:cstheme="minorHAnsi"/>
          <w:sz w:val="22"/>
          <w:szCs w:val="22"/>
          <w:lang w:val="es-ES"/>
        </w:rPr>
      </w:pPr>
    </w:p>
    <w:p w14:paraId="1AE2B7E3" w14:textId="77777777" w:rsidR="00FB7E47" w:rsidRPr="00B62815" w:rsidRDefault="001C2CF3" w:rsidP="00E67635">
      <w:pPr>
        <w:numPr>
          <w:ilvl w:val="0"/>
          <w:numId w:val="51"/>
        </w:numPr>
        <w:jc w:val="both"/>
        <w:rPr>
          <w:rFonts w:asciiTheme="minorHAnsi" w:eastAsia="Times New Roman" w:hAnsiTheme="minorHAnsi" w:cstheme="minorHAnsi"/>
          <w:sz w:val="22"/>
          <w:szCs w:val="22"/>
          <w:lang w:val="es-ES"/>
        </w:rPr>
      </w:pPr>
      <w:r w:rsidRPr="00B62815">
        <w:rPr>
          <w:rFonts w:asciiTheme="minorHAnsi" w:hAnsiTheme="minorHAnsi" w:cstheme="minorHAnsi"/>
          <w:noProof/>
          <w:sz w:val="22"/>
          <w:szCs w:val="22"/>
        </w:rPr>
        <w:drawing>
          <wp:anchor distT="0" distB="0" distL="114300" distR="114300" simplePos="0" relativeHeight="251691008" behindDoc="0" locked="0" layoutInCell="1" allowOverlap="1" wp14:anchorId="68708ED4" wp14:editId="41245693">
            <wp:simplePos x="0" y="0"/>
            <wp:positionH relativeFrom="column">
              <wp:posOffset>3622675</wp:posOffset>
            </wp:positionH>
            <wp:positionV relativeFrom="paragraph">
              <wp:posOffset>7620</wp:posOffset>
            </wp:positionV>
            <wp:extent cx="2661920" cy="1597660"/>
            <wp:effectExtent l="0" t="0" r="0" b="0"/>
            <wp:wrapSquare wrapText="bothSides"/>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66192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47" w:rsidRPr="00B62815">
        <w:rPr>
          <w:rFonts w:asciiTheme="minorHAnsi" w:eastAsia="Times New Roman" w:hAnsiTheme="minorHAnsi" w:cstheme="minorHAnsi"/>
          <w:sz w:val="22"/>
          <w:szCs w:val="22"/>
          <w:lang w:val="es-ES"/>
        </w:rPr>
        <w:t>Luego de un extenso y exhaustivo proceso competitivo “Travel &amp; Transport” fue seleccionada como la nueva compañía de administración de viajes para la SG/OEA, la cual ya se encuentra prestando servicios satisfactoriamente. Se ofreció un entrenamiento a toda la organización.</w:t>
      </w:r>
    </w:p>
    <w:p w14:paraId="06B54A52" w14:textId="77777777" w:rsidR="00FB7E47" w:rsidRPr="00B62815" w:rsidRDefault="00FB7E47" w:rsidP="00E67635">
      <w:pPr>
        <w:numPr>
          <w:ilvl w:val="0"/>
          <w:numId w:val="51"/>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 xml:space="preserve">Se lograron eficiencias en términos de costos y tiempo gracias a la aplicación efectiva de políticas oficiales, la supervisión continua, el uso de reportes, y la reconciliación constante.  </w:t>
      </w:r>
    </w:p>
    <w:p w14:paraId="73F0F0DF" w14:textId="77777777" w:rsidR="00FB7E47" w:rsidRPr="00B62815" w:rsidRDefault="00FB7E47" w:rsidP="00E67635">
      <w:pPr>
        <w:numPr>
          <w:ilvl w:val="0"/>
          <w:numId w:val="51"/>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 xml:space="preserve">Se continuaron los esfuerzos para recuperar pasajes no usados, logrando reutilizar de manera total o parcial 134 boletos aéreos por un valor original que totaliza casi USD90 mil. </w:t>
      </w:r>
    </w:p>
    <w:p w14:paraId="203DEEB1" w14:textId="0B7E9CA3" w:rsidR="008E7191" w:rsidRPr="00B62815" w:rsidRDefault="00FB7E47" w:rsidP="00FB7E47">
      <w:pPr>
        <w:numPr>
          <w:ilvl w:val="0"/>
          <w:numId w:val="51"/>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lastRenderedPageBreak/>
        <w:t>A través de canjes por programas corporativos, se adquirieron boletos para cubrir el beneficio de “viaje al país de origen”. Los ahorros conseguidos superaron los USD40,000.</w:t>
      </w:r>
    </w:p>
    <w:p w14:paraId="02FABC12" w14:textId="77777777" w:rsidR="008E7191" w:rsidRPr="00B62815" w:rsidRDefault="008E7191" w:rsidP="00FB7E47">
      <w:pPr>
        <w:jc w:val="both"/>
        <w:rPr>
          <w:rFonts w:asciiTheme="minorHAnsi" w:eastAsia="Times New Roman" w:hAnsiTheme="minorHAnsi" w:cstheme="minorHAnsi"/>
          <w:b/>
          <w:sz w:val="22"/>
          <w:szCs w:val="22"/>
          <w:lang w:val="es-ES"/>
        </w:rPr>
      </w:pPr>
    </w:p>
    <w:p w14:paraId="680DA1C1" w14:textId="77777777" w:rsidR="008E7191" w:rsidRPr="00B62815" w:rsidRDefault="008E7191" w:rsidP="00FB7E47">
      <w:pPr>
        <w:jc w:val="both"/>
        <w:rPr>
          <w:rFonts w:asciiTheme="minorHAnsi" w:eastAsia="Times New Roman" w:hAnsiTheme="minorHAnsi" w:cstheme="minorHAnsi"/>
          <w:b/>
          <w:sz w:val="22"/>
          <w:szCs w:val="22"/>
          <w:lang w:val="es-ES"/>
        </w:rPr>
      </w:pPr>
    </w:p>
    <w:p w14:paraId="6E035130" w14:textId="77777777" w:rsidR="00FB7E47" w:rsidRPr="00B62815" w:rsidRDefault="001C2CF3" w:rsidP="00FB7E47">
      <w:pPr>
        <w:jc w:val="both"/>
        <w:rPr>
          <w:rFonts w:asciiTheme="minorHAnsi" w:eastAsia="Times New Roman" w:hAnsiTheme="minorHAnsi" w:cstheme="minorHAnsi"/>
          <w:b/>
          <w:sz w:val="22"/>
          <w:szCs w:val="22"/>
          <w:lang w:val="es-ES"/>
        </w:rPr>
      </w:pPr>
      <w:r w:rsidRPr="00B62815">
        <w:rPr>
          <w:rFonts w:asciiTheme="minorHAnsi" w:hAnsiTheme="minorHAnsi" w:cstheme="minorHAnsi"/>
          <w:noProof/>
          <w:sz w:val="22"/>
          <w:szCs w:val="22"/>
        </w:rPr>
        <w:drawing>
          <wp:anchor distT="0" distB="0" distL="114300" distR="114300" simplePos="0" relativeHeight="251693056" behindDoc="0" locked="0" layoutInCell="1" allowOverlap="1" wp14:anchorId="2A1A0D09" wp14:editId="4472DE9F">
            <wp:simplePos x="0" y="0"/>
            <wp:positionH relativeFrom="column">
              <wp:posOffset>3803650</wp:posOffset>
            </wp:positionH>
            <wp:positionV relativeFrom="paragraph">
              <wp:posOffset>140335</wp:posOffset>
            </wp:positionV>
            <wp:extent cx="2433320" cy="1830705"/>
            <wp:effectExtent l="0" t="0" r="0" b="0"/>
            <wp:wrapSquare wrapText="bothSides"/>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43332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47" w:rsidRPr="00B62815">
        <w:rPr>
          <w:rFonts w:asciiTheme="minorHAnsi" w:eastAsia="Times New Roman" w:hAnsiTheme="minorHAnsi" w:cstheme="minorHAnsi"/>
          <w:b/>
          <w:sz w:val="22"/>
          <w:szCs w:val="22"/>
          <w:lang w:val="es-ES"/>
        </w:rPr>
        <w:t>Administración de Proveedores</w:t>
      </w:r>
    </w:p>
    <w:p w14:paraId="104E9ABF" w14:textId="77777777" w:rsidR="00FB7E47" w:rsidRPr="00B62815" w:rsidRDefault="00FB7E47" w:rsidP="00FB7E47">
      <w:pPr>
        <w:jc w:val="both"/>
        <w:rPr>
          <w:rFonts w:asciiTheme="minorHAnsi" w:eastAsia="Times New Roman" w:hAnsiTheme="minorHAnsi" w:cstheme="minorHAnsi"/>
          <w:sz w:val="22"/>
          <w:szCs w:val="22"/>
          <w:lang w:val="es-ES"/>
        </w:rPr>
      </w:pPr>
    </w:p>
    <w:p w14:paraId="3293520D" w14:textId="77777777" w:rsidR="00FB7E47" w:rsidRPr="00B62815" w:rsidRDefault="00FB7E47" w:rsidP="00E67635">
      <w:pPr>
        <w:numPr>
          <w:ilvl w:val="0"/>
          <w:numId w:val="51"/>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Se incrementaron los convenios preferenciales con los proveedores más importantes para la Organización. Mediante la revisión de términos contractuales, la definición de precios preferenciales y otras negociaciones claves con cadenas hoteleras, proveedores de materiales de oficina y las aerolíneas más importantes que sirven a las Américas, se lograron ahorros que superaron los USD376 mil</w:t>
      </w:r>
      <w:r w:rsidRPr="00B62815">
        <w:rPr>
          <w:rFonts w:asciiTheme="minorHAnsi" w:eastAsia="Times New Roman" w:hAnsiTheme="minorHAnsi" w:cstheme="minorHAnsi"/>
          <w:b/>
          <w:sz w:val="22"/>
          <w:szCs w:val="22"/>
          <w:lang w:val="es-ES"/>
        </w:rPr>
        <w:t>.</w:t>
      </w:r>
      <w:r w:rsidRPr="00B62815">
        <w:rPr>
          <w:rFonts w:asciiTheme="minorHAnsi" w:eastAsia="Times New Roman" w:hAnsiTheme="minorHAnsi" w:cstheme="minorHAnsi"/>
          <w:sz w:val="22"/>
          <w:szCs w:val="22"/>
          <w:lang w:val="es-ES"/>
        </w:rPr>
        <w:t xml:space="preserve"> </w:t>
      </w:r>
    </w:p>
    <w:p w14:paraId="58BF8D32" w14:textId="77777777" w:rsidR="00FB7E47" w:rsidRPr="00B62815" w:rsidRDefault="00FB7E47" w:rsidP="00E67635">
      <w:pPr>
        <w:numPr>
          <w:ilvl w:val="0"/>
          <w:numId w:val="51"/>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Se renovó el descuento negociado con el principal abastecedor de computadores. Se estima un ahorro de más de USD198.6 mil en este rubro.</w:t>
      </w:r>
    </w:p>
    <w:p w14:paraId="47989426" w14:textId="77777777" w:rsidR="00FB7E47" w:rsidRPr="00B62815" w:rsidRDefault="00FB7E47" w:rsidP="00E67635">
      <w:pPr>
        <w:numPr>
          <w:ilvl w:val="0"/>
          <w:numId w:val="51"/>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Gracias a la relación comercial con cada proveedor, se obtuvieron 18 premios para rifar entre el personal de la SG/OEA a fin de año.</w:t>
      </w:r>
    </w:p>
    <w:p w14:paraId="43785F9B" w14:textId="77777777" w:rsidR="00751287" w:rsidRPr="00B62815" w:rsidRDefault="00751287" w:rsidP="00FB7E47">
      <w:pPr>
        <w:outlineLvl w:val="0"/>
        <w:rPr>
          <w:rFonts w:asciiTheme="minorHAnsi" w:eastAsia="Times New Roman" w:hAnsiTheme="minorHAnsi" w:cstheme="minorHAnsi"/>
          <w:b/>
          <w:sz w:val="22"/>
          <w:szCs w:val="22"/>
          <w:lang w:val="es-ES"/>
        </w:rPr>
      </w:pPr>
    </w:p>
    <w:p w14:paraId="7BF88310" w14:textId="77777777" w:rsidR="00FB7E47" w:rsidRPr="00B62815" w:rsidRDefault="00FB7E47" w:rsidP="0092610C">
      <w:pPr>
        <w:rPr>
          <w:rFonts w:asciiTheme="minorHAnsi" w:eastAsia="Times New Roman" w:hAnsiTheme="minorHAnsi" w:cstheme="minorHAnsi"/>
          <w:b/>
          <w:sz w:val="22"/>
          <w:szCs w:val="22"/>
          <w:lang w:val="es-ES"/>
        </w:rPr>
      </w:pPr>
      <w:r w:rsidRPr="00B62815">
        <w:rPr>
          <w:rFonts w:asciiTheme="minorHAnsi" w:eastAsia="Times New Roman" w:hAnsiTheme="minorHAnsi" w:cstheme="minorHAnsi"/>
          <w:b/>
          <w:sz w:val="22"/>
          <w:szCs w:val="22"/>
          <w:lang w:val="es-ES"/>
        </w:rPr>
        <w:t xml:space="preserve">Otros </w:t>
      </w:r>
    </w:p>
    <w:p w14:paraId="07C90124" w14:textId="77777777" w:rsidR="00FB7E47" w:rsidRPr="00B62815" w:rsidRDefault="00FB7E47" w:rsidP="00FB7E47">
      <w:pPr>
        <w:outlineLvl w:val="0"/>
        <w:rPr>
          <w:rFonts w:asciiTheme="minorHAnsi" w:eastAsia="Times New Roman" w:hAnsiTheme="minorHAnsi" w:cstheme="minorHAnsi"/>
          <w:b/>
          <w:sz w:val="22"/>
          <w:szCs w:val="22"/>
          <w:lang w:val="es-ES"/>
        </w:rPr>
      </w:pPr>
    </w:p>
    <w:p w14:paraId="453D6D29" w14:textId="2832A73D" w:rsidR="00FB7E47" w:rsidRPr="00B62815" w:rsidRDefault="00FB7E47" w:rsidP="00E67635">
      <w:pPr>
        <w:numPr>
          <w:ilvl w:val="0"/>
          <w:numId w:val="51"/>
        </w:numPr>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 xml:space="preserve">Varias tareas que buscan mejoras y </w:t>
      </w:r>
      <w:r w:rsidR="00842C4B" w:rsidRPr="00B62815">
        <w:rPr>
          <w:rFonts w:asciiTheme="minorHAnsi" w:eastAsia="Times New Roman" w:hAnsiTheme="minorHAnsi" w:cstheme="minorHAnsi"/>
          <w:sz w:val="22"/>
          <w:szCs w:val="22"/>
          <w:lang w:val="es-ES"/>
        </w:rPr>
        <w:t>eficiencias</w:t>
      </w:r>
      <w:r w:rsidRPr="00B62815">
        <w:rPr>
          <w:rFonts w:asciiTheme="minorHAnsi" w:eastAsia="Times New Roman" w:hAnsiTheme="minorHAnsi" w:cstheme="minorHAnsi"/>
          <w:sz w:val="22"/>
          <w:szCs w:val="22"/>
          <w:lang w:val="es-ES"/>
        </w:rPr>
        <w:t xml:space="preserve"> continúan en proceso de desarrollo y actualización. Entre ellas se destacan: revisión del programa de tarjetas de crédito corporativo para explorar la posibilidad de extender sus beneficios, la renovación de la licencia anual del sistema de manejo de licitaciones en línea, la revisión comprensiva de los reglamentos relacionados a compras, la revisión de políticas y procedimientos, la creación de manuales, entre otros.</w:t>
      </w:r>
    </w:p>
    <w:p w14:paraId="6091A8BE" w14:textId="77777777" w:rsidR="00FB7E47" w:rsidRPr="00B62815" w:rsidRDefault="00FB7E47" w:rsidP="00FB7E47">
      <w:pPr>
        <w:jc w:val="both"/>
        <w:rPr>
          <w:rFonts w:asciiTheme="minorHAnsi" w:eastAsia="Times New Roman" w:hAnsiTheme="minorHAnsi" w:cstheme="minorHAnsi"/>
          <w:sz w:val="22"/>
          <w:szCs w:val="22"/>
          <w:lang w:val="es-ES"/>
        </w:rPr>
      </w:pPr>
    </w:p>
    <w:p w14:paraId="4EDE60AA" w14:textId="77777777" w:rsidR="00FB7E47" w:rsidRPr="00B62815" w:rsidRDefault="00FB7E47" w:rsidP="00AA26E4">
      <w:pPr>
        <w:pStyle w:val="Heading3"/>
        <w:rPr>
          <w:rFonts w:asciiTheme="minorHAnsi" w:hAnsiTheme="minorHAnsi" w:cstheme="minorHAnsi"/>
          <w:b w:val="0"/>
          <w:bCs w:val="0"/>
          <w:iCs/>
          <w:caps/>
          <w:color w:val="FF9900"/>
          <w:sz w:val="22"/>
          <w:szCs w:val="22"/>
          <w:lang w:val="es-ES"/>
        </w:rPr>
      </w:pPr>
      <w:bookmarkStart w:id="59" w:name="_Toc39675845"/>
      <w:bookmarkStart w:id="60" w:name="_Toc40191068"/>
      <w:r w:rsidRPr="00B62815">
        <w:rPr>
          <w:rFonts w:asciiTheme="minorHAnsi" w:hAnsiTheme="minorHAnsi" w:cstheme="minorHAnsi"/>
          <w:b w:val="0"/>
          <w:bCs w:val="0"/>
          <w:iCs/>
          <w:caps/>
          <w:color w:val="FF9900"/>
          <w:sz w:val="22"/>
          <w:szCs w:val="22"/>
          <w:lang w:val="es-ES"/>
        </w:rPr>
        <w:t xml:space="preserve">2.6.5 </w:t>
      </w:r>
      <w:r w:rsidRPr="00B62815">
        <w:rPr>
          <w:rFonts w:asciiTheme="minorHAnsi" w:hAnsiTheme="minorHAnsi" w:cstheme="minorHAnsi"/>
          <w:b w:val="0"/>
          <w:bCs w:val="0"/>
          <w:iCs/>
          <w:caps/>
          <w:color w:val="FF9900"/>
          <w:sz w:val="22"/>
          <w:szCs w:val="22"/>
          <w:lang w:val="es-ES"/>
        </w:rPr>
        <w:tab/>
      </w:r>
      <w:r w:rsidRPr="00B62815">
        <w:rPr>
          <w:rFonts w:asciiTheme="minorHAnsi" w:hAnsiTheme="minorHAnsi" w:cstheme="minorHAnsi"/>
          <w:b w:val="0"/>
          <w:bCs w:val="0"/>
          <w:iCs/>
          <w:color w:val="FF9900"/>
          <w:sz w:val="22"/>
          <w:szCs w:val="22"/>
          <w:lang w:val="es-ES"/>
        </w:rPr>
        <w:t xml:space="preserve">Departamento de Servicios Generales </w:t>
      </w:r>
      <w:r w:rsidRPr="00B62815">
        <w:rPr>
          <w:rFonts w:asciiTheme="minorHAnsi" w:hAnsiTheme="minorHAnsi" w:cstheme="minorHAnsi"/>
          <w:b w:val="0"/>
          <w:bCs w:val="0"/>
          <w:iCs/>
          <w:caps/>
          <w:color w:val="FF9900"/>
          <w:sz w:val="22"/>
          <w:szCs w:val="22"/>
          <w:lang w:val="es-ES"/>
        </w:rPr>
        <w:t>(DSG)</w:t>
      </w:r>
      <w:bookmarkEnd w:id="59"/>
      <w:bookmarkEnd w:id="60"/>
    </w:p>
    <w:p w14:paraId="615CCBF1" w14:textId="77777777" w:rsidR="00FB7E47" w:rsidRPr="00B62815" w:rsidRDefault="00FB7E47" w:rsidP="00FB7E47">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Durante el 2019 se lograron las metas propuestas en el plan operativo anual, orientadas a la gestión de los servicios generales para la operatividad de la Secretaria General y la seguridad </w:t>
      </w:r>
      <w:r w:rsidRPr="00B62815">
        <w:rPr>
          <w:rFonts w:asciiTheme="minorHAnsi" w:hAnsiTheme="minorHAnsi" w:cstheme="minorHAnsi"/>
          <w:sz w:val="22"/>
          <w:szCs w:val="22"/>
          <w:lang w:val="es-ES"/>
        </w:rPr>
        <w:lastRenderedPageBreak/>
        <w:t>de sus instalaciones, incluyendo acciones en el área de mantenimiento de edificios, seguridad, inventario, mensajería, correo, servicio de transporte y fotocopias, y alquiler de espacios de oficinas y de instalaciones para eventos.  En particular, se obtuvieron los siguientes logros:</w:t>
      </w:r>
    </w:p>
    <w:p w14:paraId="4008D1D0" w14:textId="77777777" w:rsidR="00FB7E47" w:rsidRPr="00B62815" w:rsidRDefault="00FB7E47" w:rsidP="00FB7E47">
      <w:pPr>
        <w:jc w:val="both"/>
        <w:rPr>
          <w:rFonts w:asciiTheme="minorHAnsi" w:hAnsiTheme="minorHAnsi" w:cstheme="minorHAnsi"/>
          <w:sz w:val="22"/>
          <w:szCs w:val="22"/>
          <w:lang w:val="es-ES"/>
        </w:rPr>
      </w:pPr>
    </w:p>
    <w:p w14:paraId="2D65FCAB" w14:textId="77777777" w:rsidR="00FB7E47" w:rsidRPr="00B62815" w:rsidRDefault="00FB7E47" w:rsidP="00FB7E47">
      <w:pPr>
        <w:jc w:val="both"/>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Sección de Administración y Mantenimiento de Edificios</w:t>
      </w:r>
    </w:p>
    <w:p w14:paraId="3C9AF95F" w14:textId="77777777" w:rsidR="00FB7E47" w:rsidRPr="00B62815" w:rsidRDefault="00FB7E47" w:rsidP="00FB7E47">
      <w:pPr>
        <w:jc w:val="both"/>
        <w:rPr>
          <w:rFonts w:asciiTheme="minorHAnsi" w:hAnsiTheme="minorHAnsi" w:cstheme="minorHAnsi"/>
          <w:b/>
          <w:sz w:val="22"/>
          <w:szCs w:val="22"/>
          <w:u w:val="single"/>
          <w:lang w:val="es-ES"/>
        </w:rPr>
      </w:pPr>
    </w:p>
    <w:p w14:paraId="205D95C5" w14:textId="77777777" w:rsidR="00FB7E47" w:rsidRPr="00B62815" w:rsidRDefault="00FB7E47" w:rsidP="00E67635">
      <w:pPr>
        <w:numPr>
          <w:ilvl w:val="0"/>
          <w:numId w:val="61"/>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implementaron medidas de eficiencia energética y gestión del programa de residuos que ayudaron a lograr una reducción del 9% en el consumo de energía y una reducción del 60% en los costos de los servicios de recolección de residuos. Las acciones incluyeron el reemplazo de todos los artefactos de iluminación de la OEA por sistemas LED y la implementación de una iniciativa de reciclaje en la Secretaría por un ahorro anual combinado estimado en $110,000.</w:t>
      </w:r>
    </w:p>
    <w:p w14:paraId="41475B64" w14:textId="77777777" w:rsidR="00FB7E47" w:rsidRPr="00B62815" w:rsidRDefault="001C2CF3" w:rsidP="00E67635">
      <w:pPr>
        <w:numPr>
          <w:ilvl w:val="0"/>
          <w:numId w:val="61"/>
        </w:numPr>
        <w:jc w:val="both"/>
        <w:rPr>
          <w:rFonts w:asciiTheme="minorHAnsi" w:hAnsiTheme="minorHAnsi" w:cstheme="minorHAnsi"/>
          <w:sz w:val="22"/>
          <w:szCs w:val="22"/>
          <w:lang w:val="es-ES"/>
        </w:rPr>
      </w:pPr>
      <w:r w:rsidRPr="00B62815">
        <w:rPr>
          <w:rFonts w:asciiTheme="minorHAnsi" w:hAnsiTheme="minorHAnsi" w:cstheme="minorHAnsi"/>
          <w:noProof/>
          <w:sz w:val="22"/>
          <w:szCs w:val="22"/>
        </w:rPr>
        <w:drawing>
          <wp:anchor distT="0" distB="0" distL="114300" distR="114300" simplePos="0" relativeHeight="251697152" behindDoc="0" locked="0" layoutInCell="1" allowOverlap="1" wp14:anchorId="05D35720" wp14:editId="17C2268B">
            <wp:simplePos x="0" y="0"/>
            <wp:positionH relativeFrom="margin">
              <wp:posOffset>4543425</wp:posOffset>
            </wp:positionH>
            <wp:positionV relativeFrom="margin">
              <wp:posOffset>3065780</wp:posOffset>
            </wp:positionV>
            <wp:extent cx="1400175" cy="1281430"/>
            <wp:effectExtent l="0" t="0" r="0" b="0"/>
            <wp:wrapSquare wrapText="bothSides"/>
            <wp:docPr id="146" name="Picture 28" descr="Cuandra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andradp"/>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140017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47" w:rsidRPr="00B62815">
        <w:rPr>
          <w:rFonts w:asciiTheme="minorHAnsi" w:hAnsiTheme="minorHAnsi" w:cstheme="minorHAnsi"/>
          <w:sz w:val="22"/>
          <w:szCs w:val="22"/>
          <w:lang w:val="es-ES"/>
        </w:rPr>
        <w:t>Se concretó un acuerdo con una firma de sistema de energía solar para la instalación y operación de paneles solares en el GSB. Los paneles solares cubrirán de forma gratuita alrededor del 10% del consumo de energía, con un ahorro estimado de $50,000 por año. El acuerdo también incluyó proporcionar $110,000 para el proyecto de reemplazo de techo del GSB el cual se completó con éxito en el 2019.</w:t>
      </w:r>
      <w:r w:rsidR="00FB7E47" w:rsidRPr="00B62815">
        <w:rPr>
          <w:rFonts w:asciiTheme="minorHAnsi" w:hAnsiTheme="minorHAnsi" w:cstheme="minorHAnsi"/>
          <w:noProof/>
          <w:sz w:val="22"/>
          <w:szCs w:val="22"/>
          <w:lang w:val="es-ES"/>
        </w:rPr>
        <w:t xml:space="preserve"> </w:t>
      </w:r>
    </w:p>
    <w:p w14:paraId="6989E756" w14:textId="77777777" w:rsidR="00FB7E47" w:rsidRPr="00B62815" w:rsidRDefault="00FB7E47" w:rsidP="00E67635">
      <w:pPr>
        <w:numPr>
          <w:ilvl w:val="0"/>
          <w:numId w:val="61"/>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Se presentaron los informes finales de licitación sobre las acciones orientadas a la implementación estratégica de Bienes Raíces. </w:t>
      </w:r>
    </w:p>
    <w:p w14:paraId="6A7CD08A" w14:textId="77777777" w:rsidR="00FB7E47" w:rsidRPr="00B62815" w:rsidRDefault="00FB7E47" w:rsidP="00E67635">
      <w:pPr>
        <w:numPr>
          <w:ilvl w:val="0"/>
          <w:numId w:val="61"/>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Se instaló un cargador eléctrico para vehículos eléctricos en las instalaciones del estacionamiento de la OEA/GSB, con el objetivo de facilitar y promover prácticas sostenibles y reducir las emisiones de la Secretaría. </w:t>
      </w:r>
    </w:p>
    <w:p w14:paraId="51593977" w14:textId="77777777" w:rsidR="00FB7E47" w:rsidRPr="00B62815" w:rsidRDefault="00FB7E47" w:rsidP="00E67635">
      <w:pPr>
        <w:numPr>
          <w:ilvl w:val="0"/>
          <w:numId w:val="61"/>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Se reemplazaron fuentes de agua en el GSB, MNB y ADM por sistemas basados ​​en filtros. Las nuevas unidades a través de botellas representan una mejora importante a las fuentes originales, y ayudan a eliminar aproximadamente 30,000 botellas de plástico desechables por año. </w:t>
      </w:r>
    </w:p>
    <w:p w14:paraId="66FE6351" w14:textId="77777777" w:rsidR="00FB7E47" w:rsidRPr="00B62815" w:rsidRDefault="001C2CF3" w:rsidP="00E67635">
      <w:pPr>
        <w:numPr>
          <w:ilvl w:val="0"/>
          <w:numId w:val="61"/>
        </w:numPr>
        <w:jc w:val="both"/>
        <w:rPr>
          <w:rFonts w:asciiTheme="minorHAnsi" w:hAnsiTheme="minorHAnsi" w:cstheme="minorHAnsi"/>
          <w:sz w:val="22"/>
          <w:szCs w:val="22"/>
          <w:lang w:val="es-ES"/>
        </w:rPr>
      </w:pPr>
      <w:r w:rsidRPr="00B62815">
        <w:rPr>
          <w:rFonts w:asciiTheme="minorHAnsi" w:hAnsiTheme="minorHAnsi" w:cstheme="minorHAnsi"/>
          <w:noProof/>
          <w:sz w:val="22"/>
          <w:szCs w:val="22"/>
        </w:rPr>
        <w:drawing>
          <wp:anchor distT="0" distB="0" distL="114300" distR="114300" simplePos="0" relativeHeight="251699200" behindDoc="0" locked="0" layoutInCell="1" allowOverlap="1" wp14:anchorId="0E4D53A7" wp14:editId="478EE723">
            <wp:simplePos x="0" y="0"/>
            <wp:positionH relativeFrom="margin">
              <wp:posOffset>4583430</wp:posOffset>
            </wp:positionH>
            <wp:positionV relativeFrom="margin">
              <wp:posOffset>6086475</wp:posOffset>
            </wp:positionV>
            <wp:extent cx="1455420" cy="1417955"/>
            <wp:effectExtent l="0" t="0" r="0" b="0"/>
            <wp:wrapSquare wrapText="bothSides"/>
            <wp:docPr id="145" name="Picture 29"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3"/>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145542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47" w:rsidRPr="00B62815">
        <w:rPr>
          <w:rFonts w:asciiTheme="minorHAnsi" w:hAnsiTheme="minorHAnsi" w:cstheme="minorHAnsi"/>
          <w:sz w:val="22"/>
          <w:szCs w:val="22"/>
          <w:lang w:val="es-ES"/>
        </w:rPr>
        <w:t xml:space="preserve">Se instalaron rampas de acceso portátiles y se concluyeron trabajos de mejora en las aceras proporcionando acceso al MNB y AMA para personas con discapacidades físicas. </w:t>
      </w:r>
      <w:r w:rsidR="00FB7E47" w:rsidRPr="00B62815">
        <w:rPr>
          <w:rFonts w:asciiTheme="minorHAnsi" w:hAnsiTheme="minorHAnsi" w:cstheme="minorHAnsi"/>
          <w:sz w:val="22"/>
          <w:szCs w:val="22"/>
          <w:lang w:val="es-ES"/>
        </w:rPr>
        <w:lastRenderedPageBreak/>
        <w:t>Así también se crearon y acondicionaron espacios como baños neutrales y de lactancia materna en el GSB y el MNB.</w:t>
      </w:r>
    </w:p>
    <w:p w14:paraId="48351981" w14:textId="77777777" w:rsidR="00FB7E47" w:rsidRPr="00B62815" w:rsidRDefault="00FB7E47" w:rsidP="00E67635">
      <w:pPr>
        <w:numPr>
          <w:ilvl w:val="0"/>
          <w:numId w:val="61"/>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renovaron las cafeterías en el GSB, MNB y ADM. Las mejoras incluyeron la instalación de dispensadores de alimentos nuevos y modernos con un concepto de mercado abierto, y la incorporación de un nuevo proveedor de servicios de alimentos en el GSB.</w:t>
      </w:r>
    </w:p>
    <w:p w14:paraId="3820461A" w14:textId="77777777" w:rsidR="00FB7E47" w:rsidRPr="00B62815" w:rsidRDefault="00FB7E47" w:rsidP="00FB7E47">
      <w:pPr>
        <w:jc w:val="both"/>
        <w:rPr>
          <w:rFonts w:asciiTheme="minorHAnsi" w:hAnsiTheme="minorHAnsi" w:cstheme="minorHAnsi"/>
          <w:b/>
          <w:sz w:val="22"/>
          <w:szCs w:val="22"/>
          <w:u w:val="single"/>
          <w:lang w:val="es-ES"/>
        </w:rPr>
      </w:pPr>
    </w:p>
    <w:p w14:paraId="492E1DEC" w14:textId="77777777" w:rsidR="00FB7E47" w:rsidRPr="00B62815" w:rsidRDefault="00FB7E47" w:rsidP="00FB7E47">
      <w:pPr>
        <w:jc w:val="both"/>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 xml:space="preserve">Sección de Seguridad </w:t>
      </w:r>
    </w:p>
    <w:p w14:paraId="093ED5B5" w14:textId="77777777" w:rsidR="00FB7E47" w:rsidRPr="00B62815" w:rsidRDefault="001C2CF3" w:rsidP="00E67635">
      <w:pPr>
        <w:numPr>
          <w:ilvl w:val="0"/>
          <w:numId w:val="57"/>
        </w:numPr>
        <w:jc w:val="both"/>
        <w:rPr>
          <w:rFonts w:asciiTheme="minorHAnsi" w:hAnsiTheme="minorHAnsi" w:cstheme="minorHAnsi"/>
          <w:sz w:val="22"/>
          <w:szCs w:val="22"/>
          <w:lang w:val="es-ES"/>
        </w:rPr>
      </w:pPr>
      <w:r w:rsidRPr="00B62815">
        <w:rPr>
          <w:rFonts w:asciiTheme="minorHAnsi" w:hAnsiTheme="minorHAnsi" w:cstheme="minorHAnsi"/>
          <w:noProof/>
          <w:sz w:val="22"/>
          <w:szCs w:val="22"/>
        </w:rPr>
        <w:drawing>
          <wp:anchor distT="0" distB="0" distL="114300" distR="114300" simplePos="0" relativeHeight="251707392" behindDoc="0" locked="0" layoutInCell="1" allowOverlap="1" wp14:anchorId="50460FC4" wp14:editId="2AD7BB2E">
            <wp:simplePos x="0" y="0"/>
            <wp:positionH relativeFrom="margin">
              <wp:posOffset>4467225</wp:posOffset>
            </wp:positionH>
            <wp:positionV relativeFrom="margin">
              <wp:posOffset>419100</wp:posOffset>
            </wp:positionV>
            <wp:extent cx="1476375" cy="1343025"/>
            <wp:effectExtent l="0" t="0" r="0" b="0"/>
            <wp:wrapSquare wrapText="bothSides"/>
            <wp:docPr id="144" name="Picture 3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4"/>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4763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815">
        <w:rPr>
          <w:rFonts w:asciiTheme="minorHAnsi" w:hAnsiTheme="minorHAnsi" w:cstheme="minorHAnsi"/>
          <w:noProof/>
          <w:sz w:val="22"/>
          <w:szCs w:val="22"/>
        </w:rPr>
        <mc:AlternateContent>
          <mc:Choice Requires="wps">
            <w:drawing>
              <wp:anchor distT="0" distB="0" distL="114300" distR="114300" simplePos="0" relativeHeight="251705344" behindDoc="0" locked="0" layoutInCell="1" allowOverlap="1" wp14:anchorId="3134998C" wp14:editId="49F34E6D">
                <wp:simplePos x="0" y="0"/>
                <wp:positionH relativeFrom="margin">
                  <wp:align>right</wp:align>
                </wp:positionH>
                <wp:positionV relativeFrom="margin">
                  <wp:align>center</wp:align>
                </wp:positionV>
                <wp:extent cx="2619375" cy="90805"/>
                <wp:effectExtent l="0" t="0" r="0" b="0"/>
                <wp:wrapNone/>
                <wp:docPr id="6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90805"/>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type w14:anchorId="48743CD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2" o:spid="_x0000_s1026" type="#_x0000_t176" style="position:absolute;margin-left:155.05pt;margin-top:0;width:206.25pt;height:7.15pt;z-index:251705344;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" filled="f" stroked="f">
                <w10:wrap anchorx="margin" anchory="margin"/>
              </v:shape>
            </w:pict>
          </mc:Fallback>
        </mc:AlternateContent>
      </w:r>
      <w:r w:rsidRPr="00B62815">
        <w:rPr>
          <w:rFonts w:asciiTheme="minorHAnsi" w:hAnsiTheme="minorHAnsi" w:cstheme="minorHAnsi"/>
          <w:noProof/>
          <w:sz w:val="22"/>
          <w:szCs w:val="22"/>
        </w:rPr>
        <mc:AlternateContent>
          <mc:Choice Requires="wps">
            <w:drawing>
              <wp:anchor distT="0" distB="0" distL="114300" distR="114300" simplePos="0" relativeHeight="251703296" behindDoc="0" locked="0" layoutInCell="1" allowOverlap="1" wp14:anchorId="161478C7" wp14:editId="2A6A2138">
                <wp:simplePos x="0" y="0"/>
                <wp:positionH relativeFrom="margin">
                  <wp:align>right</wp:align>
                </wp:positionH>
                <wp:positionV relativeFrom="margin">
                  <wp:align>center</wp:align>
                </wp:positionV>
                <wp:extent cx="914400" cy="914400"/>
                <wp:effectExtent l="0" t="0" r="0" b="0"/>
                <wp:wrapNone/>
                <wp:docPr id="6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oundrect w14:anchorId="4D61C4A7" id="AutoShape 31" o:spid="_x0000_s1026" style="position:absolute;margin-left:20.8pt;margin-top:0;width:1in;height:1in;z-index:251703296;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" filled="f" stroked="f">
                <w10:wrap anchorx="margin" anchory="margin"/>
              </v:roundrect>
            </w:pict>
          </mc:Fallback>
        </mc:AlternateContent>
      </w:r>
      <w:r w:rsidRPr="00B62815">
        <w:rPr>
          <w:rFonts w:asciiTheme="minorHAnsi" w:hAnsiTheme="minorHAnsi" w:cstheme="minorHAnsi"/>
          <w:noProof/>
          <w:sz w:val="22"/>
          <w:szCs w:val="22"/>
        </w:rPr>
        <mc:AlternateContent>
          <mc:Choice Requires="wps">
            <w:drawing>
              <wp:anchor distT="0" distB="0" distL="114300" distR="114300" simplePos="0" relativeHeight="251701248" behindDoc="0" locked="0" layoutInCell="1" allowOverlap="1" wp14:anchorId="44891A4A" wp14:editId="5AC26485">
                <wp:simplePos x="0" y="0"/>
                <wp:positionH relativeFrom="margin">
                  <wp:align>right</wp:align>
                </wp:positionH>
                <wp:positionV relativeFrom="margin">
                  <wp:align>center</wp:align>
                </wp:positionV>
                <wp:extent cx="914400" cy="914400"/>
                <wp:effectExtent l="0" t="0" r="0" b="0"/>
                <wp:wrapNone/>
                <wp:docPr id="6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oundrect w14:anchorId="677D015F" id="AutoShape 30" o:spid="_x0000_s1026" style="position:absolute;margin-left:20.8pt;margin-top:0;width:1in;height:1in;z-index:251701248;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" filled="f" stroked="f">
                <w10:wrap anchorx="margin" anchory="margin"/>
              </v:roundrect>
            </w:pict>
          </mc:Fallback>
        </mc:AlternateContent>
      </w:r>
      <w:r w:rsidR="00FB7E47" w:rsidRPr="00B62815">
        <w:rPr>
          <w:rFonts w:asciiTheme="minorHAnsi" w:hAnsiTheme="minorHAnsi" w:cstheme="minorHAnsi"/>
          <w:sz w:val="22"/>
          <w:szCs w:val="22"/>
          <w:lang w:val="es-ES"/>
        </w:rPr>
        <w:t>Se finalizaron las acciones orientadas a la mejora de los sistemas de vigilancia y monitoreo, completando la implementación del sistema de monitoreo para el Museo de las Américas y ADM.</w:t>
      </w:r>
    </w:p>
    <w:p w14:paraId="4A99349B" w14:textId="77777777" w:rsidR="00FB7E47" w:rsidRPr="00B62815" w:rsidRDefault="00FB7E47" w:rsidP="00E67635">
      <w:pPr>
        <w:numPr>
          <w:ilvl w:val="0"/>
          <w:numId w:val="57"/>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completó la implementación de una Sala de Control, para facilitar la articulación y monitoreo de la red de cámaras de vigilancia instaladas en la Organización.</w:t>
      </w:r>
    </w:p>
    <w:p w14:paraId="7283EC75" w14:textId="0419DF53" w:rsidR="00FB7E47" w:rsidRPr="00B62815" w:rsidRDefault="00FB7E47" w:rsidP="00FB7E47">
      <w:pPr>
        <w:jc w:val="both"/>
        <w:rPr>
          <w:rFonts w:asciiTheme="minorHAnsi" w:hAnsiTheme="minorHAnsi" w:cstheme="minorHAnsi"/>
          <w:sz w:val="22"/>
          <w:szCs w:val="22"/>
          <w:lang w:val="es-ES"/>
        </w:rPr>
      </w:pPr>
    </w:p>
    <w:p w14:paraId="6F991491" w14:textId="2EBC7ED6" w:rsidR="0078523B" w:rsidRPr="00B62815" w:rsidRDefault="0078523B" w:rsidP="00FB7E47">
      <w:pPr>
        <w:jc w:val="both"/>
        <w:rPr>
          <w:rFonts w:asciiTheme="minorHAnsi" w:hAnsiTheme="minorHAnsi" w:cstheme="minorHAnsi"/>
          <w:sz w:val="22"/>
          <w:szCs w:val="22"/>
          <w:lang w:val="es-ES"/>
        </w:rPr>
      </w:pPr>
    </w:p>
    <w:p w14:paraId="105A95C9" w14:textId="3BBE61C4" w:rsidR="0078523B" w:rsidRPr="00B62815" w:rsidRDefault="0078523B" w:rsidP="00FB7E47">
      <w:pPr>
        <w:jc w:val="both"/>
        <w:rPr>
          <w:rFonts w:asciiTheme="minorHAnsi" w:hAnsiTheme="minorHAnsi" w:cstheme="minorHAnsi"/>
          <w:sz w:val="22"/>
          <w:szCs w:val="22"/>
          <w:lang w:val="es-ES"/>
        </w:rPr>
      </w:pPr>
    </w:p>
    <w:p w14:paraId="11B96590" w14:textId="1F7344E8" w:rsidR="0078523B" w:rsidRDefault="0078523B" w:rsidP="00FB7E47">
      <w:pPr>
        <w:jc w:val="both"/>
        <w:rPr>
          <w:rFonts w:asciiTheme="minorHAnsi" w:hAnsiTheme="minorHAnsi" w:cstheme="minorHAnsi"/>
          <w:sz w:val="22"/>
          <w:szCs w:val="22"/>
          <w:lang w:val="es-ES"/>
        </w:rPr>
      </w:pPr>
    </w:p>
    <w:p w14:paraId="24273AE5" w14:textId="77777777" w:rsidR="00B22AF2" w:rsidRPr="00B62815" w:rsidRDefault="00B22AF2" w:rsidP="00FB7E47">
      <w:pPr>
        <w:jc w:val="both"/>
        <w:rPr>
          <w:rFonts w:asciiTheme="minorHAnsi" w:hAnsiTheme="minorHAnsi" w:cstheme="minorHAnsi"/>
          <w:sz w:val="22"/>
          <w:szCs w:val="22"/>
          <w:lang w:val="es-ES"/>
        </w:rPr>
      </w:pPr>
    </w:p>
    <w:p w14:paraId="64F34300" w14:textId="77777777" w:rsidR="00E74BA0" w:rsidRDefault="00E74BA0" w:rsidP="00FB7E47">
      <w:pPr>
        <w:jc w:val="both"/>
        <w:rPr>
          <w:rFonts w:asciiTheme="minorHAnsi" w:hAnsiTheme="minorHAnsi" w:cstheme="minorHAnsi"/>
          <w:b/>
          <w:color w:val="222222"/>
          <w:sz w:val="22"/>
          <w:szCs w:val="22"/>
          <w:u w:val="single"/>
          <w:lang w:val="es-ES"/>
        </w:rPr>
      </w:pPr>
    </w:p>
    <w:p w14:paraId="4A132FA7" w14:textId="02BB4283" w:rsidR="00FB7E47" w:rsidRPr="00B62815" w:rsidRDefault="00FB7E47" w:rsidP="00FB7E47">
      <w:pPr>
        <w:jc w:val="both"/>
        <w:rPr>
          <w:rFonts w:asciiTheme="minorHAnsi" w:hAnsiTheme="minorHAnsi" w:cstheme="minorHAnsi"/>
          <w:b/>
          <w:color w:val="222222"/>
          <w:sz w:val="22"/>
          <w:szCs w:val="22"/>
          <w:u w:val="single"/>
          <w:lang w:val="es-ES"/>
        </w:rPr>
      </w:pPr>
      <w:r w:rsidRPr="00B62815">
        <w:rPr>
          <w:rFonts w:asciiTheme="minorHAnsi" w:hAnsiTheme="minorHAnsi" w:cstheme="minorHAnsi"/>
          <w:b/>
          <w:color w:val="222222"/>
          <w:sz w:val="22"/>
          <w:szCs w:val="22"/>
          <w:u w:val="single"/>
          <w:lang w:val="es-ES"/>
        </w:rPr>
        <w:t xml:space="preserve">Sección de Mensajería, Correo y Transporte </w:t>
      </w:r>
    </w:p>
    <w:p w14:paraId="5D17E9EA" w14:textId="77777777" w:rsidR="00FB7E47" w:rsidRPr="00B62815" w:rsidRDefault="00FB7E47" w:rsidP="00E67635">
      <w:pPr>
        <w:numPr>
          <w:ilvl w:val="0"/>
          <w:numId w:val="55"/>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cumplieron las actividades operacionales de la unidad brindando todos los servicios relacionados a mensajería, correo y transporte.  Asimismo, se trabajó en las acciones orientadas a la modernización y/o reemplazo de maquinaria y equipos para la distribución de correo.</w:t>
      </w:r>
    </w:p>
    <w:p w14:paraId="7975A473" w14:textId="77777777" w:rsidR="00FB7E47" w:rsidRPr="00B62815" w:rsidRDefault="00FB7E47" w:rsidP="00FB7E47">
      <w:pPr>
        <w:ind w:left="720"/>
        <w:jc w:val="both"/>
        <w:rPr>
          <w:rFonts w:asciiTheme="minorHAnsi" w:hAnsiTheme="minorHAnsi" w:cstheme="minorHAnsi"/>
          <w:sz w:val="22"/>
          <w:szCs w:val="22"/>
          <w:lang w:val="es-ES"/>
        </w:rPr>
      </w:pPr>
    </w:p>
    <w:p w14:paraId="3132C5F1" w14:textId="77777777" w:rsidR="00FB7E47" w:rsidRPr="00B62815" w:rsidRDefault="00FB7E47" w:rsidP="00FB7E47">
      <w:pPr>
        <w:jc w:val="both"/>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Sección de Inventarios</w:t>
      </w:r>
    </w:p>
    <w:p w14:paraId="03E07344" w14:textId="77777777" w:rsidR="00FB7E47" w:rsidRPr="00B62815" w:rsidRDefault="00FB7E47" w:rsidP="00E67635">
      <w:pPr>
        <w:widowControl w:val="0"/>
        <w:numPr>
          <w:ilvl w:val="0"/>
          <w:numId w:val="53"/>
        </w:numPr>
        <w:autoSpaceDE w:val="0"/>
        <w:autoSpaceDN w:val="0"/>
        <w:ind w:right="-5"/>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Se actualizaron los registros de activos, incorporando bienes capitalizables por un valor de $1,414,385.58 y retirando 1,193 bienes en la sede y en Oficinas Nacionales/Proyectos.</w:t>
      </w:r>
    </w:p>
    <w:p w14:paraId="54B29A78" w14:textId="77777777" w:rsidR="00FB7E47" w:rsidRPr="00B62815" w:rsidRDefault="00FB7E47" w:rsidP="00E67635">
      <w:pPr>
        <w:widowControl w:val="0"/>
        <w:numPr>
          <w:ilvl w:val="0"/>
          <w:numId w:val="53"/>
        </w:numPr>
        <w:autoSpaceDE w:val="0"/>
        <w:autoSpaceDN w:val="0"/>
        <w:ind w:right="-5"/>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Se establecieron procedimientos para la revisión periódica de la base de datos de inventario para dar seguimiento a los activos con un valor contable de registro y vida útil.</w:t>
      </w:r>
    </w:p>
    <w:p w14:paraId="62DCD238" w14:textId="77777777" w:rsidR="00FB7E47" w:rsidRPr="00B62815" w:rsidRDefault="00FB7E47" w:rsidP="00FB7E47">
      <w:pPr>
        <w:widowControl w:val="0"/>
        <w:autoSpaceDE w:val="0"/>
        <w:autoSpaceDN w:val="0"/>
        <w:ind w:left="720" w:right="-5"/>
        <w:jc w:val="both"/>
        <w:rPr>
          <w:rFonts w:asciiTheme="minorHAnsi" w:eastAsia="Times New Roman" w:hAnsiTheme="minorHAnsi" w:cstheme="minorHAnsi"/>
          <w:sz w:val="22"/>
          <w:szCs w:val="22"/>
          <w:lang w:val="es-ES"/>
        </w:rPr>
      </w:pPr>
    </w:p>
    <w:p w14:paraId="4C79AC5F" w14:textId="77777777" w:rsidR="00FB7E47" w:rsidRPr="00B62815" w:rsidRDefault="00FB7E47" w:rsidP="00FB7E47">
      <w:pPr>
        <w:widowControl w:val="0"/>
        <w:autoSpaceDE w:val="0"/>
        <w:autoSpaceDN w:val="0"/>
        <w:ind w:right="-5"/>
        <w:jc w:val="both"/>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 xml:space="preserve">Rentas / Eventos Especiales / Fotocopias </w:t>
      </w:r>
    </w:p>
    <w:p w14:paraId="2FB5F5F8" w14:textId="77777777" w:rsidR="00FB7E47" w:rsidRPr="00B62815" w:rsidRDefault="00FB7E47" w:rsidP="00E67635">
      <w:pPr>
        <w:widowControl w:val="0"/>
        <w:numPr>
          <w:ilvl w:val="0"/>
          <w:numId w:val="58"/>
        </w:numPr>
        <w:autoSpaceDE w:val="0"/>
        <w:autoSpaceDN w:val="0"/>
        <w:ind w:right="-5"/>
        <w:jc w:val="both"/>
        <w:rPr>
          <w:rFonts w:asciiTheme="minorHAnsi" w:eastAsia="Times New Roman" w:hAnsiTheme="minorHAnsi" w:cstheme="minorHAnsi"/>
          <w:sz w:val="22"/>
          <w:szCs w:val="22"/>
          <w:lang w:val="es-ES"/>
        </w:rPr>
      </w:pPr>
      <w:r w:rsidRPr="00B62815">
        <w:rPr>
          <w:rFonts w:asciiTheme="minorHAnsi" w:hAnsiTheme="minorHAnsi" w:cstheme="minorHAnsi"/>
          <w:sz w:val="22"/>
          <w:szCs w:val="22"/>
          <w:lang w:val="es-ES"/>
        </w:rPr>
        <w:t>Se continuaron los esfuerzos para consolidar espacios de oficinas disponibles y para arrendar 1,393.28 pies cuadrados adicionales. Actualmente, el área total alquilada es de 46,520.15 pies cuadrados que generó aproximadamente US $2,015,724.28 durante el 2019.</w:t>
      </w:r>
    </w:p>
    <w:p w14:paraId="72A9EE74" w14:textId="77777777" w:rsidR="00FB7E47" w:rsidRPr="00B62815" w:rsidRDefault="00FB7E47" w:rsidP="00E67635">
      <w:pPr>
        <w:widowControl w:val="0"/>
        <w:numPr>
          <w:ilvl w:val="0"/>
          <w:numId w:val="58"/>
        </w:numPr>
        <w:autoSpaceDE w:val="0"/>
        <w:autoSpaceDN w:val="0"/>
        <w:ind w:right="-5"/>
        <w:jc w:val="both"/>
        <w:rPr>
          <w:rFonts w:asciiTheme="minorHAnsi" w:eastAsia="Times New Roman" w:hAnsiTheme="minorHAnsi" w:cstheme="minorHAnsi"/>
          <w:sz w:val="22"/>
          <w:szCs w:val="22"/>
          <w:lang w:val="es-ES"/>
        </w:rPr>
      </w:pPr>
      <w:r w:rsidRPr="00B62815">
        <w:rPr>
          <w:rFonts w:asciiTheme="minorHAnsi" w:hAnsiTheme="minorHAnsi" w:cstheme="minorHAnsi"/>
          <w:sz w:val="22"/>
          <w:szCs w:val="22"/>
          <w:lang w:val="es-ES"/>
        </w:rPr>
        <w:t>En coordinación con la Oficina de Protocolo y el Museo de Arte de las Américas (AMA), continuaron los esfuerzos para alquilar las instalaciones de la OEA para eventos especiales, particularmente el Salón de las Américas y el Museo. En el 2019 un total de 112 eventos se llevaron a cabo en los edificios de la OEA, generando un ingreso total estimado de US $368,036.5</w:t>
      </w:r>
    </w:p>
    <w:p w14:paraId="7C2DBD4A" w14:textId="77777777" w:rsidR="002E1EEF" w:rsidRPr="00B62815" w:rsidRDefault="00FB7E47" w:rsidP="00E67635">
      <w:pPr>
        <w:numPr>
          <w:ilvl w:val="0"/>
          <w:numId w:val="54"/>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adquirieron fotocopiadoras multifuncionales, mejorando la eficiencia de operaciones en distintas áreas.  Igualmente, a través de una campaña interna de concientización, se logró la reducción de 110,498 copias/impresiones comparado con la gestión 2018.</w:t>
      </w:r>
    </w:p>
    <w:p w14:paraId="01C3C87B" w14:textId="77777777" w:rsidR="002E1EEF" w:rsidRPr="00B62815" w:rsidRDefault="002E1EEF" w:rsidP="002E1EEF">
      <w:pPr>
        <w:jc w:val="both"/>
        <w:rPr>
          <w:rFonts w:asciiTheme="minorHAnsi" w:hAnsiTheme="minorHAnsi" w:cstheme="minorHAnsi"/>
          <w:sz w:val="22"/>
          <w:szCs w:val="22"/>
          <w:lang w:val="es-ES"/>
        </w:rPr>
      </w:pPr>
    </w:p>
    <w:p w14:paraId="4EEECF41" w14:textId="77777777" w:rsidR="002E1EEF" w:rsidRPr="00B62815" w:rsidRDefault="002E1EEF" w:rsidP="002E1EEF">
      <w:pPr>
        <w:jc w:val="both"/>
        <w:rPr>
          <w:rFonts w:asciiTheme="minorHAnsi" w:hAnsiTheme="minorHAnsi" w:cstheme="minorHAnsi"/>
          <w:sz w:val="22"/>
          <w:szCs w:val="22"/>
          <w:lang w:val="es-ES"/>
        </w:rPr>
      </w:pPr>
    </w:p>
    <w:bookmarkStart w:id="61" w:name="_Toc39675846"/>
    <w:bookmarkStart w:id="62" w:name="_Toc40191069"/>
    <w:p w14:paraId="3A91CFC6" w14:textId="77777777" w:rsidR="008646CD" w:rsidRPr="00B62815" w:rsidRDefault="001C2CF3" w:rsidP="00E14ABE">
      <w:pPr>
        <w:pStyle w:val="Heading1"/>
        <w:rPr>
          <w:rFonts w:asciiTheme="minorHAnsi" w:hAnsiTheme="minorHAnsi" w:cstheme="minorHAnsi"/>
          <w:b w:val="0"/>
          <w:color w:val="1F497D"/>
          <w:sz w:val="22"/>
          <w:szCs w:val="22"/>
          <w:lang w:val="es-ES"/>
        </w:rPr>
      </w:pPr>
      <w:r w:rsidRPr="00B62815">
        <w:rPr>
          <w:rFonts w:asciiTheme="minorHAnsi" w:hAnsiTheme="minorHAnsi" w:cstheme="minorHAnsi"/>
          <w:noProof/>
          <w:sz w:val="22"/>
          <w:szCs w:val="22"/>
        </w:rPr>
        <mc:AlternateContent>
          <mc:Choice Requires="wps">
            <w:drawing>
              <wp:anchor distT="0" distB="0" distL="114300" distR="114300" simplePos="0" relativeHeight="251682816" behindDoc="0" locked="1" layoutInCell="1" allowOverlap="1" wp14:anchorId="6E9721C6" wp14:editId="36F79281">
                <wp:simplePos x="0" y="0"/>
                <wp:positionH relativeFrom="column">
                  <wp:posOffset>-91440</wp:posOffset>
                </wp:positionH>
                <wp:positionV relativeFrom="page">
                  <wp:posOffset>9144000</wp:posOffset>
                </wp:positionV>
                <wp:extent cx="3383280" cy="228600"/>
                <wp:effectExtent l="0" t="0" r="0" b="0"/>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11A9" w14:textId="77777777" w:rsidR="00B22AF2" w:rsidRPr="00135AE0" w:rsidRDefault="00B22AF2" w:rsidP="00FB7E4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9721C6" id="Text Box 20" o:spid="_x0000_s1028" type="#_x0000_t202" style="position:absolute;margin-left:-7.2pt;margin-top:10in;width:266.4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qPvQ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" filled="f" stroked="f">
                <v:textbox>
                  <w:txbxContent>
                    <w:p w14:paraId="11C211A9" w14:textId="77777777" w:rsidR="00B22AF2" w:rsidRPr="00135AE0" w:rsidRDefault="00B22AF2" w:rsidP="00FB7E47">
                      <w:pPr>
                        <w:rPr>
                          <w:sz w:val="18"/>
                        </w:rPr>
                      </w:pPr>
                    </w:p>
                  </w:txbxContent>
                </v:textbox>
                <w10:wrap anchory="page"/>
                <w10:anchorlock/>
              </v:shape>
            </w:pict>
          </mc:Fallback>
        </mc:AlternateContent>
      </w:r>
      <w:r w:rsidR="00CD5CFB" w:rsidRPr="00B62815">
        <w:rPr>
          <w:rFonts w:asciiTheme="minorHAnsi" w:hAnsiTheme="minorHAnsi" w:cstheme="minorHAnsi"/>
          <w:color w:val="1F497D"/>
          <w:sz w:val="22"/>
          <w:szCs w:val="22"/>
          <w:lang w:val="es-ES"/>
        </w:rPr>
        <w:t>2.7</w:t>
      </w:r>
      <w:r w:rsidR="00CD5CFB" w:rsidRPr="00B62815">
        <w:rPr>
          <w:rFonts w:asciiTheme="minorHAnsi" w:hAnsiTheme="minorHAnsi" w:cstheme="minorHAnsi"/>
          <w:color w:val="1F497D"/>
          <w:sz w:val="22"/>
          <w:szCs w:val="22"/>
          <w:lang w:val="es-ES"/>
        </w:rPr>
        <w:tab/>
      </w:r>
      <w:r w:rsidR="00C329E8" w:rsidRPr="00B62815">
        <w:rPr>
          <w:rFonts w:asciiTheme="minorHAnsi" w:hAnsiTheme="minorHAnsi" w:cstheme="minorHAnsi"/>
          <w:color w:val="1F497D"/>
          <w:sz w:val="22"/>
          <w:szCs w:val="22"/>
          <w:lang w:val="es-ES"/>
        </w:rPr>
        <w:t>SECRETARÍA DE ASUNTOS JURÍDICOS</w:t>
      </w:r>
      <w:bookmarkEnd w:id="61"/>
      <w:bookmarkEnd w:id="62"/>
    </w:p>
    <w:p w14:paraId="06DCC3A3" w14:textId="77777777" w:rsidR="0027600D" w:rsidRPr="00B62815" w:rsidRDefault="0027600D" w:rsidP="001A7EA2">
      <w:pPr>
        <w:pStyle w:val="ListParagraph"/>
        <w:contextualSpacing/>
        <w:rPr>
          <w:rFonts w:asciiTheme="minorHAnsi" w:hAnsiTheme="minorHAnsi" w:cstheme="minorHAnsi"/>
          <w:sz w:val="22"/>
          <w:szCs w:val="22"/>
          <w:lang w:val="es-ES"/>
        </w:rPr>
      </w:pPr>
    </w:p>
    <w:p w14:paraId="5E49FC7C" w14:textId="77777777" w:rsidR="00F1161B" w:rsidRPr="00B62815" w:rsidRDefault="00F1161B" w:rsidP="00F1161B">
      <w:pPr>
        <w:spacing w:after="20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t>Es la dependencia de la Secretaría General encargada del asesoramiento, desarrollo, difusión y codificación del derecho internacional interamericano, del apoyo a los mecanismos de seguimiento de las mismas, de la cooperación jurídica y judicial en las Américas y del asesoramiento legal interno.</w:t>
      </w:r>
    </w:p>
    <w:p w14:paraId="57680AB2" w14:textId="77777777" w:rsidR="00F1161B" w:rsidRPr="00B62815" w:rsidRDefault="00F1161B" w:rsidP="00F1161B">
      <w:pPr>
        <w:spacing w:after="20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t>La Oficina del Secretario de Asuntos Jurídicos, además de sus funciones de asesoría al Secretario General y a los demás órganos de la Organización, supervisó y coordinó los distintos departamentos, participó en actividades de difusión de las normas jurídicas interamericanas en distintos foros académicos, publicaciones técnicas y encuentros con abogados, jueces y legisladores en las Américas y en Europa. Estas actividades permitieron profundizar el conocimiento y la cooperación en el marco del sistema interamericano de un número importante de jueces, abogados, diplomáticos y jóvenes estudiantes.</w:t>
      </w:r>
    </w:p>
    <w:p w14:paraId="4D6F2CD9" w14:textId="77777777" w:rsidR="00F1161B" w:rsidRPr="00B62815" w:rsidRDefault="00F1161B" w:rsidP="00F1161B">
      <w:pPr>
        <w:spacing w:after="20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lastRenderedPageBreak/>
        <w:t>En el año 2019, entre otras actividades, el Secretario de la SAJ participó y expuso en los siguientes eventos:</w:t>
      </w:r>
    </w:p>
    <w:p w14:paraId="3D186709" w14:textId="77777777" w:rsidR="00F1161B" w:rsidRPr="00B62815" w:rsidRDefault="00F1161B" w:rsidP="00E67635">
      <w:pPr>
        <w:numPr>
          <w:ilvl w:val="0"/>
          <w:numId w:val="63"/>
        </w:numPr>
        <w:spacing w:after="200" w:line="276" w:lineRule="auto"/>
        <w:ind w:left="36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t>Reunión de Tribunales de Justicia celebrada en Córdoba, Argentina, con la participación de los presidentes de los tribunales provinciales argentinos e invitados extranjeros.</w:t>
      </w:r>
    </w:p>
    <w:p w14:paraId="6C3594D1" w14:textId="77777777" w:rsidR="00F1161B" w:rsidRPr="00B62815" w:rsidRDefault="00F1161B" w:rsidP="00E67635">
      <w:pPr>
        <w:numPr>
          <w:ilvl w:val="0"/>
          <w:numId w:val="63"/>
        </w:numPr>
        <w:spacing w:after="200" w:line="276" w:lineRule="auto"/>
        <w:ind w:left="36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t>Expositor sobre el sistema interamericano para diplomáticos en las Academias de Chile y de Guatemala, así como en cursos sobre el sistema interamericano en universidades de Argentina, Barbados, Brasil, Colombia, Uruguay.</w:t>
      </w:r>
    </w:p>
    <w:p w14:paraId="5E9AF9E1" w14:textId="77777777" w:rsidR="00F1161B" w:rsidRPr="00B62815" w:rsidRDefault="00F1161B" w:rsidP="00E67635">
      <w:pPr>
        <w:numPr>
          <w:ilvl w:val="0"/>
          <w:numId w:val="63"/>
        </w:numPr>
        <w:spacing w:after="200" w:line="276" w:lineRule="auto"/>
        <w:ind w:left="36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t>Reunión del Instituto de Derecho Internacional, sesión de La Haya, del que participan cien internacionalistas, incluidos jueces de la Corte Internacional de Justicia, árbitros y profesores del mayor prestigio.</w:t>
      </w:r>
    </w:p>
    <w:p w14:paraId="7A711290" w14:textId="77777777" w:rsidR="00F1161B" w:rsidRPr="00B62815" w:rsidRDefault="00F1161B" w:rsidP="00E67635">
      <w:pPr>
        <w:numPr>
          <w:ilvl w:val="0"/>
          <w:numId w:val="63"/>
        </w:numPr>
        <w:spacing w:after="200" w:line="276" w:lineRule="auto"/>
        <w:ind w:left="36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t>Expositor en la Conferencia Anual de la Federación Interamericana de Abogados y en el Cincuentenario de la Asociación Argentina de Derecho Internacional.</w:t>
      </w:r>
    </w:p>
    <w:p w14:paraId="5EE218BE" w14:textId="77777777" w:rsidR="00F1161B" w:rsidRPr="00B62815" w:rsidRDefault="00F1161B" w:rsidP="00E67635">
      <w:pPr>
        <w:numPr>
          <w:ilvl w:val="0"/>
          <w:numId w:val="63"/>
        </w:numPr>
        <w:spacing w:after="200" w:line="276" w:lineRule="auto"/>
        <w:ind w:left="36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t>Primer Foro de Representantes de Poderes Judiciales de las Américas sobre la Cooperación contra la Corrupción, organizado por esta Secretaría, Buenos Aires, Argentina, del que participaron presidentes de cortes de los países miembros de la OEA.</w:t>
      </w:r>
    </w:p>
    <w:p w14:paraId="7339DCAC" w14:textId="77777777" w:rsidR="00F1161B" w:rsidRPr="00B62815" w:rsidRDefault="00F1161B" w:rsidP="00AA26E4">
      <w:pPr>
        <w:pStyle w:val="Heading3"/>
        <w:rPr>
          <w:rFonts w:asciiTheme="minorHAnsi" w:eastAsia="Calibri" w:hAnsiTheme="minorHAnsi" w:cstheme="minorHAnsi"/>
          <w:b w:val="0"/>
          <w:color w:val="ED7D31"/>
          <w:sz w:val="22"/>
          <w:szCs w:val="22"/>
          <w:lang w:val="es-PE"/>
        </w:rPr>
      </w:pPr>
      <w:bookmarkStart w:id="63" w:name="_Toc39675847"/>
      <w:bookmarkStart w:id="64" w:name="_Toc40191070"/>
      <w:r w:rsidRPr="00B62815">
        <w:rPr>
          <w:rFonts w:asciiTheme="minorHAnsi" w:eastAsia="Calibri" w:hAnsiTheme="minorHAnsi" w:cstheme="minorHAnsi"/>
          <w:b w:val="0"/>
          <w:color w:val="ED7D31"/>
          <w:sz w:val="22"/>
          <w:szCs w:val="22"/>
          <w:lang w:val="es-UY"/>
        </w:rPr>
        <w:t>2.7.1</w:t>
      </w:r>
      <w:r w:rsidRPr="00B62815">
        <w:rPr>
          <w:rFonts w:asciiTheme="minorHAnsi" w:eastAsia="Calibri" w:hAnsiTheme="minorHAnsi" w:cstheme="minorHAnsi"/>
          <w:b w:val="0"/>
          <w:color w:val="ED7D31"/>
          <w:sz w:val="22"/>
          <w:szCs w:val="22"/>
          <w:lang w:val="es-UY"/>
        </w:rPr>
        <w:tab/>
        <w:t xml:space="preserve">Departamento de Derecho Internacional </w:t>
      </w:r>
      <w:r w:rsidRPr="00B62815">
        <w:rPr>
          <w:rFonts w:asciiTheme="minorHAnsi" w:eastAsia="Calibri" w:hAnsiTheme="minorHAnsi" w:cstheme="minorHAnsi"/>
          <w:b w:val="0"/>
          <w:color w:val="ED7D31"/>
          <w:sz w:val="22"/>
          <w:szCs w:val="22"/>
          <w:lang w:val="es-PE"/>
        </w:rPr>
        <w:t>(DDI)</w:t>
      </w:r>
      <w:bookmarkEnd w:id="63"/>
      <w:bookmarkEnd w:id="64"/>
    </w:p>
    <w:p w14:paraId="0DD3A85A" w14:textId="77777777" w:rsidR="00F1161B" w:rsidRPr="00B62815" w:rsidRDefault="00F1161B" w:rsidP="00F1161B">
      <w:pPr>
        <w:jc w:val="both"/>
        <w:rPr>
          <w:rFonts w:asciiTheme="minorHAnsi" w:eastAsia="Calibri" w:hAnsiTheme="minorHAnsi" w:cstheme="minorHAnsi"/>
          <w:b/>
          <w:color w:val="ED7D31"/>
          <w:sz w:val="22"/>
          <w:szCs w:val="22"/>
          <w:lang w:val="es-PE"/>
        </w:rPr>
      </w:pPr>
    </w:p>
    <w:p w14:paraId="0BEE2D89" w14:textId="77777777" w:rsidR="00F1161B" w:rsidRPr="00B62815" w:rsidRDefault="00F1161B" w:rsidP="00F1161B">
      <w:pPr>
        <w:jc w:val="both"/>
        <w:rPr>
          <w:rFonts w:asciiTheme="minorHAnsi" w:eastAsia="Calibri" w:hAnsiTheme="minorHAnsi" w:cstheme="minorHAnsi"/>
          <w:sz w:val="22"/>
          <w:szCs w:val="22"/>
          <w:lang w:val="es-UY"/>
        </w:rPr>
      </w:pPr>
      <w:r w:rsidRPr="00B62815">
        <w:rPr>
          <w:rFonts w:asciiTheme="minorHAnsi" w:eastAsia="Calibri" w:hAnsiTheme="minorHAnsi" w:cstheme="minorHAnsi"/>
          <w:sz w:val="22"/>
          <w:szCs w:val="22"/>
          <w:lang w:val="es-UY"/>
        </w:rPr>
        <w:t>El DDI continuó apoyando jurídicamente a los Estados miembros en las reuniones de los órganos de la OEA, incluida la Reunión del Órgano de Consulta del TIAR, así como al Comité Jurídico Interamericano. Continuó promoviendo y difundiendo el derecho internacional, tanto público como privado, entre los diversos actores del sistema tal como se refleja con detalle en el Informe Bienal sobre el Programa Interamericano para el Desarrollo del Derecho Internacional.</w:t>
      </w:r>
    </w:p>
    <w:p w14:paraId="4B559405" w14:textId="77777777" w:rsidR="00F1161B" w:rsidRPr="00B62815" w:rsidRDefault="00F1161B" w:rsidP="00F1161B">
      <w:pPr>
        <w:jc w:val="both"/>
        <w:rPr>
          <w:rFonts w:asciiTheme="minorHAnsi" w:eastAsia="Calibri" w:hAnsiTheme="minorHAnsi" w:cstheme="minorHAnsi"/>
          <w:sz w:val="22"/>
          <w:szCs w:val="22"/>
          <w:lang w:val="es-UY"/>
        </w:rPr>
      </w:pPr>
    </w:p>
    <w:p w14:paraId="2D1C66F3" w14:textId="77777777" w:rsidR="00F1161B" w:rsidRPr="00B62815" w:rsidRDefault="00F1161B" w:rsidP="00F1161B">
      <w:pPr>
        <w:jc w:val="both"/>
        <w:rPr>
          <w:rFonts w:asciiTheme="minorHAnsi" w:eastAsia="Calibri" w:hAnsiTheme="minorHAnsi" w:cstheme="minorHAnsi"/>
          <w:sz w:val="22"/>
          <w:szCs w:val="22"/>
          <w:lang w:val="es-UY"/>
        </w:rPr>
      </w:pPr>
      <w:r w:rsidRPr="00B62815">
        <w:rPr>
          <w:rFonts w:asciiTheme="minorHAnsi" w:eastAsia="Calibri" w:hAnsiTheme="minorHAnsi" w:cstheme="minorHAnsi"/>
          <w:sz w:val="22"/>
          <w:szCs w:val="22"/>
          <w:lang w:val="es-UY"/>
        </w:rPr>
        <w:t>Entre dichas actividades cabe destacar:</w:t>
      </w:r>
    </w:p>
    <w:p w14:paraId="35A637AB" w14:textId="77777777" w:rsidR="00F1161B" w:rsidRPr="00B62815" w:rsidRDefault="00F1161B" w:rsidP="00F1161B">
      <w:pPr>
        <w:jc w:val="both"/>
        <w:rPr>
          <w:rFonts w:asciiTheme="minorHAnsi" w:eastAsia="Calibri" w:hAnsiTheme="minorHAnsi" w:cstheme="minorHAnsi"/>
          <w:sz w:val="22"/>
          <w:szCs w:val="22"/>
          <w:lang w:val="es-UY"/>
        </w:rPr>
      </w:pPr>
    </w:p>
    <w:p w14:paraId="44B26839" w14:textId="77777777" w:rsidR="00F1161B" w:rsidRPr="00B62815" w:rsidRDefault="00F1161B" w:rsidP="00E67635">
      <w:pPr>
        <w:numPr>
          <w:ilvl w:val="0"/>
          <w:numId w:val="64"/>
        </w:numPr>
        <w:spacing w:after="200" w:line="276" w:lineRule="auto"/>
        <w:ind w:left="360"/>
        <w:jc w:val="both"/>
        <w:rPr>
          <w:rFonts w:asciiTheme="minorHAnsi" w:eastAsia="Calibri" w:hAnsiTheme="minorHAnsi" w:cstheme="minorHAnsi"/>
          <w:sz w:val="22"/>
          <w:szCs w:val="22"/>
          <w:lang w:val="es-UY"/>
        </w:rPr>
      </w:pPr>
      <w:r w:rsidRPr="00B62815">
        <w:rPr>
          <w:rFonts w:asciiTheme="minorHAnsi" w:eastAsia="Calibri" w:hAnsiTheme="minorHAnsi" w:cstheme="minorHAnsi"/>
          <w:sz w:val="22"/>
          <w:szCs w:val="22"/>
          <w:lang w:val="es-UY"/>
        </w:rPr>
        <w:lastRenderedPageBreak/>
        <w:t xml:space="preserve">Las amplias consultas entre más de 200 actores gubernamentales y no gubernamentales para actualizar la Ley Modelo Interamericana sobre la materia aprobada en 2010. </w:t>
      </w:r>
    </w:p>
    <w:p w14:paraId="0B552907" w14:textId="77777777" w:rsidR="00F1161B" w:rsidRPr="00B62815" w:rsidRDefault="00F1161B" w:rsidP="00E67635">
      <w:pPr>
        <w:numPr>
          <w:ilvl w:val="0"/>
          <w:numId w:val="64"/>
        </w:numPr>
        <w:spacing w:after="200" w:line="276" w:lineRule="auto"/>
        <w:ind w:left="360"/>
        <w:jc w:val="both"/>
        <w:rPr>
          <w:rFonts w:asciiTheme="minorHAnsi" w:eastAsia="Calibri" w:hAnsiTheme="minorHAnsi" w:cstheme="minorHAnsi"/>
          <w:sz w:val="22"/>
          <w:szCs w:val="22"/>
          <w:lang w:val="es-UY"/>
        </w:rPr>
      </w:pPr>
      <w:r w:rsidRPr="00B62815">
        <w:rPr>
          <w:rFonts w:asciiTheme="minorHAnsi" w:eastAsia="Calibri" w:hAnsiTheme="minorHAnsi" w:cstheme="minorHAnsi"/>
          <w:sz w:val="22"/>
          <w:szCs w:val="22"/>
          <w:lang w:val="es-UY"/>
        </w:rPr>
        <w:t>La elaboración de trabajos preparatorios para actualizar los principios sobre protección de datos personales de tal manera de recoger los más recientes desarrollos en la materia.</w:t>
      </w:r>
    </w:p>
    <w:p w14:paraId="5D13AE9C" w14:textId="77777777" w:rsidR="00F1161B" w:rsidRPr="00B62815" w:rsidRDefault="00F1161B" w:rsidP="00E67635">
      <w:pPr>
        <w:numPr>
          <w:ilvl w:val="0"/>
          <w:numId w:val="64"/>
        </w:numPr>
        <w:spacing w:after="200" w:line="276" w:lineRule="auto"/>
        <w:ind w:left="360"/>
        <w:jc w:val="both"/>
        <w:rPr>
          <w:rFonts w:asciiTheme="minorHAnsi" w:eastAsia="Calibri" w:hAnsiTheme="minorHAnsi" w:cstheme="minorHAnsi"/>
          <w:sz w:val="22"/>
          <w:szCs w:val="22"/>
          <w:lang w:val="es-UY"/>
        </w:rPr>
      </w:pPr>
      <w:r w:rsidRPr="00B62815">
        <w:rPr>
          <w:rFonts w:asciiTheme="minorHAnsi" w:eastAsia="Calibri" w:hAnsiTheme="minorHAnsi" w:cstheme="minorHAnsi"/>
          <w:sz w:val="22"/>
          <w:szCs w:val="22"/>
          <w:lang w:val="es-UY"/>
        </w:rPr>
        <w:t xml:space="preserve">La difusión del sistema interamericano entre diversos sectores, organizando cursos de capacitación en academias diplomáticas (más de 50 diplomáticos capacitados), defensorías públicas (más de 30 defensores capacitados) y universidades de la región (más de 130 jóvenes abogados capacitados), y encuentros con los asesores jurídicos de las Cancillerías de los Estados miembros (11 asesores jurídicos participaron de los encuentros).  </w:t>
      </w:r>
    </w:p>
    <w:p w14:paraId="571E71EF" w14:textId="77777777" w:rsidR="00F1161B" w:rsidRPr="00B62815" w:rsidRDefault="00F1161B" w:rsidP="00E67635">
      <w:pPr>
        <w:numPr>
          <w:ilvl w:val="0"/>
          <w:numId w:val="64"/>
        </w:numPr>
        <w:spacing w:after="200" w:line="276" w:lineRule="auto"/>
        <w:ind w:left="360"/>
        <w:jc w:val="both"/>
        <w:rPr>
          <w:rFonts w:asciiTheme="minorHAnsi" w:eastAsia="Calibri" w:hAnsiTheme="minorHAnsi" w:cstheme="minorHAnsi"/>
          <w:sz w:val="22"/>
          <w:szCs w:val="22"/>
          <w:lang w:val="es-UY"/>
        </w:rPr>
      </w:pPr>
      <w:r w:rsidRPr="00B62815">
        <w:rPr>
          <w:rFonts w:asciiTheme="minorHAnsi" w:eastAsia="Calibri" w:hAnsiTheme="minorHAnsi" w:cstheme="minorHAnsi"/>
          <w:sz w:val="22"/>
          <w:szCs w:val="22"/>
          <w:lang w:val="es-UY"/>
        </w:rPr>
        <w:t>La difusión de instrumentos jurídicos interamericanos elaborados por el CJI tales como la ley modelo sobre sociedades por acción simplificadas, la ley modelo sobre garantías mobiliarias, los principios sobre recibos electrónicos para productos agrícolas, y la Guía sobre el Derecho aplicable a los Contratos Comerciales Internacionales en las Américas (se trabajó con más de 10 organismos internacionales y más de 200 académicos de la región).</w:t>
      </w:r>
    </w:p>
    <w:p w14:paraId="4605C0CE" w14:textId="77777777" w:rsidR="00F1161B" w:rsidRPr="00B62815" w:rsidRDefault="00081B28" w:rsidP="00081B28">
      <w:pPr>
        <w:jc w:val="both"/>
        <w:rPr>
          <w:rFonts w:asciiTheme="minorHAnsi" w:eastAsia="Calibri" w:hAnsiTheme="minorHAnsi" w:cstheme="minorHAnsi"/>
          <w:sz w:val="22"/>
          <w:szCs w:val="22"/>
          <w:lang w:val="es-UY"/>
        </w:rPr>
      </w:pPr>
      <w:r w:rsidRPr="00B62815">
        <w:rPr>
          <w:rFonts w:asciiTheme="minorHAnsi" w:eastAsia="Calibri" w:hAnsiTheme="minorHAnsi" w:cstheme="minorHAnsi"/>
          <w:sz w:val="22"/>
          <w:szCs w:val="22"/>
          <w:lang w:val="es-UY"/>
        </w:rPr>
        <w:t>L</w:t>
      </w:r>
      <w:r w:rsidR="00F1161B" w:rsidRPr="00B62815">
        <w:rPr>
          <w:rFonts w:asciiTheme="minorHAnsi" w:eastAsia="Calibri" w:hAnsiTheme="minorHAnsi" w:cstheme="minorHAnsi"/>
          <w:sz w:val="22"/>
          <w:szCs w:val="22"/>
          <w:lang w:val="es-UY"/>
        </w:rPr>
        <w:t xml:space="preserve">a página web del DDI con los desarrollos jurídicos más recientes y la base de tratados interamericanos y acuerdos de cooperación recibió durante el año 2019 1,216,984 visitas, el doble con relación al 2018 lo que demuestra el interés creciente de parte de los usuarios. </w:t>
      </w:r>
    </w:p>
    <w:p w14:paraId="65C276A6" w14:textId="77777777" w:rsidR="00F1161B" w:rsidRPr="00B62815" w:rsidRDefault="00F1161B" w:rsidP="00081B28">
      <w:pPr>
        <w:jc w:val="both"/>
        <w:rPr>
          <w:rFonts w:asciiTheme="minorHAnsi" w:eastAsia="Calibri" w:hAnsiTheme="minorHAnsi" w:cstheme="minorHAnsi"/>
          <w:b/>
          <w:sz w:val="22"/>
          <w:szCs w:val="22"/>
          <w:u w:val="single"/>
          <w:lang w:val="es-PE"/>
        </w:rPr>
      </w:pPr>
    </w:p>
    <w:p w14:paraId="704EBA02" w14:textId="72469E2A" w:rsidR="00081B28" w:rsidRPr="00B62815" w:rsidRDefault="00081B28" w:rsidP="00081B28">
      <w:pPr>
        <w:jc w:val="both"/>
        <w:rPr>
          <w:rFonts w:asciiTheme="minorHAnsi" w:eastAsia="Calibri" w:hAnsiTheme="minorHAnsi" w:cstheme="minorHAnsi"/>
          <w:b/>
          <w:sz w:val="22"/>
          <w:szCs w:val="22"/>
          <w:u w:val="single"/>
          <w:lang w:val="es-PE"/>
        </w:rPr>
      </w:pPr>
    </w:p>
    <w:p w14:paraId="1A2EB5A9" w14:textId="77777777" w:rsidR="0078523B" w:rsidRPr="00B62815" w:rsidRDefault="0078523B" w:rsidP="00081B28">
      <w:pPr>
        <w:jc w:val="both"/>
        <w:rPr>
          <w:rFonts w:asciiTheme="minorHAnsi" w:eastAsia="Calibri" w:hAnsiTheme="minorHAnsi" w:cstheme="minorHAnsi"/>
          <w:b/>
          <w:sz w:val="22"/>
          <w:szCs w:val="22"/>
          <w:u w:val="single"/>
          <w:lang w:val="es-PE"/>
        </w:rPr>
      </w:pPr>
    </w:p>
    <w:p w14:paraId="1742DAA9" w14:textId="77777777" w:rsidR="00F1161B" w:rsidRPr="00B62815" w:rsidRDefault="00F1161B" w:rsidP="00AA26E4">
      <w:pPr>
        <w:pStyle w:val="Heading3"/>
        <w:rPr>
          <w:rFonts w:asciiTheme="minorHAnsi" w:eastAsia="Calibri" w:hAnsiTheme="minorHAnsi" w:cstheme="minorHAnsi"/>
          <w:b w:val="0"/>
          <w:color w:val="ED7D31"/>
          <w:sz w:val="22"/>
          <w:szCs w:val="22"/>
          <w:lang w:val="es-PE"/>
        </w:rPr>
      </w:pPr>
      <w:bookmarkStart w:id="65" w:name="_Toc39675848"/>
      <w:bookmarkStart w:id="66" w:name="_Toc40191071"/>
      <w:r w:rsidRPr="00B62815">
        <w:rPr>
          <w:rFonts w:asciiTheme="minorHAnsi" w:eastAsia="Calibri" w:hAnsiTheme="minorHAnsi" w:cstheme="minorHAnsi"/>
          <w:b w:val="0"/>
          <w:color w:val="ED7D31"/>
          <w:sz w:val="22"/>
          <w:szCs w:val="22"/>
          <w:lang w:val="es-PE"/>
        </w:rPr>
        <w:t>2.7.2</w:t>
      </w:r>
      <w:r w:rsidRPr="00B62815">
        <w:rPr>
          <w:rFonts w:asciiTheme="minorHAnsi" w:eastAsia="Calibri" w:hAnsiTheme="minorHAnsi" w:cstheme="minorHAnsi"/>
          <w:b w:val="0"/>
          <w:color w:val="ED7D31"/>
          <w:sz w:val="22"/>
          <w:szCs w:val="22"/>
          <w:lang w:val="es-PE"/>
        </w:rPr>
        <w:tab/>
        <w:t>Departamento de Cooperación Jurídica (DCJ)</w:t>
      </w:r>
      <w:bookmarkEnd w:id="65"/>
      <w:bookmarkEnd w:id="66"/>
    </w:p>
    <w:p w14:paraId="7ACB49A7" w14:textId="767936EA" w:rsidR="00F1161B" w:rsidRPr="00B62815" w:rsidRDefault="00F1161B" w:rsidP="004C6314">
      <w:pPr>
        <w:spacing w:before="240" w:after="20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t>El Departamento de Cooperación Jurídica (DCJ) continuó brindando los servicios de asesoría y secretaría técnica a los procesos de cooperación jurídica, de lo cual se destaca:</w:t>
      </w:r>
    </w:p>
    <w:p w14:paraId="63D577B6" w14:textId="77777777" w:rsidR="00F1161B" w:rsidRPr="00B62815" w:rsidRDefault="00F1161B" w:rsidP="00E67635">
      <w:pPr>
        <w:numPr>
          <w:ilvl w:val="0"/>
          <w:numId w:val="65"/>
        </w:numPr>
        <w:spacing w:line="276" w:lineRule="auto"/>
        <w:ind w:left="360"/>
        <w:jc w:val="both"/>
        <w:rPr>
          <w:rFonts w:asciiTheme="minorHAnsi" w:eastAsia="Calibri" w:hAnsiTheme="minorHAnsi" w:cstheme="minorHAnsi"/>
          <w:sz w:val="22"/>
          <w:szCs w:val="22"/>
          <w:lang w:val="es-PE"/>
        </w:rPr>
      </w:pPr>
      <w:r w:rsidRPr="00B62815">
        <w:rPr>
          <w:rFonts w:asciiTheme="minorHAnsi" w:eastAsia="Calibri" w:hAnsiTheme="minorHAnsi" w:cstheme="minorHAnsi"/>
          <w:sz w:val="22"/>
          <w:szCs w:val="22"/>
          <w:lang w:val="es-PE"/>
        </w:rPr>
        <w:lastRenderedPageBreak/>
        <w:t>Talleres regionales para fiscales, jueces y magistrados sobre pruebas electrónicas y delito cibernético en el marco de las Reuniones de Ministros de Justicia u otros Ministros, Procuradores o Fiscales Generales de las Américas (REMJA), en Costa Rica, Ecuador y Paraguay (más de 160 participantes capacitados).</w:t>
      </w:r>
    </w:p>
    <w:p w14:paraId="0F5E7EA0" w14:textId="77777777" w:rsidR="00081B28" w:rsidRPr="00B62815" w:rsidRDefault="00081B28" w:rsidP="00081B28">
      <w:pPr>
        <w:spacing w:line="276" w:lineRule="auto"/>
        <w:ind w:left="360"/>
        <w:jc w:val="both"/>
        <w:rPr>
          <w:rFonts w:asciiTheme="minorHAnsi" w:eastAsia="Calibri" w:hAnsiTheme="minorHAnsi" w:cstheme="minorHAnsi"/>
          <w:sz w:val="22"/>
          <w:szCs w:val="22"/>
          <w:lang w:val="es-PE"/>
        </w:rPr>
      </w:pPr>
    </w:p>
    <w:p w14:paraId="372C7D1E" w14:textId="77777777" w:rsidR="00F1161B" w:rsidRPr="00B62815" w:rsidRDefault="00F1161B" w:rsidP="00E67635">
      <w:pPr>
        <w:numPr>
          <w:ilvl w:val="0"/>
          <w:numId w:val="65"/>
        </w:numPr>
        <w:spacing w:line="276" w:lineRule="auto"/>
        <w:ind w:left="360"/>
        <w:jc w:val="both"/>
        <w:rPr>
          <w:rFonts w:asciiTheme="minorHAnsi" w:eastAsia="Calibri" w:hAnsiTheme="minorHAnsi" w:cstheme="minorHAnsi"/>
          <w:b/>
          <w:i/>
          <w:sz w:val="22"/>
          <w:szCs w:val="22"/>
          <w:u w:val="single"/>
          <w:lang w:val="es-CO"/>
        </w:rPr>
      </w:pPr>
      <w:r w:rsidRPr="00B62815">
        <w:rPr>
          <w:rFonts w:asciiTheme="minorHAnsi" w:eastAsia="Calibri" w:hAnsiTheme="minorHAnsi" w:cstheme="minorHAnsi"/>
          <w:sz w:val="22"/>
          <w:szCs w:val="22"/>
          <w:lang w:val="es-PE"/>
        </w:rPr>
        <w:t>Convención Interamericana contra la Corrupción y su mecanismo de seguimiento (MESICIC):</w:t>
      </w:r>
      <w:r w:rsidRPr="00B62815">
        <w:rPr>
          <w:rFonts w:asciiTheme="minorHAnsi" w:eastAsia="Calibri" w:hAnsiTheme="minorHAnsi" w:cstheme="minorHAnsi"/>
          <w:b/>
          <w:i/>
          <w:sz w:val="22"/>
          <w:szCs w:val="22"/>
          <w:u w:val="single"/>
          <w:lang w:val="es-CO"/>
        </w:rPr>
        <w:t xml:space="preserve"> </w:t>
      </w:r>
    </w:p>
    <w:p w14:paraId="40C8BC31" w14:textId="77777777" w:rsidR="00F1161B" w:rsidRPr="00B62815" w:rsidRDefault="00F1161B" w:rsidP="00F1161B">
      <w:pPr>
        <w:spacing w:after="200"/>
        <w:jc w:val="both"/>
        <w:rPr>
          <w:rFonts w:asciiTheme="minorHAnsi" w:eastAsia="Calibri" w:hAnsiTheme="minorHAnsi" w:cstheme="minorHAnsi"/>
          <w:sz w:val="22"/>
          <w:szCs w:val="22"/>
          <w:lang w:val="es-AR"/>
        </w:rPr>
      </w:pPr>
      <w:r w:rsidRPr="00B62815">
        <w:rPr>
          <w:rFonts w:asciiTheme="minorHAnsi" w:eastAsia="Calibri" w:hAnsiTheme="minorHAnsi" w:cstheme="minorHAnsi"/>
          <w:i/>
          <w:sz w:val="22"/>
          <w:szCs w:val="22"/>
          <w:lang w:val="es-ES"/>
        </w:rPr>
        <w:t>XXXII Reunión del Comité de Expertos del MESICIC</w:t>
      </w:r>
      <w:r w:rsidRPr="00B62815">
        <w:rPr>
          <w:rFonts w:asciiTheme="minorHAnsi" w:eastAsia="Calibri" w:hAnsiTheme="minorHAnsi" w:cstheme="minorHAnsi"/>
          <w:sz w:val="22"/>
          <w:szCs w:val="22"/>
          <w:lang w:val="es-AR"/>
        </w:rPr>
        <w:t xml:space="preserve">, marzo 11 a 14, 2018.  Adopción de informes de Estados Unidos, </w:t>
      </w:r>
      <w:r w:rsidRPr="00B62815">
        <w:rPr>
          <w:rFonts w:asciiTheme="minorHAnsi" w:eastAsia="Calibri" w:hAnsiTheme="minorHAnsi" w:cstheme="minorHAnsi"/>
          <w:sz w:val="22"/>
          <w:szCs w:val="22"/>
          <w:lang w:val="es-US"/>
        </w:rPr>
        <w:t>Antigua y Barbuda, Haití y San Kitts y Nevis</w:t>
      </w:r>
      <w:r w:rsidRPr="00B62815">
        <w:rPr>
          <w:rFonts w:asciiTheme="minorHAnsi" w:eastAsia="Calibri" w:hAnsiTheme="minorHAnsi" w:cstheme="minorHAnsi"/>
          <w:sz w:val="22"/>
          <w:szCs w:val="22"/>
          <w:lang w:val="es-AR"/>
        </w:rPr>
        <w:t xml:space="preserve">.  </w:t>
      </w:r>
    </w:p>
    <w:p w14:paraId="6FE88AE6" w14:textId="77777777" w:rsidR="00F1161B" w:rsidRPr="00842C4B" w:rsidRDefault="00F1161B" w:rsidP="00842C4B">
      <w:pPr>
        <w:pStyle w:val="ListParagraph"/>
        <w:numPr>
          <w:ilvl w:val="0"/>
          <w:numId w:val="118"/>
        </w:numPr>
        <w:spacing w:after="200"/>
        <w:jc w:val="both"/>
        <w:rPr>
          <w:rFonts w:asciiTheme="minorHAnsi" w:eastAsia="Calibri" w:hAnsiTheme="minorHAnsi" w:cstheme="minorHAnsi"/>
          <w:sz w:val="22"/>
          <w:szCs w:val="22"/>
          <w:lang w:val="es-AR"/>
        </w:rPr>
      </w:pPr>
      <w:r w:rsidRPr="00842C4B">
        <w:rPr>
          <w:rFonts w:asciiTheme="minorHAnsi" w:eastAsia="Calibri" w:hAnsiTheme="minorHAnsi" w:cstheme="minorHAnsi"/>
          <w:i/>
          <w:sz w:val="22"/>
          <w:szCs w:val="22"/>
          <w:lang w:val="es-AR"/>
        </w:rPr>
        <w:t xml:space="preserve">Visitas in situ a </w:t>
      </w:r>
      <w:r w:rsidRPr="00842C4B">
        <w:rPr>
          <w:rFonts w:asciiTheme="minorHAnsi" w:eastAsia="Calibri" w:hAnsiTheme="minorHAnsi" w:cstheme="minorHAnsi"/>
          <w:sz w:val="22"/>
          <w:szCs w:val="22"/>
          <w:lang w:val="es-MX"/>
        </w:rPr>
        <w:t>Guatemala, Trinidad y Tobago, y San Vicente y las Granadinas</w:t>
      </w:r>
      <w:r w:rsidRPr="00842C4B">
        <w:rPr>
          <w:rFonts w:asciiTheme="minorHAnsi" w:eastAsia="Calibri" w:hAnsiTheme="minorHAnsi" w:cstheme="minorHAnsi"/>
          <w:sz w:val="22"/>
          <w:szCs w:val="22"/>
          <w:lang w:val="es-AR"/>
        </w:rPr>
        <w:t>, abril 2019.</w:t>
      </w:r>
    </w:p>
    <w:p w14:paraId="4725975C" w14:textId="77777777" w:rsidR="00F1161B" w:rsidRPr="00842C4B" w:rsidRDefault="00F1161B" w:rsidP="00842C4B">
      <w:pPr>
        <w:pStyle w:val="ListParagraph"/>
        <w:numPr>
          <w:ilvl w:val="0"/>
          <w:numId w:val="118"/>
        </w:numPr>
        <w:spacing w:after="200"/>
        <w:jc w:val="both"/>
        <w:rPr>
          <w:rFonts w:asciiTheme="minorHAnsi" w:eastAsia="Calibri" w:hAnsiTheme="minorHAnsi" w:cstheme="minorHAnsi"/>
          <w:sz w:val="22"/>
          <w:szCs w:val="22"/>
          <w:lang w:val="es-AR"/>
        </w:rPr>
      </w:pPr>
      <w:r w:rsidRPr="00842C4B">
        <w:rPr>
          <w:rFonts w:asciiTheme="minorHAnsi" w:eastAsia="Calibri" w:hAnsiTheme="minorHAnsi" w:cstheme="minorHAnsi"/>
          <w:i/>
          <w:sz w:val="22"/>
          <w:szCs w:val="22"/>
          <w:lang w:val="es-ES"/>
        </w:rPr>
        <w:t>XXXIII Reunión del Comité de Expertos del MESICIC</w:t>
      </w:r>
      <w:r w:rsidRPr="00842C4B">
        <w:rPr>
          <w:rFonts w:asciiTheme="minorHAnsi" w:eastAsia="Calibri" w:hAnsiTheme="minorHAnsi" w:cstheme="minorHAnsi"/>
          <w:sz w:val="22"/>
          <w:szCs w:val="22"/>
          <w:lang w:val="es-AR"/>
        </w:rPr>
        <w:t xml:space="preserve">, septiembre </w:t>
      </w:r>
      <w:r w:rsidRPr="00842C4B">
        <w:rPr>
          <w:rFonts w:asciiTheme="minorHAnsi" w:eastAsia="Calibri" w:hAnsiTheme="minorHAnsi" w:cstheme="minorHAnsi"/>
          <w:sz w:val="22"/>
          <w:szCs w:val="22"/>
          <w:lang w:val="es-MX"/>
        </w:rPr>
        <w:t>9 a 12, 2019</w:t>
      </w:r>
      <w:r w:rsidRPr="00842C4B">
        <w:rPr>
          <w:rFonts w:asciiTheme="minorHAnsi" w:eastAsia="Calibri" w:hAnsiTheme="minorHAnsi" w:cstheme="minorHAnsi"/>
          <w:sz w:val="22"/>
          <w:szCs w:val="22"/>
          <w:lang w:val="es-AR"/>
        </w:rPr>
        <w:t xml:space="preserve">.  Adopción de informes de </w:t>
      </w:r>
      <w:r w:rsidRPr="00842C4B">
        <w:rPr>
          <w:rFonts w:asciiTheme="minorHAnsi" w:eastAsia="Calibri" w:hAnsiTheme="minorHAnsi" w:cstheme="minorHAnsi"/>
          <w:sz w:val="22"/>
          <w:szCs w:val="22"/>
          <w:lang w:val="es-MX"/>
        </w:rPr>
        <w:t>Guatemala, Trinidad y Tobago, y San Vicente y las Granadinas</w:t>
      </w:r>
      <w:r w:rsidRPr="00842C4B">
        <w:rPr>
          <w:rFonts w:asciiTheme="minorHAnsi" w:eastAsia="Calibri" w:hAnsiTheme="minorHAnsi" w:cstheme="minorHAnsi"/>
          <w:sz w:val="22"/>
          <w:szCs w:val="22"/>
          <w:lang w:val="es-AR"/>
        </w:rPr>
        <w:t>.</w:t>
      </w:r>
    </w:p>
    <w:p w14:paraId="082C7D5E" w14:textId="77777777" w:rsidR="00F1161B" w:rsidRPr="00842C4B" w:rsidRDefault="00F1161B" w:rsidP="00842C4B">
      <w:pPr>
        <w:pStyle w:val="ListParagraph"/>
        <w:numPr>
          <w:ilvl w:val="0"/>
          <w:numId w:val="118"/>
        </w:numPr>
        <w:spacing w:after="200"/>
        <w:jc w:val="both"/>
        <w:rPr>
          <w:rFonts w:asciiTheme="minorHAnsi" w:eastAsia="Calibri" w:hAnsiTheme="minorHAnsi" w:cstheme="minorHAnsi"/>
          <w:sz w:val="22"/>
          <w:szCs w:val="22"/>
          <w:lang w:val="es-UY"/>
        </w:rPr>
      </w:pPr>
      <w:r w:rsidRPr="00842C4B">
        <w:rPr>
          <w:rFonts w:asciiTheme="minorHAnsi" w:eastAsia="Calibri" w:hAnsiTheme="minorHAnsi" w:cstheme="minorHAnsi"/>
          <w:i/>
          <w:sz w:val="22"/>
          <w:szCs w:val="22"/>
          <w:lang w:val="es-UY"/>
        </w:rPr>
        <w:t>Consideración por el Comité de Expertos del MESICIC de los siguientes temas:</w:t>
      </w:r>
    </w:p>
    <w:p w14:paraId="2DD22391" w14:textId="77777777" w:rsidR="00F1161B" w:rsidRPr="00842C4B" w:rsidRDefault="00F1161B" w:rsidP="00842C4B">
      <w:pPr>
        <w:pStyle w:val="ListParagraph"/>
        <w:numPr>
          <w:ilvl w:val="1"/>
          <w:numId w:val="118"/>
        </w:numPr>
        <w:spacing w:after="200"/>
        <w:jc w:val="both"/>
        <w:rPr>
          <w:rFonts w:asciiTheme="minorHAnsi" w:eastAsia="Calibri" w:hAnsiTheme="minorHAnsi" w:cstheme="minorHAnsi"/>
          <w:i/>
          <w:sz w:val="22"/>
          <w:szCs w:val="22"/>
          <w:lang w:val="es-AR"/>
        </w:rPr>
      </w:pPr>
      <w:r w:rsidRPr="00842C4B">
        <w:rPr>
          <w:rFonts w:asciiTheme="minorHAnsi" w:eastAsia="Calibri" w:hAnsiTheme="minorHAnsi" w:cstheme="minorHAnsi"/>
          <w:i/>
          <w:sz w:val="22"/>
          <w:szCs w:val="22"/>
          <w:lang w:val="es-US"/>
        </w:rPr>
        <w:t>Proyecto de Ley Modelo para la Prevención de Conflictos de Intereses en desarrollo de la recomendación 25 de la Cuarta Reunión de la Conferencia de los Estados Parte del MESICIC</w:t>
      </w:r>
      <w:r w:rsidRPr="00842C4B">
        <w:rPr>
          <w:rFonts w:asciiTheme="minorHAnsi" w:eastAsia="Calibri" w:hAnsiTheme="minorHAnsi" w:cstheme="minorHAnsi"/>
          <w:i/>
          <w:sz w:val="22"/>
          <w:szCs w:val="22"/>
          <w:lang w:val="es-AR"/>
        </w:rPr>
        <w:t>.</w:t>
      </w:r>
    </w:p>
    <w:p w14:paraId="71AB2FCA" w14:textId="77777777" w:rsidR="00F1161B" w:rsidRPr="00842C4B" w:rsidRDefault="00F1161B" w:rsidP="00842C4B">
      <w:pPr>
        <w:pStyle w:val="ListParagraph"/>
        <w:numPr>
          <w:ilvl w:val="1"/>
          <w:numId w:val="118"/>
        </w:numPr>
        <w:spacing w:after="200"/>
        <w:jc w:val="both"/>
        <w:rPr>
          <w:rFonts w:asciiTheme="minorHAnsi" w:eastAsia="Calibri" w:hAnsiTheme="minorHAnsi" w:cstheme="minorHAnsi"/>
          <w:i/>
          <w:sz w:val="22"/>
          <w:szCs w:val="22"/>
          <w:lang w:val="es-AR"/>
        </w:rPr>
      </w:pPr>
      <w:r w:rsidRPr="00842C4B">
        <w:rPr>
          <w:rFonts w:asciiTheme="minorHAnsi" w:eastAsia="Calibri" w:hAnsiTheme="minorHAnsi" w:cstheme="minorHAnsi"/>
          <w:i/>
          <w:sz w:val="22"/>
          <w:szCs w:val="22"/>
          <w:lang w:val="es-US"/>
        </w:rPr>
        <w:t>Indicadores para Detectar, Prevenir y Abatir la impunidad en los Actos de Corrupción.</w:t>
      </w:r>
    </w:p>
    <w:p w14:paraId="4F55487A" w14:textId="77777777" w:rsidR="00F1161B" w:rsidRPr="00842C4B" w:rsidRDefault="00F1161B" w:rsidP="00842C4B">
      <w:pPr>
        <w:pStyle w:val="ListParagraph"/>
        <w:numPr>
          <w:ilvl w:val="1"/>
          <w:numId w:val="118"/>
        </w:numPr>
        <w:spacing w:after="200"/>
        <w:jc w:val="both"/>
        <w:rPr>
          <w:rFonts w:asciiTheme="minorHAnsi" w:eastAsia="Calibri" w:hAnsiTheme="minorHAnsi" w:cstheme="minorHAnsi"/>
          <w:i/>
          <w:sz w:val="22"/>
          <w:szCs w:val="22"/>
          <w:lang w:val="es-AR"/>
        </w:rPr>
      </w:pPr>
      <w:r w:rsidRPr="00842C4B">
        <w:rPr>
          <w:rFonts w:asciiTheme="minorHAnsi" w:eastAsia="Calibri" w:hAnsiTheme="minorHAnsi" w:cstheme="minorHAnsi"/>
          <w:i/>
          <w:sz w:val="22"/>
          <w:szCs w:val="22"/>
          <w:lang w:val="es-US"/>
        </w:rPr>
        <w:t>Mecanismos internacionales anticorrupción y buenas prácticas.</w:t>
      </w:r>
    </w:p>
    <w:p w14:paraId="15CA3FF9" w14:textId="77777777" w:rsidR="00F1161B" w:rsidRPr="00B62815" w:rsidRDefault="00F1161B" w:rsidP="00F1161B">
      <w:pPr>
        <w:spacing w:after="200"/>
        <w:jc w:val="both"/>
        <w:rPr>
          <w:rFonts w:asciiTheme="minorHAnsi" w:eastAsia="Calibri" w:hAnsiTheme="minorHAnsi" w:cstheme="minorHAnsi"/>
          <w:b/>
          <w:sz w:val="22"/>
          <w:szCs w:val="22"/>
          <w:u w:val="single"/>
          <w:lang w:val="es-CO"/>
        </w:rPr>
      </w:pPr>
      <w:r w:rsidRPr="00B62815">
        <w:rPr>
          <w:rFonts w:asciiTheme="minorHAnsi" w:eastAsia="Calibri" w:hAnsiTheme="minorHAnsi" w:cstheme="minorHAnsi"/>
          <w:b/>
          <w:sz w:val="22"/>
          <w:szCs w:val="22"/>
          <w:u w:val="single"/>
          <w:lang w:val="es-CO"/>
        </w:rPr>
        <w:t>Cooperación con otras organizaciones internacionales:</w:t>
      </w:r>
    </w:p>
    <w:p w14:paraId="0B04EA29" w14:textId="77777777" w:rsidR="00F1161B" w:rsidRPr="00B62815" w:rsidRDefault="00F1161B" w:rsidP="00081B28">
      <w:pPr>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El DCJ continúa desempeñando sus trabajos en estrecha cooperación con otras organizaciones internacionales, tales como Naciones Unidas, el BID, el Consejo de Europa y la OCDE, así como de instancias subregionales.</w:t>
      </w:r>
    </w:p>
    <w:p w14:paraId="7A7EEEFC" w14:textId="77777777" w:rsidR="00F1161B" w:rsidRPr="00B62815" w:rsidRDefault="00F1161B" w:rsidP="00AA26E4">
      <w:pPr>
        <w:pStyle w:val="Heading3"/>
        <w:rPr>
          <w:rFonts w:asciiTheme="minorHAnsi" w:eastAsia="Calibri" w:hAnsiTheme="minorHAnsi" w:cstheme="minorHAnsi"/>
          <w:b w:val="0"/>
          <w:color w:val="ED7D31"/>
          <w:sz w:val="22"/>
          <w:szCs w:val="22"/>
          <w:lang w:val="es-ES"/>
        </w:rPr>
      </w:pPr>
      <w:bookmarkStart w:id="67" w:name="_Toc39675849"/>
      <w:bookmarkStart w:id="68" w:name="_Toc40191072"/>
      <w:r w:rsidRPr="00B62815">
        <w:rPr>
          <w:rFonts w:asciiTheme="minorHAnsi" w:eastAsia="Calibri" w:hAnsiTheme="minorHAnsi" w:cstheme="minorHAnsi"/>
          <w:b w:val="0"/>
          <w:color w:val="ED7D31"/>
          <w:sz w:val="22"/>
          <w:szCs w:val="22"/>
          <w:lang w:val="es-AR"/>
        </w:rPr>
        <w:t>2.7.3</w:t>
      </w:r>
      <w:r w:rsidRPr="00B62815">
        <w:rPr>
          <w:rFonts w:asciiTheme="minorHAnsi" w:eastAsia="Calibri" w:hAnsiTheme="minorHAnsi" w:cstheme="minorHAnsi"/>
          <w:b w:val="0"/>
          <w:color w:val="ED7D31"/>
          <w:sz w:val="22"/>
          <w:szCs w:val="22"/>
          <w:lang w:val="es-AR"/>
        </w:rPr>
        <w:tab/>
      </w:r>
      <w:r w:rsidRPr="00B62815">
        <w:rPr>
          <w:rFonts w:asciiTheme="minorHAnsi" w:eastAsia="Calibri" w:hAnsiTheme="minorHAnsi" w:cstheme="minorHAnsi"/>
          <w:b w:val="0"/>
          <w:color w:val="ED7D31"/>
          <w:sz w:val="22"/>
          <w:szCs w:val="22"/>
          <w:lang w:val="es-ES"/>
        </w:rPr>
        <w:t>Departamento de Asesoría Legal (DAL)</w:t>
      </w:r>
      <w:bookmarkEnd w:id="67"/>
      <w:bookmarkEnd w:id="68"/>
    </w:p>
    <w:p w14:paraId="72A32DAF" w14:textId="6337EF74" w:rsidR="00F1161B" w:rsidRPr="00B62815" w:rsidRDefault="00F1161B" w:rsidP="004C6314">
      <w:pPr>
        <w:spacing w:before="240" w:after="200"/>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Entre la asesor</w:t>
      </w:r>
      <w:r w:rsidRPr="00B62815">
        <w:rPr>
          <w:rFonts w:asciiTheme="minorHAnsi" w:eastAsia="Calibri" w:hAnsiTheme="minorHAnsi" w:cstheme="minorHAnsi"/>
          <w:sz w:val="22"/>
          <w:szCs w:val="22"/>
          <w:lang w:val="es-ES_tradnl"/>
        </w:rPr>
        <w:t>í</w:t>
      </w:r>
      <w:r w:rsidR="00842C4B">
        <w:rPr>
          <w:rFonts w:asciiTheme="minorHAnsi" w:eastAsia="Calibri" w:hAnsiTheme="minorHAnsi" w:cstheme="minorHAnsi"/>
          <w:sz w:val="22"/>
          <w:szCs w:val="22"/>
          <w:lang w:val="es-ES_tradnl"/>
        </w:rPr>
        <w:t>a</w:t>
      </w:r>
      <w:r w:rsidRPr="00B62815">
        <w:rPr>
          <w:rFonts w:asciiTheme="minorHAnsi" w:eastAsia="Calibri" w:hAnsiTheme="minorHAnsi" w:cstheme="minorHAnsi"/>
          <w:sz w:val="22"/>
          <w:szCs w:val="22"/>
          <w:lang w:val="es-ES_tradnl"/>
        </w:rPr>
        <w:t xml:space="preserve"> prestada por el </w:t>
      </w:r>
      <w:r w:rsidRPr="00B62815">
        <w:rPr>
          <w:rFonts w:asciiTheme="minorHAnsi" w:eastAsia="Calibri" w:hAnsiTheme="minorHAnsi" w:cstheme="minorHAnsi"/>
          <w:sz w:val="22"/>
          <w:szCs w:val="22"/>
          <w:lang w:val="es-ES"/>
        </w:rPr>
        <w:t xml:space="preserve">Departamento de Asesoría Legal se destaca lo siguiente: </w:t>
      </w:r>
    </w:p>
    <w:p w14:paraId="791C8164" w14:textId="77777777" w:rsidR="00F1161B" w:rsidRPr="00B62815" w:rsidRDefault="00F1161B" w:rsidP="00E67635">
      <w:pPr>
        <w:numPr>
          <w:ilvl w:val="0"/>
          <w:numId w:val="66"/>
        </w:numPr>
        <w:spacing w:after="200" w:line="276" w:lineRule="auto"/>
        <w:ind w:left="360"/>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lastRenderedPageBreak/>
        <w:t xml:space="preserve">Preparación y negociación de contratos y acuerdos con entidades privadas, gubernamentales, ONGs, multilaterales, Estados miembros, Observadores Permanentes, y/o otras entidades, tratando temas comerciales, de cooperación, observación electoral, subvenciones, proyectos específicos, becas, inmobiliarios, entre otros; </w:t>
      </w:r>
    </w:p>
    <w:p w14:paraId="559CCC0B" w14:textId="77777777" w:rsidR="00F1161B" w:rsidRPr="00B62815" w:rsidRDefault="00F1161B" w:rsidP="00E67635">
      <w:pPr>
        <w:numPr>
          <w:ilvl w:val="0"/>
          <w:numId w:val="66"/>
        </w:numPr>
        <w:spacing w:after="200" w:line="276" w:lineRule="auto"/>
        <w:ind w:left="360"/>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 xml:space="preserve">Aplicación, interpretación y asesoría sobre derecho internacional y derecho de los Estados miembros y normas de la SG referente a diversos asuntos (e.g., tributarios, auditorias, de propiedad intelectual, sobre privilegios e inmunidades, laborales y pensiones, etc.); </w:t>
      </w:r>
    </w:p>
    <w:p w14:paraId="7B4C9F6E" w14:textId="77777777" w:rsidR="00F1161B" w:rsidRPr="00B62815" w:rsidRDefault="00F1161B" w:rsidP="00E67635">
      <w:pPr>
        <w:numPr>
          <w:ilvl w:val="0"/>
          <w:numId w:val="66"/>
        </w:numPr>
        <w:spacing w:after="200" w:line="276" w:lineRule="auto"/>
        <w:ind w:left="360"/>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 xml:space="preserve">Representación legal en controversias extrajudiciales, incluyendo negociaciones, investigaciones especiales, arbitraje internacional, otros foros judiciales, y frente el Tribunal Administrativo; </w:t>
      </w:r>
    </w:p>
    <w:p w14:paraId="458D2C35" w14:textId="77777777" w:rsidR="00F1161B" w:rsidRPr="00B62815" w:rsidRDefault="00F1161B" w:rsidP="00E67635">
      <w:pPr>
        <w:numPr>
          <w:ilvl w:val="0"/>
          <w:numId w:val="66"/>
        </w:numPr>
        <w:spacing w:after="200" w:line="276" w:lineRule="auto"/>
        <w:ind w:left="360"/>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Elaboración y asesoría sobre normas de la SG tales como órdenes ejecutivas, memorandos administrativos, directivas, etc.; y</w:t>
      </w:r>
    </w:p>
    <w:p w14:paraId="53E5C0CC" w14:textId="77777777" w:rsidR="00F1161B" w:rsidRPr="00B62815" w:rsidRDefault="00F1161B" w:rsidP="00E67635">
      <w:pPr>
        <w:numPr>
          <w:ilvl w:val="0"/>
          <w:numId w:val="66"/>
        </w:numPr>
        <w:spacing w:line="276" w:lineRule="auto"/>
        <w:ind w:left="360"/>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Conducción, participación y asesoría de investigaciones internas, apoyando – por ejemplo – a la Oficina del Inspector General y a la Oficina del Ombudsperson.</w:t>
      </w:r>
    </w:p>
    <w:p w14:paraId="30224041" w14:textId="77777777" w:rsidR="00F1161B" w:rsidRPr="00B62815" w:rsidRDefault="00F1161B" w:rsidP="00081B28">
      <w:pPr>
        <w:jc w:val="both"/>
        <w:rPr>
          <w:rFonts w:asciiTheme="minorHAnsi" w:eastAsia="Calibri" w:hAnsiTheme="minorHAnsi" w:cstheme="minorHAnsi"/>
          <w:sz w:val="22"/>
          <w:szCs w:val="22"/>
          <w:lang w:val="es-ES"/>
        </w:rPr>
      </w:pPr>
    </w:p>
    <w:p w14:paraId="2D07D7E7" w14:textId="77777777" w:rsidR="00F1161B" w:rsidRPr="00B62815" w:rsidRDefault="00F1161B" w:rsidP="00081B28">
      <w:p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Ejemplos de logros:</w:t>
      </w:r>
    </w:p>
    <w:p w14:paraId="20F28E0A" w14:textId="77777777" w:rsidR="00F1161B" w:rsidRPr="00B62815" w:rsidRDefault="00F1161B" w:rsidP="00081B28">
      <w:pPr>
        <w:jc w:val="both"/>
        <w:rPr>
          <w:rFonts w:asciiTheme="minorHAnsi" w:eastAsia="Calibri" w:hAnsiTheme="minorHAnsi" w:cstheme="minorHAnsi"/>
          <w:sz w:val="22"/>
          <w:szCs w:val="22"/>
          <w:lang w:val="es-ES"/>
        </w:rPr>
      </w:pPr>
    </w:p>
    <w:p w14:paraId="143FD64D" w14:textId="77777777" w:rsidR="00F1161B" w:rsidRPr="00E56893" w:rsidRDefault="00F1161B" w:rsidP="00E56893">
      <w:pPr>
        <w:pStyle w:val="ListParagraph"/>
        <w:numPr>
          <w:ilvl w:val="0"/>
          <w:numId w:val="119"/>
        </w:numPr>
        <w:spacing w:after="200"/>
        <w:jc w:val="both"/>
        <w:rPr>
          <w:rFonts w:asciiTheme="minorHAnsi" w:eastAsia="Calibri" w:hAnsiTheme="minorHAnsi" w:cstheme="minorHAnsi"/>
          <w:sz w:val="22"/>
          <w:szCs w:val="22"/>
          <w:lang w:val="es-ES"/>
        </w:rPr>
      </w:pPr>
      <w:r w:rsidRPr="00E56893">
        <w:rPr>
          <w:rFonts w:asciiTheme="minorHAnsi" w:eastAsia="Calibri" w:hAnsiTheme="minorHAnsi" w:cstheme="minorHAnsi"/>
          <w:sz w:val="22"/>
          <w:szCs w:val="22"/>
          <w:lang w:val="es-ES"/>
        </w:rPr>
        <w:t xml:space="preserve">Asesoró en varios temas importantes y sensibles a la Misión de Apoyo contra la Corrupción e Impunidad en Honduras; a la Comisión Internacional Contra la Impunidad de El Salvador; al Comité Administrativo del Plan 401(m) de la OEA; al Fondo Fiduciario de Beneficios Médicos de la SG/OEA; entre otros; y participó en diversos comités de la Organización. </w:t>
      </w:r>
    </w:p>
    <w:p w14:paraId="700CF214" w14:textId="77777777" w:rsidR="00F1161B" w:rsidRPr="00E56893" w:rsidRDefault="00F1161B" w:rsidP="00E56893">
      <w:pPr>
        <w:pStyle w:val="ListParagraph"/>
        <w:numPr>
          <w:ilvl w:val="0"/>
          <w:numId w:val="119"/>
        </w:numPr>
        <w:spacing w:after="200"/>
        <w:jc w:val="both"/>
        <w:rPr>
          <w:rFonts w:asciiTheme="minorHAnsi" w:eastAsia="Calibri" w:hAnsiTheme="minorHAnsi" w:cstheme="minorHAnsi"/>
          <w:sz w:val="22"/>
          <w:szCs w:val="22"/>
          <w:lang w:val="es-ES"/>
        </w:rPr>
      </w:pPr>
      <w:r w:rsidRPr="00E56893">
        <w:rPr>
          <w:rFonts w:asciiTheme="minorHAnsi" w:eastAsia="Calibri" w:hAnsiTheme="minorHAnsi" w:cstheme="minorHAnsi"/>
          <w:sz w:val="22"/>
          <w:szCs w:val="22"/>
          <w:lang w:val="es-ES"/>
        </w:rPr>
        <w:t>Colaboró con el Inspector General en varios asuntos e investigaciones.</w:t>
      </w:r>
    </w:p>
    <w:p w14:paraId="3BAFEC9E" w14:textId="77777777" w:rsidR="00F1161B" w:rsidRPr="00E56893" w:rsidRDefault="00F1161B" w:rsidP="00E56893">
      <w:pPr>
        <w:pStyle w:val="ListParagraph"/>
        <w:numPr>
          <w:ilvl w:val="0"/>
          <w:numId w:val="119"/>
        </w:numPr>
        <w:spacing w:after="200"/>
        <w:jc w:val="both"/>
        <w:rPr>
          <w:rFonts w:asciiTheme="minorHAnsi" w:eastAsia="Calibri" w:hAnsiTheme="minorHAnsi" w:cstheme="minorHAnsi"/>
          <w:sz w:val="22"/>
          <w:szCs w:val="22"/>
          <w:lang w:val="es-ES"/>
        </w:rPr>
      </w:pPr>
      <w:r w:rsidRPr="00E56893">
        <w:rPr>
          <w:rFonts w:asciiTheme="minorHAnsi" w:eastAsia="Calibri" w:hAnsiTheme="minorHAnsi" w:cstheme="minorHAnsi"/>
          <w:sz w:val="22"/>
          <w:szCs w:val="22"/>
          <w:lang w:val="es-ES"/>
        </w:rPr>
        <w:t>Participó y/o apoyó a las misiones de observación electorales como Especialista Legal en El Salvador y Guatemala; redactó documentos y participó en negociación y evaluación de misiones especiales.</w:t>
      </w:r>
    </w:p>
    <w:p w14:paraId="67152CE8" w14:textId="77777777" w:rsidR="00F1161B" w:rsidRPr="00E56893" w:rsidRDefault="00F1161B" w:rsidP="00E56893">
      <w:pPr>
        <w:pStyle w:val="ListParagraph"/>
        <w:numPr>
          <w:ilvl w:val="0"/>
          <w:numId w:val="119"/>
        </w:numPr>
        <w:spacing w:after="200"/>
        <w:jc w:val="both"/>
        <w:rPr>
          <w:rFonts w:asciiTheme="minorHAnsi" w:eastAsia="Calibri" w:hAnsiTheme="minorHAnsi" w:cstheme="minorHAnsi"/>
          <w:sz w:val="22"/>
          <w:szCs w:val="22"/>
          <w:lang w:val="es-ES"/>
        </w:rPr>
      </w:pPr>
      <w:r w:rsidRPr="00E56893">
        <w:rPr>
          <w:rFonts w:asciiTheme="minorHAnsi" w:eastAsia="Calibri" w:hAnsiTheme="minorHAnsi" w:cstheme="minorHAnsi"/>
          <w:sz w:val="22"/>
          <w:szCs w:val="22"/>
          <w:lang w:val="es-ES"/>
        </w:rPr>
        <w:lastRenderedPageBreak/>
        <w:t xml:space="preserve">Apoyó a la CITEL en su última Reunión del Comité Directivo Permanente. </w:t>
      </w:r>
    </w:p>
    <w:p w14:paraId="3268B35F" w14:textId="77777777" w:rsidR="00F1161B" w:rsidRPr="00E56893" w:rsidRDefault="00F1161B" w:rsidP="00E56893">
      <w:pPr>
        <w:pStyle w:val="ListParagraph"/>
        <w:numPr>
          <w:ilvl w:val="0"/>
          <w:numId w:val="119"/>
        </w:numPr>
        <w:spacing w:after="200"/>
        <w:jc w:val="both"/>
        <w:rPr>
          <w:rFonts w:asciiTheme="minorHAnsi" w:eastAsia="Calibri" w:hAnsiTheme="minorHAnsi" w:cstheme="minorHAnsi"/>
          <w:sz w:val="22"/>
          <w:szCs w:val="22"/>
          <w:lang w:val="es-ES"/>
        </w:rPr>
      </w:pPr>
      <w:r w:rsidRPr="00E56893">
        <w:rPr>
          <w:rFonts w:asciiTheme="minorHAnsi" w:eastAsia="Calibri" w:hAnsiTheme="minorHAnsi" w:cstheme="minorHAnsi"/>
          <w:sz w:val="22"/>
          <w:szCs w:val="22"/>
          <w:lang w:val="es-ES"/>
        </w:rPr>
        <w:t>Asesoró a la SAF, CAAP y a sus grupos de trabajo en asuntos administrativos, presupuestarios y procesales.</w:t>
      </w:r>
    </w:p>
    <w:p w14:paraId="75B61D59" w14:textId="77777777" w:rsidR="00F1161B" w:rsidRPr="00E56893" w:rsidRDefault="00F1161B" w:rsidP="00E56893">
      <w:pPr>
        <w:pStyle w:val="ListParagraph"/>
        <w:numPr>
          <w:ilvl w:val="0"/>
          <w:numId w:val="119"/>
        </w:numPr>
        <w:spacing w:after="200"/>
        <w:jc w:val="both"/>
        <w:rPr>
          <w:rFonts w:asciiTheme="minorHAnsi" w:eastAsia="Calibri" w:hAnsiTheme="minorHAnsi" w:cstheme="minorHAnsi"/>
          <w:sz w:val="22"/>
          <w:szCs w:val="22"/>
          <w:lang w:val="es-ES"/>
        </w:rPr>
      </w:pPr>
      <w:r w:rsidRPr="00E56893">
        <w:rPr>
          <w:rFonts w:asciiTheme="minorHAnsi" w:eastAsia="Calibri" w:hAnsiTheme="minorHAnsi" w:cstheme="minorHAnsi"/>
          <w:sz w:val="22"/>
          <w:szCs w:val="22"/>
          <w:lang w:val="es-ES"/>
        </w:rPr>
        <w:t>Elaboró proyectos para la implementación de la Política Institucional de Igualdad de Género, Diversidad y Derechos Humanos de la SG.</w:t>
      </w:r>
    </w:p>
    <w:p w14:paraId="6690D75D" w14:textId="77777777" w:rsidR="005229AA" w:rsidRPr="00B62815" w:rsidRDefault="005229AA" w:rsidP="00F1161B">
      <w:pPr>
        <w:spacing w:after="200"/>
        <w:jc w:val="both"/>
        <w:rPr>
          <w:rFonts w:asciiTheme="minorHAnsi" w:eastAsia="Calibri" w:hAnsiTheme="minorHAnsi" w:cstheme="minorHAnsi"/>
          <w:sz w:val="22"/>
          <w:szCs w:val="22"/>
          <w:lang w:val="es-ES"/>
        </w:rPr>
      </w:pPr>
    </w:p>
    <w:p w14:paraId="5DA30AB0" w14:textId="77777777" w:rsidR="008646CD" w:rsidRPr="00B62815" w:rsidRDefault="00C329E8" w:rsidP="00E67635">
      <w:pPr>
        <w:pStyle w:val="ListParagraph"/>
        <w:numPr>
          <w:ilvl w:val="1"/>
          <w:numId w:val="69"/>
        </w:numPr>
        <w:tabs>
          <w:tab w:val="left" w:pos="990"/>
        </w:tabs>
        <w:ind w:left="360"/>
        <w:contextualSpacing/>
        <w:outlineLvl w:val="1"/>
        <w:rPr>
          <w:rFonts w:asciiTheme="minorHAnsi" w:hAnsiTheme="minorHAnsi" w:cstheme="minorHAnsi"/>
          <w:b/>
          <w:color w:val="1F497D"/>
          <w:sz w:val="22"/>
          <w:szCs w:val="22"/>
          <w:lang w:val="es-ES"/>
        </w:rPr>
      </w:pPr>
      <w:bookmarkStart w:id="69" w:name="_Toc39675850"/>
      <w:bookmarkStart w:id="70" w:name="_Toc40191073"/>
      <w:r w:rsidRPr="00B62815">
        <w:rPr>
          <w:rFonts w:asciiTheme="minorHAnsi" w:hAnsiTheme="minorHAnsi" w:cstheme="minorHAnsi"/>
          <w:b/>
          <w:color w:val="1F497D"/>
          <w:sz w:val="22"/>
          <w:szCs w:val="22"/>
          <w:lang w:val="es-ES"/>
        </w:rPr>
        <w:t>SECRETARÍA DE ACCESO A DERECHOS Y EQUIDAD</w:t>
      </w:r>
      <w:bookmarkEnd w:id="69"/>
      <w:bookmarkEnd w:id="70"/>
    </w:p>
    <w:p w14:paraId="52DDDE19" w14:textId="77777777" w:rsidR="00081B28" w:rsidRPr="00B62815" w:rsidRDefault="00081B28" w:rsidP="00081B28">
      <w:pPr>
        <w:pStyle w:val="ListParagraph"/>
        <w:ind w:left="0"/>
        <w:contextualSpacing/>
        <w:outlineLvl w:val="1"/>
        <w:rPr>
          <w:rFonts w:asciiTheme="minorHAnsi" w:hAnsiTheme="minorHAnsi" w:cstheme="minorHAnsi"/>
          <w:b/>
          <w:color w:val="1F497D"/>
          <w:sz w:val="22"/>
          <w:szCs w:val="22"/>
          <w:lang w:val="es-ES"/>
        </w:rPr>
      </w:pPr>
    </w:p>
    <w:p w14:paraId="249E4EF5" w14:textId="77777777" w:rsidR="00081B28" w:rsidRPr="00B62815" w:rsidRDefault="00081B28" w:rsidP="00081B28">
      <w:pPr>
        <w:pStyle w:val="Default"/>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La Secretaría</w:t>
      </w:r>
      <w:r w:rsidRPr="00B62815">
        <w:rPr>
          <w:rFonts w:asciiTheme="minorHAnsi" w:eastAsia="Calibri" w:hAnsiTheme="minorHAnsi" w:cstheme="minorHAnsi"/>
          <w:sz w:val="22"/>
          <w:szCs w:val="22"/>
          <w:lang w:val="es-ES_tradnl"/>
        </w:rPr>
        <w:t xml:space="preserve"> de </w:t>
      </w:r>
      <w:r w:rsidRPr="00B62815">
        <w:rPr>
          <w:rFonts w:asciiTheme="minorHAnsi" w:hAnsiTheme="minorHAnsi" w:cstheme="minorHAnsi"/>
          <w:sz w:val="22"/>
          <w:szCs w:val="22"/>
          <w:lang w:val="es-ES_tradnl"/>
        </w:rPr>
        <w:t xml:space="preserve">Acceso a Derechos y Equidad, durante el año 2019, continuó trabajando hacia la consolidación del </w:t>
      </w:r>
      <w:r w:rsidRPr="00B62815">
        <w:rPr>
          <w:rFonts w:asciiTheme="minorHAnsi" w:hAnsiTheme="minorHAnsi" w:cstheme="minorHAnsi"/>
          <w:bCs/>
          <w:sz w:val="22"/>
          <w:szCs w:val="22"/>
          <w:lang w:val="es-ES_tradnl"/>
        </w:rPr>
        <w:t xml:space="preserve">Marco Integral Regional para la Protección y Soluciones (MIRPS) </w:t>
      </w:r>
      <w:r w:rsidRPr="00B62815">
        <w:rPr>
          <w:rFonts w:asciiTheme="minorHAnsi" w:hAnsiTheme="minorHAnsi" w:cstheme="minorHAnsi"/>
          <w:sz w:val="22"/>
          <w:szCs w:val="22"/>
          <w:lang w:val="es-ES_tradnl"/>
        </w:rPr>
        <w:t xml:space="preserve">para las personas refugiadas y desplazadas de Centroamérica y México y entre los principales logros alcanzados en el 2019 se encuentran la elaboración y presentación del Plan Estratégico de la SARE 2020-2021, el aumento de la participación de la sociedad civil en las actividades de la OEA y el fortalecimiento del Servicio Nacional de Facilitadores Judiciales. </w:t>
      </w:r>
    </w:p>
    <w:p w14:paraId="6847D9BA" w14:textId="77777777" w:rsidR="00081B28" w:rsidRPr="00B62815" w:rsidRDefault="00081B28" w:rsidP="00081B28">
      <w:pPr>
        <w:pStyle w:val="Default"/>
        <w:jc w:val="both"/>
        <w:rPr>
          <w:rFonts w:asciiTheme="minorHAnsi" w:hAnsiTheme="minorHAnsi" w:cstheme="minorHAnsi"/>
          <w:sz w:val="22"/>
          <w:szCs w:val="22"/>
          <w:lang w:val="es-ES_tradnl"/>
        </w:rPr>
      </w:pPr>
    </w:p>
    <w:p w14:paraId="2778B4C6" w14:textId="77777777" w:rsidR="00081B28" w:rsidRPr="00B62815" w:rsidRDefault="00081B28" w:rsidP="00081B28">
      <w:pPr>
        <w:pStyle w:val="Default"/>
        <w:jc w:val="both"/>
        <w:rPr>
          <w:rFonts w:asciiTheme="minorHAnsi" w:hAnsiTheme="minorHAnsi" w:cstheme="minorHAnsi"/>
          <w:b/>
          <w:sz w:val="22"/>
          <w:szCs w:val="22"/>
          <w:lang w:val="es-ES_tradnl"/>
        </w:rPr>
      </w:pPr>
      <w:r w:rsidRPr="00B62815">
        <w:rPr>
          <w:rFonts w:asciiTheme="minorHAnsi" w:hAnsiTheme="minorHAnsi" w:cstheme="minorHAnsi"/>
          <w:b/>
          <w:sz w:val="22"/>
          <w:szCs w:val="22"/>
          <w:lang w:val="es-ES_tradnl"/>
        </w:rPr>
        <w:t>Programa para la promoción y ampliación de la participación de la sociedad civil en las actividades de la OEA</w:t>
      </w:r>
    </w:p>
    <w:p w14:paraId="5CBBE19A" w14:textId="77777777" w:rsidR="00081B28" w:rsidRPr="00B62815" w:rsidRDefault="00081B28" w:rsidP="00E67635">
      <w:pPr>
        <w:pStyle w:val="ListParagraph"/>
        <w:numPr>
          <w:ilvl w:val="0"/>
          <w:numId w:val="67"/>
        </w:num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Aumento en un 143% de la participación de representantes de la sociedad civil en la 49ª Asamblea General de la OEA comparado con la Asamblea General anterior y el número de </w:t>
      </w:r>
      <w:r w:rsidRPr="00B62815">
        <w:rPr>
          <w:rFonts w:asciiTheme="minorHAnsi" w:hAnsiTheme="minorHAnsi" w:cstheme="minorHAnsi"/>
          <w:sz w:val="22"/>
          <w:szCs w:val="22"/>
          <w:lang w:val="es-ES_tradnl"/>
        </w:rPr>
        <w:t xml:space="preserve">organizaciones de la sociedad civil (OSC) </w:t>
      </w:r>
      <w:r w:rsidRPr="00B62815">
        <w:rPr>
          <w:rFonts w:asciiTheme="minorHAnsi" w:hAnsiTheme="minorHAnsi" w:cstheme="minorHAnsi"/>
          <w:sz w:val="22"/>
          <w:szCs w:val="22"/>
          <w:lang w:val="es-US"/>
        </w:rPr>
        <w:t xml:space="preserve">que asistieron a la Asamblea aumentó en un 120%.  </w:t>
      </w:r>
    </w:p>
    <w:p w14:paraId="2ECAAA56" w14:textId="77777777" w:rsidR="00081B28" w:rsidRPr="00B62815" w:rsidRDefault="00081B28" w:rsidP="00E67635">
      <w:pPr>
        <w:pStyle w:val="Default"/>
        <w:numPr>
          <w:ilvl w:val="0"/>
          <w:numId w:val="67"/>
        </w:num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Aumento del 204% en la participación de representantes de Pueblos Indígenas y Comunidades Afrodescendientes en la sesión ordinaria de la Asamblea General en 2019, con un número total de 64 participantes comparado con 21 el año anterior.</w:t>
      </w:r>
    </w:p>
    <w:p w14:paraId="2FF57378" w14:textId="77777777" w:rsidR="00081B28" w:rsidRPr="00B62815" w:rsidRDefault="00081B28" w:rsidP="00E67635">
      <w:pPr>
        <w:pStyle w:val="Default"/>
        <w:numPr>
          <w:ilvl w:val="0"/>
          <w:numId w:val="67"/>
        </w:numPr>
        <w:jc w:val="both"/>
        <w:rPr>
          <w:rFonts w:asciiTheme="minorHAnsi" w:hAnsiTheme="minorHAnsi" w:cstheme="minorHAnsi"/>
          <w:sz w:val="22"/>
          <w:szCs w:val="22"/>
          <w:lang w:val="es-US"/>
        </w:rPr>
      </w:pPr>
      <w:r w:rsidRPr="00B62815">
        <w:rPr>
          <w:rFonts w:asciiTheme="minorHAnsi" w:eastAsia="Calibri" w:hAnsiTheme="minorHAnsi" w:cstheme="minorHAnsi"/>
          <w:sz w:val="22"/>
          <w:szCs w:val="22"/>
          <w:lang w:val="es-ES_tradnl"/>
        </w:rPr>
        <w:t xml:space="preserve">55 nuevas </w:t>
      </w:r>
      <w:r w:rsidRPr="00B62815">
        <w:rPr>
          <w:rFonts w:asciiTheme="minorHAnsi" w:hAnsiTheme="minorHAnsi" w:cstheme="minorHAnsi"/>
          <w:sz w:val="22"/>
          <w:szCs w:val="22"/>
          <w:lang w:val="es-US"/>
        </w:rPr>
        <w:t>solicitudes de inscripción al registro de OSCs de la OEA y en proceso de registro.</w:t>
      </w:r>
    </w:p>
    <w:p w14:paraId="765B8E58" w14:textId="77777777" w:rsidR="00081B28" w:rsidRPr="00B62815" w:rsidRDefault="00081B28" w:rsidP="00E67635">
      <w:pPr>
        <w:pStyle w:val="ListParagraph"/>
        <w:numPr>
          <w:ilvl w:val="0"/>
          <w:numId w:val="67"/>
        </w:num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27 nuevas OSC registradas en la OEA, que ahora asciende de 542 a 569 el número de OSC registradas. </w:t>
      </w:r>
    </w:p>
    <w:p w14:paraId="3170B850" w14:textId="77777777" w:rsidR="00081B28" w:rsidRPr="00B62815" w:rsidRDefault="00081B28" w:rsidP="00E67635">
      <w:pPr>
        <w:pStyle w:val="ListParagraph"/>
        <w:numPr>
          <w:ilvl w:val="0"/>
          <w:numId w:val="67"/>
        </w:num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lastRenderedPageBreak/>
        <w:t>33 coaliciones permanentes organizadas entre grupos de organizaciones y actores con posturas afines.</w:t>
      </w:r>
    </w:p>
    <w:p w14:paraId="4C5B8FBB" w14:textId="77777777" w:rsidR="00081B28" w:rsidRPr="00B62815" w:rsidRDefault="00081B28" w:rsidP="00081B28">
      <w:pPr>
        <w:pStyle w:val="ListParagraph"/>
        <w:jc w:val="both"/>
        <w:rPr>
          <w:rFonts w:asciiTheme="minorHAnsi" w:hAnsiTheme="minorHAnsi" w:cstheme="minorHAnsi"/>
          <w:sz w:val="22"/>
          <w:szCs w:val="22"/>
          <w:lang w:val="es-US"/>
        </w:rPr>
      </w:pPr>
    </w:p>
    <w:p w14:paraId="6FA5DB63" w14:textId="77777777" w:rsidR="00081B28" w:rsidRPr="00B62815" w:rsidRDefault="001C2CF3" w:rsidP="00081B28">
      <w:pPr>
        <w:pStyle w:val="Default"/>
        <w:jc w:val="both"/>
        <w:rPr>
          <w:rFonts w:asciiTheme="minorHAnsi" w:hAnsiTheme="minorHAnsi" w:cstheme="minorHAnsi"/>
          <w:sz w:val="22"/>
          <w:szCs w:val="22"/>
          <w:lang w:val="es-ES_tradnl"/>
        </w:rPr>
      </w:pPr>
      <w:r w:rsidRPr="00B62815">
        <w:rPr>
          <w:rFonts w:asciiTheme="minorHAnsi" w:hAnsiTheme="minorHAnsi" w:cstheme="minorHAnsi"/>
          <w:noProof/>
          <w:sz w:val="22"/>
          <w:szCs w:val="22"/>
        </w:rPr>
        <w:drawing>
          <wp:inline distT="0" distB="0" distL="0" distR="0" wp14:anchorId="52BC3627" wp14:editId="19766776">
            <wp:extent cx="3869055" cy="2581275"/>
            <wp:effectExtent l="0" t="0" r="0" b="0"/>
            <wp:docPr id="13" name="Picture 1" descr="48135213917_21d2e14a2d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135213917_21d2e14a2d_c"/>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869055" cy="2581275"/>
                    </a:xfrm>
                    <a:prstGeom prst="rect">
                      <a:avLst/>
                    </a:prstGeom>
                    <a:noFill/>
                    <a:ln>
                      <a:noFill/>
                    </a:ln>
                  </pic:spPr>
                </pic:pic>
              </a:graphicData>
            </a:graphic>
          </wp:inline>
        </w:drawing>
      </w:r>
    </w:p>
    <w:p w14:paraId="48DE58BB" w14:textId="77777777" w:rsidR="00081B28" w:rsidRPr="00B62815" w:rsidRDefault="00081B28" w:rsidP="00081B28">
      <w:pPr>
        <w:pStyle w:val="Default"/>
        <w:jc w:val="both"/>
        <w:rPr>
          <w:rFonts w:asciiTheme="minorHAnsi" w:hAnsiTheme="minorHAnsi" w:cstheme="minorHAnsi"/>
          <w:iCs/>
          <w:sz w:val="22"/>
          <w:szCs w:val="22"/>
          <w:lang w:val="es-ES"/>
        </w:rPr>
      </w:pPr>
    </w:p>
    <w:p w14:paraId="14FEC9D7" w14:textId="77777777" w:rsidR="00081B28" w:rsidRPr="00B62815" w:rsidRDefault="00081B28" w:rsidP="00081B28">
      <w:pPr>
        <w:pStyle w:val="Default"/>
        <w:jc w:val="both"/>
        <w:rPr>
          <w:rFonts w:asciiTheme="minorHAnsi" w:hAnsiTheme="minorHAnsi" w:cstheme="minorHAnsi"/>
          <w:sz w:val="22"/>
          <w:szCs w:val="22"/>
          <w:lang w:val="es-ES_tradnl"/>
        </w:rPr>
      </w:pPr>
      <w:r w:rsidRPr="00B62815">
        <w:rPr>
          <w:rFonts w:asciiTheme="minorHAnsi" w:hAnsiTheme="minorHAnsi" w:cstheme="minorHAnsi"/>
          <w:iCs/>
          <w:sz w:val="22"/>
          <w:szCs w:val="22"/>
          <w:lang w:val="es-ES"/>
        </w:rPr>
        <w:t>Diálogo entre los Jefes de Delegación y el Secretario General con los representantes de la sociedad civil y otros actores sociales</w:t>
      </w:r>
    </w:p>
    <w:p w14:paraId="0D91F0A9" w14:textId="77777777" w:rsidR="00081B28" w:rsidRPr="00B62815" w:rsidRDefault="00081B28" w:rsidP="00081B28">
      <w:pPr>
        <w:pStyle w:val="Default"/>
        <w:rPr>
          <w:rFonts w:asciiTheme="minorHAnsi" w:hAnsiTheme="minorHAnsi" w:cstheme="minorHAnsi"/>
          <w:color w:val="auto"/>
          <w:sz w:val="22"/>
          <w:szCs w:val="22"/>
          <w:lang w:val="es-ES_tradnl"/>
        </w:rPr>
      </w:pPr>
    </w:p>
    <w:p w14:paraId="32CA35AC" w14:textId="77777777" w:rsidR="00081B28" w:rsidRPr="00EB718B" w:rsidRDefault="00081B28" w:rsidP="00081B28">
      <w:pPr>
        <w:pStyle w:val="Default"/>
        <w:rPr>
          <w:rFonts w:asciiTheme="minorHAnsi" w:hAnsiTheme="minorHAnsi" w:cstheme="minorHAnsi"/>
          <w:color w:val="auto"/>
          <w:sz w:val="22"/>
          <w:szCs w:val="22"/>
          <w:lang w:val="fr-FR"/>
        </w:rPr>
      </w:pPr>
      <w:r w:rsidRPr="00EB718B">
        <w:rPr>
          <w:rFonts w:asciiTheme="minorHAnsi" w:hAnsiTheme="minorHAnsi" w:cstheme="minorHAnsi"/>
          <w:color w:val="auto"/>
          <w:sz w:val="22"/>
          <w:szCs w:val="22"/>
          <w:lang w:val="fr-FR"/>
        </w:rPr>
        <w:t xml:space="preserve">Enlaces: </w:t>
      </w:r>
    </w:p>
    <w:p w14:paraId="1279DCC2" w14:textId="77777777" w:rsidR="00081B28" w:rsidRPr="00EB718B" w:rsidRDefault="00573283" w:rsidP="00081B28">
      <w:pPr>
        <w:pStyle w:val="Default"/>
        <w:rPr>
          <w:rFonts w:asciiTheme="minorHAnsi" w:hAnsiTheme="minorHAnsi" w:cstheme="minorHAnsi"/>
          <w:color w:val="auto"/>
          <w:sz w:val="22"/>
          <w:szCs w:val="22"/>
          <w:lang w:val="fr-FR"/>
        </w:rPr>
      </w:pPr>
      <w:hyperlink r:id="rId100" w:history="1">
        <w:r w:rsidR="00081B28" w:rsidRPr="00EB718B">
          <w:rPr>
            <w:rStyle w:val="Hyperlink"/>
            <w:rFonts w:asciiTheme="minorHAnsi" w:hAnsiTheme="minorHAnsi" w:cstheme="minorHAnsi"/>
            <w:sz w:val="22"/>
            <w:szCs w:val="22"/>
            <w:lang w:val="fr-FR"/>
          </w:rPr>
          <w:t>http://www.oas.org/es/sadye/sociedad-civil/</w:t>
        </w:r>
      </w:hyperlink>
      <w:r w:rsidR="00081B28" w:rsidRPr="00EB718B">
        <w:rPr>
          <w:rFonts w:asciiTheme="minorHAnsi" w:hAnsiTheme="minorHAnsi" w:cstheme="minorHAnsi"/>
          <w:sz w:val="22"/>
          <w:szCs w:val="22"/>
          <w:lang w:val="fr-FR"/>
        </w:rPr>
        <w:t xml:space="preserve"> </w:t>
      </w:r>
      <w:r w:rsidR="00081B28" w:rsidRPr="00EB718B">
        <w:rPr>
          <w:rFonts w:asciiTheme="minorHAnsi" w:hAnsiTheme="minorHAnsi" w:cstheme="minorHAnsi"/>
          <w:color w:val="auto"/>
          <w:sz w:val="22"/>
          <w:szCs w:val="22"/>
          <w:lang w:val="fr-FR"/>
        </w:rPr>
        <w:t xml:space="preserve">  </w:t>
      </w:r>
    </w:p>
    <w:p w14:paraId="6816A6B6" w14:textId="77777777" w:rsidR="00081B28" w:rsidRPr="00EB718B" w:rsidRDefault="00081B28" w:rsidP="00081B28">
      <w:pPr>
        <w:pStyle w:val="Default"/>
        <w:spacing w:after="30"/>
        <w:rPr>
          <w:rFonts w:asciiTheme="minorHAnsi" w:hAnsiTheme="minorHAnsi" w:cstheme="minorHAnsi"/>
          <w:color w:val="auto"/>
          <w:sz w:val="22"/>
          <w:szCs w:val="22"/>
          <w:lang w:val="fr-FR"/>
        </w:rPr>
      </w:pPr>
    </w:p>
    <w:p w14:paraId="480682B6" w14:textId="77777777" w:rsidR="005229AA" w:rsidRPr="00EB718B" w:rsidRDefault="005229AA" w:rsidP="00081B28">
      <w:pPr>
        <w:pStyle w:val="Default"/>
        <w:jc w:val="both"/>
        <w:rPr>
          <w:rFonts w:asciiTheme="minorHAnsi" w:hAnsiTheme="minorHAnsi" w:cstheme="minorHAnsi"/>
          <w:b/>
          <w:sz w:val="22"/>
          <w:szCs w:val="22"/>
          <w:lang w:val="fr-FR"/>
        </w:rPr>
      </w:pPr>
    </w:p>
    <w:p w14:paraId="3CD15DDA" w14:textId="77777777" w:rsidR="00081B28" w:rsidRPr="00B62815" w:rsidRDefault="00081B28" w:rsidP="00081B28">
      <w:pPr>
        <w:pStyle w:val="Default"/>
        <w:jc w:val="both"/>
        <w:rPr>
          <w:rFonts w:asciiTheme="minorHAnsi" w:hAnsiTheme="minorHAnsi" w:cstheme="minorHAnsi"/>
          <w:b/>
          <w:sz w:val="22"/>
          <w:szCs w:val="22"/>
          <w:lang w:val="es-ES_tradnl"/>
        </w:rPr>
      </w:pPr>
      <w:r w:rsidRPr="00B62815">
        <w:rPr>
          <w:rFonts w:asciiTheme="minorHAnsi" w:hAnsiTheme="minorHAnsi" w:cstheme="minorHAnsi"/>
          <w:b/>
          <w:sz w:val="22"/>
          <w:szCs w:val="22"/>
          <w:lang w:val="es-ES_tradnl"/>
        </w:rPr>
        <w:t>Programa Interamericano de Facilitadores Judiciales:</w:t>
      </w:r>
    </w:p>
    <w:p w14:paraId="470A56F3" w14:textId="77777777" w:rsidR="00081B28" w:rsidRPr="00B62815" w:rsidRDefault="00081B28" w:rsidP="00E67635">
      <w:pPr>
        <w:pStyle w:val="Default"/>
        <w:numPr>
          <w:ilvl w:val="0"/>
          <w:numId w:val="68"/>
        </w:numPr>
        <w:jc w:val="both"/>
        <w:rPr>
          <w:rFonts w:asciiTheme="minorHAnsi" w:eastAsia="Calibri" w:hAnsiTheme="minorHAnsi" w:cstheme="minorHAnsi"/>
          <w:color w:val="auto"/>
          <w:sz w:val="22"/>
          <w:szCs w:val="22"/>
          <w:lang w:val="es-US"/>
        </w:rPr>
      </w:pPr>
      <w:r w:rsidRPr="00B62815">
        <w:rPr>
          <w:rFonts w:asciiTheme="minorHAnsi" w:eastAsia="Calibri" w:hAnsiTheme="minorHAnsi" w:cstheme="minorHAnsi"/>
          <w:color w:val="auto"/>
          <w:sz w:val="22"/>
          <w:szCs w:val="22"/>
          <w:lang w:val="es-US"/>
        </w:rPr>
        <w:t>Apoyo brindado para la elaboración de un Manual de Buenas Prácticas sobre el Servicio Nacional de Facilitadores Judiciales (SNFJ) y de planes de acción nacionales para el programa.</w:t>
      </w:r>
    </w:p>
    <w:p w14:paraId="72B6918C" w14:textId="77777777" w:rsidR="00081B28" w:rsidRPr="00B62815" w:rsidRDefault="00081B28" w:rsidP="00E67635">
      <w:pPr>
        <w:pStyle w:val="Default"/>
        <w:numPr>
          <w:ilvl w:val="0"/>
          <w:numId w:val="68"/>
        </w:numPr>
        <w:jc w:val="both"/>
        <w:rPr>
          <w:rFonts w:asciiTheme="minorHAnsi" w:eastAsia="Calibri" w:hAnsiTheme="minorHAnsi" w:cstheme="minorHAnsi"/>
          <w:color w:val="auto"/>
          <w:sz w:val="22"/>
          <w:szCs w:val="22"/>
          <w:lang w:val="es-US"/>
        </w:rPr>
      </w:pPr>
      <w:r w:rsidRPr="00B62815">
        <w:rPr>
          <w:rFonts w:asciiTheme="minorHAnsi" w:eastAsia="Calibri" w:hAnsiTheme="minorHAnsi" w:cstheme="minorHAnsi"/>
          <w:color w:val="auto"/>
          <w:sz w:val="22"/>
          <w:szCs w:val="22"/>
          <w:lang w:val="es-US"/>
        </w:rPr>
        <w:lastRenderedPageBreak/>
        <w:t>Jueces, operadores de justicia y facilitadores judiciales aumentaros sus conocimientos sobre estrategias de comunicaciones para la provisión del SNFJ y políticas de continuidad durante el Primer Encuentro Interamericano del Servicio Nacional de Facilitadores Judiciales el 24 y 25 de septiembre, en San José, Costa Rica.</w:t>
      </w:r>
    </w:p>
    <w:p w14:paraId="60FAAFED" w14:textId="77777777" w:rsidR="00081B28" w:rsidRPr="00B62815" w:rsidRDefault="00081B28" w:rsidP="00081B28">
      <w:pPr>
        <w:pStyle w:val="Default"/>
        <w:rPr>
          <w:rFonts w:asciiTheme="minorHAnsi" w:hAnsiTheme="minorHAnsi" w:cstheme="minorHAnsi"/>
          <w:color w:val="auto"/>
          <w:sz w:val="22"/>
          <w:szCs w:val="22"/>
          <w:lang w:val="es-ES_tradnl"/>
        </w:rPr>
      </w:pPr>
    </w:p>
    <w:p w14:paraId="0C3C11E9" w14:textId="77777777" w:rsidR="00081B28" w:rsidRPr="00EB718B" w:rsidRDefault="00081B28" w:rsidP="00081B28">
      <w:pPr>
        <w:pStyle w:val="Default"/>
        <w:rPr>
          <w:rFonts w:asciiTheme="minorHAnsi" w:hAnsiTheme="minorHAnsi" w:cstheme="minorHAnsi"/>
          <w:color w:val="auto"/>
          <w:sz w:val="22"/>
          <w:szCs w:val="22"/>
          <w:lang w:val="fr-FR"/>
        </w:rPr>
      </w:pPr>
      <w:r w:rsidRPr="00EB718B">
        <w:rPr>
          <w:rFonts w:asciiTheme="minorHAnsi" w:hAnsiTheme="minorHAnsi" w:cstheme="minorHAnsi"/>
          <w:color w:val="auto"/>
          <w:sz w:val="22"/>
          <w:szCs w:val="22"/>
          <w:lang w:val="fr-FR"/>
        </w:rPr>
        <w:t xml:space="preserve">Enlaces: </w:t>
      </w:r>
    </w:p>
    <w:p w14:paraId="7787BFF4" w14:textId="77777777" w:rsidR="00081B28" w:rsidRPr="00EB718B" w:rsidRDefault="00573283" w:rsidP="00081B28">
      <w:pPr>
        <w:pStyle w:val="Default"/>
        <w:rPr>
          <w:rFonts w:asciiTheme="minorHAnsi" w:hAnsiTheme="minorHAnsi" w:cstheme="minorHAnsi"/>
          <w:color w:val="auto"/>
          <w:sz w:val="22"/>
          <w:szCs w:val="22"/>
          <w:lang w:val="fr-FR"/>
        </w:rPr>
      </w:pPr>
      <w:hyperlink r:id="rId101" w:history="1">
        <w:r w:rsidR="00081B28" w:rsidRPr="00EB718B">
          <w:rPr>
            <w:rStyle w:val="Hyperlink"/>
            <w:rFonts w:asciiTheme="minorHAnsi" w:hAnsiTheme="minorHAnsi" w:cstheme="minorHAnsi"/>
            <w:sz w:val="22"/>
            <w:szCs w:val="22"/>
            <w:lang w:val="fr-FR"/>
          </w:rPr>
          <w:t>http://www.oas.org/es/sadye/acceso-justicia/</w:t>
        </w:r>
      </w:hyperlink>
      <w:r w:rsidR="00081B28" w:rsidRPr="00EB718B">
        <w:rPr>
          <w:rFonts w:asciiTheme="minorHAnsi" w:hAnsiTheme="minorHAnsi" w:cstheme="minorHAnsi"/>
          <w:sz w:val="22"/>
          <w:szCs w:val="22"/>
          <w:lang w:val="fr-FR"/>
        </w:rPr>
        <w:t xml:space="preserve"> </w:t>
      </w:r>
    </w:p>
    <w:p w14:paraId="2DDBE934" w14:textId="77777777" w:rsidR="000B28CF" w:rsidRPr="00EB718B" w:rsidRDefault="000B28CF" w:rsidP="000B28CF">
      <w:pPr>
        <w:pStyle w:val="ListParagraph"/>
        <w:contextualSpacing/>
        <w:rPr>
          <w:rFonts w:asciiTheme="minorHAnsi" w:hAnsiTheme="minorHAnsi" w:cstheme="minorHAnsi"/>
          <w:b/>
          <w:sz w:val="22"/>
          <w:szCs w:val="22"/>
          <w:lang w:val="fr-FR"/>
        </w:rPr>
      </w:pPr>
    </w:p>
    <w:p w14:paraId="688E4994" w14:textId="77777777" w:rsidR="0067265F" w:rsidRPr="00EB718B" w:rsidRDefault="0067265F" w:rsidP="0067265F">
      <w:pPr>
        <w:pStyle w:val="ListParagraph"/>
        <w:spacing w:after="200" w:line="276" w:lineRule="auto"/>
        <w:ind w:left="0"/>
        <w:contextualSpacing/>
        <w:rPr>
          <w:rFonts w:asciiTheme="minorHAnsi" w:hAnsiTheme="minorHAnsi" w:cstheme="minorHAnsi"/>
          <w:sz w:val="22"/>
          <w:szCs w:val="22"/>
          <w:lang w:val="fr-FR"/>
        </w:rPr>
      </w:pPr>
    </w:p>
    <w:p w14:paraId="35A99CDD" w14:textId="77777777" w:rsidR="0067265F" w:rsidRPr="00B62815" w:rsidRDefault="0067265F" w:rsidP="00CE4125">
      <w:pPr>
        <w:pStyle w:val="ListParagraph"/>
        <w:spacing w:after="200" w:line="276" w:lineRule="auto"/>
        <w:ind w:left="0"/>
        <w:contextualSpacing/>
        <w:outlineLvl w:val="2"/>
        <w:rPr>
          <w:rFonts w:asciiTheme="minorHAnsi" w:hAnsiTheme="minorHAnsi" w:cstheme="minorHAnsi"/>
          <w:color w:val="E36C0A"/>
          <w:sz w:val="22"/>
          <w:szCs w:val="22"/>
          <w:lang w:val="es-ES"/>
        </w:rPr>
      </w:pPr>
      <w:bookmarkStart w:id="71" w:name="_Toc39675851"/>
      <w:bookmarkStart w:id="72" w:name="_Toc40191074"/>
      <w:r w:rsidRPr="00B62815">
        <w:rPr>
          <w:rFonts w:asciiTheme="minorHAnsi" w:hAnsiTheme="minorHAnsi" w:cstheme="minorHAnsi"/>
          <w:color w:val="E36C0A"/>
          <w:sz w:val="22"/>
          <w:szCs w:val="22"/>
          <w:lang w:val="es-ES"/>
        </w:rPr>
        <w:t>2.</w:t>
      </w:r>
      <w:r w:rsidR="00BB7DA9" w:rsidRPr="00B62815">
        <w:rPr>
          <w:rFonts w:asciiTheme="minorHAnsi" w:hAnsiTheme="minorHAnsi" w:cstheme="minorHAnsi"/>
          <w:color w:val="E36C0A"/>
          <w:sz w:val="22"/>
          <w:szCs w:val="22"/>
          <w:lang w:val="es-ES"/>
        </w:rPr>
        <w:t>8</w:t>
      </w:r>
      <w:r w:rsidRPr="00B62815">
        <w:rPr>
          <w:rFonts w:asciiTheme="minorHAnsi" w:hAnsiTheme="minorHAnsi" w:cstheme="minorHAnsi"/>
          <w:color w:val="E36C0A"/>
          <w:sz w:val="22"/>
          <w:szCs w:val="22"/>
          <w:lang w:val="es-ES"/>
        </w:rPr>
        <w:t>.</w:t>
      </w:r>
      <w:r w:rsidR="00AC5BE3" w:rsidRPr="00B62815">
        <w:rPr>
          <w:rFonts w:asciiTheme="minorHAnsi" w:hAnsiTheme="minorHAnsi" w:cstheme="minorHAnsi"/>
          <w:color w:val="E36C0A"/>
          <w:sz w:val="22"/>
          <w:szCs w:val="22"/>
          <w:lang w:val="es-ES"/>
        </w:rPr>
        <w:t>1</w:t>
      </w:r>
      <w:r w:rsidRPr="00B62815">
        <w:rPr>
          <w:rFonts w:asciiTheme="minorHAnsi" w:hAnsiTheme="minorHAnsi" w:cstheme="minorHAnsi"/>
          <w:color w:val="E36C0A"/>
          <w:sz w:val="22"/>
          <w:szCs w:val="22"/>
          <w:lang w:val="es-ES"/>
        </w:rPr>
        <w:tab/>
        <w:t>Departamento de Inclusión Social</w:t>
      </w:r>
      <w:bookmarkEnd w:id="71"/>
      <w:bookmarkEnd w:id="72"/>
    </w:p>
    <w:p w14:paraId="46F3ABEB" w14:textId="77777777" w:rsidR="00081B28" w:rsidRPr="00B62815" w:rsidRDefault="00081B28" w:rsidP="00081B28">
      <w:pPr>
        <w:pStyle w:val="Default"/>
        <w:jc w:val="both"/>
        <w:rPr>
          <w:rFonts w:asciiTheme="minorHAnsi" w:hAnsiTheme="minorHAnsi" w:cstheme="minorHAnsi"/>
          <w:color w:val="auto"/>
          <w:sz w:val="22"/>
          <w:szCs w:val="22"/>
          <w:lang w:val="es-ES_tradnl"/>
        </w:rPr>
      </w:pPr>
      <w:r w:rsidRPr="00B62815">
        <w:rPr>
          <w:rFonts w:asciiTheme="minorHAnsi" w:hAnsiTheme="minorHAnsi" w:cstheme="minorHAnsi"/>
          <w:color w:val="auto"/>
          <w:sz w:val="22"/>
          <w:szCs w:val="22"/>
          <w:lang w:val="es-ES_tradnl"/>
        </w:rPr>
        <w:t>El Departamento ha continuado fortaleciendo el diálogo político interamericano en temas como el desarrollo social, la migración, los derechos de los consumidores y los derechos de las personas en situación de vulnerabilidad. En el 2019 se lograron alianzas estratégicas con organizaciones que promueven la educación inclusiva y la inclusión social de jóvenes en situaciones de vulnerabilidad y organizaciones que protegen los derechos de los pueblos indígenas y los derechos de los consumidores.</w:t>
      </w:r>
    </w:p>
    <w:p w14:paraId="0D1723DA" w14:textId="1A73E6BF" w:rsidR="00081B28" w:rsidRDefault="00081B28" w:rsidP="00081B28">
      <w:pPr>
        <w:pStyle w:val="Default"/>
        <w:jc w:val="both"/>
        <w:rPr>
          <w:rFonts w:asciiTheme="minorHAnsi" w:hAnsiTheme="minorHAnsi" w:cstheme="minorHAnsi"/>
          <w:color w:val="auto"/>
          <w:sz w:val="22"/>
          <w:szCs w:val="22"/>
          <w:lang w:val="es-ES_tradnl"/>
        </w:rPr>
      </w:pPr>
    </w:p>
    <w:p w14:paraId="6B67E162" w14:textId="06CD49FB" w:rsidR="00B22AF2" w:rsidRDefault="00B22AF2" w:rsidP="00081B28">
      <w:pPr>
        <w:pStyle w:val="Default"/>
        <w:jc w:val="both"/>
        <w:rPr>
          <w:rFonts w:asciiTheme="minorHAnsi" w:hAnsiTheme="minorHAnsi" w:cstheme="minorHAnsi"/>
          <w:color w:val="auto"/>
          <w:sz w:val="22"/>
          <w:szCs w:val="22"/>
          <w:lang w:val="es-ES_tradnl"/>
        </w:rPr>
      </w:pPr>
    </w:p>
    <w:p w14:paraId="0C9BC3C1" w14:textId="77777777" w:rsidR="00B22AF2" w:rsidRPr="00B62815" w:rsidRDefault="00B22AF2" w:rsidP="00081B28">
      <w:pPr>
        <w:pStyle w:val="Default"/>
        <w:jc w:val="both"/>
        <w:rPr>
          <w:rFonts w:asciiTheme="minorHAnsi" w:hAnsiTheme="minorHAnsi" w:cstheme="minorHAnsi"/>
          <w:color w:val="auto"/>
          <w:sz w:val="22"/>
          <w:szCs w:val="22"/>
          <w:lang w:val="es-ES_tradnl"/>
        </w:rPr>
      </w:pPr>
    </w:p>
    <w:p w14:paraId="4BC70EA1" w14:textId="77777777" w:rsidR="00081B28" w:rsidRPr="00B62815" w:rsidRDefault="00081B28" w:rsidP="00081B28">
      <w:pPr>
        <w:autoSpaceDE w:val="0"/>
        <w:autoSpaceDN w:val="0"/>
        <w:adjustRightInd w:val="0"/>
        <w:jc w:val="both"/>
        <w:rPr>
          <w:rFonts w:asciiTheme="minorHAnsi" w:hAnsiTheme="minorHAnsi" w:cstheme="minorHAnsi"/>
          <w:b/>
          <w:sz w:val="22"/>
          <w:szCs w:val="22"/>
          <w:lang w:val="es-ES_tradnl"/>
        </w:rPr>
      </w:pPr>
      <w:r w:rsidRPr="00B62815">
        <w:rPr>
          <w:rFonts w:asciiTheme="minorHAnsi" w:hAnsiTheme="minorHAnsi" w:cstheme="minorHAnsi"/>
          <w:b/>
          <w:sz w:val="22"/>
          <w:szCs w:val="22"/>
          <w:lang w:val="es-ES_tradnl"/>
        </w:rPr>
        <w:t>Programa de Migración Internacional en las Américas</w:t>
      </w:r>
    </w:p>
    <w:p w14:paraId="2E890550" w14:textId="77777777" w:rsidR="00081B28" w:rsidRPr="00B62815" w:rsidRDefault="00081B28" w:rsidP="00081B28">
      <w:pPr>
        <w:autoSpaceDE w:val="0"/>
        <w:autoSpaceDN w:val="0"/>
        <w:adjustRightInd w:val="0"/>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 xml:space="preserve"> </w:t>
      </w:r>
    </w:p>
    <w:p w14:paraId="599DAB32" w14:textId="77777777" w:rsidR="00081B28" w:rsidRPr="00B62815" w:rsidRDefault="00081B28" w:rsidP="00E67635">
      <w:pPr>
        <w:pStyle w:val="Default"/>
        <w:numPr>
          <w:ilvl w:val="0"/>
          <w:numId w:val="70"/>
        </w:numPr>
        <w:jc w:val="both"/>
        <w:rPr>
          <w:rStyle w:val="Strong"/>
          <w:rFonts w:asciiTheme="minorHAnsi" w:hAnsiTheme="minorHAnsi" w:cstheme="minorHAnsi"/>
          <w:b w:val="0"/>
          <w:sz w:val="22"/>
          <w:szCs w:val="22"/>
          <w:lang w:val="es-ES_tradnl"/>
        </w:rPr>
      </w:pPr>
      <w:r w:rsidRPr="00B62815">
        <w:rPr>
          <w:rStyle w:val="Strong"/>
          <w:rFonts w:asciiTheme="minorHAnsi" w:hAnsiTheme="minorHAnsi" w:cstheme="minorHAnsi"/>
          <w:b w:val="0"/>
          <w:sz w:val="22"/>
          <w:szCs w:val="22"/>
          <w:lang w:val="es-ES_tradnl"/>
        </w:rPr>
        <w:t xml:space="preserve">A través del proyecto “Inserción Socioeconómica en Países de Acogida en Sudamérica para Atender a la Poblaciones Móviles afectadas por la crisis en Venezuela y otras Poblaciones Migrantes” entre la OEA, la </w:t>
      </w:r>
      <w:hyperlink r:id="rId102" w:tgtFrame="_top" w:history="1">
        <w:r w:rsidRPr="00B62815">
          <w:rPr>
            <w:rStyle w:val="Strong"/>
            <w:rFonts w:asciiTheme="minorHAnsi" w:hAnsiTheme="minorHAnsi" w:cstheme="minorHAnsi"/>
            <w:b w:val="0"/>
            <w:sz w:val="22"/>
            <w:szCs w:val="22"/>
            <w:lang w:val="es-ES_tradnl"/>
          </w:rPr>
          <w:t>Organización de las Naciones Unidas para la Alimentación y la Agricultura</w:t>
        </w:r>
      </w:hyperlink>
      <w:r w:rsidRPr="00B62815">
        <w:rPr>
          <w:rStyle w:val="Strong"/>
          <w:rFonts w:asciiTheme="minorHAnsi" w:hAnsiTheme="minorHAnsi" w:cstheme="minorHAnsi"/>
          <w:b w:val="0"/>
          <w:sz w:val="22"/>
          <w:szCs w:val="22"/>
          <w:lang w:val="es-ES_tradnl"/>
        </w:rPr>
        <w:t xml:space="preserve"> (FAO), la </w:t>
      </w:r>
      <w:hyperlink r:id="rId103" w:tgtFrame="_blank" w:history="1">
        <w:r w:rsidRPr="00B62815">
          <w:rPr>
            <w:rStyle w:val="Strong"/>
            <w:rFonts w:asciiTheme="minorHAnsi" w:hAnsiTheme="minorHAnsi" w:cstheme="minorHAnsi"/>
            <w:b w:val="0"/>
            <w:sz w:val="22"/>
            <w:szCs w:val="22"/>
            <w:lang w:val="es-ES_tradnl"/>
          </w:rPr>
          <w:t>Organización Internacional para las Migraciones</w:t>
        </w:r>
      </w:hyperlink>
      <w:r w:rsidRPr="00B62815">
        <w:rPr>
          <w:rStyle w:val="Strong"/>
          <w:rFonts w:asciiTheme="minorHAnsi" w:hAnsiTheme="minorHAnsi" w:cstheme="minorHAnsi"/>
          <w:b w:val="0"/>
          <w:sz w:val="22"/>
          <w:szCs w:val="22"/>
          <w:lang w:val="es-ES_tradnl"/>
        </w:rPr>
        <w:t xml:space="preserve"> (OIM) y la Organización Internacional del Trabajo (OIT), los ministerios del trabajo de la región recibieron recomendaciones sobre la integración socioeconómica de las personas refugiadas y migrantes venezolanas en América Latina y el Caribe.</w:t>
      </w:r>
    </w:p>
    <w:p w14:paraId="10BD94E7" w14:textId="77777777" w:rsidR="00081B28" w:rsidRPr="00B62815" w:rsidRDefault="00081B28" w:rsidP="00E67635">
      <w:pPr>
        <w:pStyle w:val="Default"/>
        <w:numPr>
          <w:ilvl w:val="0"/>
          <w:numId w:val="70"/>
        </w:numPr>
        <w:jc w:val="both"/>
        <w:rPr>
          <w:rStyle w:val="Strong"/>
          <w:rFonts w:asciiTheme="minorHAnsi" w:hAnsiTheme="minorHAnsi" w:cstheme="minorHAnsi"/>
          <w:b w:val="0"/>
          <w:sz w:val="22"/>
          <w:szCs w:val="22"/>
          <w:lang w:val="es-ES_tradnl"/>
        </w:rPr>
      </w:pPr>
      <w:r w:rsidRPr="00B62815">
        <w:rPr>
          <w:rStyle w:val="Strong"/>
          <w:rFonts w:asciiTheme="minorHAnsi" w:hAnsiTheme="minorHAnsi" w:cstheme="minorHAnsi"/>
          <w:b w:val="0"/>
          <w:sz w:val="22"/>
          <w:szCs w:val="22"/>
          <w:lang w:val="es-ES_tradnl"/>
        </w:rPr>
        <w:t>Asesoramiento técnico brindado a la Comisión de Asuntos Migratorios (CAM) durante las sesiones temáticas y reuniones de la Comisión.</w:t>
      </w:r>
    </w:p>
    <w:p w14:paraId="54061F6F" w14:textId="77777777" w:rsidR="00081B28" w:rsidRPr="00B62815" w:rsidRDefault="00081B28" w:rsidP="00E67635">
      <w:pPr>
        <w:pStyle w:val="Default"/>
        <w:numPr>
          <w:ilvl w:val="0"/>
          <w:numId w:val="70"/>
        </w:numPr>
        <w:jc w:val="both"/>
        <w:rPr>
          <w:rStyle w:val="Strong"/>
          <w:rFonts w:asciiTheme="minorHAnsi" w:hAnsiTheme="minorHAnsi" w:cstheme="minorHAnsi"/>
          <w:b w:val="0"/>
          <w:sz w:val="22"/>
          <w:szCs w:val="22"/>
          <w:lang w:val="es-ES_tradnl"/>
        </w:rPr>
      </w:pPr>
      <w:r w:rsidRPr="00B62815">
        <w:rPr>
          <w:rStyle w:val="Strong"/>
          <w:rFonts w:asciiTheme="minorHAnsi" w:hAnsiTheme="minorHAnsi" w:cstheme="minorHAnsi"/>
          <w:b w:val="0"/>
          <w:sz w:val="22"/>
          <w:szCs w:val="22"/>
          <w:lang w:val="es-ES_tradnl"/>
        </w:rPr>
        <w:lastRenderedPageBreak/>
        <w:t xml:space="preserve">18 recomendaciones compartidas entre los ministros y representantes de los ministerios de salud de los 14 Estados Miembros que participaron en la conferencia </w:t>
      </w:r>
      <w:r w:rsidR="00551025" w:rsidRPr="00B62815">
        <w:rPr>
          <w:rStyle w:val="Strong"/>
          <w:rFonts w:asciiTheme="minorHAnsi" w:hAnsiTheme="minorHAnsi" w:cstheme="minorHAnsi"/>
          <w:b w:val="0"/>
          <w:sz w:val="22"/>
          <w:szCs w:val="22"/>
          <w:lang w:val="es-ES_tradnl"/>
        </w:rPr>
        <w:t xml:space="preserve">de Ministros de Salud sobre el </w:t>
      </w:r>
      <w:r w:rsidRPr="00B62815">
        <w:rPr>
          <w:rStyle w:val="Strong"/>
          <w:rFonts w:asciiTheme="minorHAnsi" w:hAnsiTheme="minorHAnsi" w:cstheme="minorHAnsi"/>
          <w:b w:val="0"/>
          <w:sz w:val="22"/>
          <w:szCs w:val="22"/>
          <w:lang w:val="es-ES_tradnl"/>
        </w:rPr>
        <w:t xml:space="preserve">“Fortalecimiento de la Coordinación Regional en Respuesta a los Impactos del desplazamiento forzado” en la región. </w:t>
      </w:r>
    </w:p>
    <w:p w14:paraId="09F0C40A" w14:textId="77777777" w:rsidR="00081B28" w:rsidRPr="00B62815" w:rsidRDefault="00081B28" w:rsidP="00081B28">
      <w:pPr>
        <w:pStyle w:val="Default"/>
        <w:jc w:val="both"/>
        <w:rPr>
          <w:rFonts w:asciiTheme="minorHAnsi" w:hAnsiTheme="minorHAnsi" w:cstheme="minorHAnsi"/>
          <w:sz w:val="22"/>
          <w:szCs w:val="22"/>
          <w:lang w:val="es-ES_tradnl"/>
        </w:rPr>
      </w:pPr>
    </w:p>
    <w:p w14:paraId="749D5785" w14:textId="77777777" w:rsidR="00081B28" w:rsidRPr="00EB718B" w:rsidRDefault="00081B28" w:rsidP="00081B28">
      <w:pPr>
        <w:pStyle w:val="Default"/>
        <w:rPr>
          <w:rFonts w:asciiTheme="minorHAnsi" w:hAnsiTheme="minorHAnsi" w:cstheme="minorHAnsi"/>
          <w:color w:val="auto"/>
          <w:sz w:val="22"/>
          <w:szCs w:val="22"/>
          <w:lang w:val="fr-FR"/>
        </w:rPr>
      </w:pPr>
      <w:r w:rsidRPr="00EB718B">
        <w:rPr>
          <w:rFonts w:asciiTheme="minorHAnsi" w:hAnsiTheme="minorHAnsi" w:cstheme="minorHAnsi"/>
          <w:color w:val="auto"/>
          <w:sz w:val="22"/>
          <w:szCs w:val="22"/>
          <w:lang w:val="fr-FR"/>
        </w:rPr>
        <w:t xml:space="preserve">Enlaces: </w:t>
      </w:r>
    </w:p>
    <w:p w14:paraId="533389BE" w14:textId="77777777" w:rsidR="00081B28" w:rsidRPr="00EB718B" w:rsidRDefault="00573283" w:rsidP="00081B28">
      <w:pPr>
        <w:pStyle w:val="Default"/>
        <w:jc w:val="both"/>
        <w:rPr>
          <w:rFonts w:asciiTheme="minorHAnsi" w:hAnsiTheme="minorHAnsi" w:cstheme="minorHAnsi"/>
          <w:sz w:val="22"/>
          <w:szCs w:val="22"/>
          <w:lang w:val="fr-FR"/>
        </w:rPr>
      </w:pPr>
      <w:hyperlink r:id="rId104" w:history="1">
        <w:r w:rsidR="00081B28" w:rsidRPr="00EB718B">
          <w:rPr>
            <w:rStyle w:val="Hyperlink"/>
            <w:rFonts w:asciiTheme="minorHAnsi" w:hAnsiTheme="minorHAnsi" w:cstheme="minorHAnsi"/>
            <w:sz w:val="22"/>
            <w:szCs w:val="22"/>
            <w:lang w:val="fr-FR"/>
          </w:rPr>
          <w:t>http://www.oas.org/es/sadye/inclusion-social/poblaciones-vulnerables/migracion.asp</w:t>
        </w:r>
      </w:hyperlink>
      <w:r w:rsidR="00081B28" w:rsidRPr="00EB718B">
        <w:rPr>
          <w:rFonts w:asciiTheme="minorHAnsi" w:hAnsiTheme="minorHAnsi" w:cstheme="minorHAnsi"/>
          <w:sz w:val="22"/>
          <w:szCs w:val="22"/>
          <w:lang w:val="fr-FR"/>
        </w:rPr>
        <w:t xml:space="preserve">  </w:t>
      </w:r>
    </w:p>
    <w:p w14:paraId="7B3824BF" w14:textId="77777777" w:rsidR="00081B28" w:rsidRPr="00EB718B" w:rsidRDefault="00573283" w:rsidP="00081B28">
      <w:pPr>
        <w:pStyle w:val="Default"/>
        <w:jc w:val="both"/>
        <w:rPr>
          <w:rFonts w:asciiTheme="minorHAnsi" w:hAnsiTheme="minorHAnsi" w:cstheme="minorHAnsi"/>
          <w:sz w:val="22"/>
          <w:szCs w:val="22"/>
          <w:lang w:val="fr-FR"/>
        </w:rPr>
      </w:pPr>
      <w:hyperlink r:id="rId105" w:history="1">
        <w:r w:rsidR="00081B28" w:rsidRPr="00EB718B">
          <w:rPr>
            <w:rStyle w:val="Hyperlink"/>
            <w:rFonts w:asciiTheme="minorHAnsi" w:hAnsiTheme="minorHAnsi" w:cstheme="minorHAnsi"/>
            <w:sz w:val="22"/>
            <w:szCs w:val="22"/>
            <w:lang w:val="fr-FR"/>
          </w:rPr>
          <w:t>http://www.oas.org/es/cidi/cidi_CAM.asp</w:t>
        </w:r>
      </w:hyperlink>
      <w:r w:rsidR="00081B28" w:rsidRPr="00EB718B">
        <w:rPr>
          <w:rFonts w:asciiTheme="minorHAnsi" w:hAnsiTheme="minorHAnsi" w:cstheme="minorHAnsi"/>
          <w:sz w:val="22"/>
          <w:szCs w:val="22"/>
          <w:lang w:val="fr-FR"/>
        </w:rPr>
        <w:t xml:space="preserve"> </w:t>
      </w:r>
    </w:p>
    <w:p w14:paraId="33E6B4B7" w14:textId="77777777" w:rsidR="00081B28" w:rsidRPr="00EB718B" w:rsidRDefault="00081B28" w:rsidP="00081B28">
      <w:pPr>
        <w:pStyle w:val="Default"/>
        <w:jc w:val="both"/>
        <w:rPr>
          <w:rFonts w:asciiTheme="minorHAnsi" w:hAnsiTheme="minorHAnsi" w:cstheme="minorHAnsi"/>
          <w:sz w:val="22"/>
          <w:szCs w:val="22"/>
          <w:lang w:val="fr-FR"/>
        </w:rPr>
      </w:pPr>
    </w:p>
    <w:p w14:paraId="34AF97BD" w14:textId="77777777" w:rsidR="00081B28" w:rsidRPr="00B62815" w:rsidRDefault="00081B28" w:rsidP="00081B28">
      <w:pPr>
        <w:pStyle w:val="Default"/>
        <w:jc w:val="both"/>
        <w:rPr>
          <w:rStyle w:val="Strong"/>
          <w:rFonts w:asciiTheme="minorHAnsi" w:hAnsiTheme="minorHAnsi" w:cstheme="minorHAnsi"/>
          <w:sz w:val="22"/>
          <w:szCs w:val="22"/>
        </w:rPr>
      </w:pPr>
      <w:r w:rsidRPr="00B62815">
        <w:rPr>
          <w:rFonts w:asciiTheme="minorHAnsi" w:hAnsiTheme="minorHAnsi" w:cstheme="minorHAnsi"/>
          <w:b/>
          <w:sz w:val="22"/>
          <w:szCs w:val="22"/>
          <w:lang w:val="es-ES_tradnl"/>
        </w:rPr>
        <w:t xml:space="preserve">Unidad Conjunta </w:t>
      </w:r>
      <w:r w:rsidRPr="00B62815">
        <w:rPr>
          <w:rStyle w:val="Strong"/>
          <w:rFonts w:asciiTheme="minorHAnsi" w:hAnsiTheme="minorHAnsi" w:cstheme="minorHAnsi"/>
          <w:sz w:val="22"/>
          <w:szCs w:val="22"/>
          <w:lang w:val="es-ES_tradnl"/>
        </w:rPr>
        <w:t>OEA</w:t>
      </w:r>
      <w:r w:rsidRPr="00B62815">
        <w:rPr>
          <w:rStyle w:val="Strong"/>
          <w:rFonts w:asciiTheme="minorHAnsi" w:hAnsiTheme="minorHAnsi" w:cstheme="minorHAnsi"/>
          <w:sz w:val="22"/>
          <w:szCs w:val="22"/>
        </w:rPr>
        <w:t>-ACNUR</w:t>
      </w:r>
    </w:p>
    <w:p w14:paraId="4F5CFD88" w14:textId="77777777" w:rsidR="00551025" w:rsidRPr="00B62815" w:rsidRDefault="00551025" w:rsidP="00081B28">
      <w:pPr>
        <w:pStyle w:val="Default"/>
        <w:jc w:val="both"/>
        <w:rPr>
          <w:rStyle w:val="Strong"/>
          <w:rFonts w:asciiTheme="minorHAnsi" w:hAnsiTheme="minorHAnsi" w:cstheme="minorHAnsi"/>
          <w:b w:val="0"/>
          <w:sz w:val="22"/>
          <w:szCs w:val="22"/>
        </w:rPr>
      </w:pPr>
    </w:p>
    <w:p w14:paraId="3D773C5F" w14:textId="5DBDF7A2" w:rsidR="00081B28" w:rsidRPr="00B62815" w:rsidRDefault="00081B28" w:rsidP="00E67635">
      <w:pPr>
        <w:pStyle w:val="Default"/>
        <w:numPr>
          <w:ilvl w:val="0"/>
          <w:numId w:val="70"/>
        </w:numPr>
        <w:jc w:val="both"/>
        <w:rPr>
          <w:rStyle w:val="Strong"/>
          <w:rFonts w:asciiTheme="minorHAnsi" w:hAnsiTheme="minorHAnsi" w:cstheme="minorHAnsi"/>
          <w:b w:val="0"/>
          <w:bCs w:val="0"/>
          <w:sz w:val="22"/>
          <w:szCs w:val="22"/>
          <w:lang w:val="es-ES_tradnl"/>
        </w:rPr>
      </w:pPr>
      <w:r w:rsidRPr="00B62815">
        <w:rPr>
          <w:rStyle w:val="Strong"/>
          <w:rFonts w:asciiTheme="minorHAnsi" w:hAnsiTheme="minorHAnsi" w:cstheme="minorHAnsi"/>
          <w:b w:val="0"/>
          <w:sz w:val="22"/>
          <w:szCs w:val="22"/>
          <w:lang w:val="es-ES_tradnl"/>
        </w:rPr>
        <w:t>Participación del Secretario de Acceso a Derechos y Equidad</w:t>
      </w:r>
      <w:r w:rsidR="00357DCF">
        <w:rPr>
          <w:rStyle w:val="Strong"/>
          <w:rFonts w:asciiTheme="minorHAnsi" w:hAnsiTheme="minorHAnsi" w:cstheme="minorHAnsi"/>
          <w:b w:val="0"/>
          <w:sz w:val="22"/>
          <w:szCs w:val="22"/>
          <w:lang w:val="es-ES_tradnl"/>
        </w:rPr>
        <w:t xml:space="preserve"> </w:t>
      </w:r>
      <w:r w:rsidRPr="00B62815">
        <w:rPr>
          <w:rStyle w:val="Strong"/>
          <w:rFonts w:asciiTheme="minorHAnsi" w:hAnsiTheme="minorHAnsi" w:cstheme="minorHAnsi"/>
          <w:b w:val="0"/>
          <w:sz w:val="22"/>
          <w:szCs w:val="22"/>
          <w:lang w:val="es-ES_tradnl"/>
        </w:rPr>
        <w:t>en la Sesión de Alto Nivel del Primer Foro Mundial sobre los Refugiados, que tuvo lugar en Ginebra, el 17 y 18 de diciembre de 2019, para informar sobre el aporte de la OEA para la protección de refugiados y desplazados en el Marco Integral Regional para la Protección y Soluciones (MIRPS) conformado por los siguientes países: Belize, Costa Rica, El Salvador Guatemala, Honduras, México y Panamá.</w:t>
      </w:r>
    </w:p>
    <w:p w14:paraId="2253ECEB" w14:textId="55C68AE8" w:rsidR="00081B28" w:rsidRPr="00B62815" w:rsidRDefault="00081B28" w:rsidP="00E67635">
      <w:pPr>
        <w:pStyle w:val="Default"/>
        <w:numPr>
          <w:ilvl w:val="0"/>
          <w:numId w:val="70"/>
        </w:numPr>
        <w:jc w:val="both"/>
        <w:rPr>
          <w:rStyle w:val="Strong"/>
          <w:rFonts w:asciiTheme="minorHAnsi" w:hAnsiTheme="minorHAnsi" w:cstheme="minorHAnsi"/>
          <w:b w:val="0"/>
          <w:bCs w:val="0"/>
          <w:sz w:val="22"/>
          <w:szCs w:val="22"/>
          <w:lang w:val="es-ES_tradnl"/>
        </w:rPr>
      </w:pPr>
      <w:r w:rsidRPr="00B62815">
        <w:rPr>
          <w:rStyle w:val="Strong"/>
          <w:rFonts w:asciiTheme="minorHAnsi" w:hAnsiTheme="minorHAnsi" w:cstheme="minorHAnsi"/>
          <w:b w:val="0"/>
          <w:sz w:val="22"/>
          <w:szCs w:val="22"/>
          <w:lang w:val="es-ES_tradnl"/>
        </w:rPr>
        <w:t xml:space="preserve">Segunda Reunión Anual del MIRPS, en México, el 8 de </w:t>
      </w:r>
      <w:r w:rsidR="00357DCF">
        <w:rPr>
          <w:rStyle w:val="Strong"/>
          <w:rFonts w:asciiTheme="minorHAnsi" w:hAnsiTheme="minorHAnsi" w:cstheme="minorHAnsi"/>
          <w:b w:val="0"/>
          <w:sz w:val="22"/>
          <w:szCs w:val="22"/>
          <w:lang w:val="es-ES_tradnl"/>
        </w:rPr>
        <w:t>n</w:t>
      </w:r>
      <w:r w:rsidRPr="00B62815">
        <w:rPr>
          <w:rStyle w:val="Strong"/>
          <w:rFonts w:asciiTheme="minorHAnsi" w:hAnsiTheme="minorHAnsi" w:cstheme="minorHAnsi"/>
          <w:b w:val="0"/>
          <w:sz w:val="22"/>
          <w:szCs w:val="22"/>
          <w:lang w:val="es-ES_tradnl"/>
        </w:rPr>
        <w:t>oviembre de 2019, con la participación del Secretario de Acceso a Derechos y Equidad en la cual se presentó el II Informe Anual y donde los 7 países MIRPS aprobaron la Declaración de México sobre protección internacional, responsabilidad compartida y acciones de solidaridad internacional.</w:t>
      </w:r>
    </w:p>
    <w:p w14:paraId="08B4B623" w14:textId="77777777" w:rsidR="00081B28" w:rsidRPr="00B62815" w:rsidRDefault="00081B28" w:rsidP="00E67635">
      <w:pPr>
        <w:pStyle w:val="Default"/>
        <w:numPr>
          <w:ilvl w:val="0"/>
          <w:numId w:val="70"/>
        </w:numPr>
        <w:jc w:val="both"/>
        <w:rPr>
          <w:rStyle w:val="Strong"/>
          <w:rFonts w:asciiTheme="minorHAnsi" w:hAnsiTheme="minorHAnsi" w:cstheme="minorHAnsi"/>
          <w:b w:val="0"/>
          <w:bCs w:val="0"/>
          <w:sz w:val="22"/>
          <w:szCs w:val="22"/>
          <w:lang w:val="es-ES_tradnl"/>
        </w:rPr>
      </w:pPr>
      <w:r w:rsidRPr="00B62815">
        <w:rPr>
          <w:rStyle w:val="Strong"/>
          <w:rFonts w:asciiTheme="minorHAnsi" w:hAnsiTheme="minorHAnsi" w:cstheme="minorHAnsi"/>
          <w:b w:val="0"/>
          <w:sz w:val="22"/>
          <w:szCs w:val="22"/>
          <w:lang w:val="es-ES_tradnl"/>
        </w:rPr>
        <w:t xml:space="preserve">Primera reunión subregional con organizaciones de la sociedad civil de los países MIRPS, el 7 de diciembre en México, en la que participaron 25 organizaciones y redes de la sociedad civil, para proponer un mecanismo de participación de la sociedad civil en el proceso MIRPS. </w:t>
      </w:r>
    </w:p>
    <w:p w14:paraId="17BC0A20" w14:textId="77777777" w:rsidR="00081B28" w:rsidRPr="00B62815" w:rsidRDefault="00081B28" w:rsidP="00E67635">
      <w:pPr>
        <w:pStyle w:val="Default"/>
        <w:numPr>
          <w:ilvl w:val="0"/>
          <w:numId w:val="70"/>
        </w:numPr>
        <w:jc w:val="both"/>
        <w:rPr>
          <w:rStyle w:val="Strong"/>
          <w:rFonts w:asciiTheme="minorHAnsi" w:hAnsiTheme="minorHAnsi" w:cstheme="minorHAnsi"/>
          <w:b w:val="0"/>
          <w:bCs w:val="0"/>
          <w:sz w:val="22"/>
          <w:szCs w:val="22"/>
          <w:lang w:val="es-ES_tradnl"/>
        </w:rPr>
      </w:pPr>
      <w:r w:rsidRPr="00B62815">
        <w:rPr>
          <w:rStyle w:val="Strong"/>
          <w:rFonts w:asciiTheme="minorHAnsi" w:hAnsiTheme="minorHAnsi" w:cstheme="minorHAnsi"/>
          <w:b w:val="0"/>
          <w:sz w:val="22"/>
          <w:szCs w:val="22"/>
          <w:lang w:val="es-ES_tradnl"/>
        </w:rPr>
        <w:t xml:space="preserve">Propuesta para el establecimiento de un Fondo específico de contribuciones voluntarias para las actividades del MIRPS presentada ante la Comisión de Asuntos Jurídicos y Políticos (CAJP) de la OEA, en seguimiento a la Resolución sobre la “Promoción y Protección de Derechos Humanos” en cuyo párrafo iii, numeral, 6 se instruyó a la Secretaría General a elaborar una propuesta sobre el fondo. </w:t>
      </w:r>
    </w:p>
    <w:p w14:paraId="23DD23F3" w14:textId="77777777" w:rsidR="00551025" w:rsidRPr="00B62815" w:rsidRDefault="00551025" w:rsidP="00551025">
      <w:pPr>
        <w:pStyle w:val="Default"/>
        <w:jc w:val="both"/>
        <w:rPr>
          <w:rStyle w:val="Strong"/>
          <w:rFonts w:asciiTheme="minorHAnsi" w:hAnsiTheme="minorHAnsi" w:cstheme="minorHAnsi"/>
          <w:b w:val="0"/>
          <w:sz w:val="22"/>
          <w:szCs w:val="22"/>
          <w:lang w:val="es-ES_tradnl"/>
        </w:rPr>
      </w:pPr>
    </w:p>
    <w:p w14:paraId="75B8EF33" w14:textId="77777777" w:rsidR="00551025" w:rsidRPr="00B62815" w:rsidRDefault="00551025" w:rsidP="00551025">
      <w:pPr>
        <w:pStyle w:val="Default"/>
        <w:jc w:val="both"/>
        <w:rPr>
          <w:rStyle w:val="Strong"/>
          <w:rFonts w:asciiTheme="minorHAnsi" w:hAnsiTheme="minorHAnsi" w:cstheme="minorHAnsi"/>
          <w:b w:val="0"/>
          <w:bCs w:val="0"/>
          <w:sz w:val="22"/>
          <w:szCs w:val="22"/>
          <w:lang w:val="es-ES_tradnl"/>
        </w:rPr>
      </w:pPr>
    </w:p>
    <w:p w14:paraId="52BD7422" w14:textId="77777777" w:rsidR="00081B28" w:rsidRPr="00B62815" w:rsidRDefault="001C2CF3" w:rsidP="00081B28">
      <w:pPr>
        <w:pStyle w:val="Default"/>
        <w:jc w:val="both"/>
        <w:rPr>
          <w:rStyle w:val="Strong"/>
          <w:rFonts w:asciiTheme="minorHAnsi" w:hAnsiTheme="minorHAnsi" w:cstheme="minorHAnsi"/>
          <w:b w:val="0"/>
          <w:sz w:val="22"/>
          <w:szCs w:val="22"/>
          <w:lang w:val="es-ES_tradnl"/>
        </w:rPr>
      </w:pPr>
      <w:r w:rsidRPr="00B62815">
        <w:rPr>
          <w:rStyle w:val="Strong"/>
          <w:rFonts w:asciiTheme="minorHAnsi" w:hAnsiTheme="minorHAnsi" w:cstheme="minorHAnsi"/>
          <w:b w:val="0"/>
          <w:bCs w:val="0"/>
          <w:noProof/>
          <w:sz w:val="22"/>
          <w:szCs w:val="22"/>
        </w:rPr>
        <w:lastRenderedPageBreak/>
        <w:drawing>
          <wp:inline distT="0" distB="0" distL="0" distR="0" wp14:anchorId="6E6BE5EB" wp14:editId="3C605039">
            <wp:extent cx="4410075" cy="2482215"/>
            <wp:effectExtent l="0" t="0" r="0" b="0"/>
            <wp:docPr id="14" name="Picture 2" descr="EL7_5S-U0AAa9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7_5S-U0AAa9YG"/>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4410075" cy="2482215"/>
                    </a:xfrm>
                    <a:prstGeom prst="rect">
                      <a:avLst/>
                    </a:prstGeom>
                    <a:noFill/>
                    <a:ln>
                      <a:noFill/>
                    </a:ln>
                  </pic:spPr>
                </pic:pic>
              </a:graphicData>
            </a:graphic>
          </wp:inline>
        </w:drawing>
      </w:r>
    </w:p>
    <w:p w14:paraId="491D18E3" w14:textId="77777777" w:rsidR="00081B28" w:rsidRPr="00B62815" w:rsidRDefault="00081B28" w:rsidP="00081B28">
      <w:pPr>
        <w:pStyle w:val="Default"/>
        <w:jc w:val="both"/>
        <w:rPr>
          <w:rStyle w:val="Strong"/>
          <w:rFonts w:asciiTheme="minorHAnsi" w:hAnsiTheme="minorHAnsi" w:cstheme="minorHAnsi"/>
          <w:b w:val="0"/>
          <w:sz w:val="22"/>
          <w:szCs w:val="22"/>
          <w:lang w:val="es-ES_tradnl"/>
        </w:rPr>
      </w:pPr>
    </w:p>
    <w:p w14:paraId="7C50A2D0" w14:textId="77777777" w:rsidR="00081B28" w:rsidRPr="00B62815" w:rsidRDefault="001C2CF3" w:rsidP="00081B28">
      <w:pPr>
        <w:pStyle w:val="Default"/>
        <w:jc w:val="both"/>
        <w:rPr>
          <w:rFonts w:asciiTheme="minorHAnsi" w:hAnsiTheme="minorHAnsi" w:cstheme="minorHAnsi"/>
          <w:sz w:val="22"/>
          <w:szCs w:val="22"/>
          <w:lang w:val="es-ES_tradnl"/>
        </w:rPr>
      </w:pPr>
      <w:r w:rsidRPr="00B62815">
        <w:rPr>
          <w:rFonts w:asciiTheme="minorHAnsi" w:hAnsiTheme="minorHAnsi" w:cstheme="minorHAnsi"/>
          <w:noProof/>
          <w:sz w:val="22"/>
          <w:szCs w:val="22"/>
        </w:rPr>
        <w:lastRenderedPageBreak/>
        <w:drawing>
          <wp:inline distT="0" distB="0" distL="0" distR="0" wp14:anchorId="55F26B41" wp14:editId="50098091">
            <wp:extent cx="4410075" cy="3308985"/>
            <wp:effectExtent l="0" t="0" r="0" b="0"/>
            <wp:docPr id="15" name="Picture 3" descr="EL8BmrGVUAIbe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8BmrGVUAIbe2m"/>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4410075" cy="3308985"/>
                    </a:xfrm>
                    <a:prstGeom prst="rect">
                      <a:avLst/>
                    </a:prstGeom>
                    <a:noFill/>
                    <a:ln>
                      <a:noFill/>
                    </a:ln>
                  </pic:spPr>
                </pic:pic>
              </a:graphicData>
            </a:graphic>
          </wp:inline>
        </w:drawing>
      </w:r>
    </w:p>
    <w:p w14:paraId="3C830A69" w14:textId="77777777" w:rsidR="00081B28" w:rsidRPr="00B62815" w:rsidRDefault="00081B28" w:rsidP="00081B28">
      <w:pPr>
        <w:pStyle w:val="Default"/>
        <w:jc w:val="both"/>
        <w:rPr>
          <w:rFonts w:asciiTheme="minorHAnsi" w:hAnsiTheme="minorHAnsi" w:cstheme="minorHAnsi"/>
          <w:sz w:val="22"/>
          <w:szCs w:val="22"/>
          <w:lang w:val="es-ES_tradnl"/>
        </w:rPr>
      </w:pPr>
      <w:r w:rsidRPr="00B62815">
        <w:rPr>
          <w:rStyle w:val="Strong"/>
          <w:rFonts w:asciiTheme="minorHAnsi" w:hAnsiTheme="minorHAnsi" w:cstheme="minorHAnsi"/>
          <w:sz w:val="22"/>
          <w:szCs w:val="22"/>
          <w:lang w:val="es-ES_tradnl"/>
        </w:rPr>
        <w:t>Sesión de Alto Nivel del Primer Foro Mundial sobre los Refugiados</w:t>
      </w:r>
    </w:p>
    <w:p w14:paraId="0A3339EF" w14:textId="77777777" w:rsidR="00081B28" w:rsidRPr="00B62815" w:rsidRDefault="00081B28" w:rsidP="00081B28">
      <w:pPr>
        <w:pStyle w:val="Default"/>
        <w:rPr>
          <w:rFonts w:asciiTheme="minorHAnsi" w:hAnsiTheme="minorHAnsi" w:cstheme="minorHAnsi"/>
          <w:color w:val="auto"/>
          <w:sz w:val="22"/>
          <w:szCs w:val="22"/>
          <w:lang w:val="es-ES_tradnl"/>
        </w:rPr>
      </w:pPr>
    </w:p>
    <w:p w14:paraId="6A424CDB" w14:textId="77777777" w:rsidR="00081B28" w:rsidRPr="00EB718B" w:rsidRDefault="00081B28" w:rsidP="00081B28">
      <w:pPr>
        <w:pStyle w:val="Default"/>
        <w:rPr>
          <w:rFonts w:asciiTheme="minorHAnsi" w:hAnsiTheme="minorHAnsi" w:cstheme="minorHAnsi"/>
          <w:color w:val="auto"/>
          <w:sz w:val="22"/>
          <w:szCs w:val="22"/>
          <w:lang w:val="fr-FR"/>
        </w:rPr>
      </w:pPr>
      <w:r w:rsidRPr="00EB718B">
        <w:rPr>
          <w:rFonts w:asciiTheme="minorHAnsi" w:hAnsiTheme="minorHAnsi" w:cstheme="minorHAnsi"/>
          <w:color w:val="auto"/>
          <w:sz w:val="22"/>
          <w:szCs w:val="22"/>
          <w:lang w:val="fr-FR"/>
        </w:rPr>
        <w:t xml:space="preserve">Enlaces: </w:t>
      </w:r>
    </w:p>
    <w:p w14:paraId="0C8B4EE5" w14:textId="77777777" w:rsidR="00081B28" w:rsidRPr="00EB718B" w:rsidRDefault="00573283" w:rsidP="00081B28">
      <w:pPr>
        <w:pStyle w:val="Default"/>
        <w:jc w:val="both"/>
        <w:rPr>
          <w:rFonts w:asciiTheme="minorHAnsi" w:hAnsiTheme="minorHAnsi" w:cstheme="minorHAnsi"/>
          <w:sz w:val="22"/>
          <w:szCs w:val="22"/>
          <w:lang w:val="fr-FR"/>
        </w:rPr>
      </w:pPr>
      <w:hyperlink r:id="rId108" w:history="1">
        <w:r w:rsidR="00081B28" w:rsidRPr="00EB718B">
          <w:rPr>
            <w:rStyle w:val="Hyperlink"/>
            <w:rFonts w:asciiTheme="minorHAnsi" w:hAnsiTheme="minorHAnsi" w:cstheme="minorHAnsi"/>
            <w:sz w:val="22"/>
            <w:szCs w:val="22"/>
            <w:lang w:val="fr-FR"/>
          </w:rPr>
          <w:t>http://www.oas.org/es/sadye/inclusion-social/docs/II_Annual_Report_MIRPS.pdf</w:t>
        </w:r>
      </w:hyperlink>
      <w:r w:rsidR="00081B28" w:rsidRPr="00EB718B">
        <w:rPr>
          <w:rFonts w:asciiTheme="minorHAnsi" w:hAnsiTheme="minorHAnsi" w:cstheme="minorHAnsi"/>
          <w:sz w:val="22"/>
          <w:szCs w:val="22"/>
          <w:lang w:val="fr-FR"/>
        </w:rPr>
        <w:t xml:space="preserve"> </w:t>
      </w:r>
    </w:p>
    <w:p w14:paraId="575E58CB" w14:textId="77777777" w:rsidR="00081B28" w:rsidRPr="00EB718B" w:rsidRDefault="00081B28" w:rsidP="00081B28">
      <w:pPr>
        <w:pStyle w:val="Default"/>
        <w:jc w:val="both"/>
        <w:rPr>
          <w:rStyle w:val="Strong"/>
          <w:rFonts w:asciiTheme="minorHAnsi" w:hAnsiTheme="minorHAnsi" w:cstheme="minorHAnsi"/>
          <w:sz w:val="22"/>
          <w:szCs w:val="22"/>
          <w:lang w:val="fr-FR"/>
        </w:rPr>
      </w:pPr>
    </w:p>
    <w:p w14:paraId="59814706" w14:textId="77777777" w:rsidR="00081B28" w:rsidRPr="00B62815" w:rsidRDefault="00081B28" w:rsidP="00081B28">
      <w:pPr>
        <w:pStyle w:val="Default"/>
        <w:jc w:val="both"/>
        <w:rPr>
          <w:rStyle w:val="Strong"/>
          <w:rFonts w:asciiTheme="minorHAnsi" w:hAnsiTheme="minorHAnsi" w:cstheme="minorHAnsi"/>
          <w:sz w:val="22"/>
          <w:szCs w:val="22"/>
          <w:lang w:val="es-ES_tradnl"/>
        </w:rPr>
      </w:pPr>
      <w:r w:rsidRPr="00B62815">
        <w:rPr>
          <w:rStyle w:val="Strong"/>
          <w:rFonts w:asciiTheme="minorHAnsi" w:hAnsiTheme="minorHAnsi" w:cstheme="minorHAnsi"/>
          <w:sz w:val="22"/>
          <w:szCs w:val="22"/>
          <w:lang w:val="es-ES_tradnl"/>
        </w:rPr>
        <w:t>Programa para la Promoción de la Equidad</w:t>
      </w:r>
    </w:p>
    <w:p w14:paraId="4F8EA4DE" w14:textId="77777777" w:rsidR="00551025" w:rsidRPr="00B62815" w:rsidRDefault="00551025" w:rsidP="00081B28">
      <w:pPr>
        <w:pStyle w:val="Default"/>
        <w:jc w:val="both"/>
        <w:rPr>
          <w:rStyle w:val="Strong"/>
          <w:rFonts w:asciiTheme="minorHAnsi" w:hAnsiTheme="minorHAnsi" w:cstheme="minorHAnsi"/>
          <w:sz w:val="22"/>
          <w:szCs w:val="22"/>
          <w:lang w:val="es-ES_tradnl"/>
        </w:rPr>
      </w:pPr>
    </w:p>
    <w:p w14:paraId="2E57C3DF" w14:textId="74FFDE52" w:rsidR="00081B28" w:rsidRPr="00B62815" w:rsidRDefault="00081B28" w:rsidP="00E67635">
      <w:pPr>
        <w:pStyle w:val="Sinespaciado"/>
        <w:numPr>
          <w:ilvl w:val="0"/>
          <w:numId w:val="70"/>
        </w:numPr>
        <w:jc w:val="both"/>
        <w:rPr>
          <w:rFonts w:asciiTheme="minorHAnsi" w:eastAsia="Times New Roman" w:hAnsiTheme="minorHAnsi" w:cstheme="minorHAnsi"/>
          <w:lang w:val="es-ES_tradnl" w:eastAsia="zh-CN"/>
        </w:rPr>
      </w:pPr>
      <w:r w:rsidRPr="00B62815">
        <w:rPr>
          <w:rFonts w:asciiTheme="minorHAnsi" w:eastAsia="Times New Roman" w:hAnsiTheme="minorHAnsi" w:cstheme="minorHAnsi"/>
          <w:lang w:val="es-ES_tradnl" w:eastAsia="zh-CN"/>
        </w:rPr>
        <w:t xml:space="preserve">Organización y celebración en el marco de la CIDI y con el apoyo de la SEDI de la IV Reunión Ministerial de Desarrollo Social (REMDES) realizada en Guatemala, con la participación de 24 delegaciones de los Estados Miembros las cuales acordaron 26 prioridades para la promoción del desarrollo social en la región y  se identificaron oportunidades de cooperación </w:t>
      </w:r>
      <w:r w:rsidRPr="00B62815">
        <w:rPr>
          <w:rFonts w:asciiTheme="minorHAnsi" w:eastAsia="Times New Roman" w:hAnsiTheme="minorHAnsi" w:cstheme="minorHAnsi"/>
          <w:lang w:val="es-ES_tradnl" w:eastAsia="zh-CN"/>
        </w:rPr>
        <w:lastRenderedPageBreak/>
        <w:t>y sinergias entre la OEA y otros organismos tales como el Banco Mundial, la CEPAL, la Fundación Panamericana para el Desarrollo (FUPAD), EURO</w:t>
      </w:r>
      <w:r w:rsidR="00357DCF">
        <w:rPr>
          <w:rFonts w:asciiTheme="minorHAnsi" w:eastAsia="Times New Roman" w:hAnsiTheme="minorHAnsi" w:cstheme="minorHAnsi"/>
          <w:lang w:val="es-ES_tradnl" w:eastAsia="zh-CN"/>
        </w:rPr>
        <w:t>SOCIAL</w:t>
      </w:r>
      <w:r w:rsidRPr="00B62815">
        <w:rPr>
          <w:rFonts w:asciiTheme="minorHAnsi" w:eastAsia="Times New Roman" w:hAnsiTheme="minorHAnsi" w:cstheme="minorHAnsi"/>
          <w:lang w:val="es-ES_tradnl" w:eastAsia="zh-CN"/>
        </w:rPr>
        <w:t>, la Secretaría de Integración Social Centroamericana, etc.</w:t>
      </w:r>
    </w:p>
    <w:p w14:paraId="78021913" w14:textId="77777777" w:rsidR="00081B28" w:rsidRPr="00B62815" w:rsidRDefault="00081B28" w:rsidP="00E67635">
      <w:pPr>
        <w:pStyle w:val="Sinespaciado"/>
        <w:numPr>
          <w:ilvl w:val="0"/>
          <w:numId w:val="70"/>
        </w:numPr>
        <w:jc w:val="both"/>
        <w:rPr>
          <w:rFonts w:asciiTheme="minorHAnsi" w:eastAsia="Times New Roman" w:hAnsiTheme="minorHAnsi" w:cstheme="minorHAnsi"/>
          <w:lang w:val="es-ES_tradnl" w:eastAsia="zh-CN"/>
        </w:rPr>
      </w:pPr>
      <w:r w:rsidRPr="00B62815">
        <w:rPr>
          <w:rFonts w:asciiTheme="minorHAnsi" w:eastAsia="Times New Roman" w:hAnsiTheme="minorHAnsi" w:cstheme="minorHAnsi"/>
          <w:lang w:val="es-ES_tradnl" w:eastAsia="zh-CN"/>
        </w:rPr>
        <w:t xml:space="preserve">Adopción por los Estados Miembros y por primera vez en el ámbito de Desarrollo Social de la OEA, de un Plan de Acción (2019-2021) que servirá como una Agenda Interamericana de Desarrollo Social en algunos temas decisivos para la región como la pobreza multidimensional, el fortalecimiento de los sistemas de protección social y la promoción de la cooperación regional. </w:t>
      </w:r>
    </w:p>
    <w:p w14:paraId="0388F0A8" w14:textId="77777777" w:rsidR="00081B28" w:rsidRPr="00B62815" w:rsidRDefault="00081B28" w:rsidP="00E67635">
      <w:pPr>
        <w:pStyle w:val="Default"/>
        <w:numPr>
          <w:ilvl w:val="0"/>
          <w:numId w:val="70"/>
        </w:numPr>
        <w:jc w:val="both"/>
        <w:rPr>
          <w:rFonts w:asciiTheme="minorHAnsi" w:eastAsia="Times New Roman" w:hAnsiTheme="minorHAnsi" w:cstheme="minorHAnsi"/>
          <w:color w:val="auto"/>
          <w:sz w:val="22"/>
          <w:szCs w:val="22"/>
          <w:lang w:val="es-ES_tradnl" w:eastAsia="zh-CN"/>
        </w:rPr>
      </w:pPr>
      <w:r w:rsidRPr="00B62815">
        <w:rPr>
          <w:rFonts w:asciiTheme="minorHAnsi" w:eastAsia="Times New Roman" w:hAnsiTheme="minorHAnsi" w:cstheme="minorHAnsi"/>
          <w:color w:val="auto"/>
          <w:sz w:val="22"/>
          <w:szCs w:val="22"/>
          <w:lang w:val="es-ES_tradnl" w:eastAsia="zh-CN"/>
        </w:rPr>
        <w:t>El Grupo de Trabajo Protocolo de San Salvador (GTPSS) presentó recomendaciones a Colombia y Uruguay para garantizar de manera más efectiva los derechos económicos sociales y culturales contenidos en el Protocolo de San Salvador.</w:t>
      </w:r>
    </w:p>
    <w:p w14:paraId="37850F29" w14:textId="77777777" w:rsidR="00081B28" w:rsidRPr="00B62815" w:rsidRDefault="00081B28" w:rsidP="00E67635">
      <w:pPr>
        <w:pStyle w:val="Sinespaciado"/>
        <w:numPr>
          <w:ilvl w:val="0"/>
          <w:numId w:val="70"/>
        </w:numPr>
        <w:jc w:val="both"/>
        <w:rPr>
          <w:rFonts w:asciiTheme="minorHAnsi" w:eastAsia="Times New Roman" w:hAnsiTheme="minorHAnsi" w:cstheme="minorHAnsi"/>
          <w:lang w:val="es-ES_tradnl" w:eastAsia="zh-CN"/>
        </w:rPr>
      </w:pPr>
      <w:r w:rsidRPr="00B62815">
        <w:rPr>
          <w:rFonts w:asciiTheme="minorHAnsi" w:eastAsia="Times New Roman" w:hAnsiTheme="minorHAnsi" w:cstheme="minorHAnsi"/>
          <w:lang w:val="es-ES_tradnl" w:eastAsia="zh-CN"/>
        </w:rPr>
        <w:t xml:space="preserve">Publicación de la “Guía Interamericana de Estrategias de Reducción de la Desigualdad Educativa” en coordinación con el Diálogo Interamericano y con apoyo de la Corporación </w:t>
      </w:r>
      <w:r w:rsidRPr="00B62815">
        <w:rPr>
          <w:rFonts w:asciiTheme="minorHAnsi" w:eastAsia="Times New Roman" w:hAnsiTheme="minorHAnsi" w:cstheme="minorHAnsi"/>
          <w:bCs/>
          <w:lang w:val="es-ES_tradnl" w:eastAsia="zh-CN"/>
        </w:rPr>
        <w:t>Andina de Fomento</w:t>
      </w:r>
      <w:r w:rsidRPr="00B62815">
        <w:rPr>
          <w:rFonts w:asciiTheme="minorHAnsi" w:eastAsia="Times New Roman" w:hAnsiTheme="minorHAnsi" w:cstheme="minorHAnsi"/>
          <w:lang w:val="es-ES_tradnl" w:eastAsia="zh-CN"/>
        </w:rPr>
        <w:t xml:space="preserve"> (</w:t>
      </w:r>
      <w:r w:rsidRPr="00B62815">
        <w:rPr>
          <w:rFonts w:asciiTheme="minorHAnsi" w:eastAsia="Times New Roman" w:hAnsiTheme="minorHAnsi" w:cstheme="minorHAnsi"/>
          <w:bCs/>
          <w:lang w:val="es-ES_tradnl" w:eastAsia="zh-CN"/>
        </w:rPr>
        <w:t>CAF</w:t>
      </w:r>
      <w:r w:rsidRPr="00B62815">
        <w:rPr>
          <w:rFonts w:asciiTheme="minorHAnsi" w:eastAsia="Times New Roman" w:hAnsiTheme="minorHAnsi" w:cstheme="minorHAnsi"/>
          <w:lang w:val="es-ES_tradnl" w:eastAsia="zh-CN"/>
        </w:rPr>
        <w:t>), la cual ofrece estrategias para lograr asegurar la enseñanza de calidad y equitativa en la primera infancia y la educación primaria y secundaria a través de acciones dirigidas a poblaciones diversas y marginalizadas de manera que tengan acceso a una instrucción de calidad.</w:t>
      </w:r>
      <w:r w:rsidRPr="00B62815">
        <w:rPr>
          <w:rFonts w:asciiTheme="minorHAnsi" w:hAnsiTheme="minorHAnsi" w:cstheme="minorHAnsi"/>
          <w:lang w:val="es-ES"/>
        </w:rPr>
        <w:t xml:space="preserve"> </w:t>
      </w:r>
    </w:p>
    <w:p w14:paraId="06A35F3B" w14:textId="77777777" w:rsidR="00551025" w:rsidRPr="00B62815" w:rsidRDefault="00551025" w:rsidP="00551025">
      <w:pPr>
        <w:pStyle w:val="Sinespaciado"/>
        <w:jc w:val="both"/>
        <w:rPr>
          <w:rFonts w:asciiTheme="minorHAnsi" w:eastAsia="Times New Roman" w:hAnsiTheme="minorHAnsi" w:cstheme="minorHAnsi"/>
          <w:lang w:val="es-ES_tradnl" w:eastAsia="zh-CN"/>
        </w:rPr>
      </w:pPr>
    </w:p>
    <w:p w14:paraId="44890AEA" w14:textId="77777777" w:rsidR="00081B28" w:rsidRPr="00B62815" w:rsidRDefault="001C2CF3" w:rsidP="00081B28">
      <w:pPr>
        <w:pStyle w:val="Sinespaciado"/>
        <w:jc w:val="both"/>
        <w:rPr>
          <w:rFonts w:asciiTheme="minorHAnsi" w:eastAsia="Times New Roman" w:hAnsiTheme="minorHAnsi" w:cstheme="minorHAnsi"/>
          <w:lang w:val="es-ES_tradnl" w:eastAsia="zh-CN"/>
        </w:rPr>
      </w:pPr>
      <w:r w:rsidRPr="00B62815">
        <w:rPr>
          <w:rFonts w:asciiTheme="minorHAnsi" w:eastAsia="Times New Roman" w:hAnsiTheme="minorHAnsi" w:cstheme="minorHAnsi"/>
          <w:noProof/>
        </w:rPr>
        <w:lastRenderedPageBreak/>
        <w:drawing>
          <wp:inline distT="0" distB="0" distL="0" distR="0" wp14:anchorId="1796205B" wp14:editId="75640930">
            <wp:extent cx="4422775" cy="2941955"/>
            <wp:effectExtent l="0" t="0" r="0" b="0"/>
            <wp:docPr id="16" name="Picture 4" descr="IV REMDES 2  Morales, Al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V REMDES 2  Morales, Almagro"/>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4422775" cy="2941955"/>
                    </a:xfrm>
                    <a:prstGeom prst="rect">
                      <a:avLst/>
                    </a:prstGeom>
                    <a:noFill/>
                    <a:ln>
                      <a:noFill/>
                    </a:ln>
                  </pic:spPr>
                </pic:pic>
              </a:graphicData>
            </a:graphic>
          </wp:inline>
        </w:drawing>
      </w:r>
    </w:p>
    <w:p w14:paraId="58747A7D" w14:textId="77777777" w:rsidR="00081B28" w:rsidRPr="00B62815" w:rsidRDefault="00081B28" w:rsidP="00081B28">
      <w:pPr>
        <w:pStyle w:val="Sinespaciado"/>
        <w:rPr>
          <w:rFonts w:asciiTheme="minorHAnsi" w:eastAsia="Times New Roman" w:hAnsiTheme="minorHAnsi" w:cstheme="minorHAnsi"/>
          <w:lang w:val="es-ES_tradnl" w:eastAsia="zh-CN"/>
        </w:rPr>
      </w:pPr>
      <w:r w:rsidRPr="00B62815">
        <w:rPr>
          <w:rFonts w:asciiTheme="minorHAnsi" w:eastAsia="Times New Roman" w:hAnsiTheme="minorHAnsi" w:cstheme="minorHAnsi"/>
          <w:lang w:val="es-ES_tradnl" w:eastAsia="zh-CN"/>
        </w:rPr>
        <w:t>IV Reunión Ministerial de Desarrollo Social (REMDES)</w:t>
      </w:r>
    </w:p>
    <w:p w14:paraId="078BF231" w14:textId="77777777" w:rsidR="00081B28" w:rsidRPr="00B62815" w:rsidRDefault="00081B28" w:rsidP="00081B28">
      <w:pPr>
        <w:pStyle w:val="Sinespaciado"/>
        <w:rPr>
          <w:rFonts w:asciiTheme="minorHAnsi" w:eastAsia="Times New Roman" w:hAnsiTheme="minorHAnsi" w:cstheme="minorHAnsi"/>
          <w:lang w:val="es-ES_tradnl" w:eastAsia="zh-CN"/>
        </w:rPr>
      </w:pPr>
    </w:p>
    <w:p w14:paraId="1ED7010B" w14:textId="77777777" w:rsidR="00081B28" w:rsidRPr="00B62815" w:rsidRDefault="001C2CF3" w:rsidP="00081B28">
      <w:pPr>
        <w:pStyle w:val="Sinespaciado"/>
        <w:jc w:val="both"/>
        <w:rPr>
          <w:rFonts w:asciiTheme="minorHAnsi" w:eastAsia="Times New Roman" w:hAnsiTheme="minorHAnsi" w:cstheme="minorHAnsi"/>
          <w:lang w:val="es-ES_tradnl" w:eastAsia="zh-CN"/>
        </w:rPr>
      </w:pPr>
      <w:r w:rsidRPr="00B62815">
        <w:rPr>
          <w:rFonts w:asciiTheme="minorHAnsi" w:eastAsia="Times New Roman" w:hAnsiTheme="minorHAnsi" w:cstheme="minorHAnsi"/>
          <w:noProof/>
        </w:rPr>
        <w:lastRenderedPageBreak/>
        <w:drawing>
          <wp:inline distT="0" distB="0" distL="0" distR="0" wp14:anchorId="19C1773E" wp14:editId="2E08424B">
            <wp:extent cx="4068445" cy="3060700"/>
            <wp:effectExtent l="0" t="0" r="0" b="0"/>
            <wp:docPr id="17" name="Picture 5" descr="Foto evento Lanzamiento Guia Desigualdad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evento Lanzamiento Guia Desigualdad Educativa"/>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4068445" cy="3060700"/>
                    </a:xfrm>
                    <a:prstGeom prst="rect">
                      <a:avLst/>
                    </a:prstGeom>
                    <a:noFill/>
                    <a:ln>
                      <a:noFill/>
                    </a:ln>
                  </pic:spPr>
                </pic:pic>
              </a:graphicData>
            </a:graphic>
          </wp:inline>
        </w:drawing>
      </w:r>
    </w:p>
    <w:p w14:paraId="394FC229" w14:textId="77777777" w:rsidR="00081B28" w:rsidRPr="00B62815" w:rsidRDefault="00081B28" w:rsidP="00081B28">
      <w:pPr>
        <w:pStyle w:val="Sinespaciado"/>
        <w:jc w:val="both"/>
        <w:rPr>
          <w:rFonts w:asciiTheme="minorHAnsi" w:eastAsia="Times New Roman" w:hAnsiTheme="minorHAnsi" w:cstheme="minorHAnsi"/>
          <w:lang w:val="es-ES_tradnl" w:eastAsia="zh-CN"/>
        </w:rPr>
      </w:pPr>
      <w:r w:rsidRPr="00B62815">
        <w:rPr>
          <w:rFonts w:asciiTheme="minorHAnsi" w:eastAsia="Times New Roman" w:hAnsiTheme="minorHAnsi" w:cstheme="minorHAnsi"/>
          <w:lang w:val="es-ES_tradnl" w:eastAsia="zh-CN"/>
        </w:rPr>
        <w:t>Presentación de la “Guía Interamericana de Estrategias de Reducción de la Desigualdad Educativa”</w:t>
      </w:r>
    </w:p>
    <w:p w14:paraId="43D87D74" w14:textId="77777777" w:rsidR="00081B28" w:rsidRPr="00B62815" w:rsidRDefault="00081B28" w:rsidP="00081B28">
      <w:pPr>
        <w:pStyle w:val="Sinespaciado"/>
        <w:jc w:val="both"/>
        <w:rPr>
          <w:rFonts w:asciiTheme="minorHAnsi" w:eastAsia="Times New Roman" w:hAnsiTheme="minorHAnsi" w:cstheme="minorHAnsi"/>
          <w:lang w:val="es-ES_tradnl" w:eastAsia="zh-CN"/>
        </w:rPr>
      </w:pPr>
    </w:p>
    <w:p w14:paraId="6351ADD2" w14:textId="77777777" w:rsidR="00081B28" w:rsidRPr="00EB718B" w:rsidRDefault="00081B28" w:rsidP="00081B28">
      <w:pPr>
        <w:pStyle w:val="Default"/>
        <w:rPr>
          <w:rFonts w:asciiTheme="minorHAnsi" w:hAnsiTheme="minorHAnsi" w:cstheme="minorHAnsi"/>
          <w:color w:val="auto"/>
          <w:sz w:val="22"/>
          <w:szCs w:val="22"/>
          <w:lang w:val="fr-FR"/>
        </w:rPr>
      </w:pPr>
      <w:r w:rsidRPr="00EB718B">
        <w:rPr>
          <w:rFonts w:asciiTheme="minorHAnsi" w:hAnsiTheme="minorHAnsi" w:cstheme="minorHAnsi"/>
          <w:color w:val="auto"/>
          <w:sz w:val="22"/>
          <w:szCs w:val="22"/>
          <w:lang w:val="fr-FR"/>
        </w:rPr>
        <w:t xml:space="preserve">Enlaces: </w:t>
      </w:r>
    </w:p>
    <w:p w14:paraId="4F863398" w14:textId="77777777" w:rsidR="00081B28" w:rsidRPr="00EB718B" w:rsidRDefault="00573283" w:rsidP="00081B28">
      <w:pPr>
        <w:pStyle w:val="Default"/>
        <w:spacing w:after="30"/>
        <w:rPr>
          <w:rFonts w:asciiTheme="minorHAnsi" w:hAnsiTheme="minorHAnsi" w:cstheme="minorHAnsi"/>
          <w:sz w:val="22"/>
          <w:szCs w:val="22"/>
          <w:lang w:val="fr-FR"/>
        </w:rPr>
      </w:pPr>
      <w:hyperlink r:id="rId111" w:history="1">
        <w:r w:rsidR="00081B28" w:rsidRPr="00EB718B">
          <w:rPr>
            <w:rStyle w:val="Hyperlink"/>
            <w:rFonts w:asciiTheme="minorHAnsi" w:hAnsiTheme="minorHAnsi" w:cstheme="minorHAnsi"/>
            <w:sz w:val="22"/>
            <w:szCs w:val="22"/>
            <w:lang w:val="fr-FR"/>
          </w:rPr>
          <w:t>https://www.oas.org/es/centro_noticias/comunicado_prensa.asp?sCodigo=C-018/19</w:t>
        </w:r>
      </w:hyperlink>
    </w:p>
    <w:p w14:paraId="6A76340B" w14:textId="77777777" w:rsidR="00081B28" w:rsidRPr="00EB718B" w:rsidRDefault="00573283" w:rsidP="00081B28">
      <w:pPr>
        <w:pStyle w:val="Default"/>
        <w:spacing w:after="30"/>
        <w:rPr>
          <w:rFonts w:asciiTheme="minorHAnsi" w:hAnsiTheme="minorHAnsi" w:cstheme="minorHAnsi"/>
          <w:color w:val="auto"/>
          <w:sz w:val="22"/>
          <w:szCs w:val="22"/>
          <w:lang w:val="fr-FR"/>
        </w:rPr>
      </w:pPr>
      <w:hyperlink r:id="rId112" w:history="1">
        <w:r w:rsidR="00081B28" w:rsidRPr="00EB718B">
          <w:rPr>
            <w:rStyle w:val="Hyperlink"/>
            <w:rFonts w:asciiTheme="minorHAnsi" w:hAnsiTheme="minorHAnsi" w:cstheme="minorHAnsi"/>
            <w:sz w:val="22"/>
            <w:szCs w:val="22"/>
            <w:lang w:val="fr-FR"/>
          </w:rPr>
          <w:t>http://www.oas.org/es/sadye/inclusion-social/protocolo-ssv/</w:t>
        </w:r>
      </w:hyperlink>
      <w:r w:rsidR="00081B28" w:rsidRPr="00EB718B">
        <w:rPr>
          <w:rFonts w:asciiTheme="minorHAnsi" w:hAnsiTheme="minorHAnsi" w:cstheme="minorHAnsi"/>
          <w:sz w:val="22"/>
          <w:szCs w:val="22"/>
          <w:lang w:val="fr-FR"/>
        </w:rPr>
        <w:t xml:space="preserve"> </w:t>
      </w:r>
      <w:r w:rsidR="00081B28" w:rsidRPr="00EB718B">
        <w:rPr>
          <w:rFonts w:asciiTheme="minorHAnsi" w:hAnsiTheme="minorHAnsi" w:cstheme="minorHAnsi"/>
          <w:color w:val="auto"/>
          <w:sz w:val="22"/>
          <w:szCs w:val="22"/>
          <w:lang w:val="fr-FR"/>
        </w:rPr>
        <w:t xml:space="preserve"> </w:t>
      </w:r>
    </w:p>
    <w:p w14:paraId="53B7846E" w14:textId="77777777" w:rsidR="00081B28" w:rsidRPr="00EB718B" w:rsidRDefault="00573283" w:rsidP="00081B28">
      <w:pPr>
        <w:rPr>
          <w:rFonts w:asciiTheme="minorHAnsi" w:hAnsiTheme="minorHAnsi" w:cstheme="minorHAnsi"/>
          <w:color w:val="1F497D"/>
          <w:sz w:val="22"/>
          <w:szCs w:val="22"/>
          <w:lang w:val="fr-FR"/>
        </w:rPr>
      </w:pPr>
      <w:hyperlink r:id="rId113" w:anchor="/?_k=y9e4ak" w:history="1">
        <w:r w:rsidR="00081B28" w:rsidRPr="00EB718B">
          <w:rPr>
            <w:rStyle w:val="Hyperlink"/>
            <w:rFonts w:asciiTheme="minorHAnsi" w:hAnsiTheme="minorHAnsi" w:cstheme="minorHAnsi"/>
            <w:sz w:val="22"/>
            <w:szCs w:val="22"/>
            <w:lang w:val="fr-FR"/>
          </w:rPr>
          <w:t>http://www.oas.org/es/sadye/inclusion-social/guiainteramericana/content/index.html#/?_k=y9e4ak</w:t>
        </w:r>
      </w:hyperlink>
    </w:p>
    <w:p w14:paraId="42604228" w14:textId="77777777" w:rsidR="00081B28" w:rsidRPr="00EB718B" w:rsidRDefault="00081B28" w:rsidP="00081B28">
      <w:pPr>
        <w:pStyle w:val="Default"/>
        <w:jc w:val="both"/>
        <w:rPr>
          <w:rFonts w:asciiTheme="minorHAnsi" w:hAnsiTheme="minorHAnsi" w:cstheme="minorHAnsi"/>
          <w:b/>
          <w:bCs/>
          <w:color w:val="auto"/>
          <w:sz w:val="22"/>
          <w:szCs w:val="22"/>
          <w:lang w:val="fr-FR"/>
        </w:rPr>
      </w:pPr>
    </w:p>
    <w:p w14:paraId="7B45DFEC" w14:textId="77777777" w:rsidR="005229AA" w:rsidRPr="00EB718B" w:rsidRDefault="005229AA" w:rsidP="00081B28">
      <w:pPr>
        <w:pStyle w:val="Default"/>
        <w:jc w:val="both"/>
        <w:rPr>
          <w:rFonts w:asciiTheme="minorHAnsi" w:hAnsiTheme="minorHAnsi" w:cstheme="minorHAnsi"/>
          <w:b/>
          <w:bCs/>
          <w:color w:val="auto"/>
          <w:sz w:val="22"/>
          <w:szCs w:val="22"/>
          <w:lang w:val="fr-FR"/>
        </w:rPr>
      </w:pPr>
    </w:p>
    <w:p w14:paraId="42AC516D" w14:textId="77777777" w:rsidR="00081B28" w:rsidRPr="00B62815" w:rsidRDefault="00081B28" w:rsidP="00081B28">
      <w:pPr>
        <w:pStyle w:val="Default"/>
        <w:jc w:val="both"/>
        <w:rPr>
          <w:rFonts w:asciiTheme="minorHAnsi" w:hAnsiTheme="minorHAnsi" w:cstheme="minorHAnsi"/>
          <w:b/>
          <w:color w:val="auto"/>
          <w:sz w:val="22"/>
          <w:szCs w:val="22"/>
          <w:lang w:val="es-ES_tradnl"/>
        </w:rPr>
      </w:pPr>
      <w:r w:rsidRPr="00B62815">
        <w:rPr>
          <w:rFonts w:asciiTheme="minorHAnsi" w:hAnsiTheme="minorHAnsi" w:cstheme="minorHAnsi"/>
          <w:b/>
          <w:color w:val="auto"/>
          <w:sz w:val="22"/>
          <w:szCs w:val="22"/>
          <w:lang w:val="es-ES_tradnl"/>
        </w:rPr>
        <w:t xml:space="preserve">Programa para promover los derechos de las personas </w:t>
      </w:r>
      <w:r w:rsidRPr="00B62815">
        <w:rPr>
          <w:rStyle w:val="Strong"/>
          <w:rFonts w:asciiTheme="minorHAnsi" w:hAnsiTheme="minorHAnsi" w:cstheme="minorHAnsi"/>
          <w:sz w:val="22"/>
          <w:szCs w:val="22"/>
          <w:lang w:val="es-ES_tradnl"/>
        </w:rPr>
        <w:t>de las personas en situación de vulnerabilidad</w:t>
      </w:r>
      <w:r w:rsidRPr="00B62815">
        <w:rPr>
          <w:rFonts w:asciiTheme="minorHAnsi" w:hAnsiTheme="minorHAnsi" w:cstheme="minorHAnsi"/>
          <w:b/>
          <w:color w:val="auto"/>
          <w:sz w:val="22"/>
          <w:szCs w:val="22"/>
          <w:lang w:val="es-ES_tradnl"/>
        </w:rPr>
        <w:t xml:space="preserve"> </w:t>
      </w:r>
    </w:p>
    <w:p w14:paraId="67BCA3A1" w14:textId="77777777" w:rsidR="00551025" w:rsidRPr="00B62815" w:rsidRDefault="00551025" w:rsidP="00081B28">
      <w:pPr>
        <w:pStyle w:val="Default"/>
        <w:jc w:val="both"/>
        <w:rPr>
          <w:rFonts w:asciiTheme="minorHAnsi" w:hAnsiTheme="minorHAnsi" w:cstheme="minorHAnsi"/>
          <w:b/>
          <w:color w:val="auto"/>
          <w:sz w:val="22"/>
          <w:szCs w:val="22"/>
          <w:lang w:val="es-ES_tradnl"/>
        </w:rPr>
      </w:pPr>
    </w:p>
    <w:p w14:paraId="4ADE39F2" w14:textId="77777777" w:rsidR="00081B28" w:rsidRPr="00B62815" w:rsidRDefault="00081B28" w:rsidP="00E67635">
      <w:pPr>
        <w:pStyle w:val="Sinespaciado"/>
        <w:numPr>
          <w:ilvl w:val="0"/>
          <w:numId w:val="70"/>
        </w:numPr>
        <w:jc w:val="both"/>
        <w:rPr>
          <w:rFonts w:asciiTheme="minorHAnsi" w:eastAsia="Times New Roman" w:hAnsiTheme="minorHAnsi" w:cstheme="minorHAnsi"/>
          <w:lang w:val="es-ES_tradnl" w:eastAsia="zh-CN"/>
        </w:rPr>
      </w:pPr>
      <w:r w:rsidRPr="00B62815">
        <w:rPr>
          <w:rFonts w:asciiTheme="minorHAnsi" w:eastAsia="Times New Roman" w:hAnsiTheme="minorHAnsi" w:cstheme="minorHAnsi"/>
          <w:lang w:val="es-ES_tradnl" w:eastAsia="zh-CN"/>
        </w:rPr>
        <w:t>150 miembros y no miembros del personal de la SG-OEA incrementaron sus conocimientos sobre la transversalización de la perspectiva LGTBI en Programas y Proyectos de la SG-OEA y sobre interseccionalidad para abordar a los GSV, en colaboración con la Comisión Interamericana de Mujeres, y la Comisión Interamericana de Derechos Humanos.</w:t>
      </w:r>
    </w:p>
    <w:p w14:paraId="4A61C651" w14:textId="77777777" w:rsidR="00081B28" w:rsidRPr="00B62815" w:rsidRDefault="00081B28" w:rsidP="00E67635">
      <w:pPr>
        <w:pStyle w:val="Default"/>
        <w:numPr>
          <w:ilvl w:val="0"/>
          <w:numId w:val="70"/>
        </w:numPr>
        <w:jc w:val="both"/>
        <w:rPr>
          <w:rFonts w:asciiTheme="minorHAnsi" w:hAnsiTheme="minorHAnsi" w:cstheme="minorHAnsi"/>
          <w:sz w:val="22"/>
          <w:szCs w:val="22"/>
          <w:lang w:val="es-ES_tradnl" w:eastAsia="zh-CN"/>
        </w:rPr>
      </w:pPr>
      <w:r w:rsidRPr="00B62815">
        <w:rPr>
          <w:rFonts w:asciiTheme="minorHAnsi" w:hAnsiTheme="minorHAnsi" w:cstheme="minorHAnsi"/>
          <w:sz w:val="22"/>
          <w:szCs w:val="22"/>
          <w:lang w:val="es-ES_tradnl" w:eastAsia="zh-CN"/>
        </w:rPr>
        <w:t>300 funcionarios públicos ecuatorianos aumentaron sus conocimientos sobre la Convención Interamericana sobre Protección de los Derechos Humanos de las Personas Mayores</w:t>
      </w:r>
    </w:p>
    <w:p w14:paraId="2401DD41" w14:textId="77777777" w:rsidR="00081B28" w:rsidRPr="00B62815" w:rsidRDefault="00081B28" w:rsidP="00E67635">
      <w:pPr>
        <w:pStyle w:val="Sinespaciado"/>
        <w:numPr>
          <w:ilvl w:val="0"/>
          <w:numId w:val="70"/>
        </w:numPr>
        <w:jc w:val="both"/>
        <w:rPr>
          <w:rFonts w:asciiTheme="minorHAnsi" w:eastAsia="Times New Roman" w:hAnsiTheme="minorHAnsi" w:cstheme="minorHAnsi"/>
          <w:lang w:val="es-ES_tradnl" w:eastAsia="zh-CN"/>
        </w:rPr>
      </w:pPr>
      <w:r w:rsidRPr="00B62815">
        <w:rPr>
          <w:rFonts w:asciiTheme="minorHAnsi" w:eastAsia="Times New Roman" w:hAnsiTheme="minorHAnsi" w:cstheme="minorHAnsi"/>
          <w:lang w:val="es-ES_tradnl" w:eastAsia="zh-CN"/>
        </w:rPr>
        <w:t>6000 personas aumentaron sus conocimientos sobre el programa de Acción de la Década de las Américas por los Derechos de las Personas con Discapacidad 2016-2026, derechos de las personas con discapacidad intelectual y neurodiversidad; educación inclusiva, capacidad jurídica; acceso a la justicia; mujeres con discapacidad y prevención de violencia de género, liderazgo político de las personas con discapacidad, y políticas públicas inclusivas de personas con discapacidad.</w:t>
      </w:r>
    </w:p>
    <w:p w14:paraId="7691D98E" w14:textId="77777777" w:rsidR="00081B28" w:rsidRPr="00B62815" w:rsidRDefault="00081B28" w:rsidP="00E67635">
      <w:pPr>
        <w:pStyle w:val="Default"/>
        <w:numPr>
          <w:ilvl w:val="0"/>
          <w:numId w:val="70"/>
        </w:numPr>
        <w:jc w:val="both"/>
        <w:rPr>
          <w:rStyle w:val="Strong"/>
          <w:rFonts w:asciiTheme="minorHAnsi" w:hAnsiTheme="minorHAnsi" w:cstheme="minorHAnsi"/>
          <w:b w:val="0"/>
          <w:bCs w:val="0"/>
          <w:sz w:val="22"/>
          <w:szCs w:val="22"/>
          <w:lang w:val="es-ES_tradnl"/>
        </w:rPr>
      </w:pPr>
      <w:r w:rsidRPr="00B62815">
        <w:rPr>
          <w:rFonts w:asciiTheme="minorHAnsi" w:hAnsiTheme="minorHAnsi" w:cstheme="minorHAnsi"/>
          <w:sz w:val="22"/>
          <w:szCs w:val="22"/>
          <w:lang w:val="es-ES_tradnl" w:eastAsia="zh-CN"/>
        </w:rPr>
        <w:t>30 personas incrementaron sus conocimientos sobre las contribuciones del Sistema Interamericano para eliminar la discriminación hacia las personas con discapacidad durante la Duodécima Conferencia de los Estados Partes de la Convención sobre los Derechos de las Personas con Discapacidad.</w:t>
      </w:r>
    </w:p>
    <w:p w14:paraId="54541FB6" w14:textId="77777777" w:rsidR="00081B28" w:rsidRPr="00B62815" w:rsidRDefault="00081B28" w:rsidP="00E67635">
      <w:pPr>
        <w:pStyle w:val="Default"/>
        <w:numPr>
          <w:ilvl w:val="0"/>
          <w:numId w:val="70"/>
        </w:numPr>
        <w:jc w:val="both"/>
        <w:rPr>
          <w:rFonts w:asciiTheme="minorHAnsi" w:eastAsia="Times New Roman" w:hAnsiTheme="minorHAnsi" w:cstheme="minorHAnsi"/>
          <w:sz w:val="22"/>
          <w:szCs w:val="22"/>
          <w:lang w:val="es-ES_tradnl" w:eastAsia="zh-CN"/>
        </w:rPr>
      </w:pPr>
      <w:r w:rsidRPr="00B62815">
        <w:rPr>
          <w:rFonts w:asciiTheme="minorHAnsi" w:eastAsia="Times New Roman" w:hAnsiTheme="minorHAnsi" w:cstheme="minorHAnsi"/>
          <w:sz w:val="22"/>
          <w:szCs w:val="22"/>
          <w:lang w:val="es-ES_tradnl" w:eastAsia="zh-CN"/>
        </w:rPr>
        <w:t>400 personas incrementaron sus conocimientos sobre Educación Inclusiva en Perú.</w:t>
      </w:r>
    </w:p>
    <w:p w14:paraId="3A515E29" w14:textId="77777777" w:rsidR="00081B28" w:rsidRPr="00B62815" w:rsidRDefault="00081B28" w:rsidP="00E67635">
      <w:pPr>
        <w:pStyle w:val="Default"/>
        <w:numPr>
          <w:ilvl w:val="0"/>
          <w:numId w:val="70"/>
        </w:numPr>
        <w:jc w:val="both"/>
        <w:rPr>
          <w:rFonts w:asciiTheme="minorHAnsi" w:hAnsiTheme="minorHAnsi" w:cstheme="minorHAnsi"/>
          <w:sz w:val="22"/>
          <w:szCs w:val="22"/>
          <w:lang w:val="es-ES_tradnl" w:eastAsia="zh-CN"/>
        </w:rPr>
      </w:pPr>
      <w:r w:rsidRPr="00B62815">
        <w:rPr>
          <w:rFonts w:asciiTheme="minorHAnsi" w:hAnsiTheme="minorHAnsi" w:cstheme="minorHAnsi"/>
          <w:sz w:val="22"/>
          <w:szCs w:val="22"/>
          <w:lang w:val="es-ES_tradnl" w:eastAsia="zh-CN"/>
        </w:rPr>
        <w:t>Creación de la Muestra Fotográfica 360 VR “Afrodescendientes en las Américas” en conjunto con el Instituto de Políticas Públicas en Derechos Humanos del MERCOSUR (IPPDH).</w:t>
      </w:r>
    </w:p>
    <w:p w14:paraId="5E962AF3" w14:textId="77777777" w:rsidR="00081B28" w:rsidRPr="00B62815" w:rsidRDefault="00081B28" w:rsidP="00081B28">
      <w:pPr>
        <w:pStyle w:val="Default"/>
        <w:jc w:val="both"/>
        <w:rPr>
          <w:rFonts w:asciiTheme="minorHAnsi" w:hAnsiTheme="minorHAnsi" w:cstheme="minorHAnsi"/>
          <w:sz w:val="22"/>
          <w:szCs w:val="22"/>
          <w:lang w:val="es-ES_tradnl"/>
        </w:rPr>
      </w:pPr>
    </w:p>
    <w:p w14:paraId="41FAA73C" w14:textId="77777777" w:rsidR="00081B28" w:rsidRPr="00B62815" w:rsidRDefault="001C2CF3" w:rsidP="00081B28">
      <w:pPr>
        <w:pStyle w:val="Default"/>
        <w:jc w:val="both"/>
        <w:rPr>
          <w:rFonts w:asciiTheme="minorHAnsi" w:hAnsiTheme="minorHAnsi" w:cstheme="minorHAnsi"/>
          <w:sz w:val="22"/>
          <w:szCs w:val="22"/>
          <w:lang w:val="es-ES_tradnl"/>
        </w:rPr>
      </w:pPr>
      <w:r w:rsidRPr="00B62815">
        <w:rPr>
          <w:rFonts w:asciiTheme="minorHAnsi" w:hAnsiTheme="minorHAnsi" w:cstheme="minorHAnsi"/>
          <w:noProof/>
          <w:sz w:val="22"/>
          <w:szCs w:val="22"/>
        </w:rPr>
        <w:drawing>
          <wp:anchor distT="0" distB="0" distL="114300" distR="114300" simplePos="0" relativeHeight="251709440" behindDoc="1" locked="0" layoutInCell="1" allowOverlap="1" wp14:anchorId="0DE3F6A4" wp14:editId="7D799850">
            <wp:simplePos x="0" y="0"/>
            <wp:positionH relativeFrom="column">
              <wp:posOffset>95885</wp:posOffset>
            </wp:positionH>
            <wp:positionV relativeFrom="paragraph">
              <wp:posOffset>-55245</wp:posOffset>
            </wp:positionV>
            <wp:extent cx="3416935" cy="3448050"/>
            <wp:effectExtent l="0" t="0" r="0" b="0"/>
            <wp:wrapTight wrapText="bothSides">
              <wp:wrapPolygon edited="0">
                <wp:start x="0" y="0"/>
                <wp:lineTo x="0" y="21481"/>
                <wp:lineTo x="21435" y="21481"/>
                <wp:lineTo x="21435" y="0"/>
                <wp:lineTo x="0" y="0"/>
              </wp:wrapPolygon>
            </wp:wrapTight>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3416935"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E8568" w14:textId="77777777" w:rsidR="00081B28" w:rsidRPr="00B62815" w:rsidRDefault="00081B28" w:rsidP="00081B28">
      <w:pPr>
        <w:pStyle w:val="Default"/>
        <w:jc w:val="both"/>
        <w:rPr>
          <w:rFonts w:asciiTheme="minorHAnsi" w:hAnsiTheme="minorHAnsi" w:cstheme="minorHAnsi"/>
          <w:sz w:val="22"/>
          <w:szCs w:val="22"/>
          <w:lang w:val="es-ES_tradnl"/>
        </w:rPr>
      </w:pPr>
    </w:p>
    <w:p w14:paraId="2480D41B" w14:textId="77777777" w:rsidR="00081B28" w:rsidRPr="00B62815" w:rsidRDefault="00081B28" w:rsidP="00081B28">
      <w:pPr>
        <w:pStyle w:val="Default"/>
        <w:jc w:val="both"/>
        <w:rPr>
          <w:rFonts w:asciiTheme="minorHAnsi" w:hAnsiTheme="minorHAnsi" w:cstheme="minorHAnsi"/>
          <w:sz w:val="22"/>
          <w:szCs w:val="22"/>
          <w:lang w:val="es-ES_tradnl"/>
        </w:rPr>
      </w:pPr>
    </w:p>
    <w:p w14:paraId="7D55C3CE" w14:textId="77777777" w:rsidR="00081B28" w:rsidRPr="00B62815" w:rsidRDefault="00081B28" w:rsidP="00081B28">
      <w:pPr>
        <w:pStyle w:val="Default"/>
        <w:jc w:val="both"/>
        <w:rPr>
          <w:rFonts w:asciiTheme="minorHAnsi" w:hAnsiTheme="minorHAnsi" w:cstheme="minorHAnsi"/>
          <w:sz w:val="22"/>
          <w:szCs w:val="22"/>
          <w:lang w:val="es-ES_tradnl"/>
        </w:rPr>
      </w:pPr>
    </w:p>
    <w:p w14:paraId="5E45B849" w14:textId="77777777" w:rsidR="00081B28" w:rsidRPr="00B62815" w:rsidRDefault="00081B28" w:rsidP="00081B28">
      <w:pPr>
        <w:pStyle w:val="Default"/>
        <w:jc w:val="both"/>
        <w:rPr>
          <w:rFonts w:asciiTheme="minorHAnsi" w:hAnsiTheme="minorHAnsi" w:cstheme="minorHAnsi"/>
          <w:sz w:val="22"/>
          <w:szCs w:val="22"/>
          <w:lang w:val="es-ES_tradnl"/>
        </w:rPr>
      </w:pPr>
    </w:p>
    <w:p w14:paraId="33BBAB80" w14:textId="77777777" w:rsidR="00081B28" w:rsidRPr="00B62815" w:rsidRDefault="00081B28" w:rsidP="00081B28">
      <w:pPr>
        <w:pStyle w:val="Default"/>
        <w:jc w:val="both"/>
        <w:rPr>
          <w:rFonts w:asciiTheme="minorHAnsi" w:hAnsiTheme="minorHAnsi" w:cstheme="minorHAnsi"/>
          <w:sz w:val="22"/>
          <w:szCs w:val="22"/>
          <w:lang w:val="es-ES_tradnl"/>
        </w:rPr>
      </w:pPr>
    </w:p>
    <w:p w14:paraId="41AF2551" w14:textId="77777777" w:rsidR="00081B28" w:rsidRPr="00B62815" w:rsidRDefault="00081B28" w:rsidP="00081B28">
      <w:pPr>
        <w:pStyle w:val="Default"/>
        <w:jc w:val="both"/>
        <w:rPr>
          <w:rFonts w:asciiTheme="minorHAnsi" w:hAnsiTheme="minorHAnsi" w:cstheme="minorHAnsi"/>
          <w:sz w:val="22"/>
          <w:szCs w:val="22"/>
          <w:lang w:val="es-ES_tradnl"/>
        </w:rPr>
      </w:pPr>
    </w:p>
    <w:p w14:paraId="773769C4" w14:textId="77777777" w:rsidR="00081B28" w:rsidRPr="00B62815" w:rsidRDefault="00081B28" w:rsidP="00081B28">
      <w:pPr>
        <w:pStyle w:val="Default"/>
        <w:jc w:val="both"/>
        <w:rPr>
          <w:rFonts w:asciiTheme="minorHAnsi" w:hAnsiTheme="minorHAnsi" w:cstheme="minorHAnsi"/>
          <w:sz w:val="22"/>
          <w:szCs w:val="22"/>
          <w:lang w:val="es-ES_tradnl"/>
        </w:rPr>
      </w:pPr>
    </w:p>
    <w:p w14:paraId="23E18023" w14:textId="77777777" w:rsidR="00081B28" w:rsidRPr="00B62815" w:rsidRDefault="00081B28" w:rsidP="00081B28">
      <w:pPr>
        <w:pStyle w:val="Default"/>
        <w:jc w:val="both"/>
        <w:rPr>
          <w:rFonts w:asciiTheme="minorHAnsi" w:hAnsiTheme="minorHAnsi" w:cstheme="minorHAnsi"/>
          <w:sz w:val="22"/>
          <w:szCs w:val="22"/>
          <w:lang w:val="es-ES_tradnl"/>
        </w:rPr>
      </w:pPr>
    </w:p>
    <w:p w14:paraId="1CFD82FA" w14:textId="77777777" w:rsidR="00081B28" w:rsidRPr="00B62815" w:rsidRDefault="00081B28" w:rsidP="00081B28">
      <w:pPr>
        <w:pStyle w:val="Default"/>
        <w:jc w:val="both"/>
        <w:rPr>
          <w:rFonts w:asciiTheme="minorHAnsi" w:hAnsiTheme="minorHAnsi" w:cstheme="minorHAnsi"/>
          <w:sz w:val="22"/>
          <w:szCs w:val="22"/>
          <w:lang w:val="es-ES_tradnl"/>
        </w:rPr>
      </w:pPr>
    </w:p>
    <w:p w14:paraId="44967681" w14:textId="77777777" w:rsidR="00081B28" w:rsidRPr="00B62815" w:rsidRDefault="00081B28" w:rsidP="00081B28">
      <w:pPr>
        <w:pStyle w:val="Default"/>
        <w:jc w:val="both"/>
        <w:rPr>
          <w:rFonts w:asciiTheme="minorHAnsi" w:hAnsiTheme="minorHAnsi" w:cstheme="minorHAnsi"/>
          <w:sz w:val="22"/>
          <w:szCs w:val="22"/>
          <w:lang w:val="es-ES_tradnl"/>
        </w:rPr>
      </w:pPr>
    </w:p>
    <w:p w14:paraId="5B4D09DB" w14:textId="77777777" w:rsidR="00081B28" w:rsidRPr="00B62815" w:rsidRDefault="00081B28" w:rsidP="00081B28">
      <w:pPr>
        <w:pStyle w:val="Default"/>
        <w:jc w:val="both"/>
        <w:rPr>
          <w:rFonts w:asciiTheme="minorHAnsi" w:hAnsiTheme="minorHAnsi" w:cstheme="minorHAnsi"/>
          <w:sz w:val="22"/>
          <w:szCs w:val="22"/>
          <w:lang w:val="es-ES_tradnl"/>
        </w:rPr>
      </w:pPr>
    </w:p>
    <w:p w14:paraId="357FEBFA" w14:textId="77777777" w:rsidR="00081B28" w:rsidRPr="00B62815" w:rsidRDefault="00081B28" w:rsidP="00081B28">
      <w:pPr>
        <w:pStyle w:val="Default"/>
        <w:jc w:val="both"/>
        <w:rPr>
          <w:rFonts w:asciiTheme="minorHAnsi" w:hAnsiTheme="minorHAnsi" w:cstheme="minorHAnsi"/>
          <w:sz w:val="22"/>
          <w:szCs w:val="22"/>
          <w:lang w:val="es-ES_tradnl"/>
        </w:rPr>
      </w:pPr>
    </w:p>
    <w:p w14:paraId="078CB25C" w14:textId="77777777" w:rsidR="00081B28" w:rsidRPr="00B62815" w:rsidRDefault="00081B28" w:rsidP="00081B28">
      <w:pPr>
        <w:pStyle w:val="Default"/>
        <w:jc w:val="both"/>
        <w:rPr>
          <w:rFonts w:asciiTheme="minorHAnsi" w:hAnsiTheme="minorHAnsi" w:cstheme="minorHAnsi"/>
          <w:sz w:val="22"/>
          <w:szCs w:val="22"/>
          <w:lang w:val="es-ES_tradnl"/>
        </w:rPr>
      </w:pPr>
    </w:p>
    <w:p w14:paraId="3BA33369" w14:textId="77777777" w:rsidR="00081B28" w:rsidRPr="00B62815" w:rsidRDefault="00081B28" w:rsidP="00081B28">
      <w:pPr>
        <w:pStyle w:val="Default"/>
        <w:jc w:val="both"/>
        <w:rPr>
          <w:rFonts w:asciiTheme="minorHAnsi" w:hAnsiTheme="minorHAnsi" w:cstheme="minorHAnsi"/>
          <w:sz w:val="22"/>
          <w:szCs w:val="22"/>
          <w:lang w:val="es-ES_tradnl"/>
        </w:rPr>
      </w:pPr>
    </w:p>
    <w:p w14:paraId="7EF821A0" w14:textId="77777777" w:rsidR="00081B28" w:rsidRPr="00B62815" w:rsidRDefault="00081B28" w:rsidP="00081B28">
      <w:pPr>
        <w:pStyle w:val="Default"/>
        <w:jc w:val="both"/>
        <w:rPr>
          <w:rFonts w:asciiTheme="minorHAnsi" w:hAnsiTheme="minorHAnsi" w:cstheme="minorHAnsi"/>
          <w:sz w:val="22"/>
          <w:szCs w:val="22"/>
          <w:lang w:val="es-ES_tradnl"/>
        </w:rPr>
      </w:pPr>
    </w:p>
    <w:p w14:paraId="102EF934" w14:textId="77777777" w:rsidR="00081B28" w:rsidRPr="00B62815" w:rsidRDefault="00081B28" w:rsidP="00081B28">
      <w:pPr>
        <w:pStyle w:val="Default"/>
        <w:jc w:val="both"/>
        <w:rPr>
          <w:rFonts w:asciiTheme="minorHAnsi" w:hAnsiTheme="minorHAnsi" w:cstheme="minorHAnsi"/>
          <w:sz w:val="22"/>
          <w:szCs w:val="22"/>
          <w:lang w:val="es-ES_tradnl"/>
        </w:rPr>
      </w:pPr>
    </w:p>
    <w:p w14:paraId="751AFFF4" w14:textId="77777777" w:rsidR="00081B28" w:rsidRPr="00B62815" w:rsidRDefault="00081B28" w:rsidP="00081B28">
      <w:pPr>
        <w:pStyle w:val="Default"/>
        <w:jc w:val="both"/>
        <w:rPr>
          <w:rFonts w:asciiTheme="minorHAnsi" w:hAnsiTheme="minorHAnsi" w:cstheme="minorHAnsi"/>
          <w:sz w:val="22"/>
          <w:szCs w:val="22"/>
          <w:lang w:val="es-ES_tradnl"/>
        </w:rPr>
      </w:pPr>
    </w:p>
    <w:p w14:paraId="27DA1918" w14:textId="77777777" w:rsidR="00081B28" w:rsidRPr="00B62815" w:rsidRDefault="00081B28" w:rsidP="00081B28">
      <w:pPr>
        <w:pStyle w:val="Default"/>
        <w:jc w:val="both"/>
        <w:rPr>
          <w:rFonts w:asciiTheme="minorHAnsi" w:hAnsiTheme="minorHAnsi" w:cstheme="minorHAnsi"/>
          <w:sz w:val="22"/>
          <w:szCs w:val="22"/>
          <w:lang w:val="es-ES_tradnl"/>
        </w:rPr>
      </w:pPr>
    </w:p>
    <w:p w14:paraId="417A35D9" w14:textId="77777777" w:rsidR="00B22AF2" w:rsidRDefault="00B22AF2" w:rsidP="00081B28">
      <w:pPr>
        <w:pStyle w:val="Default"/>
        <w:jc w:val="both"/>
        <w:rPr>
          <w:rFonts w:asciiTheme="minorHAnsi" w:hAnsiTheme="minorHAnsi" w:cstheme="minorHAnsi"/>
          <w:color w:val="auto"/>
          <w:sz w:val="22"/>
          <w:szCs w:val="22"/>
          <w:lang w:val="es-ES_tradnl"/>
        </w:rPr>
      </w:pPr>
    </w:p>
    <w:p w14:paraId="08F68997" w14:textId="77777777" w:rsidR="00B22AF2" w:rsidRDefault="00B22AF2" w:rsidP="00081B28">
      <w:pPr>
        <w:pStyle w:val="Default"/>
        <w:jc w:val="both"/>
        <w:rPr>
          <w:rFonts w:asciiTheme="minorHAnsi" w:hAnsiTheme="minorHAnsi" w:cstheme="minorHAnsi"/>
          <w:color w:val="auto"/>
          <w:sz w:val="22"/>
          <w:szCs w:val="22"/>
          <w:lang w:val="es-ES_tradnl"/>
        </w:rPr>
      </w:pPr>
    </w:p>
    <w:p w14:paraId="75018575" w14:textId="2848B939" w:rsidR="00081B28" w:rsidRPr="00B62815" w:rsidRDefault="00081B28" w:rsidP="00081B28">
      <w:pPr>
        <w:pStyle w:val="Default"/>
        <w:jc w:val="both"/>
        <w:rPr>
          <w:rFonts w:asciiTheme="minorHAnsi" w:hAnsiTheme="minorHAnsi" w:cstheme="minorHAnsi"/>
          <w:color w:val="auto"/>
          <w:sz w:val="22"/>
          <w:szCs w:val="22"/>
          <w:lang w:val="es-ES_tradnl"/>
        </w:rPr>
      </w:pPr>
      <w:r w:rsidRPr="00B62815">
        <w:rPr>
          <w:rFonts w:asciiTheme="minorHAnsi" w:hAnsiTheme="minorHAnsi" w:cstheme="minorHAnsi"/>
          <w:color w:val="auto"/>
          <w:sz w:val="22"/>
          <w:szCs w:val="22"/>
          <w:lang w:val="es-ES_tradnl"/>
        </w:rPr>
        <w:t xml:space="preserve">Superior izquierda: © Salomao, Helen. March 29, 2018 </w:t>
      </w:r>
    </w:p>
    <w:p w14:paraId="5669CE3E" w14:textId="77777777" w:rsidR="00081B28" w:rsidRPr="00B62815" w:rsidRDefault="00081B28" w:rsidP="00081B28">
      <w:pPr>
        <w:pStyle w:val="PlainText"/>
        <w:rPr>
          <w:rFonts w:asciiTheme="minorHAnsi" w:hAnsiTheme="minorHAnsi" w:cstheme="minorHAnsi"/>
          <w:szCs w:val="22"/>
          <w:lang w:val="es-ES_tradnl"/>
        </w:rPr>
      </w:pPr>
      <w:r w:rsidRPr="00B62815">
        <w:rPr>
          <w:rFonts w:asciiTheme="minorHAnsi" w:hAnsiTheme="minorHAnsi" w:cstheme="minorHAnsi"/>
          <w:szCs w:val="22"/>
          <w:lang w:val="es-ES_tradnl"/>
        </w:rPr>
        <w:t xml:space="preserve">Superior derecha: © Salomao, Helen.  November 23, 2015 </w:t>
      </w:r>
    </w:p>
    <w:p w14:paraId="3419FA5D" w14:textId="77777777" w:rsidR="00081B28" w:rsidRPr="00B62815" w:rsidRDefault="00081B28" w:rsidP="00081B28">
      <w:pPr>
        <w:pStyle w:val="PlainText"/>
        <w:rPr>
          <w:rFonts w:asciiTheme="minorHAnsi" w:hAnsiTheme="minorHAnsi" w:cstheme="minorHAnsi"/>
          <w:szCs w:val="22"/>
          <w:lang w:val="es-ES_tradnl"/>
        </w:rPr>
      </w:pPr>
      <w:r w:rsidRPr="00B62815">
        <w:rPr>
          <w:rFonts w:asciiTheme="minorHAnsi" w:hAnsiTheme="minorHAnsi" w:cstheme="minorHAnsi"/>
          <w:szCs w:val="22"/>
          <w:lang w:val="es-ES_tradnl"/>
        </w:rPr>
        <w:t xml:space="preserve">Inferior izquierda © Diaz-Cano, Andres. February 28, 2019 </w:t>
      </w:r>
    </w:p>
    <w:p w14:paraId="63A69375" w14:textId="77777777" w:rsidR="00081B28" w:rsidRPr="00F43808" w:rsidRDefault="00081B28" w:rsidP="00081B28">
      <w:pPr>
        <w:pStyle w:val="PlainText"/>
        <w:rPr>
          <w:rFonts w:asciiTheme="minorHAnsi" w:hAnsiTheme="minorHAnsi" w:cstheme="minorHAnsi"/>
          <w:szCs w:val="22"/>
        </w:rPr>
      </w:pPr>
      <w:r w:rsidRPr="00B62815">
        <w:rPr>
          <w:rFonts w:asciiTheme="minorHAnsi" w:hAnsiTheme="minorHAnsi" w:cstheme="minorHAnsi"/>
          <w:szCs w:val="22"/>
          <w:lang w:val="es-ES_tradnl"/>
        </w:rPr>
        <w:t xml:space="preserve">Inferior derecha © Garcia Pereira, Rodrigo. </w:t>
      </w:r>
      <w:r w:rsidRPr="00F43808">
        <w:rPr>
          <w:rFonts w:asciiTheme="minorHAnsi" w:hAnsiTheme="minorHAnsi" w:cstheme="minorHAnsi"/>
          <w:szCs w:val="22"/>
        </w:rPr>
        <w:t>January 26, 2019</w:t>
      </w:r>
    </w:p>
    <w:p w14:paraId="0873C8E6" w14:textId="77777777" w:rsidR="005C5422" w:rsidRPr="00F43808" w:rsidRDefault="00081B28" w:rsidP="00B42085">
      <w:pPr>
        <w:pStyle w:val="Default"/>
        <w:rPr>
          <w:rFonts w:asciiTheme="minorHAnsi" w:eastAsia="Calibri" w:hAnsiTheme="minorHAnsi" w:cstheme="minorHAnsi"/>
          <w:sz w:val="22"/>
          <w:szCs w:val="22"/>
        </w:rPr>
      </w:pPr>
      <w:r w:rsidRPr="00F43808">
        <w:rPr>
          <w:rFonts w:asciiTheme="minorHAnsi" w:hAnsiTheme="minorHAnsi" w:cstheme="minorHAnsi"/>
          <w:color w:val="auto"/>
          <w:sz w:val="22"/>
          <w:szCs w:val="22"/>
        </w:rPr>
        <w:t xml:space="preserve">Enlace: </w:t>
      </w:r>
      <w:hyperlink r:id="rId115" w:history="1">
        <w:r w:rsidRPr="00F43808">
          <w:rPr>
            <w:rStyle w:val="Hyperlink"/>
            <w:rFonts w:asciiTheme="minorHAnsi" w:hAnsiTheme="minorHAnsi" w:cstheme="minorHAnsi"/>
            <w:sz w:val="22"/>
            <w:szCs w:val="22"/>
          </w:rPr>
          <w:t>https://oritel.org/oea/seminarios/</w:t>
        </w:r>
      </w:hyperlink>
    </w:p>
    <w:p w14:paraId="5CEEC76A" w14:textId="77777777" w:rsidR="00774DAE" w:rsidRPr="00F43808" w:rsidRDefault="00774DAE" w:rsidP="00551025">
      <w:pPr>
        <w:pStyle w:val="ListParagraph"/>
        <w:spacing w:after="200"/>
        <w:ind w:left="0"/>
        <w:contextualSpacing/>
        <w:rPr>
          <w:rFonts w:asciiTheme="minorHAnsi" w:hAnsiTheme="minorHAnsi" w:cstheme="minorHAnsi"/>
          <w:sz w:val="22"/>
          <w:szCs w:val="22"/>
        </w:rPr>
      </w:pPr>
    </w:p>
    <w:p w14:paraId="0CD05C32" w14:textId="77777777" w:rsidR="001A5CD8" w:rsidRPr="00F43808" w:rsidRDefault="001A5CD8" w:rsidP="0037172C">
      <w:pPr>
        <w:pStyle w:val="ListParagraph"/>
        <w:spacing w:after="200"/>
        <w:ind w:left="0"/>
        <w:contextualSpacing/>
        <w:outlineLvl w:val="1"/>
        <w:rPr>
          <w:rFonts w:asciiTheme="minorHAnsi" w:hAnsiTheme="minorHAnsi" w:cstheme="minorHAnsi"/>
          <w:b/>
          <w:color w:val="1F497D"/>
          <w:sz w:val="22"/>
          <w:szCs w:val="22"/>
        </w:rPr>
      </w:pPr>
    </w:p>
    <w:p w14:paraId="4F651F9F" w14:textId="2E6C539C" w:rsidR="008646CD" w:rsidRPr="00B62815" w:rsidRDefault="00BB7DA9" w:rsidP="0037172C">
      <w:pPr>
        <w:pStyle w:val="ListParagraph"/>
        <w:spacing w:after="200"/>
        <w:ind w:left="0"/>
        <w:contextualSpacing/>
        <w:outlineLvl w:val="1"/>
        <w:rPr>
          <w:rFonts w:asciiTheme="minorHAnsi" w:hAnsiTheme="minorHAnsi" w:cstheme="minorHAnsi"/>
          <w:b/>
          <w:color w:val="1F497D"/>
          <w:sz w:val="22"/>
          <w:szCs w:val="22"/>
          <w:lang w:val="es-ES"/>
        </w:rPr>
      </w:pPr>
      <w:bookmarkStart w:id="73" w:name="_Toc39675852"/>
      <w:bookmarkStart w:id="74" w:name="_Toc40191075"/>
      <w:r w:rsidRPr="00B62815">
        <w:rPr>
          <w:rFonts w:asciiTheme="minorHAnsi" w:hAnsiTheme="minorHAnsi" w:cstheme="minorHAnsi"/>
          <w:b/>
          <w:color w:val="1F497D"/>
          <w:sz w:val="22"/>
          <w:szCs w:val="22"/>
          <w:lang w:val="es-ES"/>
        </w:rPr>
        <w:t>2.9</w:t>
      </w:r>
      <w:r w:rsidR="00774DAE" w:rsidRPr="00B62815">
        <w:rPr>
          <w:rFonts w:asciiTheme="minorHAnsi" w:hAnsiTheme="minorHAnsi" w:cstheme="minorHAnsi"/>
          <w:b/>
          <w:color w:val="1F497D"/>
          <w:sz w:val="22"/>
          <w:szCs w:val="22"/>
          <w:lang w:val="es-ES"/>
        </w:rPr>
        <w:tab/>
      </w:r>
      <w:r w:rsidR="00C329E8" w:rsidRPr="00B62815">
        <w:rPr>
          <w:rFonts w:asciiTheme="minorHAnsi" w:hAnsiTheme="minorHAnsi" w:cstheme="minorHAnsi"/>
          <w:b/>
          <w:color w:val="1F497D"/>
          <w:sz w:val="22"/>
          <w:szCs w:val="22"/>
          <w:lang w:val="es-ES"/>
        </w:rPr>
        <w:t>SECRETARÍA DE ASUNTOS HEMISFÉRICOS</w:t>
      </w:r>
      <w:bookmarkEnd w:id="73"/>
      <w:bookmarkEnd w:id="74"/>
    </w:p>
    <w:p w14:paraId="757B0919" w14:textId="77777777" w:rsidR="00EC6024" w:rsidRPr="00B62815" w:rsidRDefault="00EC6024" w:rsidP="00EC6024">
      <w:pPr>
        <w:pStyle w:val="ListParagraph"/>
        <w:ind w:left="0"/>
        <w:contextualSpacing/>
        <w:rPr>
          <w:rFonts w:asciiTheme="minorHAnsi" w:hAnsiTheme="minorHAnsi" w:cstheme="minorHAnsi"/>
          <w:b/>
          <w:sz w:val="22"/>
          <w:szCs w:val="22"/>
          <w:lang w:val="es-ES"/>
        </w:rPr>
      </w:pPr>
    </w:p>
    <w:p w14:paraId="0C190B55" w14:textId="77777777" w:rsidR="00A1044D" w:rsidRPr="00B62815" w:rsidRDefault="00A1044D" w:rsidP="00A1044D">
      <w:pPr>
        <w:rPr>
          <w:rFonts w:asciiTheme="minorHAnsi" w:eastAsia="Times New Roman" w:hAnsiTheme="minorHAnsi" w:cstheme="minorHAnsi"/>
          <w:b/>
          <w:bCs/>
          <w:kern w:val="28"/>
          <w:sz w:val="22"/>
          <w:szCs w:val="22"/>
          <w:lang w:val="es-ES"/>
        </w:rPr>
      </w:pPr>
      <w:r w:rsidRPr="00B62815">
        <w:rPr>
          <w:rFonts w:asciiTheme="minorHAnsi" w:eastAsia="Times New Roman" w:hAnsiTheme="minorHAnsi" w:cstheme="minorHAnsi"/>
          <w:b/>
          <w:bCs/>
          <w:kern w:val="28"/>
          <w:sz w:val="22"/>
          <w:szCs w:val="22"/>
          <w:lang w:val="es-ES"/>
        </w:rPr>
        <w:t>Resumen de principales logros</w:t>
      </w:r>
    </w:p>
    <w:p w14:paraId="37D46A1C" w14:textId="77777777" w:rsidR="00A1044D" w:rsidRPr="00B62815" w:rsidRDefault="00A1044D" w:rsidP="00A1044D">
      <w:pPr>
        <w:rPr>
          <w:rFonts w:asciiTheme="minorHAnsi" w:eastAsia="Times New Roman" w:hAnsiTheme="minorHAnsi" w:cstheme="minorHAnsi"/>
          <w:b/>
          <w:bCs/>
          <w:kern w:val="28"/>
          <w:sz w:val="22"/>
          <w:szCs w:val="22"/>
          <w:lang w:val="es-ES"/>
        </w:rPr>
      </w:pPr>
    </w:p>
    <w:p w14:paraId="6AF790C8" w14:textId="77777777" w:rsidR="00A1044D" w:rsidRPr="00B62815" w:rsidRDefault="00A1044D" w:rsidP="00A1044D">
      <w:pPr>
        <w:jc w:val="both"/>
        <w:rPr>
          <w:rFonts w:asciiTheme="minorHAnsi" w:eastAsia="Times New Roman" w:hAnsiTheme="minorHAnsi" w:cstheme="minorHAnsi"/>
          <w:bCs/>
          <w:kern w:val="28"/>
          <w:sz w:val="22"/>
          <w:szCs w:val="22"/>
          <w:lang w:val="es-UY"/>
        </w:rPr>
      </w:pPr>
      <w:r w:rsidRPr="00B62815">
        <w:rPr>
          <w:rFonts w:asciiTheme="minorHAnsi" w:eastAsia="Times New Roman" w:hAnsiTheme="minorHAnsi" w:cstheme="minorHAnsi"/>
          <w:bCs/>
          <w:kern w:val="28"/>
          <w:sz w:val="22"/>
          <w:szCs w:val="22"/>
          <w:lang w:val="es-ES"/>
        </w:rPr>
        <w:t>En 2019 la Secretar</w:t>
      </w:r>
      <w:r w:rsidRPr="00B62815">
        <w:rPr>
          <w:rFonts w:asciiTheme="minorHAnsi" w:eastAsia="Times New Roman" w:hAnsiTheme="minorHAnsi" w:cstheme="minorHAnsi"/>
          <w:bCs/>
          <w:kern w:val="28"/>
          <w:sz w:val="22"/>
          <w:szCs w:val="22"/>
          <w:lang w:val="es-UY"/>
        </w:rPr>
        <w:t>ía de Asuntos Hemisféricos</w:t>
      </w:r>
      <w:r w:rsidRPr="00B62815">
        <w:rPr>
          <w:rFonts w:asciiTheme="minorHAnsi" w:eastAsia="Times New Roman" w:hAnsiTheme="minorHAnsi" w:cstheme="minorHAnsi"/>
          <w:bCs/>
          <w:kern w:val="28"/>
          <w:sz w:val="22"/>
          <w:szCs w:val="22"/>
          <w:lang w:val="es-ES"/>
        </w:rPr>
        <w:t xml:space="preserve"> </w:t>
      </w:r>
      <w:r w:rsidRPr="00B62815">
        <w:rPr>
          <w:rFonts w:asciiTheme="minorHAnsi" w:eastAsia="Times New Roman" w:hAnsiTheme="minorHAnsi" w:cstheme="minorHAnsi"/>
          <w:bCs/>
          <w:kern w:val="28"/>
          <w:sz w:val="22"/>
          <w:szCs w:val="22"/>
          <w:lang w:val="es-UY"/>
        </w:rPr>
        <w:t xml:space="preserve">en concordancia con su mandato de coordinación hemisférica e intersectorial alcanzó los siguientes logros: </w:t>
      </w:r>
    </w:p>
    <w:p w14:paraId="367A35FA" w14:textId="77777777" w:rsidR="00A1044D" w:rsidRPr="00B62815" w:rsidRDefault="00A1044D" w:rsidP="00A1044D">
      <w:pPr>
        <w:jc w:val="both"/>
        <w:rPr>
          <w:rFonts w:asciiTheme="minorHAnsi" w:eastAsia="Times New Roman" w:hAnsiTheme="minorHAnsi" w:cstheme="minorHAnsi"/>
          <w:bCs/>
          <w:kern w:val="28"/>
          <w:sz w:val="22"/>
          <w:szCs w:val="22"/>
          <w:lang w:val="es-UY"/>
        </w:rPr>
      </w:pPr>
    </w:p>
    <w:p w14:paraId="09759243" w14:textId="77777777" w:rsidR="00A1044D" w:rsidRPr="00B62815" w:rsidRDefault="00A1044D" w:rsidP="00A1044D">
      <w:pPr>
        <w:jc w:val="both"/>
        <w:rPr>
          <w:rFonts w:asciiTheme="minorHAnsi" w:eastAsia="Times New Roman" w:hAnsiTheme="minorHAnsi" w:cstheme="minorHAnsi"/>
          <w:bCs/>
          <w:kern w:val="28"/>
          <w:sz w:val="22"/>
          <w:szCs w:val="22"/>
          <w:lang w:val="es-UY"/>
        </w:rPr>
      </w:pPr>
      <w:r w:rsidRPr="00B62815">
        <w:rPr>
          <w:rFonts w:asciiTheme="minorHAnsi" w:eastAsia="Times New Roman" w:hAnsiTheme="minorHAnsi" w:cstheme="minorHAnsi"/>
          <w:bCs/>
          <w:kern w:val="28"/>
          <w:sz w:val="22"/>
          <w:szCs w:val="22"/>
          <w:lang w:val="es-UY"/>
        </w:rPr>
        <w:t xml:space="preserve">A través del </w:t>
      </w:r>
      <w:r w:rsidRPr="00B62815">
        <w:rPr>
          <w:rFonts w:asciiTheme="minorHAnsi" w:eastAsia="Times New Roman" w:hAnsiTheme="minorHAnsi" w:cstheme="minorHAnsi"/>
          <w:b/>
          <w:bCs/>
          <w:kern w:val="28"/>
          <w:sz w:val="22"/>
          <w:szCs w:val="22"/>
          <w:lang w:val="es-UY"/>
        </w:rPr>
        <w:t>Departamento para la Gestión Pública Efectiva (DGPE</w:t>
      </w:r>
      <w:r w:rsidRPr="00B62815">
        <w:rPr>
          <w:rFonts w:asciiTheme="minorHAnsi" w:eastAsia="Times New Roman" w:hAnsiTheme="minorHAnsi" w:cstheme="minorHAnsi"/>
          <w:bCs/>
          <w:kern w:val="28"/>
          <w:sz w:val="22"/>
          <w:szCs w:val="22"/>
          <w:lang w:val="es-UY"/>
        </w:rPr>
        <w:t xml:space="preserve">), en cumplimiento al mandato No. 20 de la VIII Cumbre de las Américas, la Secretaría ha lanzado el Programa Interamericano de Datos Abiertos para combatir la corrupción (PIDA). Asimismo, desde la Escuela de Gobierno, se ha realizado el primer Diplomado de la OEA en Gobernanza, Gestión y Liderazgo Público en el Sistema Interamericano con una significativa representación sectores y países de la región.  </w:t>
      </w:r>
    </w:p>
    <w:p w14:paraId="7E78D107" w14:textId="77777777" w:rsidR="00A1044D" w:rsidRPr="00B62815" w:rsidRDefault="00A1044D" w:rsidP="00A1044D">
      <w:pPr>
        <w:jc w:val="both"/>
        <w:rPr>
          <w:rFonts w:asciiTheme="minorHAnsi" w:eastAsia="Times New Roman" w:hAnsiTheme="minorHAnsi" w:cstheme="minorHAnsi"/>
          <w:bCs/>
          <w:kern w:val="28"/>
          <w:sz w:val="22"/>
          <w:szCs w:val="22"/>
          <w:lang w:val="es-UY"/>
        </w:rPr>
      </w:pPr>
    </w:p>
    <w:p w14:paraId="7BF7FEB0" w14:textId="77777777" w:rsidR="00A1044D" w:rsidRPr="00B62815" w:rsidRDefault="00A1044D" w:rsidP="00A1044D">
      <w:pPr>
        <w:jc w:val="both"/>
        <w:rPr>
          <w:rFonts w:asciiTheme="minorHAnsi" w:eastAsia="Times New Roman" w:hAnsiTheme="minorHAnsi" w:cstheme="minorHAnsi"/>
          <w:bCs/>
          <w:kern w:val="28"/>
          <w:sz w:val="22"/>
          <w:szCs w:val="22"/>
          <w:lang w:val="es-UY"/>
        </w:rPr>
      </w:pPr>
      <w:r w:rsidRPr="00B62815">
        <w:rPr>
          <w:rFonts w:asciiTheme="minorHAnsi" w:eastAsia="Times New Roman" w:hAnsiTheme="minorHAnsi" w:cstheme="minorHAnsi"/>
          <w:bCs/>
          <w:kern w:val="28"/>
          <w:sz w:val="22"/>
          <w:szCs w:val="22"/>
          <w:lang w:val="es-UY"/>
        </w:rPr>
        <w:t xml:space="preserve">En lo que respecta a la </w:t>
      </w:r>
      <w:r w:rsidRPr="00B62815">
        <w:rPr>
          <w:rFonts w:asciiTheme="minorHAnsi" w:eastAsia="Times New Roman" w:hAnsiTheme="minorHAnsi" w:cstheme="minorHAnsi"/>
          <w:b/>
          <w:bCs/>
          <w:kern w:val="28"/>
          <w:sz w:val="22"/>
          <w:szCs w:val="22"/>
          <w:lang w:val="es-UY"/>
        </w:rPr>
        <w:t>Secretaría de Cumbres,</w:t>
      </w:r>
      <w:r w:rsidRPr="00B62815">
        <w:rPr>
          <w:rFonts w:asciiTheme="minorHAnsi" w:eastAsia="Times New Roman" w:hAnsiTheme="minorHAnsi" w:cstheme="minorHAnsi"/>
          <w:bCs/>
          <w:kern w:val="28"/>
          <w:sz w:val="22"/>
          <w:szCs w:val="22"/>
          <w:lang w:val="es-UY"/>
        </w:rPr>
        <w:t xml:space="preserve"> se ejecutó efectivamente el primer año del Mecanismo de Seguimiento e Implementación del Compromiso de Lima en estrecha coordinación con la Presidencia del proceso de Cumbres, el gobierno del Perú. La incorporación de la OECD como miembro del Grupo de Trabajo Conjuntos de Cumbres (GTCC), refiere al trabajo de la Secretaría en robustecer el compromiso de las instituciones del GTCC en brindar mayor cooperación a la implementación del Compromiso de Lima y el proceso de Cumbres de las Américas.  </w:t>
      </w:r>
    </w:p>
    <w:p w14:paraId="73F29D98" w14:textId="77777777" w:rsidR="00A1044D" w:rsidRPr="00B62815" w:rsidRDefault="00A1044D" w:rsidP="00A1044D">
      <w:pPr>
        <w:jc w:val="both"/>
        <w:rPr>
          <w:rFonts w:asciiTheme="minorHAnsi" w:eastAsia="Times New Roman" w:hAnsiTheme="minorHAnsi" w:cstheme="minorHAnsi"/>
          <w:bCs/>
          <w:kern w:val="28"/>
          <w:sz w:val="22"/>
          <w:szCs w:val="22"/>
          <w:lang w:val="es-UY"/>
        </w:rPr>
      </w:pPr>
    </w:p>
    <w:p w14:paraId="3D94D392" w14:textId="77777777" w:rsidR="00A1044D" w:rsidRPr="00B62815" w:rsidRDefault="00A1044D" w:rsidP="00A1044D">
      <w:pPr>
        <w:jc w:val="both"/>
        <w:rPr>
          <w:rFonts w:asciiTheme="minorHAnsi" w:eastAsia="Times New Roman" w:hAnsiTheme="minorHAnsi" w:cstheme="minorHAnsi"/>
          <w:bCs/>
          <w:kern w:val="28"/>
          <w:sz w:val="22"/>
          <w:szCs w:val="22"/>
          <w:lang w:val="es-UY"/>
        </w:rPr>
      </w:pPr>
      <w:r w:rsidRPr="00B62815">
        <w:rPr>
          <w:rFonts w:asciiTheme="minorHAnsi" w:eastAsia="Times New Roman" w:hAnsiTheme="minorHAnsi" w:cstheme="minorHAnsi"/>
          <w:bCs/>
          <w:kern w:val="28"/>
          <w:sz w:val="22"/>
          <w:szCs w:val="22"/>
          <w:lang w:val="es-UY"/>
        </w:rPr>
        <w:t xml:space="preserve">Con respecto a la </w:t>
      </w:r>
      <w:r w:rsidRPr="00B62815">
        <w:rPr>
          <w:rFonts w:asciiTheme="minorHAnsi" w:eastAsia="Times New Roman" w:hAnsiTheme="minorHAnsi" w:cstheme="minorHAnsi"/>
          <w:b/>
          <w:bCs/>
          <w:kern w:val="28"/>
          <w:sz w:val="22"/>
          <w:szCs w:val="22"/>
          <w:lang w:val="es-UY"/>
        </w:rPr>
        <w:t>Biblioteca Colón</w:t>
      </w:r>
      <w:r w:rsidRPr="00B62815">
        <w:rPr>
          <w:rFonts w:asciiTheme="minorHAnsi" w:eastAsia="Times New Roman" w:hAnsiTheme="minorHAnsi" w:cstheme="minorHAnsi"/>
          <w:bCs/>
          <w:kern w:val="28"/>
          <w:sz w:val="22"/>
          <w:szCs w:val="22"/>
          <w:lang w:val="es-UY"/>
        </w:rPr>
        <w:t xml:space="preserve">, en cumplimiento a su mandato de memoria institucional de la OEA y en base al acuerdo de cooperación con la empresa HeinOnline se inició el proyecto de digitalización de documentos históricos de la Organización lo cual permitirá una mejor y mayor accesibilidad de los archivos a los usuarios de la Biblioteca, como también una superior preservación de dichos documentos. </w:t>
      </w:r>
    </w:p>
    <w:p w14:paraId="11854B8D" w14:textId="77777777" w:rsidR="00A1044D" w:rsidRPr="00B62815" w:rsidRDefault="00A1044D" w:rsidP="00A1044D">
      <w:pPr>
        <w:jc w:val="both"/>
        <w:rPr>
          <w:rFonts w:asciiTheme="minorHAnsi" w:eastAsia="Times New Roman" w:hAnsiTheme="minorHAnsi" w:cstheme="minorHAnsi"/>
          <w:bCs/>
          <w:kern w:val="28"/>
          <w:sz w:val="22"/>
          <w:szCs w:val="22"/>
          <w:lang w:val="es-UY"/>
        </w:rPr>
      </w:pPr>
    </w:p>
    <w:p w14:paraId="41B02CF3" w14:textId="77777777" w:rsidR="00A1044D" w:rsidRPr="00B62815" w:rsidRDefault="00A1044D" w:rsidP="00A1044D">
      <w:pPr>
        <w:jc w:val="both"/>
        <w:rPr>
          <w:rFonts w:asciiTheme="minorHAnsi" w:eastAsia="Times New Roman" w:hAnsiTheme="minorHAnsi" w:cstheme="minorHAnsi"/>
          <w:bCs/>
          <w:kern w:val="28"/>
          <w:sz w:val="22"/>
          <w:szCs w:val="22"/>
          <w:lang w:val="es-UY"/>
        </w:rPr>
      </w:pPr>
      <w:r w:rsidRPr="00B62815">
        <w:rPr>
          <w:rFonts w:asciiTheme="minorHAnsi" w:eastAsia="Times New Roman" w:hAnsiTheme="minorHAnsi" w:cstheme="minorHAnsi"/>
          <w:bCs/>
          <w:kern w:val="28"/>
          <w:sz w:val="22"/>
          <w:szCs w:val="22"/>
          <w:lang w:val="es-UY"/>
        </w:rPr>
        <w:t xml:space="preserve">El </w:t>
      </w:r>
      <w:r w:rsidRPr="00B62815">
        <w:rPr>
          <w:rFonts w:asciiTheme="minorHAnsi" w:eastAsia="Times New Roman" w:hAnsiTheme="minorHAnsi" w:cstheme="minorHAnsi"/>
          <w:b/>
          <w:bCs/>
          <w:kern w:val="28"/>
          <w:sz w:val="22"/>
          <w:szCs w:val="22"/>
          <w:lang w:val="es-UY"/>
        </w:rPr>
        <w:t xml:space="preserve">Museo de Arte de las Américas (AMA) </w:t>
      </w:r>
      <w:r w:rsidRPr="00B62815">
        <w:rPr>
          <w:rFonts w:asciiTheme="minorHAnsi" w:eastAsia="Times New Roman" w:hAnsiTheme="minorHAnsi" w:cstheme="minorHAnsi"/>
          <w:bCs/>
          <w:kern w:val="28"/>
          <w:sz w:val="22"/>
          <w:szCs w:val="22"/>
          <w:lang w:val="es-UY"/>
        </w:rPr>
        <w:t xml:space="preserve">obtuvo fondos de conservación para la restauración del histórico mural “Raíces de Paz” del artista uruguayo Carlos Pez Vilaró ubicado en el túnel del Edificio Principal de la OEA, lo que permitió lanzar un programa de visitas guiadas y la apertura al público de la significativa obra, lo que generó un incremento de la difusión y visibilidad del Museo en la prensa y redes sociales de Washington DC y Latinoamérica. </w:t>
      </w:r>
    </w:p>
    <w:p w14:paraId="1EB9401E" w14:textId="77777777" w:rsidR="00A1044D" w:rsidRPr="00B62815" w:rsidRDefault="00A1044D" w:rsidP="00A1044D">
      <w:pPr>
        <w:rPr>
          <w:rFonts w:asciiTheme="minorHAnsi" w:eastAsia="Times New Roman" w:hAnsiTheme="minorHAnsi" w:cstheme="minorHAnsi"/>
          <w:b/>
          <w:bCs/>
          <w:kern w:val="28"/>
          <w:sz w:val="22"/>
          <w:szCs w:val="22"/>
          <w:u w:val="single"/>
          <w:lang w:val="es-ES"/>
        </w:rPr>
      </w:pPr>
    </w:p>
    <w:p w14:paraId="43DD9092" w14:textId="77777777" w:rsidR="00A1044D" w:rsidRPr="00B62815" w:rsidRDefault="00A1044D" w:rsidP="00A1044D">
      <w:pPr>
        <w:rPr>
          <w:rFonts w:asciiTheme="minorHAnsi" w:eastAsia="Times New Roman" w:hAnsiTheme="minorHAnsi" w:cstheme="minorHAnsi"/>
          <w:b/>
          <w:bCs/>
          <w:kern w:val="28"/>
          <w:sz w:val="22"/>
          <w:szCs w:val="22"/>
          <w:lang w:val="es-ES"/>
        </w:rPr>
      </w:pPr>
      <w:r w:rsidRPr="00B62815">
        <w:rPr>
          <w:rFonts w:asciiTheme="minorHAnsi" w:eastAsia="Times New Roman" w:hAnsiTheme="minorHAnsi" w:cstheme="minorHAnsi"/>
          <w:b/>
          <w:bCs/>
          <w:kern w:val="28"/>
          <w:sz w:val="22"/>
          <w:szCs w:val="22"/>
          <w:lang w:val="es-ES"/>
        </w:rPr>
        <w:t>Elementos de referencia relacionados al trabajo de la SAH</w:t>
      </w:r>
    </w:p>
    <w:p w14:paraId="26000A6E" w14:textId="77777777" w:rsidR="00A1044D" w:rsidRPr="00B62815" w:rsidRDefault="00A1044D" w:rsidP="00A1044D">
      <w:pPr>
        <w:jc w:val="both"/>
        <w:rPr>
          <w:rFonts w:asciiTheme="minorHAnsi" w:hAnsiTheme="minorHAnsi" w:cstheme="minorHAnsi"/>
          <w:b/>
          <w:caps/>
          <w:sz w:val="22"/>
          <w:szCs w:val="22"/>
          <w:lang w:val="es-ES"/>
        </w:rPr>
      </w:pPr>
    </w:p>
    <w:p w14:paraId="6A9CEC2F" w14:textId="77777777" w:rsidR="00A1044D" w:rsidRPr="00B62815" w:rsidRDefault="00A1044D" w:rsidP="00E67635">
      <w:pPr>
        <w:numPr>
          <w:ilvl w:val="0"/>
          <w:numId w:val="5"/>
        </w:num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sz w:val="22"/>
          <w:szCs w:val="22"/>
          <w:lang w:val="es-ES_tradnl"/>
        </w:rPr>
        <w:t>Democracia (CP/CAJP-3380/16 Rev.4):</w:t>
      </w:r>
    </w:p>
    <w:p w14:paraId="211DB931" w14:textId="77777777" w:rsidR="00A1044D" w:rsidRPr="00B62815" w:rsidRDefault="00A1044D" w:rsidP="00E67635">
      <w:pPr>
        <w:numPr>
          <w:ilvl w:val="0"/>
          <w:numId w:val="7"/>
        </w:num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sz w:val="22"/>
          <w:szCs w:val="22"/>
          <w:lang w:val="es-ES_tradnl"/>
        </w:rPr>
        <w:t>Promover instituciones públicas transparentes y efectivas, y apoyar mecanismos de</w:t>
      </w:r>
    </w:p>
    <w:p w14:paraId="0C5658C8" w14:textId="77777777" w:rsidR="00A1044D" w:rsidRPr="00B62815" w:rsidRDefault="00A1044D" w:rsidP="00E67635">
      <w:pPr>
        <w:numPr>
          <w:ilvl w:val="0"/>
          <w:numId w:val="7"/>
        </w:num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sz w:val="22"/>
          <w:szCs w:val="22"/>
          <w:lang w:val="es-ES_tradnl"/>
        </w:rPr>
        <w:t>participación ciudadana.</w:t>
      </w:r>
    </w:p>
    <w:p w14:paraId="6798AB2C" w14:textId="77777777" w:rsidR="00A1044D" w:rsidRPr="00B62815" w:rsidRDefault="00A1044D" w:rsidP="00E67635">
      <w:pPr>
        <w:numPr>
          <w:ilvl w:val="0"/>
          <w:numId w:val="7"/>
        </w:num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sz w:val="22"/>
          <w:szCs w:val="22"/>
          <w:lang w:val="es-ES_tradnl"/>
        </w:rPr>
        <w:t>Fortalecer el diálogo político en el marco del proceso de Cumbres de las Américas.</w:t>
      </w:r>
    </w:p>
    <w:p w14:paraId="66EBB1DD" w14:textId="77777777" w:rsidR="00A1044D" w:rsidRPr="00B62815" w:rsidRDefault="00A1044D" w:rsidP="00A1044D">
      <w:pPr>
        <w:autoSpaceDE w:val="0"/>
        <w:autoSpaceDN w:val="0"/>
        <w:adjustRightInd w:val="0"/>
        <w:spacing w:after="200"/>
        <w:ind w:left="1080"/>
        <w:contextualSpacing/>
        <w:jc w:val="both"/>
        <w:rPr>
          <w:rFonts w:asciiTheme="minorHAnsi" w:eastAsia="Calibri" w:hAnsiTheme="minorHAnsi" w:cstheme="minorHAnsi"/>
          <w:sz w:val="22"/>
          <w:szCs w:val="22"/>
          <w:lang w:val="es-ES_tradnl"/>
        </w:rPr>
      </w:pPr>
    </w:p>
    <w:p w14:paraId="7B13674A" w14:textId="77777777" w:rsidR="00A1044D" w:rsidRPr="00B62815" w:rsidRDefault="00A1044D" w:rsidP="00E67635">
      <w:pPr>
        <w:numPr>
          <w:ilvl w:val="0"/>
          <w:numId w:val="5"/>
        </w:num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sz w:val="22"/>
          <w:szCs w:val="22"/>
          <w:lang w:val="es-ES_tradnl"/>
        </w:rPr>
        <w:t>Fortalecimiento Institucional (CP/CAAP-3426/Rev.1):</w:t>
      </w:r>
    </w:p>
    <w:p w14:paraId="326E7353" w14:textId="77777777" w:rsidR="00A1044D" w:rsidRPr="00B62815" w:rsidRDefault="00A1044D" w:rsidP="00E67635">
      <w:pPr>
        <w:numPr>
          <w:ilvl w:val="0"/>
          <w:numId w:val="6"/>
        </w:num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sz w:val="22"/>
          <w:szCs w:val="22"/>
          <w:lang w:val="es-ES_tradnl"/>
        </w:rPr>
        <w:t>Promover un enfoque de coordinación de programas que refleje la interdependencia</w:t>
      </w:r>
    </w:p>
    <w:p w14:paraId="524B114A" w14:textId="77777777" w:rsidR="00A1044D" w:rsidRPr="00B62815" w:rsidRDefault="00A1044D" w:rsidP="00E67635">
      <w:pPr>
        <w:numPr>
          <w:ilvl w:val="0"/>
          <w:numId w:val="6"/>
        </w:num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sz w:val="22"/>
          <w:szCs w:val="22"/>
          <w:lang w:val="es-ES_tradnl"/>
        </w:rPr>
        <w:t>entre los pilares de la Organización.</w:t>
      </w:r>
    </w:p>
    <w:p w14:paraId="24E3316E" w14:textId="77777777" w:rsidR="00A1044D" w:rsidRPr="00B62815" w:rsidRDefault="00A1044D" w:rsidP="00E67635">
      <w:pPr>
        <w:numPr>
          <w:ilvl w:val="0"/>
          <w:numId w:val="6"/>
        </w:num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sz w:val="22"/>
          <w:szCs w:val="22"/>
          <w:lang w:val="es-ES_tradnl"/>
        </w:rPr>
        <w:t>Generar sinergias de la OEA con las demás instituciones del Sistema Interamericano</w:t>
      </w:r>
    </w:p>
    <w:p w14:paraId="3AEC11DE" w14:textId="7EDF24DC" w:rsidR="00A1044D" w:rsidRPr="00B62815" w:rsidRDefault="00A1044D" w:rsidP="00E67635">
      <w:pPr>
        <w:numPr>
          <w:ilvl w:val="0"/>
          <w:numId w:val="6"/>
        </w:num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sz w:val="22"/>
          <w:szCs w:val="22"/>
          <w:lang w:val="es-ES_tradnl"/>
        </w:rPr>
        <w:t>Modernizar la estrategia de comunicación interna y externa de la Organización</w:t>
      </w:r>
    </w:p>
    <w:p w14:paraId="27EE657E" w14:textId="77777777" w:rsidR="001A5CD8" w:rsidRPr="00B62815" w:rsidRDefault="001A5CD8" w:rsidP="00A1044D">
      <w:pPr>
        <w:autoSpaceDE w:val="0"/>
        <w:autoSpaceDN w:val="0"/>
        <w:adjustRightInd w:val="0"/>
        <w:spacing w:after="200"/>
        <w:contextualSpacing/>
        <w:jc w:val="both"/>
        <w:rPr>
          <w:rFonts w:asciiTheme="minorHAnsi" w:eastAsia="Calibri" w:hAnsiTheme="minorHAnsi" w:cstheme="minorHAnsi"/>
          <w:sz w:val="22"/>
          <w:szCs w:val="22"/>
          <w:lang w:val="es-ES_tradnl"/>
        </w:rPr>
      </w:pPr>
    </w:p>
    <w:p w14:paraId="0D764160" w14:textId="1BEB2B72" w:rsidR="00A1044D" w:rsidRPr="00B62815" w:rsidRDefault="001C2CF3" w:rsidP="00A1044D">
      <w:pPr>
        <w:autoSpaceDE w:val="0"/>
        <w:autoSpaceDN w:val="0"/>
        <w:adjustRightInd w:val="0"/>
        <w:spacing w:after="200"/>
        <w:contextualSpacing/>
        <w:jc w:val="both"/>
        <w:rPr>
          <w:rFonts w:asciiTheme="minorHAnsi" w:eastAsia="Calibri" w:hAnsiTheme="minorHAnsi" w:cstheme="minorHAnsi"/>
          <w:sz w:val="22"/>
          <w:szCs w:val="22"/>
          <w:lang w:val="es-ES_tradnl"/>
        </w:rPr>
      </w:pPr>
      <w:r w:rsidRPr="00B62815">
        <w:rPr>
          <w:rFonts w:asciiTheme="minorHAnsi" w:eastAsia="Calibri" w:hAnsiTheme="minorHAnsi" w:cstheme="minorHAnsi"/>
          <w:noProof/>
          <w:sz w:val="22"/>
          <w:szCs w:val="22"/>
        </w:rPr>
        <w:drawing>
          <wp:anchor distT="0" distB="0" distL="114300" distR="114300" simplePos="0" relativeHeight="251711488" behindDoc="1" locked="0" layoutInCell="1" allowOverlap="1" wp14:anchorId="3CD531BE" wp14:editId="59E22974">
            <wp:simplePos x="0" y="0"/>
            <wp:positionH relativeFrom="column">
              <wp:posOffset>224790</wp:posOffset>
            </wp:positionH>
            <wp:positionV relativeFrom="paragraph">
              <wp:posOffset>54610</wp:posOffset>
            </wp:positionV>
            <wp:extent cx="5496560" cy="2522220"/>
            <wp:effectExtent l="0" t="0" r="0" b="0"/>
            <wp:wrapTight wrapText="bothSides">
              <wp:wrapPolygon edited="0">
                <wp:start x="0" y="0"/>
                <wp:lineTo x="0" y="21372"/>
                <wp:lineTo x="21560" y="21372"/>
                <wp:lineTo x="21560" y="0"/>
                <wp:lineTo x="0" y="0"/>
              </wp:wrapPolygon>
            </wp:wrapTight>
            <wp:docPr id="154" name="Picture 15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n"/>
                    <pic:cNvPicPr>
                      <a:picLocks noChangeAspect="1" noChangeArrowheads="1"/>
                    </pic:cNvPicPr>
                  </pic:nvPicPr>
                  <pic:blipFill>
                    <a:blip r:embed="rId116" r:link="rId117" cstate="screen">
                      <a:extLst>
                        <a:ext uri="{28A0092B-C50C-407E-A947-70E740481C1C}">
                          <a14:useLocalDpi xmlns:a14="http://schemas.microsoft.com/office/drawing/2010/main"/>
                        </a:ext>
                      </a:extLst>
                    </a:blip>
                    <a:srcRect/>
                    <a:stretch>
                      <a:fillRect/>
                    </a:stretch>
                  </pic:blipFill>
                  <pic:spPr bwMode="auto">
                    <a:xfrm>
                      <a:off x="0" y="0"/>
                      <a:ext cx="549656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6BD8B" w14:textId="77777777" w:rsidR="005229AA" w:rsidRPr="00B62815" w:rsidRDefault="005229AA" w:rsidP="005229AA">
      <w:pPr>
        <w:autoSpaceDE w:val="0"/>
        <w:autoSpaceDN w:val="0"/>
        <w:adjustRightInd w:val="0"/>
        <w:spacing w:after="200"/>
        <w:contextualSpacing/>
        <w:jc w:val="both"/>
        <w:rPr>
          <w:rFonts w:asciiTheme="minorHAnsi" w:hAnsiTheme="minorHAnsi" w:cstheme="minorHAnsi"/>
          <w:sz w:val="22"/>
          <w:szCs w:val="22"/>
          <w:lang w:val="es-ES"/>
        </w:rPr>
      </w:pPr>
    </w:p>
    <w:p w14:paraId="599243C7" w14:textId="77777777" w:rsidR="00A1044D" w:rsidRPr="00B62815" w:rsidRDefault="00A1044D" w:rsidP="005229AA">
      <w:pPr>
        <w:autoSpaceDE w:val="0"/>
        <w:autoSpaceDN w:val="0"/>
        <w:adjustRightInd w:val="0"/>
        <w:spacing w:after="200"/>
        <w:contextualSpacing/>
        <w:jc w:val="both"/>
        <w:rPr>
          <w:rFonts w:asciiTheme="minorHAnsi" w:hAnsiTheme="minorHAnsi" w:cstheme="minorHAnsi"/>
          <w:b/>
          <w:caps/>
          <w:sz w:val="22"/>
          <w:szCs w:val="22"/>
          <w:lang w:val="es-AR"/>
        </w:rPr>
      </w:pPr>
      <w:r w:rsidRPr="00B62815">
        <w:rPr>
          <w:rFonts w:asciiTheme="minorHAnsi" w:hAnsiTheme="minorHAnsi" w:cstheme="minorHAnsi"/>
          <w:sz w:val="22"/>
          <w:szCs w:val="22"/>
          <w:lang w:val="es-ES"/>
        </w:rPr>
        <w:t>Diálogo Hemisférico dirigido por el Secretario de Asuntos Hemisféricos de la OEA- “Marco Contemporáneo de Gobernanza de las Américas: gobierno abierto e inclusivo”, Cumbre Global de la Alianza para el Gobierno Abierto del 2019</w:t>
      </w:r>
    </w:p>
    <w:p w14:paraId="5B3F11AB" w14:textId="77777777" w:rsidR="00A1044D" w:rsidRPr="00B62815" w:rsidRDefault="001C2CF3" w:rsidP="00A1044D">
      <w:pPr>
        <w:jc w:val="center"/>
        <w:rPr>
          <w:rFonts w:asciiTheme="minorHAnsi" w:hAnsiTheme="minorHAnsi" w:cstheme="minorHAnsi"/>
          <w:b/>
          <w:caps/>
          <w:color w:val="FF0000"/>
          <w:sz w:val="22"/>
          <w:szCs w:val="22"/>
          <w:lang w:val="es-AR"/>
        </w:rPr>
      </w:pPr>
      <w:r w:rsidRPr="00B62815">
        <w:rPr>
          <w:rFonts w:asciiTheme="minorHAnsi" w:hAnsiTheme="minorHAnsi" w:cstheme="minorHAnsi"/>
          <w:noProof/>
          <w:sz w:val="22"/>
          <w:szCs w:val="22"/>
        </w:rPr>
        <w:drawing>
          <wp:anchor distT="0" distB="0" distL="114300" distR="114300" simplePos="0" relativeHeight="251713536" behindDoc="1" locked="0" layoutInCell="1" allowOverlap="1" wp14:anchorId="545D2267" wp14:editId="1D03A365">
            <wp:simplePos x="0" y="0"/>
            <wp:positionH relativeFrom="column">
              <wp:posOffset>913130</wp:posOffset>
            </wp:positionH>
            <wp:positionV relativeFrom="paragraph">
              <wp:posOffset>101600</wp:posOffset>
            </wp:positionV>
            <wp:extent cx="4023995" cy="2686050"/>
            <wp:effectExtent l="0" t="0" r="0" b="0"/>
            <wp:wrapTight wrapText="bothSides">
              <wp:wrapPolygon edited="0">
                <wp:start x="0" y="0"/>
                <wp:lineTo x="0" y="21447"/>
                <wp:lineTo x="21474" y="21447"/>
                <wp:lineTo x="21474" y="0"/>
                <wp:lineTo x="0" y="0"/>
              </wp:wrapPolygon>
            </wp:wrapTight>
            <wp:docPr id="155" name="Picture 155" descr="meeting-of-the-summit-implementation-review-group-in-colombia_481399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eeting-of-the-summit-implementation-review-group-in-colombia_4813992732"/>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402399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5A7F0" w14:textId="77777777" w:rsidR="00A1044D" w:rsidRPr="00B62815" w:rsidRDefault="00A1044D" w:rsidP="00A1044D">
      <w:pPr>
        <w:jc w:val="center"/>
        <w:rPr>
          <w:rFonts w:asciiTheme="minorHAnsi" w:hAnsiTheme="minorHAnsi" w:cstheme="minorHAnsi"/>
          <w:b/>
          <w:caps/>
          <w:color w:val="FF0000"/>
          <w:sz w:val="22"/>
          <w:szCs w:val="22"/>
          <w:lang w:val="es-AR"/>
        </w:rPr>
      </w:pPr>
    </w:p>
    <w:p w14:paraId="11585B5C" w14:textId="77777777" w:rsidR="00A1044D" w:rsidRPr="00B62815" w:rsidRDefault="00A1044D" w:rsidP="00A1044D">
      <w:pPr>
        <w:jc w:val="both"/>
        <w:rPr>
          <w:rFonts w:asciiTheme="minorHAnsi" w:hAnsiTheme="minorHAnsi" w:cstheme="minorHAnsi"/>
          <w:b/>
          <w:caps/>
          <w:color w:val="FF0000"/>
          <w:sz w:val="22"/>
          <w:szCs w:val="22"/>
          <w:lang w:val="es-AR"/>
        </w:rPr>
      </w:pPr>
    </w:p>
    <w:p w14:paraId="05B5A29B" w14:textId="77777777" w:rsidR="00A1044D" w:rsidRPr="00B62815" w:rsidRDefault="00A1044D" w:rsidP="00A1044D">
      <w:pPr>
        <w:jc w:val="both"/>
        <w:rPr>
          <w:rFonts w:asciiTheme="minorHAnsi" w:hAnsiTheme="minorHAnsi" w:cstheme="minorHAnsi"/>
          <w:b/>
          <w:caps/>
          <w:color w:val="FF0000"/>
          <w:sz w:val="22"/>
          <w:szCs w:val="22"/>
          <w:lang w:val="es-AR"/>
        </w:rPr>
      </w:pPr>
    </w:p>
    <w:p w14:paraId="242BC10B" w14:textId="77777777" w:rsidR="00A1044D" w:rsidRPr="00B62815" w:rsidRDefault="00A1044D" w:rsidP="00A1044D">
      <w:pPr>
        <w:jc w:val="both"/>
        <w:rPr>
          <w:rFonts w:asciiTheme="minorHAnsi" w:hAnsiTheme="minorHAnsi" w:cstheme="minorHAnsi"/>
          <w:b/>
          <w:caps/>
          <w:color w:val="FF0000"/>
          <w:sz w:val="22"/>
          <w:szCs w:val="22"/>
          <w:lang w:val="es-AR"/>
        </w:rPr>
      </w:pPr>
    </w:p>
    <w:p w14:paraId="3D998755" w14:textId="77777777" w:rsidR="00A1044D" w:rsidRPr="00B62815" w:rsidRDefault="00A1044D" w:rsidP="00A1044D">
      <w:pPr>
        <w:jc w:val="both"/>
        <w:rPr>
          <w:rFonts w:asciiTheme="minorHAnsi" w:hAnsiTheme="minorHAnsi" w:cstheme="minorHAnsi"/>
          <w:b/>
          <w:caps/>
          <w:color w:val="FF0000"/>
          <w:sz w:val="22"/>
          <w:szCs w:val="22"/>
          <w:lang w:val="es-AR"/>
        </w:rPr>
      </w:pPr>
    </w:p>
    <w:p w14:paraId="45E99488" w14:textId="77777777" w:rsidR="00A1044D" w:rsidRPr="00B62815" w:rsidRDefault="00A1044D" w:rsidP="00A1044D">
      <w:pPr>
        <w:jc w:val="both"/>
        <w:rPr>
          <w:rFonts w:asciiTheme="minorHAnsi" w:hAnsiTheme="minorHAnsi" w:cstheme="minorHAnsi"/>
          <w:b/>
          <w:caps/>
          <w:color w:val="FF0000"/>
          <w:sz w:val="22"/>
          <w:szCs w:val="22"/>
          <w:lang w:val="es-AR"/>
        </w:rPr>
      </w:pPr>
    </w:p>
    <w:p w14:paraId="2CF3F847" w14:textId="77777777" w:rsidR="00A1044D" w:rsidRPr="00B62815" w:rsidRDefault="00A1044D" w:rsidP="00A1044D">
      <w:pPr>
        <w:jc w:val="both"/>
        <w:rPr>
          <w:rFonts w:asciiTheme="minorHAnsi" w:hAnsiTheme="minorHAnsi" w:cstheme="minorHAnsi"/>
          <w:b/>
          <w:caps/>
          <w:color w:val="FF0000"/>
          <w:sz w:val="22"/>
          <w:szCs w:val="22"/>
          <w:lang w:val="es-AR"/>
        </w:rPr>
      </w:pPr>
    </w:p>
    <w:p w14:paraId="26889196" w14:textId="77777777" w:rsidR="00A1044D" w:rsidRPr="00B62815" w:rsidRDefault="00A1044D" w:rsidP="00A1044D">
      <w:pPr>
        <w:jc w:val="both"/>
        <w:rPr>
          <w:rFonts w:asciiTheme="minorHAnsi" w:hAnsiTheme="minorHAnsi" w:cstheme="minorHAnsi"/>
          <w:b/>
          <w:caps/>
          <w:color w:val="FF0000"/>
          <w:sz w:val="22"/>
          <w:szCs w:val="22"/>
          <w:lang w:val="es-AR"/>
        </w:rPr>
      </w:pPr>
    </w:p>
    <w:p w14:paraId="60460081" w14:textId="77777777" w:rsidR="00A1044D" w:rsidRPr="00B62815" w:rsidRDefault="00A1044D" w:rsidP="00A1044D">
      <w:pPr>
        <w:jc w:val="both"/>
        <w:rPr>
          <w:rFonts w:asciiTheme="minorHAnsi" w:hAnsiTheme="minorHAnsi" w:cstheme="minorHAnsi"/>
          <w:b/>
          <w:caps/>
          <w:color w:val="FF0000"/>
          <w:sz w:val="22"/>
          <w:szCs w:val="22"/>
          <w:lang w:val="es-AR"/>
        </w:rPr>
      </w:pPr>
    </w:p>
    <w:p w14:paraId="788E4CF8" w14:textId="77777777" w:rsidR="00A1044D" w:rsidRPr="00B62815" w:rsidRDefault="00A1044D" w:rsidP="00A1044D">
      <w:pPr>
        <w:jc w:val="both"/>
        <w:rPr>
          <w:rFonts w:asciiTheme="minorHAnsi" w:hAnsiTheme="minorHAnsi" w:cstheme="minorHAnsi"/>
          <w:b/>
          <w:caps/>
          <w:sz w:val="22"/>
          <w:szCs w:val="22"/>
          <w:lang w:val="es-AR"/>
        </w:rPr>
      </w:pPr>
    </w:p>
    <w:p w14:paraId="062BCCD2" w14:textId="77777777" w:rsidR="00A1044D" w:rsidRPr="00B62815" w:rsidRDefault="00A1044D" w:rsidP="00A1044D">
      <w:pPr>
        <w:jc w:val="both"/>
        <w:rPr>
          <w:rFonts w:asciiTheme="minorHAnsi" w:hAnsiTheme="minorHAnsi" w:cstheme="minorHAnsi"/>
          <w:b/>
          <w:caps/>
          <w:sz w:val="22"/>
          <w:szCs w:val="22"/>
          <w:lang w:val="es-AR"/>
        </w:rPr>
      </w:pPr>
    </w:p>
    <w:p w14:paraId="595D382E" w14:textId="77777777" w:rsidR="00A1044D" w:rsidRPr="00B62815" w:rsidRDefault="00A1044D" w:rsidP="00A1044D">
      <w:pPr>
        <w:jc w:val="both"/>
        <w:rPr>
          <w:rFonts w:asciiTheme="minorHAnsi" w:hAnsiTheme="minorHAnsi" w:cstheme="minorHAnsi"/>
          <w:b/>
          <w:caps/>
          <w:sz w:val="22"/>
          <w:szCs w:val="22"/>
          <w:lang w:val="es-AR"/>
        </w:rPr>
      </w:pPr>
    </w:p>
    <w:p w14:paraId="684116C6" w14:textId="77777777" w:rsidR="00A1044D" w:rsidRPr="00B62815" w:rsidRDefault="00A1044D" w:rsidP="00A1044D">
      <w:pPr>
        <w:jc w:val="both"/>
        <w:rPr>
          <w:rFonts w:asciiTheme="minorHAnsi" w:hAnsiTheme="minorHAnsi" w:cstheme="minorHAnsi"/>
          <w:b/>
          <w:caps/>
          <w:sz w:val="22"/>
          <w:szCs w:val="22"/>
          <w:lang w:val="es-AR"/>
        </w:rPr>
      </w:pPr>
    </w:p>
    <w:p w14:paraId="24139082" w14:textId="77777777" w:rsidR="00A1044D" w:rsidRPr="00B62815" w:rsidRDefault="00A1044D" w:rsidP="00A1044D">
      <w:pPr>
        <w:jc w:val="both"/>
        <w:rPr>
          <w:rFonts w:asciiTheme="minorHAnsi" w:hAnsiTheme="minorHAnsi" w:cstheme="minorHAnsi"/>
          <w:b/>
          <w:caps/>
          <w:sz w:val="22"/>
          <w:szCs w:val="22"/>
          <w:lang w:val="es-AR"/>
        </w:rPr>
      </w:pPr>
    </w:p>
    <w:p w14:paraId="1D9B9841" w14:textId="77777777" w:rsidR="00A1044D" w:rsidRPr="00B62815" w:rsidRDefault="00A1044D" w:rsidP="00A1044D">
      <w:pPr>
        <w:jc w:val="both"/>
        <w:rPr>
          <w:rFonts w:asciiTheme="minorHAnsi" w:hAnsiTheme="minorHAnsi" w:cstheme="minorHAnsi"/>
          <w:b/>
          <w:caps/>
          <w:sz w:val="22"/>
          <w:szCs w:val="22"/>
          <w:lang w:val="es-AR"/>
        </w:rPr>
      </w:pPr>
    </w:p>
    <w:p w14:paraId="752CC4F6" w14:textId="77777777" w:rsidR="00A1044D" w:rsidRPr="00B62815" w:rsidRDefault="00A1044D" w:rsidP="00A1044D">
      <w:pPr>
        <w:jc w:val="both"/>
        <w:rPr>
          <w:rFonts w:asciiTheme="minorHAnsi" w:hAnsiTheme="minorHAnsi" w:cstheme="minorHAnsi"/>
          <w:b/>
          <w:caps/>
          <w:sz w:val="22"/>
          <w:szCs w:val="22"/>
          <w:lang w:val="es-AR"/>
        </w:rPr>
      </w:pPr>
    </w:p>
    <w:p w14:paraId="518CF8EB" w14:textId="77777777" w:rsidR="00A1044D" w:rsidRPr="00B62815" w:rsidRDefault="00A1044D" w:rsidP="00A1044D">
      <w:pPr>
        <w:jc w:val="center"/>
        <w:rPr>
          <w:rFonts w:asciiTheme="minorHAnsi" w:hAnsiTheme="minorHAnsi" w:cstheme="minorHAnsi"/>
          <w:sz w:val="22"/>
          <w:szCs w:val="22"/>
          <w:lang w:val="es-US"/>
        </w:rPr>
      </w:pPr>
      <w:r w:rsidRPr="00B62815">
        <w:rPr>
          <w:rFonts w:asciiTheme="minorHAnsi" w:hAnsiTheme="minorHAnsi" w:cstheme="minorHAnsi"/>
          <w:sz w:val="22"/>
          <w:szCs w:val="22"/>
          <w:lang w:val="es-US"/>
        </w:rPr>
        <w:t>Reunión a nivel Ministerial del GRIC, 49 Asamblea General</w:t>
      </w:r>
    </w:p>
    <w:p w14:paraId="28362A69" w14:textId="77777777" w:rsidR="00A1044D" w:rsidRPr="00B62815" w:rsidRDefault="00A1044D" w:rsidP="00A1044D">
      <w:pPr>
        <w:jc w:val="both"/>
        <w:rPr>
          <w:rFonts w:asciiTheme="minorHAnsi" w:hAnsiTheme="minorHAnsi" w:cstheme="minorHAnsi"/>
          <w:b/>
          <w:sz w:val="22"/>
          <w:szCs w:val="22"/>
          <w:lang w:val="es-ES"/>
        </w:rPr>
      </w:pPr>
    </w:p>
    <w:p w14:paraId="4105CC38" w14:textId="77777777" w:rsidR="005229AA" w:rsidRPr="00B62815" w:rsidRDefault="005229AA" w:rsidP="00A1044D">
      <w:pPr>
        <w:jc w:val="both"/>
        <w:rPr>
          <w:rFonts w:asciiTheme="minorHAnsi" w:hAnsiTheme="minorHAnsi" w:cstheme="minorHAnsi"/>
          <w:b/>
          <w:sz w:val="22"/>
          <w:szCs w:val="22"/>
          <w:lang w:val="es-ES"/>
        </w:rPr>
      </w:pPr>
    </w:p>
    <w:p w14:paraId="16786487" w14:textId="77777777" w:rsidR="00AC5584" w:rsidRPr="00B62815" w:rsidRDefault="00A97DCD" w:rsidP="0037172C">
      <w:pPr>
        <w:pStyle w:val="Heading3"/>
        <w:spacing w:before="0" w:after="0"/>
        <w:rPr>
          <w:rFonts w:asciiTheme="minorHAnsi" w:hAnsiTheme="minorHAnsi" w:cstheme="minorHAnsi"/>
          <w:b w:val="0"/>
          <w:color w:val="E36C0A"/>
          <w:sz w:val="22"/>
          <w:szCs w:val="22"/>
          <w:lang w:val="es-ES"/>
        </w:rPr>
      </w:pPr>
      <w:bookmarkStart w:id="75" w:name="_Toc39675853"/>
      <w:bookmarkStart w:id="76" w:name="_Toc40191076"/>
      <w:r w:rsidRPr="00B62815">
        <w:rPr>
          <w:rFonts w:asciiTheme="minorHAnsi" w:hAnsiTheme="minorHAnsi" w:cstheme="minorHAnsi"/>
          <w:b w:val="0"/>
          <w:color w:val="E36C0A"/>
          <w:sz w:val="22"/>
          <w:szCs w:val="22"/>
          <w:lang w:val="es-ES"/>
        </w:rPr>
        <w:t>2.</w:t>
      </w:r>
      <w:r w:rsidR="00BB7DA9" w:rsidRPr="00B62815">
        <w:rPr>
          <w:rFonts w:asciiTheme="minorHAnsi" w:hAnsiTheme="minorHAnsi" w:cstheme="minorHAnsi"/>
          <w:b w:val="0"/>
          <w:color w:val="E36C0A"/>
          <w:sz w:val="22"/>
          <w:szCs w:val="22"/>
          <w:lang w:val="es-ES"/>
        </w:rPr>
        <w:t>9</w:t>
      </w:r>
      <w:r w:rsidRPr="00B62815">
        <w:rPr>
          <w:rFonts w:asciiTheme="minorHAnsi" w:hAnsiTheme="minorHAnsi" w:cstheme="minorHAnsi"/>
          <w:b w:val="0"/>
          <w:color w:val="E36C0A"/>
          <w:sz w:val="22"/>
          <w:szCs w:val="22"/>
          <w:lang w:val="es-ES"/>
        </w:rPr>
        <w:t>.1</w:t>
      </w:r>
      <w:r w:rsidRPr="00B62815">
        <w:rPr>
          <w:rFonts w:asciiTheme="minorHAnsi" w:hAnsiTheme="minorHAnsi" w:cstheme="minorHAnsi"/>
          <w:b w:val="0"/>
          <w:color w:val="E36C0A"/>
          <w:sz w:val="22"/>
          <w:szCs w:val="22"/>
          <w:lang w:val="es-ES"/>
        </w:rPr>
        <w:tab/>
        <w:t>Departamento para la Gestión Pública Efectiva</w:t>
      </w:r>
      <w:r w:rsidR="00AC5584" w:rsidRPr="00B62815">
        <w:rPr>
          <w:rFonts w:asciiTheme="minorHAnsi" w:hAnsiTheme="minorHAnsi" w:cstheme="minorHAnsi"/>
          <w:b w:val="0"/>
          <w:color w:val="E36C0A"/>
          <w:sz w:val="22"/>
          <w:szCs w:val="22"/>
          <w:lang w:val="es-ES"/>
        </w:rPr>
        <w:t xml:space="preserve"> (DGPE)</w:t>
      </w:r>
      <w:bookmarkEnd w:id="75"/>
      <w:bookmarkEnd w:id="76"/>
    </w:p>
    <w:p w14:paraId="23B53CE7" w14:textId="77777777" w:rsidR="00AC5584" w:rsidRPr="00B62815" w:rsidRDefault="00AC5584" w:rsidP="00AC5584">
      <w:pPr>
        <w:jc w:val="both"/>
        <w:rPr>
          <w:rFonts w:asciiTheme="minorHAnsi" w:hAnsiTheme="minorHAnsi" w:cstheme="minorHAnsi"/>
          <w:sz w:val="22"/>
          <w:szCs w:val="22"/>
          <w:lang w:val="es-ES"/>
        </w:rPr>
      </w:pPr>
    </w:p>
    <w:p w14:paraId="7AEE23AF" w14:textId="77777777" w:rsidR="00AC5584" w:rsidRPr="00B62815" w:rsidRDefault="00AC5584" w:rsidP="00EC6024">
      <w:pPr>
        <w:spacing w:after="240"/>
        <w:jc w:val="both"/>
        <w:rPr>
          <w:rFonts w:asciiTheme="minorHAnsi" w:hAnsiTheme="minorHAnsi" w:cstheme="minorHAnsi"/>
          <w:sz w:val="22"/>
          <w:szCs w:val="22"/>
          <w:u w:val="single"/>
          <w:lang w:val="es-ES"/>
        </w:rPr>
      </w:pPr>
      <w:r w:rsidRPr="00B62815">
        <w:rPr>
          <w:rFonts w:asciiTheme="minorHAnsi" w:hAnsiTheme="minorHAnsi" w:cstheme="minorHAnsi"/>
          <w:sz w:val="22"/>
          <w:szCs w:val="22"/>
          <w:u w:val="single"/>
          <w:lang w:val="es-ES"/>
        </w:rPr>
        <w:t xml:space="preserve">Principales logros </w:t>
      </w:r>
    </w:p>
    <w:p w14:paraId="1CDBF281" w14:textId="77777777" w:rsidR="004F53B3" w:rsidRPr="00B62815" w:rsidRDefault="004F53B3" w:rsidP="004F53B3">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El 2019 se lograron avances como el desarrollo, aprobación y puesta en marcha del Programa Interamericano de Datos Abiertos para combatir la corrupción (PIDA).  Este Programa responde a un mandato de la VIII Cumbre de las Américas. Asimismo, desde el DGPE, se brindó asistencia técnica en temas de gobierno abierto resultando en la actualización de la guía de datos abiertos en Panama, el fortalecimiento del ecosistema de gobierno abierto en Belice y la aprobación de la política de datos abiertos en Honduras. A nivel regional, el DGPE continúa contribuyendo a la articulación de políticas, estrategias e intercambio de experiencias en temas de gobierno digital, datos abiertos y compras gubernamentales.  </w:t>
      </w:r>
    </w:p>
    <w:p w14:paraId="3CF2F124" w14:textId="77777777" w:rsidR="004F53B3" w:rsidRPr="00B62815" w:rsidRDefault="004F53B3" w:rsidP="004F53B3">
      <w:pPr>
        <w:jc w:val="both"/>
        <w:rPr>
          <w:rFonts w:asciiTheme="minorHAnsi" w:hAnsiTheme="minorHAnsi" w:cstheme="minorHAnsi"/>
          <w:sz w:val="22"/>
          <w:szCs w:val="22"/>
          <w:lang w:val="es-ES"/>
        </w:rPr>
      </w:pPr>
    </w:p>
    <w:p w14:paraId="4F19C759" w14:textId="77777777" w:rsidR="004F53B3" w:rsidRPr="00B62815" w:rsidRDefault="004F53B3" w:rsidP="004F53B3">
      <w:pPr>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Durante 2019, la </w:t>
      </w:r>
      <w:r w:rsidRPr="00B62815">
        <w:rPr>
          <w:rFonts w:asciiTheme="minorHAnsi" w:hAnsiTheme="minorHAnsi" w:cstheme="minorHAnsi"/>
          <w:b/>
          <w:sz w:val="22"/>
          <w:szCs w:val="22"/>
          <w:lang w:val="es-AR"/>
        </w:rPr>
        <w:t>Escuela de Gobierno de la OEA</w:t>
      </w:r>
      <w:r w:rsidRPr="00B62815">
        <w:rPr>
          <w:rFonts w:asciiTheme="minorHAnsi" w:hAnsiTheme="minorHAnsi" w:cstheme="minorHAnsi"/>
          <w:sz w:val="22"/>
          <w:szCs w:val="22"/>
          <w:lang w:val="es-AR"/>
        </w:rPr>
        <w:t>, bajo la dirección del DGPE, implementó distintas ofertas de capacitación que buscan promover el trabajo de la OEA en Democracia, Derechos Humanos, Desarrollo Integral y Seguridad Multidimensional. Se han desarrollado ofertas de capacitación en colaboración con otras áreas técnicas de la SG/OEA como, por ejemplo, el curso para candidatas electorales elaborado e impartido, junto con la CIM, en 7 países. También, se ha logrado implementar el Programa del Fellowship sobre Gobierno Abierto en Honduras y el Diplomado OEA que es una combinación de cursos virtuales y de una semana presencial en la sede de la OEA sobre los temas de la agenda interamericana.</w:t>
      </w:r>
    </w:p>
    <w:p w14:paraId="2B016FEF" w14:textId="77777777" w:rsidR="004F53B3" w:rsidRPr="00B62815" w:rsidRDefault="004F53B3" w:rsidP="004F53B3">
      <w:pPr>
        <w:jc w:val="both"/>
        <w:rPr>
          <w:rFonts w:asciiTheme="minorHAnsi" w:hAnsiTheme="minorHAnsi" w:cstheme="minorHAnsi"/>
          <w:sz w:val="22"/>
          <w:szCs w:val="22"/>
          <w:lang w:val="es-ES"/>
        </w:rPr>
      </w:pPr>
      <w:r w:rsidRPr="00B62815">
        <w:rPr>
          <w:rFonts w:asciiTheme="minorHAnsi" w:hAnsiTheme="minorHAnsi" w:cstheme="minorHAnsi"/>
          <w:sz w:val="22"/>
          <w:szCs w:val="22"/>
          <w:lang w:val="es-AR"/>
        </w:rPr>
        <w:t xml:space="preserve"> </w:t>
      </w:r>
    </w:p>
    <w:p w14:paraId="712FEC0D" w14:textId="77777777" w:rsidR="004F53B3" w:rsidRPr="00B62815" w:rsidRDefault="004F53B3" w:rsidP="004F53B3">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Por último, en 2019, el </w:t>
      </w:r>
      <w:r w:rsidRPr="00B62815">
        <w:rPr>
          <w:rFonts w:asciiTheme="minorHAnsi" w:hAnsiTheme="minorHAnsi" w:cstheme="minorHAnsi"/>
          <w:b/>
          <w:sz w:val="22"/>
          <w:szCs w:val="22"/>
          <w:lang w:val="es-ES"/>
        </w:rPr>
        <w:t>Programa de Universalización de la Identidad Civil en las Américas</w:t>
      </w:r>
      <w:r w:rsidRPr="00B62815">
        <w:rPr>
          <w:rFonts w:asciiTheme="minorHAnsi" w:hAnsiTheme="minorHAnsi" w:cstheme="minorHAnsi"/>
          <w:sz w:val="22"/>
          <w:szCs w:val="22"/>
          <w:lang w:val="es-ES"/>
        </w:rPr>
        <w:t xml:space="preserve"> (PUICA) implementó un proyecto centrado en la identidad de género auto percibida. Se trata de un proyecto innovador porque se trabajó de la mano con la sociedad civil y por tratarse de una temática en la cual la región lidera la discusión global. Mediante este proyecto se logró abrir el diálogo con las instituciones de registro civil sobre acciones prácticas que pueden mejorar el acceso a servicios para las personas trans.</w:t>
      </w:r>
    </w:p>
    <w:p w14:paraId="567FB2D2" w14:textId="77777777" w:rsidR="004F53B3" w:rsidRPr="00B62815" w:rsidRDefault="004F53B3" w:rsidP="004F53B3">
      <w:pPr>
        <w:rPr>
          <w:rFonts w:asciiTheme="minorHAnsi" w:hAnsiTheme="minorHAnsi" w:cstheme="minorHAnsi"/>
          <w:sz w:val="22"/>
          <w:szCs w:val="22"/>
          <w:lang w:val="es-ES"/>
        </w:rPr>
      </w:pPr>
    </w:p>
    <w:p w14:paraId="43C713E9" w14:textId="77777777" w:rsidR="00E74BA0" w:rsidRDefault="00E74BA0" w:rsidP="004F53B3">
      <w:pPr>
        <w:rPr>
          <w:rFonts w:asciiTheme="minorHAnsi" w:hAnsiTheme="minorHAnsi" w:cstheme="minorHAnsi"/>
          <w:b/>
          <w:sz w:val="22"/>
          <w:szCs w:val="22"/>
          <w:lang w:val="es-AR"/>
        </w:rPr>
      </w:pPr>
    </w:p>
    <w:p w14:paraId="7BFC051E" w14:textId="73B00BF1" w:rsidR="004F53B3" w:rsidRPr="00B62815" w:rsidRDefault="004F53B3" w:rsidP="004F53B3">
      <w:pPr>
        <w:rPr>
          <w:rFonts w:asciiTheme="minorHAnsi" w:hAnsiTheme="minorHAnsi" w:cstheme="minorHAnsi"/>
          <w:b/>
          <w:sz w:val="22"/>
          <w:szCs w:val="22"/>
          <w:lang w:val="es-AR"/>
        </w:rPr>
      </w:pPr>
      <w:r w:rsidRPr="00B62815">
        <w:rPr>
          <w:rFonts w:asciiTheme="minorHAnsi" w:hAnsiTheme="minorHAnsi" w:cstheme="minorHAnsi"/>
          <w:b/>
          <w:sz w:val="22"/>
          <w:szCs w:val="22"/>
          <w:lang w:val="es-AR"/>
        </w:rPr>
        <w:t>Resultados</w:t>
      </w:r>
    </w:p>
    <w:p w14:paraId="0E5D4025" w14:textId="77777777" w:rsidR="004F53B3" w:rsidRPr="00B62815" w:rsidRDefault="004F53B3" w:rsidP="004F53B3">
      <w:pPr>
        <w:rPr>
          <w:rFonts w:asciiTheme="minorHAnsi" w:hAnsiTheme="minorHAnsi" w:cstheme="minorHAnsi"/>
          <w:sz w:val="22"/>
          <w:szCs w:val="22"/>
          <w:lang w:val="es-AR"/>
        </w:rPr>
      </w:pPr>
    </w:p>
    <w:p w14:paraId="2A7282D1" w14:textId="77777777" w:rsidR="004F53B3" w:rsidRPr="00B62815" w:rsidRDefault="004F53B3" w:rsidP="004F53B3">
      <w:pPr>
        <w:rPr>
          <w:rFonts w:asciiTheme="minorHAnsi" w:hAnsiTheme="minorHAnsi" w:cstheme="minorHAnsi"/>
          <w:b/>
          <w:sz w:val="22"/>
          <w:szCs w:val="22"/>
          <w:lang w:val="es-AR"/>
        </w:rPr>
      </w:pPr>
      <w:r w:rsidRPr="00B62815">
        <w:rPr>
          <w:rFonts w:asciiTheme="minorHAnsi" w:hAnsiTheme="minorHAnsi" w:cstheme="minorHAnsi"/>
          <w:b/>
          <w:sz w:val="22"/>
          <w:szCs w:val="22"/>
          <w:lang w:val="es-AR"/>
        </w:rPr>
        <w:t>Escuela de Gobierno</w:t>
      </w:r>
    </w:p>
    <w:p w14:paraId="06114852" w14:textId="77777777" w:rsidR="004F53B3" w:rsidRPr="00B62815" w:rsidRDefault="004F53B3" w:rsidP="00E67635">
      <w:pPr>
        <w:numPr>
          <w:ilvl w:val="0"/>
          <w:numId w:val="73"/>
        </w:numPr>
        <w:jc w:val="both"/>
        <w:rPr>
          <w:rFonts w:asciiTheme="minorHAnsi" w:eastAsia="Calibri" w:hAnsiTheme="minorHAnsi" w:cstheme="minorHAnsi"/>
          <w:sz w:val="22"/>
          <w:szCs w:val="22"/>
          <w:lang w:val="es-ES"/>
        </w:rPr>
      </w:pPr>
      <w:r w:rsidRPr="00B62815">
        <w:rPr>
          <w:rFonts w:asciiTheme="minorHAnsi" w:eastAsia="Calibri" w:hAnsiTheme="minorHAnsi" w:cstheme="minorHAnsi"/>
          <w:b/>
          <w:sz w:val="22"/>
          <w:szCs w:val="22"/>
          <w:lang w:val="es-AR"/>
        </w:rPr>
        <w:t xml:space="preserve">930 </w:t>
      </w:r>
      <w:r w:rsidRPr="00B62815">
        <w:rPr>
          <w:rFonts w:asciiTheme="minorHAnsi" w:eastAsia="Calibri" w:hAnsiTheme="minorHAnsi" w:cstheme="minorHAnsi"/>
          <w:sz w:val="22"/>
          <w:szCs w:val="22"/>
          <w:lang w:val="es-AR"/>
        </w:rPr>
        <w:t>ciudadanos/as entrenados/as a través de la Escuela de Gobierno durante el 2019.</w:t>
      </w:r>
    </w:p>
    <w:p w14:paraId="601034B3" w14:textId="77777777" w:rsidR="004F53B3" w:rsidRPr="00B62815" w:rsidRDefault="004F53B3" w:rsidP="00E67635">
      <w:pPr>
        <w:numPr>
          <w:ilvl w:val="0"/>
          <w:numId w:val="73"/>
        </w:numPr>
        <w:jc w:val="both"/>
        <w:rPr>
          <w:rFonts w:asciiTheme="minorHAnsi" w:eastAsia="Calibri" w:hAnsiTheme="minorHAnsi" w:cstheme="minorHAnsi"/>
          <w:sz w:val="22"/>
          <w:szCs w:val="22"/>
          <w:lang w:val="es-ES"/>
        </w:rPr>
      </w:pPr>
      <w:r w:rsidRPr="00B62815">
        <w:rPr>
          <w:rFonts w:asciiTheme="minorHAnsi" w:eastAsia="Calibri" w:hAnsiTheme="minorHAnsi" w:cstheme="minorHAnsi"/>
          <w:b/>
          <w:bCs/>
          <w:sz w:val="22"/>
          <w:szCs w:val="22"/>
          <w:lang w:val="es-ES"/>
        </w:rPr>
        <w:t>220</w:t>
      </w:r>
      <w:r w:rsidRPr="00B62815">
        <w:rPr>
          <w:rFonts w:asciiTheme="minorHAnsi" w:eastAsia="Calibri" w:hAnsiTheme="minorHAnsi" w:cstheme="minorHAnsi"/>
          <w:sz w:val="22"/>
          <w:szCs w:val="22"/>
          <w:lang w:val="es-ES"/>
        </w:rPr>
        <w:t xml:space="preserve"> mujeres candidatas postulantes a distintos cargos políticos participantes del Curso para Candidatas Electorales que se desarrolló en Panamá, Bolivia, Colombia y Costa Rica; </w:t>
      </w:r>
    </w:p>
    <w:p w14:paraId="68C298BB" w14:textId="77777777" w:rsidR="004F53B3" w:rsidRPr="00B62815" w:rsidRDefault="004F53B3" w:rsidP="00E67635">
      <w:pPr>
        <w:numPr>
          <w:ilvl w:val="0"/>
          <w:numId w:val="73"/>
        </w:numPr>
        <w:jc w:val="both"/>
        <w:rPr>
          <w:rFonts w:asciiTheme="minorHAnsi" w:eastAsia="Calibri" w:hAnsiTheme="minorHAnsi" w:cstheme="minorHAnsi"/>
          <w:sz w:val="22"/>
          <w:szCs w:val="22"/>
          <w:lang w:val="es-ES"/>
        </w:rPr>
      </w:pPr>
      <w:r w:rsidRPr="00B62815">
        <w:rPr>
          <w:rFonts w:asciiTheme="minorHAnsi" w:eastAsia="Calibri" w:hAnsiTheme="minorHAnsi" w:cstheme="minorHAnsi"/>
          <w:b/>
          <w:bCs/>
          <w:sz w:val="22"/>
          <w:szCs w:val="22"/>
          <w:lang w:val="es-ES"/>
        </w:rPr>
        <w:t>27</w:t>
      </w:r>
      <w:r w:rsidRPr="00B62815">
        <w:rPr>
          <w:rFonts w:asciiTheme="minorHAnsi" w:eastAsia="Calibri" w:hAnsiTheme="minorHAnsi" w:cstheme="minorHAnsi"/>
          <w:sz w:val="22"/>
          <w:szCs w:val="22"/>
          <w:lang w:val="es-ES"/>
        </w:rPr>
        <w:t xml:space="preserve"> líderes políticos participantes de la primera edición del Diplomado OEA en Gobernanza, Gestión y Liderazgo Público en el Sistema Interamericano; </w:t>
      </w:r>
    </w:p>
    <w:p w14:paraId="0C6A38BF" w14:textId="77777777" w:rsidR="004F53B3" w:rsidRPr="00B62815" w:rsidRDefault="004F53B3" w:rsidP="00E67635">
      <w:pPr>
        <w:numPr>
          <w:ilvl w:val="0"/>
          <w:numId w:val="73"/>
        </w:numPr>
        <w:jc w:val="both"/>
        <w:rPr>
          <w:rFonts w:asciiTheme="minorHAnsi" w:eastAsia="Calibri" w:hAnsiTheme="minorHAnsi" w:cstheme="minorHAnsi"/>
          <w:sz w:val="22"/>
          <w:szCs w:val="22"/>
          <w:lang w:val="es-ES"/>
        </w:rPr>
      </w:pPr>
      <w:r w:rsidRPr="00B62815">
        <w:rPr>
          <w:rFonts w:asciiTheme="minorHAnsi" w:eastAsia="Calibri" w:hAnsiTheme="minorHAnsi" w:cstheme="minorHAnsi"/>
          <w:b/>
          <w:bCs/>
          <w:sz w:val="22"/>
          <w:szCs w:val="22"/>
          <w:lang w:val="es-ES"/>
        </w:rPr>
        <w:t>657</w:t>
      </w:r>
      <w:r w:rsidRPr="00B62815">
        <w:rPr>
          <w:rFonts w:asciiTheme="minorHAnsi" w:eastAsia="Calibri" w:hAnsiTheme="minorHAnsi" w:cstheme="minorHAnsi"/>
          <w:sz w:val="22"/>
          <w:szCs w:val="22"/>
          <w:lang w:val="es-ES"/>
        </w:rPr>
        <w:t xml:space="preserve"> funcionarios públicos capacitados a través de los cursos en línea del Campus Virtual de la Escuela de Gobierno OEA;</w:t>
      </w:r>
    </w:p>
    <w:p w14:paraId="620F9FB2" w14:textId="77777777" w:rsidR="004F53B3" w:rsidRPr="00B62815" w:rsidRDefault="004F53B3" w:rsidP="00E67635">
      <w:pPr>
        <w:numPr>
          <w:ilvl w:val="0"/>
          <w:numId w:val="73"/>
        </w:numPr>
        <w:jc w:val="both"/>
        <w:rPr>
          <w:rFonts w:asciiTheme="minorHAnsi" w:eastAsia="Calibri" w:hAnsiTheme="minorHAnsi" w:cstheme="minorHAnsi"/>
          <w:sz w:val="22"/>
          <w:szCs w:val="22"/>
          <w:lang w:val="es-ES"/>
        </w:rPr>
      </w:pPr>
      <w:r w:rsidRPr="00B62815">
        <w:rPr>
          <w:rFonts w:asciiTheme="minorHAnsi" w:eastAsia="Calibri" w:hAnsiTheme="minorHAnsi" w:cstheme="minorHAnsi"/>
          <w:b/>
          <w:bCs/>
          <w:sz w:val="22"/>
          <w:szCs w:val="22"/>
          <w:lang w:val="es-ES"/>
        </w:rPr>
        <w:t>25</w:t>
      </w:r>
      <w:r w:rsidRPr="00B62815">
        <w:rPr>
          <w:rFonts w:asciiTheme="minorHAnsi" w:eastAsia="Calibri" w:hAnsiTheme="minorHAnsi" w:cstheme="minorHAnsi"/>
          <w:sz w:val="22"/>
          <w:szCs w:val="22"/>
          <w:lang w:val="es-ES"/>
        </w:rPr>
        <w:t xml:space="preserve"> jóvenes líderes participantes del Fellowship de Gobierno Abierto en Honduras;  </w:t>
      </w:r>
    </w:p>
    <w:p w14:paraId="0C6E653B" w14:textId="77777777" w:rsidR="004F53B3" w:rsidRPr="00B62815" w:rsidRDefault="004F53B3" w:rsidP="00E67635">
      <w:pPr>
        <w:numPr>
          <w:ilvl w:val="0"/>
          <w:numId w:val="73"/>
        </w:numPr>
        <w:jc w:val="both"/>
        <w:rPr>
          <w:rFonts w:asciiTheme="minorHAnsi" w:eastAsia="Calibri" w:hAnsiTheme="minorHAnsi" w:cstheme="minorHAnsi"/>
          <w:sz w:val="22"/>
          <w:szCs w:val="22"/>
          <w:lang w:val="es-ES"/>
        </w:rPr>
      </w:pPr>
      <w:r w:rsidRPr="00B62815">
        <w:rPr>
          <w:rFonts w:asciiTheme="minorHAnsi" w:eastAsia="Calibri" w:hAnsiTheme="minorHAnsi" w:cstheme="minorHAnsi"/>
          <w:b/>
          <w:bCs/>
          <w:sz w:val="22"/>
          <w:szCs w:val="22"/>
          <w:lang w:val="es-ES"/>
        </w:rPr>
        <w:t xml:space="preserve">2, 000 </w:t>
      </w:r>
      <w:r w:rsidRPr="00B62815">
        <w:rPr>
          <w:rFonts w:asciiTheme="minorHAnsi" w:eastAsia="Calibri" w:hAnsiTheme="minorHAnsi" w:cstheme="minorHAnsi"/>
          <w:sz w:val="22"/>
          <w:szCs w:val="22"/>
          <w:lang w:val="es-ES"/>
        </w:rPr>
        <w:t>visitantes</w:t>
      </w:r>
      <w:r w:rsidRPr="00B62815">
        <w:rPr>
          <w:rFonts w:asciiTheme="minorHAnsi" w:eastAsia="Calibri" w:hAnsiTheme="minorHAnsi" w:cstheme="minorHAnsi"/>
          <w:b/>
          <w:bCs/>
          <w:sz w:val="22"/>
          <w:szCs w:val="22"/>
          <w:lang w:val="es-ES"/>
        </w:rPr>
        <w:t xml:space="preserve"> </w:t>
      </w:r>
      <w:r w:rsidRPr="00B62815">
        <w:rPr>
          <w:rFonts w:asciiTheme="minorHAnsi" w:eastAsia="Calibri" w:hAnsiTheme="minorHAnsi" w:cstheme="minorHAnsi"/>
          <w:sz w:val="22"/>
          <w:szCs w:val="22"/>
          <w:lang w:val="es-ES"/>
        </w:rPr>
        <w:t>que a través de</w:t>
      </w:r>
      <w:r w:rsidRPr="00B62815">
        <w:rPr>
          <w:rFonts w:asciiTheme="minorHAnsi" w:eastAsia="Calibri" w:hAnsiTheme="minorHAnsi" w:cstheme="minorHAnsi"/>
          <w:b/>
          <w:bCs/>
          <w:sz w:val="22"/>
          <w:szCs w:val="22"/>
          <w:lang w:val="es-ES"/>
        </w:rPr>
        <w:t xml:space="preserve"> 68</w:t>
      </w:r>
      <w:r w:rsidRPr="00B62815">
        <w:rPr>
          <w:rFonts w:asciiTheme="minorHAnsi" w:eastAsia="Calibri" w:hAnsiTheme="minorHAnsi" w:cstheme="minorHAnsi"/>
          <w:sz w:val="22"/>
          <w:szCs w:val="22"/>
          <w:lang w:val="es-ES"/>
        </w:rPr>
        <w:t xml:space="preserve"> grupos entre estudiantes, diplomáticos, militares y público en general visitaron la sede la OEA en Washington DC y recibieron tours guiados del Edificio Principal y sesiones informativas para conocer la misión y los temas de la agenda interamericana.</w:t>
      </w:r>
    </w:p>
    <w:p w14:paraId="022E3BB0" w14:textId="77777777" w:rsidR="004F53B3" w:rsidRPr="00B62815" w:rsidRDefault="004F53B3" w:rsidP="004F53B3">
      <w:pPr>
        <w:rPr>
          <w:rFonts w:asciiTheme="minorHAnsi" w:hAnsiTheme="minorHAnsi" w:cstheme="minorHAnsi"/>
          <w:sz w:val="22"/>
          <w:szCs w:val="22"/>
          <w:lang w:val="es-ES"/>
        </w:rPr>
      </w:pPr>
    </w:p>
    <w:p w14:paraId="42B48BB4" w14:textId="77777777" w:rsidR="004F53B3" w:rsidRPr="00B62815" w:rsidRDefault="004F53B3" w:rsidP="004F53B3">
      <w:pPr>
        <w:rPr>
          <w:rFonts w:asciiTheme="minorHAnsi" w:hAnsiTheme="minorHAnsi" w:cstheme="minorHAnsi"/>
          <w:b/>
          <w:sz w:val="22"/>
          <w:szCs w:val="22"/>
          <w:lang w:val="es-AR"/>
        </w:rPr>
      </w:pPr>
      <w:r w:rsidRPr="00B62815">
        <w:rPr>
          <w:rFonts w:asciiTheme="minorHAnsi" w:hAnsiTheme="minorHAnsi" w:cstheme="minorHAnsi"/>
          <w:b/>
          <w:sz w:val="22"/>
          <w:szCs w:val="22"/>
          <w:lang w:val="es-AR"/>
        </w:rPr>
        <w:t>Gobierno Abierto: Datos abiertos y Compras Gubernamentales</w:t>
      </w:r>
    </w:p>
    <w:p w14:paraId="23605E26" w14:textId="1B42C6BE" w:rsidR="004F53B3" w:rsidRPr="00B62815" w:rsidRDefault="004F53B3" w:rsidP="00E67635">
      <w:pPr>
        <w:numPr>
          <w:ilvl w:val="0"/>
          <w:numId w:val="74"/>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 xml:space="preserve">900 participantes de gobierno y sociedad civil con capacidades fortalecidas en apertura y aprovechamiento de datos públicos en Belice y </w:t>
      </w:r>
      <w:r w:rsidR="00357DCF" w:rsidRPr="00B62815">
        <w:rPr>
          <w:rFonts w:asciiTheme="minorHAnsi" w:eastAsia="Calibri" w:hAnsiTheme="minorHAnsi" w:cstheme="minorHAnsi"/>
          <w:sz w:val="22"/>
          <w:szCs w:val="22"/>
          <w:lang w:val="es-ES"/>
        </w:rPr>
        <w:t>Panamá</w:t>
      </w:r>
      <w:r w:rsidRPr="00B62815">
        <w:rPr>
          <w:rFonts w:asciiTheme="minorHAnsi" w:eastAsia="Calibri" w:hAnsiTheme="minorHAnsi" w:cstheme="minorHAnsi"/>
          <w:sz w:val="22"/>
          <w:szCs w:val="22"/>
          <w:lang w:val="es-ES"/>
        </w:rPr>
        <w:t>.</w:t>
      </w:r>
    </w:p>
    <w:p w14:paraId="4308958C" w14:textId="67B83C60" w:rsidR="004F53B3" w:rsidRPr="00B62815" w:rsidRDefault="00357DCF" w:rsidP="00E67635">
      <w:pPr>
        <w:numPr>
          <w:ilvl w:val="0"/>
          <w:numId w:val="74"/>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Cofinanciamiento</w:t>
      </w:r>
      <w:r w:rsidR="004F53B3" w:rsidRPr="00B62815">
        <w:rPr>
          <w:rFonts w:asciiTheme="minorHAnsi" w:eastAsia="Calibri" w:hAnsiTheme="minorHAnsi" w:cstheme="minorHAnsi"/>
          <w:sz w:val="22"/>
          <w:szCs w:val="22"/>
          <w:lang w:val="es-ES"/>
        </w:rPr>
        <w:t xml:space="preserve"> de mini-grants para 8 proyectos de innovación con datos abiertos en Belice</w:t>
      </w:r>
    </w:p>
    <w:p w14:paraId="3B5DE91C" w14:textId="77777777" w:rsidR="004F53B3" w:rsidRPr="00B62815" w:rsidRDefault="004F53B3" w:rsidP="00E67635">
      <w:pPr>
        <w:numPr>
          <w:ilvl w:val="0"/>
          <w:numId w:val="74"/>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200 personas de panamá entrenadas en datos abiertos</w:t>
      </w:r>
    </w:p>
    <w:p w14:paraId="1CC4BB6E" w14:textId="05ADF5DA" w:rsidR="004F53B3" w:rsidRPr="00B62815" w:rsidRDefault="004F53B3" w:rsidP="00E67635">
      <w:pPr>
        <w:numPr>
          <w:ilvl w:val="0"/>
          <w:numId w:val="74"/>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 xml:space="preserve">Actualización de la guía nacional de datos abiertos y recomendaciones presentadas para la implementación de la política nacional de datos abiertos en </w:t>
      </w:r>
      <w:r w:rsidR="00357DCF" w:rsidRPr="00B62815">
        <w:rPr>
          <w:rFonts w:asciiTheme="minorHAnsi" w:eastAsia="Calibri" w:hAnsiTheme="minorHAnsi" w:cstheme="minorHAnsi"/>
          <w:sz w:val="22"/>
          <w:szCs w:val="22"/>
          <w:lang w:val="es-ES"/>
        </w:rPr>
        <w:t>Panamá</w:t>
      </w:r>
      <w:r w:rsidRPr="00B62815">
        <w:rPr>
          <w:rFonts w:asciiTheme="minorHAnsi" w:eastAsia="Calibri" w:hAnsiTheme="minorHAnsi" w:cstheme="minorHAnsi"/>
          <w:sz w:val="22"/>
          <w:szCs w:val="22"/>
          <w:lang w:val="es-ES"/>
        </w:rPr>
        <w:t>.</w:t>
      </w:r>
    </w:p>
    <w:p w14:paraId="42571FC9" w14:textId="77777777" w:rsidR="004F53B3" w:rsidRPr="00B62815" w:rsidRDefault="004F53B3" w:rsidP="00E67635">
      <w:pPr>
        <w:numPr>
          <w:ilvl w:val="0"/>
          <w:numId w:val="74"/>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Co-creación y aprobación de la política nacional de datos abiertos de Honduras.</w:t>
      </w:r>
    </w:p>
    <w:p w14:paraId="236B3E09" w14:textId="77777777" w:rsidR="004F53B3" w:rsidRPr="00B62815" w:rsidRDefault="004F53B3" w:rsidP="00E67635">
      <w:pPr>
        <w:numPr>
          <w:ilvl w:val="0"/>
          <w:numId w:val="74"/>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Incremento de participantes de la sociedad civil en las conferencias de Datos Abiertos ABRELATAM y CONDATOS organizadas en Quito, Ecuador;</w:t>
      </w:r>
    </w:p>
    <w:p w14:paraId="643794D7" w14:textId="77777777" w:rsidR="004F53B3" w:rsidRPr="00B62815" w:rsidRDefault="004F53B3" w:rsidP="00E67635">
      <w:pPr>
        <w:numPr>
          <w:ilvl w:val="0"/>
          <w:numId w:val="71"/>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 xml:space="preserve">Publicación </w:t>
      </w:r>
      <w:hyperlink r:id="rId119" w:history="1">
        <w:r w:rsidRPr="00B62815">
          <w:rPr>
            <w:rFonts w:asciiTheme="minorHAnsi" w:eastAsia="Calibri" w:hAnsiTheme="minorHAnsi" w:cstheme="minorHAnsi"/>
            <w:sz w:val="22"/>
            <w:szCs w:val="22"/>
            <w:lang w:val="es-ES"/>
          </w:rPr>
          <w:t>“Hacia una política de datos abiertos del sistema de compra pública”</w:t>
        </w:r>
      </w:hyperlink>
      <w:r w:rsidRPr="00B62815">
        <w:rPr>
          <w:rFonts w:asciiTheme="minorHAnsi" w:eastAsia="Calibri" w:hAnsiTheme="minorHAnsi" w:cstheme="minorHAnsi"/>
          <w:sz w:val="22"/>
          <w:szCs w:val="22"/>
          <w:lang w:val="es-ES"/>
        </w:rPr>
        <w:t xml:space="preserve"> realizada que propone 6 Lineamientos para la apertura de datos en el Sistema de Compra Pública.</w:t>
      </w:r>
    </w:p>
    <w:p w14:paraId="4355F770" w14:textId="77777777" w:rsidR="004F53B3" w:rsidRPr="00B62815" w:rsidRDefault="004F53B3" w:rsidP="00E67635">
      <w:pPr>
        <w:numPr>
          <w:ilvl w:val="0"/>
          <w:numId w:val="71"/>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 xml:space="preserve">145 funcionarios/as de las agencias nacionales de contratación pública de 15 países de Latinoamérica, capacitados a través de talleres en implementación de nuevas tecnologías en compras públicas, compras públicas sostenibles e Innovación pública. </w:t>
      </w:r>
    </w:p>
    <w:p w14:paraId="54025CC7" w14:textId="77777777" w:rsidR="004F53B3" w:rsidRPr="00B62815" w:rsidRDefault="004F53B3" w:rsidP="00E67635">
      <w:pPr>
        <w:numPr>
          <w:ilvl w:val="0"/>
          <w:numId w:val="71"/>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26 planes de acción generados por parte de las agencias nacionales de compra pública de 13 países de la región para la implementación de nuevas tecnologías en contratación pública, y la inclusión de criterios sociales, económicos y ambientales a través de los procesos de compra pública.</w:t>
      </w:r>
    </w:p>
    <w:p w14:paraId="79AE1701" w14:textId="77777777" w:rsidR="004F53B3" w:rsidRPr="00B62815" w:rsidRDefault="004F53B3" w:rsidP="00E67635">
      <w:pPr>
        <w:numPr>
          <w:ilvl w:val="0"/>
          <w:numId w:val="71"/>
        </w:numPr>
        <w:jc w:val="both"/>
        <w:rPr>
          <w:rFonts w:asciiTheme="minorHAnsi" w:eastAsia="Calibri" w:hAnsiTheme="minorHAnsi" w:cstheme="minorHAnsi"/>
          <w:b/>
          <w:sz w:val="22"/>
          <w:szCs w:val="22"/>
          <w:lang w:val="es-US"/>
        </w:rPr>
      </w:pPr>
      <w:r w:rsidRPr="00B62815">
        <w:rPr>
          <w:rFonts w:asciiTheme="minorHAnsi" w:eastAsia="Calibri" w:hAnsiTheme="minorHAnsi" w:cstheme="minorHAnsi"/>
          <w:sz w:val="22"/>
          <w:szCs w:val="22"/>
          <w:lang w:val="es-ES"/>
        </w:rPr>
        <w:t xml:space="preserve">Incremento del interés por parte de los países de la región en implementar tecnologías disruptivas en los sistemas de compra pública. </w:t>
      </w:r>
    </w:p>
    <w:p w14:paraId="26B583F7" w14:textId="77777777" w:rsidR="004F53B3" w:rsidRPr="00B62815" w:rsidRDefault="004F53B3" w:rsidP="00E67635">
      <w:pPr>
        <w:numPr>
          <w:ilvl w:val="0"/>
          <w:numId w:val="71"/>
        </w:numPr>
        <w:jc w:val="both"/>
        <w:rPr>
          <w:rFonts w:asciiTheme="minorHAnsi" w:eastAsia="Calibri" w:hAnsiTheme="minorHAnsi" w:cstheme="minorHAnsi"/>
          <w:b/>
          <w:sz w:val="22"/>
          <w:szCs w:val="22"/>
          <w:lang w:val="es-US"/>
        </w:rPr>
      </w:pPr>
      <w:r w:rsidRPr="00B62815">
        <w:rPr>
          <w:rFonts w:asciiTheme="minorHAnsi" w:eastAsia="Calibri" w:hAnsiTheme="minorHAnsi" w:cstheme="minorHAnsi"/>
          <w:sz w:val="22"/>
          <w:szCs w:val="22"/>
          <w:lang w:val="es-ES"/>
        </w:rPr>
        <w:t>Incremento en la implementación de criterios sostenibles por parte de las agencias de compras, como la implementación de una herramienta de autoevaluación dirigida a Mipymes proveedoras en la República Dominicana.</w:t>
      </w:r>
    </w:p>
    <w:p w14:paraId="1C946549" w14:textId="77777777" w:rsidR="004F53B3" w:rsidRPr="00B62815" w:rsidRDefault="004F53B3" w:rsidP="004F53B3">
      <w:pPr>
        <w:jc w:val="both"/>
        <w:rPr>
          <w:rFonts w:asciiTheme="minorHAnsi" w:hAnsiTheme="minorHAnsi" w:cstheme="minorHAnsi"/>
          <w:b/>
          <w:sz w:val="22"/>
          <w:szCs w:val="22"/>
          <w:lang w:val="es-US"/>
        </w:rPr>
      </w:pPr>
    </w:p>
    <w:p w14:paraId="03FE7119" w14:textId="77777777" w:rsidR="004F53B3" w:rsidRPr="00B62815" w:rsidRDefault="004F53B3" w:rsidP="004F53B3">
      <w:pPr>
        <w:jc w:val="both"/>
        <w:rPr>
          <w:rFonts w:asciiTheme="minorHAnsi" w:hAnsiTheme="minorHAnsi" w:cstheme="minorHAnsi"/>
          <w:b/>
          <w:sz w:val="22"/>
          <w:szCs w:val="22"/>
          <w:lang w:val="es-US"/>
        </w:rPr>
      </w:pPr>
      <w:r w:rsidRPr="00B62815">
        <w:rPr>
          <w:rFonts w:asciiTheme="minorHAnsi" w:hAnsiTheme="minorHAnsi" w:cstheme="minorHAnsi"/>
          <w:b/>
          <w:sz w:val="22"/>
          <w:szCs w:val="22"/>
          <w:lang w:val="es-AR"/>
        </w:rPr>
        <w:t>P</w:t>
      </w:r>
      <w:r w:rsidRPr="00B62815">
        <w:rPr>
          <w:rFonts w:asciiTheme="minorHAnsi" w:hAnsiTheme="minorHAnsi" w:cstheme="minorHAnsi"/>
          <w:b/>
          <w:sz w:val="22"/>
          <w:szCs w:val="22"/>
          <w:lang w:val="es-US"/>
        </w:rPr>
        <w:t>rograma de Universalización de la Identidad Civil en las Américas (PUICA)</w:t>
      </w:r>
    </w:p>
    <w:p w14:paraId="53457BCF" w14:textId="77777777" w:rsidR="004F53B3" w:rsidRPr="00B62815" w:rsidRDefault="004F53B3" w:rsidP="00E67635">
      <w:pPr>
        <w:numPr>
          <w:ilvl w:val="0"/>
          <w:numId w:val="72"/>
        </w:numPr>
        <w:jc w:val="both"/>
        <w:rPr>
          <w:rFonts w:asciiTheme="minorHAnsi" w:eastAsia="Calibri" w:hAnsiTheme="minorHAnsi" w:cstheme="minorHAnsi"/>
          <w:color w:val="000000"/>
          <w:sz w:val="22"/>
          <w:szCs w:val="22"/>
          <w:lang w:val="es-US"/>
        </w:rPr>
      </w:pPr>
      <w:r w:rsidRPr="00B62815">
        <w:rPr>
          <w:rFonts w:asciiTheme="minorHAnsi" w:eastAsia="Calibri" w:hAnsiTheme="minorHAnsi" w:cstheme="minorHAnsi"/>
          <w:color w:val="000000"/>
          <w:sz w:val="22"/>
          <w:szCs w:val="22"/>
          <w:lang w:val="es-US"/>
        </w:rPr>
        <w:t xml:space="preserve">75 oficiales de los registros civiles de ocho países capacitados sobre conceptos básicos y buenas prácticas en materia de reconocimiento de la identidad de género auto percibida. </w:t>
      </w:r>
    </w:p>
    <w:p w14:paraId="2BABA917" w14:textId="77777777" w:rsidR="004F53B3" w:rsidRPr="00B62815" w:rsidRDefault="004F53B3" w:rsidP="00E67635">
      <w:pPr>
        <w:numPr>
          <w:ilvl w:val="0"/>
          <w:numId w:val="72"/>
        </w:numPr>
        <w:jc w:val="both"/>
        <w:rPr>
          <w:rFonts w:asciiTheme="minorHAnsi" w:eastAsia="Calibri" w:hAnsiTheme="minorHAnsi" w:cstheme="minorHAnsi"/>
          <w:color w:val="000000"/>
          <w:sz w:val="22"/>
          <w:szCs w:val="22"/>
          <w:lang w:val="es-US"/>
        </w:rPr>
      </w:pPr>
      <w:r w:rsidRPr="00B62815">
        <w:rPr>
          <w:rFonts w:asciiTheme="minorHAnsi" w:eastAsia="Calibri" w:hAnsiTheme="minorHAnsi" w:cstheme="minorHAnsi"/>
          <w:color w:val="000000"/>
          <w:sz w:val="22"/>
          <w:szCs w:val="22"/>
          <w:lang w:val="es-US"/>
        </w:rPr>
        <w:t xml:space="preserve">Recomendaciones de dos rondas del Mecanismo de Cooperación Interamericana para la Gestión Pública Efectiva (MEGICEP) para modificar procedimientos de reconocimiento de la identidad de género auto percibida entregadas al Registro Nacional de Población e Identificación de México y del estado de Jalisco, México.   </w:t>
      </w:r>
    </w:p>
    <w:p w14:paraId="7382989D" w14:textId="77777777" w:rsidR="004F53B3" w:rsidRPr="00B62815" w:rsidRDefault="004F53B3" w:rsidP="00E67635">
      <w:pPr>
        <w:numPr>
          <w:ilvl w:val="0"/>
          <w:numId w:val="72"/>
        </w:numPr>
        <w:jc w:val="both"/>
        <w:rPr>
          <w:rFonts w:asciiTheme="minorHAnsi" w:eastAsia="Calibri" w:hAnsiTheme="minorHAnsi" w:cstheme="minorHAnsi"/>
          <w:color w:val="000000"/>
          <w:sz w:val="22"/>
          <w:szCs w:val="22"/>
          <w:lang w:val="es-US"/>
        </w:rPr>
      </w:pPr>
      <w:r w:rsidRPr="00B62815">
        <w:rPr>
          <w:rFonts w:asciiTheme="minorHAnsi" w:eastAsia="Calibri" w:hAnsiTheme="minorHAnsi" w:cstheme="minorHAnsi"/>
          <w:color w:val="000000"/>
          <w:sz w:val="22"/>
          <w:szCs w:val="22"/>
          <w:lang w:val="es-US"/>
        </w:rPr>
        <w:t>Inventario de prácticas de reconocimiento de la identidad de género auto percibida publicado y en línea como herramienta digital</w:t>
      </w:r>
    </w:p>
    <w:p w14:paraId="7425C740" w14:textId="77777777" w:rsidR="004F53B3" w:rsidRPr="00B62815" w:rsidRDefault="004F53B3" w:rsidP="004F53B3">
      <w:pPr>
        <w:ind w:left="720"/>
        <w:jc w:val="both"/>
        <w:rPr>
          <w:rFonts w:asciiTheme="minorHAnsi" w:eastAsia="Calibri" w:hAnsiTheme="minorHAnsi" w:cstheme="minorHAnsi"/>
          <w:color w:val="000000"/>
          <w:sz w:val="22"/>
          <w:szCs w:val="22"/>
          <w:lang w:val="es-US"/>
        </w:rPr>
      </w:pPr>
    </w:p>
    <w:p w14:paraId="6859EB24" w14:textId="77777777" w:rsidR="004F53B3" w:rsidRPr="00B62815" w:rsidRDefault="004F53B3" w:rsidP="004F53B3">
      <w:pPr>
        <w:rPr>
          <w:rFonts w:asciiTheme="minorHAnsi" w:hAnsiTheme="minorHAnsi" w:cstheme="minorHAnsi"/>
          <w:b/>
          <w:sz w:val="22"/>
          <w:szCs w:val="22"/>
          <w:lang w:val="es-US"/>
        </w:rPr>
      </w:pPr>
      <w:r w:rsidRPr="00B62815">
        <w:rPr>
          <w:rFonts w:asciiTheme="minorHAnsi" w:hAnsiTheme="minorHAnsi" w:cstheme="minorHAnsi"/>
          <w:b/>
          <w:sz w:val="22"/>
          <w:szCs w:val="22"/>
          <w:lang w:val="es-US"/>
        </w:rPr>
        <w:t>LINKS</w:t>
      </w:r>
    </w:p>
    <w:p w14:paraId="5C9EBEE2" w14:textId="77777777" w:rsidR="004F53B3" w:rsidRPr="00B62815" w:rsidRDefault="004F53B3" w:rsidP="004F53B3">
      <w:pPr>
        <w:rPr>
          <w:rFonts w:asciiTheme="minorHAnsi" w:hAnsiTheme="minorHAnsi" w:cstheme="minorHAnsi"/>
          <w:b/>
          <w:sz w:val="22"/>
          <w:szCs w:val="22"/>
          <w:lang w:val="es-US"/>
        </w:rPr>
      </w:pPr>
    </w:p>
    <w:p w14:paraId="510DD924" w14:textId="35A81927" w:rsidR="004F53B3" w:rsidRPr="00B62815" w:rsidRDefault="004F53B3" w:rsidP="004F53B3">
      <w:pPr>
        <w:rPr>
          <w:rFonts w:asciiTheme="minorHAnsi" w:hAnsiTheme="minorHAnsi" w:cstheme="minorHAnsi"/>
          <w:sz w:val="22"/>
          <w:szCs w:val="22"/>
          <w:lang w:val="es-US"/>
        </w:rPr>
      </w:pPr>
      <w:r w:rsidRPr="00B62815">
        <w:rPr>
          <w:rFonts w:asciiTheme="minorHAnsi" w:hAnsiTheme="minorHAnsi" w:cstheme="minorHAnsi"/>
          <w:sz w:val="22"/>
          <w:szCs w:val="22"/>
          <w:lang w:val="es-US"/>
        </w:rPr>
        <w:t>E</w:t>
      </w:r>
      <w:r w:rsidR="00357DCF">
        <w:rPr>
          <w:rFonts w:asciiTheme="minorHAnsi" w:hAnsiTheme="minorHAnsi" w:cstheme="minorHAnsi"/>
          <w:sz w:val="22"/>
          <w:szCs w:val="22"/>
          <w:lang w:val="es-US"/>
        </w:rPr>
        <w:t>scuela de Gobierno</w:t>
      </w:r>
      <w:r w:rsidRPr="00B62815">
        <w:rPr>
          <w:rFonts w:asciiTheme="minorHAnsi" w:hAnsiTheme="minorHAnsi" w:cstheme="minorHAnsi"/>
          <w:sz w:val="22"/>
          <w:szCs w:val="22"/>
          <w:lang w:val="es-US"/>
        </w:rPr>
        <w:t xml:space="preserve">: </w:t>
      </w:r>
      <w:hyperlink r:id="rId120" w:history="1">
        <w:r w:rsidRPr="00B62815">
          <w:rPr>
            <w:rFonts w:asciiTheme="minorHAnsi" w:hAnsiTheme="minorHAnsi" w:cstheme="minorHAnsi"/>
            <w:color w:val="005C9C"/>
            <w:sz w:val="22"/>
            <w:szCs w:val="22"/>
            <w:lang w:val="es-US"/>
          </w:rPr>
          <w:t>https://www.oas.org/es/sap/dgpe/escuelagob/escuela-de-gobierno.asp</w:t>
        </w:r>
      </w:hyperlink>
    </w:p>
    <w:p w14:paraId="1B500948" w14:textId="0E1CD5B5" w:rsidR="004F53B3" w:rsidRPr="00B62815" w:rsidRDefault="004F53B3" w:rsidP="004F53B3">
      <w:pPr>
        <w:rPr>
          <w:rFonts w:asciiTheme="minorHAnsi" w:hAnsiTheme="minorHAnsi" w:cstheme="minorHAnsi"/>
          <w:sz w:val="22"/>
          <w:szCs w:val="22"/>
          <w:lang w:val="es-US"/>
        </w:rPr>
      </w:pPr>
      <w:r w:rsidRPr="00B62815">
        <w:rPr>
          <w:rFonts w:asciiTheme="minorHAnsi" w:hAnsiTheme="minorHAnsi" w:cstheme="minorHAnsi"/>
          <w:sz w:val="22"/>
          <w:szCs w:val="22"/>
          <w:lang w:val="es-US"/>
        </w:rPr>
        <w:t>G</w:t>
      </w:r>
      <w:r w:rsidR="00357DCF">
        <w:rPr>
          <w:rFonts w:asciiTheme="minorHAnsi" w:hAnsiTheme="minorHAnsi" w:cstheme="minorHAnsi"/>
          <w:sz w:val="22"/>
          <w:szCs w:val="22"/>
          <w:lang w:val="es-US"/>
        </w:rPr>
        <w:t>obierno Abierto</w:t>
      </w:r>
      <w:r w:rsidRPr="00B62815">
        <w:rPr>
          <w:rFonts w:asciiTheme="minorHAnsi" w:hAnsiTheme="minorHAnsi" w:cstheme="minorHAnsi"/>
          <w:sz w:val="22"/>
          <w:szCs w:val="22"/>
          <w:lang w:val="es-US"/>
        </w:rPr>
        <w:t xml:space="preserve">: </w:t>
      </w:r>
      <w:hyperlink r:id="rId121" w:history="1">
        <w:r w:rsidRPr="00B62815">
          <w:rPr>
            <w:rFonts w:asciiTheme="minorHAnsi" w:hAnsiTheme="minorHAnsi" w:cstheme="minorHAnsi"/>
            <w:color w:val="005C9C"/>
            <w:sz w:val="22"/>
            <w:szCs w:val="22"/>
            <w:lang w:val="es-US"/>
          </w:rPr>
          <w:t>http://www.oas.org/es/sap/dgpe/OpenGovFellowship/</w:t>
        </w:r>
      </w:hyperlink>
      <w:r w:rsidRPr="00B62815">
        <w:rPr>
          <w:rFonts w:asciiTheme="minorHAnsi" w:hAnsiTheme="minorHAnsi" w:cstheme="minorHAnsi"/>
          <w:sz w:val="22"/>
          <w:szCs w:val="22"/>
          <w:lang w:val="es-US"/>
        </w:rPr>
        <w:t xml:space="preserve">; </w:t>
      </w:r>
      <w:hyperlink r:id="rId122" w:history="1">
        <w:r w:rsidRPr="00B62815">
          <w:rPr>
            <w:rFonts w:asciiTheme="minorHAnsi" w:hAnsiTheme="minorHAnsi" w:cstheme="minorHAnsi"/>
            <w:color w:val="005C9C"/>
            <w:sz w:val="22"/>
            <w:szCs w:val="22"/>
            <w:lang w:val="es-US"/>
          </w:rPr>
          <w:t>http://ricg.org/es/home/</w:t>
        </w:r>
      </w:hyperlink>
      <w:r w:rsidRPr="00B62815">
        <w:rPr>
          <w:rFonts w:asciiTheme="minorHAnsi" w:hAnsiTheme="minorHAnsi" w:cstheme="minorHAnsi"/>
          <w:sz w:val="22"/>
          <w:szCs w:val="22"/>
          <w:lang w:val="es-US"/>
        </w:rPr>
        <w:t xml:space="preserve">; </w:t>
      </w:r>
      <w:hyperlink r:id="rId123" w:history="1">
        <w:r w:rsidRPr="00B62815">
          <w:rPr>
            <w:rFonts w:asciiTheme="minorHAnsi" w:hAnsiTheme="minorHAnsi" w:cstheme="minorHAnsi"/>
            <w:color w:val="005C9C"/>
            <w:sz w:val="22"/>
            <w:szCs w:val="22"/>
            <w:lang w:val="es-US"/>
          </w:rPr>
          <w:t>http://www2.redgealc.org/lineas-de-trabajo/datos-abiertos/</w:t>
        </w:r>
      </w:hyperlink>
    </w:p>
    <w:p w14:paraId="6880C268" w14:textId="77777777" w:rsidR="004F53B3" w:rsidRPr="00B62815" w:rsidRDefault="004F53B3" w:rsidP="004F53B3">
      <w:pPr>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PUICA: </w:t>
      </w:r>
      <w:hyperlink r:id="rId124" w:history="1">
        <w:r w:rsidRPr="00B62815">
          <w:rPr>
            <w:rFonts w:asciiTheme="minorHAnsi" w:hAnsiTheme="minorHAnsi" w:cstheme="minorHAnsi"/>
            <w:color w:val="005C9C"/>
            <w:sz w:val="22"/>
            <w:szCs w:val="22"/>
            <w:lang w:val="es-US"/>
          </w:rPr>
          <w:t>http://www.oas.org/es/sap/dgpe/puica.asp</w:t>
        </w:r>
      </w:hyperlink>
      <w:r w:rsidRPr="00B62815">
        <w:rPr>
          <w:rFonts w:asciiTheme="minorHAnsi" w:hAnsiTheme="minorHAnsi" w:cstheme="minorHAnsi"/>
          <w:sz w:val="22"/>
          <w:szCs w:val="22"/>
          <w:lang w:val="es-US"/>
        </w:rPr>
        <w:t xml:space="preserve">, </w:t>
      </w:r>
      <w:hyperlink r:id="rId125" w:history="1">
        <w:r w:rsidRPr="00B62815">
          <w:rPr>
            <w:rFonts w:asciiTheme="minorHAnsi" w:hAnsiTheme="minorHAnsi" w:cstheme="minorHAnsi"/>
            <w:color w:val="005C9C"/>
            <w:sz w:val="22"/>
            <w:szCs w:val="22"/>
            <w:lang w:val="es-US"/>
          </w:rPr>
          <w:t>http://www.clarciev.com/</w:t>
        </w:r>
      </w:hyperlink>
      <w:r w:rsidRPr="00B62815">
        <w:rPr>
          <w:rFonts w:asciiTheme="minorHAnsi" w:hAnsiTheme="minorHAnsi" w:cstheme="minorHAnsi"/>
          <w:sz w:val="22"/>
          <w:szCs w:val="22"/>
          <w:lang w:val="es-US"/>
        </w:rPr>
        <w:t xml:space="preserve">, </w:t>
      </w:r>
      <w:hyperlink r:id="rId126" w:history="1">
        <w:r w:rsidRPr="00B62815">
          <w:rPr>
            <w:rFonts w:asciiTheme="minorHAnsi" w:hAnsiTheme="minorHAnsi" w:cstheme="minorHAnsi"/>
            <w:bCs/>
            <w:color w:val="005C9C"/>
            <w:sz w:val="22"/>
            <w:szCs w:val="22"/>
            <w:lang w:val="es-US"/>
          </w:rPr>
          <w:t>https://twitter.com/clarciev</w:t>
        </w:r>
      </w:hyperlink>
      <w:r w:rsidRPr="00B62815">
        <w:rPr>
          <w:rFonts w:asciiTheme="minorHAnsi" w:hAnsiTheme="minorHAnsi" w:cstheme="minorHAnsi"/>
          <w:sz w:val="22"/>
          <w:szCs w:val="22"/>
          <w:lang w:val="es-US"/>
        </w:rPr>
        <w:t xml:space="preserve">, </w:t>
      </w:r>
      <w:hyperlink r:id="rId127" w:history="1">
        <w:r w:rsidRPr="00B62815">
          <w:rPr>
            <w:rFonts w:asciiTheme="minorHAnsi" w:hAnsiTheme="minorHAnsi" w:cstheme="minorHAnsi"/>
            <w:bCs/>
            <w:color w:val="005C9C"/>
            <w:sz w:val="22"/>
            <w:szCs w:val="22"/>
            <w:lang w:val="es-US"/>
          </w:rPr>
          <w:t>https://twitter.com/DGPE_OAS</w:t>
        </w:r>
      </w:hyperlink>
    </w:p>
    <w:p w14:paraId="2EAEF2EA" w14:textId="77777777" w:rsidR="004F53B3" w:rsidRPr="00B62815" w:rsidRDefault="004F53B3" w:rsidP="004F53B3">
      <w:pPr>
        <w:rPr>
          <w:rFonts w:asciiTheme="minorHAnsi" w:hAnsiTheme="minorHAnsi" w:cstheme="minorHAnsi"/>
          <w:sz w:val="22"/>
          <w:szCs w:val="22"/>
          <w:lang w:val="es-US"/>
        </w:rPr>
      </w:pPr>
    </w:p>
    <w:p w14:paraId="08A9BA67" w14:textId="77777777" w:rsidR="004F53B3" w:rsidRPr="00B62815" w:rsidRDefault="004F53B3" w:rsidP="004F53B3">
      <w:pPr>
        <w:rPr>
          <w:rFonts w:asciiTheme="minorHAnsi" w:hAnsiTheme="minorHAnsi" w:cstheme="minorHAnsi"/>
          <w:b/>
          <w:sz w:val="22"/>
          <w:szCs w:val="22"/>
          <w:lang w:val="es-AR"/>
        </w:rPr>
      </w:pPr>
      <w:r w:rsidRPr="00B62815">
        <w:rPr>
          <w:rFonts w:asciiTheme="minorHAnsi" w:hAnsiTheme="minorHAnsi" w:cstheme="minorHAnsi"/>
          <w:b/>
          <w:sz w:val="22"/>
          <w:szCs w:val="22"/>
          <w:lang w:val="es-AR"/>
        </w:rPr>
        <w:t>FOTOS</w:t>
      </w:r>
    </w:p>
    <w:p w14:paraId="7260A827" w14:textId="77777777" w:rsidR="004F53B3" w:rsidRPr="00B62815" w:rsidRDefault="001C2CF3" w:rsidP="004F53B3">
      <w:pPr>
        <w:rPr>
          <w:rFonts w:asciiTheme="minorHAnsi" w:hAnsiTheme="minorHAnsi" w:cstheme="minorHAnsi"/>
          <w:sz w:val="22"/>
          <w:szCs w:val="22"/>
          <w:lang w:val="es-AR"/>
        </w:rPr>
      </w:pPr>
      <w:r w:rsidRPr="00B62815">
        <w:rPr>
          <w:rFonts w:asciiTheme="minorHAnsi" w:hAnsiTheme="minorHAnsi" w:cstheme="minorHAnsi"/>
          <w:noProof/>
          <w:sz w:val="22"/>
          <w:szCs w:val="22"/>
        </w:rPr>
        <w:drawing>
          <wp:inline distT="0" distB="0" distL="0" distR="0" wp14:anchorId="05CB9CE0" wp14:editId="6F4DEC5A">
            <wp:extent cx="3719830" cy="2451100"/>
            <wp:effectExtent l="0" t="0" r="0" b="0"/>
            <wp:docPr id="18" name="Picture 3" descr="C:\Users\Mtrigo\AppData\Local\Microsoft\Windows\Temporary Internet Files\Content.Word\Foro PIDA A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rigo\AppData\Local\Microsoft\Windows\Temporary Internet Files\Content.Word\Foro PIDA AG19.jpg"/>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3719830" cy="2451100"/>
                    </a:xfrm>
                    <a:prstGeom prst="rect">
                      <a:avLst/>
                    </a:prstGeom>
                    <a:noFill/>
                    <a:ln>
                      <a:noFill/>
                    </a:ln>
                  </pic:spPr>
                </pic:pic>
              </a:graphicData>
            </a:graphic>
          </wp:inline>
        </w:drawing>
      </w:r>
    </w:p>
    <w:p w14:paraId="011FDCDA" w14:textId="77777777" w:rsidR="004F53B3" w:rsidRPr="00B62815" w:rsidRDefault="004F53B3" w:rsidP="004F53B3">
      <w:pPr>
        <w:rPr>
          <w:rFonts w:asciiTheme="minorHAnsi" w:hAnsiTheme="minorHAnsi" w:cstheme="minorHAnsi"/>
          <w:sz w:val="22"/>
          <w:szCs w:val="22"/>
          <w:lang w:val="es-AR"/>
        </w:rPr>
      </w:pPr>
      <w:r w:rsidRPr="00B62815">
        <w:rPr>
          <w:rFonts w:asciiTheme="minorHAnsi" w:hAnsiTheme="minorHAnsi" w:cstheme="minorHAnsi"/>
          <w:sz w:val="22"/>
          <w:szCs w:val="22"/>
          <w:lang w:val="es-AR"/>
        </w:rPr>
        <w:t>Foro sobre el Programa Interamericano de Datos Abiertos en la AG</w:t>
      </w:r>
    </w:p>
    <w:p w14:paraId="3E685443" w14:textId="77777777" w:rsidR="004F53B3" w:rsidRPr="00B62815" w:rsidRDefault="004F53B3" w:rsidP="004F53B3">
      <w:pPr>
        <w:rPr>
          <w:rFonts w:asciiTheme="minorHAnsi" w:hAnsiTheme="minorHAnsi" w:cstheme="minorHAnsi"/>
          <w:sz w:val="22"/>
          <w:szCs w:val="22"/>
          <w:lang w:val="es-AR"/>
        </w:rPr>
      </w:pPr>
    </w:p>
    <w:p w14:paraId="4375699B" w14:textId="77777777" w:rsidR="004F53B3" w:rsidRPr="00B62815" w:rsidRDefault="001C2CF3" w:rsidP="004F53B3">
      <w:pPr>
        <w:rPr>
          <w:rFonts w:asciiTheme="minorHAnsi" w:hAnsiTheme="minorHAnsi" w:cstheme="minorHAnsi"/>
          <w:sz w:val="22"/>
          <w:szCs w:val="22"/>
          <w:lang w:val="es-AR"/>
        </w:rPr>
      </w:pPr>
      <w:r w:rsidRPr="00B62815">
        <w:rPr>
          <w:rFonts w:asciiTheme="minorHAnsi" w:hAnsiTheme="minorHAnsi" w:cstheme="minorHAnsi"/>
          <w:noProof/>
          <w:sz w:val="22"/>
          <w:szCs w:val="22"/>
        </w:rPr>
        <w:drawing>
          <wp:inline distT="0" distB="0" distL="0" distR="0" wp14:anchorId="1B7134A1" wp14:editId="60FCC8BF">
            <wp:extent cx="3806825" cy="2544445"/>
            <wp:effectExtent l="0" t="0" r="0" b="0"/>
            <wp:docPr id="19" name="Picture 7" descr="C:\Users\Mtrigo\AppData\Local\Microsoft\Windows\Temporary Internet Files\Content.Word\Diplom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rigo\AppData\Local\Microsoft\Windows\Temporary Internet Files\Content.Word\Diplomado1.jpg"/>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3806825" cy="2544445"/>
                    </a:xfrm>
                    <a:prstGeom prst="rect">
                      <a:avLst/>
                    </a:prstGeom>
                    <a:noFill/>
                    <a:ln>
                      <a:noFill/>
                    </a:ln>
                  </pic:spPr>
                </pic:pic>
              </a:graphicData>
            </a:graphic>
          </wp:inline>
        </w:drawing>
      </w:r>
    </w:p>
    <w:p w14:paraId="0A612765" w14:textId="77777777" w:rsidR="004F53B3" w:rsidRPr="00B62815" w:rsidRDefault="004F53B3" w:rsidP="004F53B3">
      <w:pPr>
        <w:rPr>
          <w:rFonts w:asciiTheme="minorHAnsi" w:hAnsiTheme="minorHAnsi" w:cstheme="minorHAnsi"/>
          <w:sz w:val="22"/>
          <w:szCs w:val="22"/>
          <w:lang w:val="es-AR"/>
        </w:rPr>
      </w:pPr>
      <w:r w:rsidRPr="00B62815">
        <w:rPr>
          <w:rFonts w:asciiTheme="minorHAnsi" w:hAnsiTheme="minorHAnsi" w:cstheme="minorHAnsi"/>
          <w:sz w:val="22"/>
          <w:szCs w:val="22"/>
          <w:lang w:val="es-AR"/>
        </w:rPr>
        <w:t>Escuela de Gobierno – Diplomado OEA</w:t>
      </w:r>
    </w:p>
    <w:p w14:paraId="4C30F720" w14:textId="6ABA13A8" w:rsidR="005229AA" w:rsidRDefault="005229AA" w:rsidP="00A906FD">
      <w:pPr>
        <w:jc w:val="both"/>
        <w:outlineLvl w:val="0"/>
        <w:rPr>
          <w:rFonts w:asciiTheme="minorHAnsi" w:eastAsia="Times New Roman" w:hAnsiTheme="minorHAnsi" w:cstheme="minorHAnsi"/>
          <w:bCs/>
          <w:color w:val="E36C0A"/>
          <w:kern w:val="28"/>
          <w:sz w:val="22"/>
          <w:szCs w:val="22"/>
          <w:lang w:val="es-ES"/>
        </w:rPr>
      </w:pPr>
    </w:p>
    <w:p w14:paraId="7F910505" w14:textId="7F557DFB" w:rsidR="00B22AF2" w:rsidRDefault="00B22AF2" w:rsidP="00A906FD">
      <w:pPr>
        <w:jc w:val="both"/>
        <w:outlineLvl w:val="0"/>
        <w:rPr>
          <w:rFonts w:asciiTheme="minorHAnsi" w:eastAsia="Times New Roman" w:hAnsiTheme="minorHAnsi" w:cstheme="minorHAnsi"/>
          <w:bCs/>
          <w:color w:val="E36C0A"/>
          <w:kern w:val="28"/>
          <w:sz w:val="22"/>
          <w:szCs w:val="22"/>
          <w:lang w:val="es-ES"/>
        </w:rPr>
      </w:pPr>
    </w:p>
    <w:p w14:paraId="0DCF093D" w14:textId="77777777" w:rsidR="00B22AF2" w:rsidRPr="00B62815" w:rsidRDefault="00B22AF2" w:rsidP="00A906FD">
      <w:pPr>
        <w:jc w:val="both"/>
        <w:outlineLvl w:val="0"/>
        <w:rPr>
          <w:rFonts w:asciiTheme="minorHAnsi" w:eastAsia="Times New Roman" w:hAnsiTheme="minorHAnsi" w:cstheme="minorHAnsi"/>
          <w:bCs/>
          <w:color w:val="E36C0A"/>
          <w:kern w:val="28"/>
          <w:sz w:val="22"/>
          <w:szCs w:val="22"/>
          <w:lang w:val="es-ES"/>
        </w:rPr>
      </w:pPr>
    </w:p>
    <w:p w14:paraId="0D8571A0" w14:textId="0ACF2483" w:rsidR="005229AA" w:rsidRPr="00B62815" w:rsidRDefault="005229AA" w:rsidP="00A906FD">
      <w:pPr>
        <w:jc w:val="both"/>
        <w:outlineLvl w:val="0"/>
        <w:rPr>
          <w:rFonts w:asciiTheme="minorHAnsi" w:eastAsia="Times New Roman" w:hAnsiTheme="minorHAnsi" w:cstheme="minorHAnsi"/>
          <w:bCs/>
          <w:color w:val="E36C0A"/>
          <w:kern w:val="28"/>
          <w:sz w:val="22"/>
          <w:szCs w:val="22"/>
          <w:lang w:val="es-ES"/>
        </w:rPr>
      </w:pPr>
    </w:p>
    <w:p w14:paraId="47B85D9A" w14:textId="77777777" w:rsidR="001A5CD8" w:rsidRPr="00B62815" w:rsidRDefault="001A5CD8" w:rsidP="00A906FD">
      <w:pPr>
        <w:jc w:val="both"/>
        <w:outlineLvl w:val="0"/>
        <w:rPr>
          <w:rFonts w:asciiTheme="minorHAnsi" w:eastAsia="Times New Roman" w:hAnsiTheme="minorHAnsi" w:cstheme="minorHAnsi"/>
          <w:bCs/>
          <w:color w:val="E36C0A"/>
          <w:kern w:val="28"/>
          <w:sz w:val="22"/>
          <w:szCs w:val="22"/>
          <w:lang w:val="es-ES"/>
        </w:rPr>
      </w:pPr>
    </w:p>
    <w:p w14:paraId="5364C949" w14:textId="77777777" w:rsidR="00A906FD" w:rsidRPr="00B62815" w:rsidRDefault="00D109E7" w:rsidP="00A906FD">
      <w:pPr>
        <w:jc w:val="both"/>
        <w:outlineLvl w:val="0"/>
        <w:rPr>
          <w:rFonts w:asciiTheme="minorHAnsi" w:eastAsia="Times New Roman" w:hAnsiTheme="minorHAnsi" w:cstheme="minorHAnsi"/>
          <w:bCs/>
          <w:color w:val="E36C0A"/>
          <w:kern w:val="28"/>
          <w:sz w:val="22"/>
          <w:szCs w:val="22"/>
          <w:lang w:val="es-ES"/>
        </w:rPr>
      </w:pPr>
      <w:bookmarkStart w:id="77" w:name="_Toc39675854"/>
      <w:bookmarkStart w:id="78" w:name="_Toc40191077"/>
      <w:r w:rsidRPr="00B62815">
        <w:rPr>
          <w:rFonts w:asciiTheme="minorHAnsi" w:eastAsia="Times New Roman" w:hAnsiTheme="minorHAnsi" w:cstheme="minorHAnsi"/>
          <w:bCs/>
          <w:color w:val="E36C0A"/>
          <w:kern w:val="28"/>
          <w:sz w:val="22"/>
          <w:szCs w:val="22"/>
          <w:lang w:val="es-ES"/>
        </w:rPr>
        <w:t>2.9.2</w:t>
      </w:r>
      <w:r w:rsidRPr="00B62815">
        <w:rPr>
          <w:rFonts w:asciiTheme="minorHAnsi" w:eastAsia="Times New Roman" w:hAnsiTheme="minorHAnsi" w:cstheme="minorHAnsi"/>
          <w:bCs/>
          <w:color w:val="E36C0A"/>
          <w:kern w:val="28"/>
          <w:sz w:val="22"/>
          <w:szCs w:val="22"/>
          <w:lang w:val="es-ES"/>
        </w:rPr>
        <w:tab/>
        <w:t>Secretaría de Cumbres de las Américas</w:t>
      </w:r>
      <w:bookmarkEnd w:id="77"/>
      <w:bookmarkEnd w:id="78"/>
    </w:p>
    <w:p w14:paraId="5C8ADE45" w14:textId="77777777" w:rsidR="00A906FD" w:rsidRPr="00B62815" w:rsidRDefault="00A906FD" w:rsidP="00A906FD">
      <w:pPr>
        <w:jc w:val="both"/>
        <w:outlineLvl w:val="0"/>
        <w:rPr>
          <w:rFonts w:asciiTheme="minorHAnsi" w:eastAsia="Times New Roman" w:hAnsiTheme="minorHAnsi" w:cstheme="minorHAnsi"/>
          <w:bCs/>
          <w:color w:val="E36C0A"/>
          <w:kern w:val="28"/>
          <w:sz w:val="22"/>
          <w:szCs w:val="22"/>
          <w:lang w:val="es-ES"/>
        </w:rPr>
      </w:pPr>
    </w:p>
    <w:p w14:paraId="567DD45B" w14:textId="77777777" w:rsidR="00A906FD" w:rsidRPr="00B62815" w:rsidRDefault="00A906FD" w:rsidP="00A906FD">
      <w:pPr>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Principales Logros </w:t>
      </w:r>
    </w:p>
    <w:p w14:paraId="3448985A" w14:textId="77777777" w:rsidR="00A906FD" w:rsidRPr="00B62815" w:rsidRDefault="00A906FD" w:rsidP="00A906FD">
      <w:pPr>
        <w:jc w:val="both"/>
        <w:rPr>
          <w:rFonts w:asciiTheme="minorHAnsi" w:hAnsiTheme="minorHAnsi" w:cstheme="minorHAnsi"/>
          <w:b/>
          <w:sz w:val="22"/>
          <w:szCs w:val="22"/>
          <w:lang w:val="es-AR"/>
        </w:rPr>
      </w:pPr>
    </w:p>
    <w:p w14:paraId="600980BF" w14:textId="77777777" w:rsidR="00A906FD" w:rsidRPr="00B62815" w:rsidRDefault="00A906FD" w:rsidP="00A906FD">
      <w:pPr>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Durante 2019, la Secretaría de Cumbres, como Secretaría Técnica y memoria institucional del Proceso de Cumbres de las Américas, en estrecha coordinación con la Presidencia, el Gobierno del Perú, continuó fortaleciendo y promoviendo el diálogo político y la cooperación hemisférica en el marco del proceso de seguimiento e implementación de la Octava Cumbre de las Américas. </w:t>
      </w:r>
    </w:p>
    <w:p w14:paraId="679D073C" w14:textId="77777777" w:rsidR="00A906FD" w:rsidRPr="00B62815" w:rsidRDefault="00A906FD" w:rsidP="00A906FD">
      <w:pPr>
        <w:jc w:val="both"/>
        <w:rPr>
          <w:rFonts w:asciiTheme="minorHAnsi" w:hAnsiTheme="minorHAnsi" w:cstheme="minorHAnsi"/>
          <w:sz w:val="22"/>
          <w:szCs w:val="22"/>
          <w:lang w:val="es-AR"/>
        </w:rPr>
      </w:pPr>
    </w:p>
    <w:p w14:paraId="0E2B7F90" w14:textId="77777777" w:rsidR="00A906FD" w:rsidRPr="00B62815" w:rsidRDefault="00A906FD" w:rsidP="00A906FD">
      <w:pPr>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En el marco del Grupo de Revisión de la Implementación de Cumbres (GRIC), se continuó brindando apoyo sustantivo a la Presidencia, contribuyéndose así a un diálogo enriquecedor entre los Estados, a conocer su nivel de avance respecto al Compromiso de Lima, así como de las entidades el GTCC, a avanzar en el intercambio de buenas prácticas y capacidades regionales, y a promover iniciativas de cooperación entre los Estados, entidades del GTCC y actores sociales, en materia de prevención y combate a la corrupción. </w:t>
      </w:r>
    </w:p>
    <w:p w14:paraId="35C966F8" w14:textId="77777777" w:rsidR="00A906FD" w:rsidRPr="00B62815" w:rsidRDefault="00A906FD" w:rsidP="00A906FD">
      <w:pPr>
        <w:jc w:val="both"/>
        <w:rPr>
          <w:rFonts w:asciiTheme="minorHAnsi" w:hAnsiTheme="minorHAnsi" w:cstheme="minorHAnsi"/>
          <w:sz w:val="22"/>
          <w:szCs w:val="22"/>
          <w:lang w:val="es-AR"/>
        </w:rPr>
      </w:pPr>
    </w:p>
    <w:p w14:paraId="0A7FFFA7" w14:textId="77777777" w:rsidR="00A906FD" w:rsidRPr="00B62815" w:rsidRDefault="00A906FD" w:rsidP="00A906FD">
      <w:pPr>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Asimismo, se fortaleció la coordinación del Grupo de Trabajo Conjunto de Cumbres (GTCC), así como la respuesta del mismo, a través de la construcción de un modelo de cooperación y una hoja de ruta en respuesta a los mandatos del Compromiso de Lima. </w:t>
      </w:r>
    </w:p>
    <w:p w14:paraId="6B7F6F0D" w14:textId="77777777" w:rsidR="00A906FD" w:rsidRPr="00B62815" w:rsidRDefault="00A906FD" w:rsidP="00A906FD">
      <w:pPr>
        <w:jc w:val="both"/>
        <w:rPr>
          <w:rFonts w:asciiTheme="minorHAnsi" w:hAnsiTheme="minorHAnsi" w:cstheme="minorHAnsi"/>
          <w:sz w:val="22"/>
          <w:szCs w:val="22"/>
          <w:lang w:val="es-AR"/>
        </w:rPr>
      </w:pPr>
    </w:p>
    <w:p w14:paraId="12D42735" w14:textId="77777777" w:rsidR="00A906FD" w:rsidRPr="00B62815" w:rsidRDefault="00A906FD" w:rsidP="00A906FD">
      <w:pPr>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Por último, a fin de fortalecer la participación de la sociedad civil y actores sociales en el seguimiento del Compromiso de Lima, y tomando en cuenta un estudio efectuado por la Secretaría de Cumbres sobre el estado de la participación de este sector, se diseñó un esquema innovador de participación, actualmente en formación: Nodos Nacionales Anticorrupción.</w:t>
      </w:r>
    </w:p>
    <w:p w14:paraId="6FF0DBDE" w14:textId="77777777" w:rsidR="00A906FD" w:rsidRPr="00B62815" w:rsidRDefault="00A906FD" w:rsidP="00A906FD">
      <w:pPr>
        <w:jc w:val="both"/>
        <w:rPr>
          <w:rFonts w:asciiTheme="minorHAnsi" w:hAnsiTheme="minorHAnsi" w:cstheme="minorHAnsi"/>
          <w:sz w:val="22"/>
          <w:szCs w:val="22"/>
          <w:lang w:val="es-AR"/>
        </w:rPr>
      </w:pPr>
    </w:p>
    <w:p w14:paraId="062FB5A9" w14:textId="77777777" w:rsidR="00A906FD" w:rsidRPr="00B62815" w:rsidRDefault="00A906FD" w:rsidP="00A906FD">
      <w:pPr>
        <w:jc w:val="both"/>
        <w:rPr>
          <w:rFonts w:asciiTheme="minorHAnsi" w:hAnsiTheme="minorHAnsi" w:cstheme="minorHAnsi"/>
          <w:b/>
          <w:sz w:val="22"/>
          <w:szCs w:val="22"/>
          <w:lang w:val="es-AR"/>
        </w:rPr>
      </w:pPr>
      <w:r w:rsidRPr="00B62815">
        <w:rPr>
          <w:rFonts w:asciiTheme="minorHAnsi" w:hAnsiTheme="minorHAnsi" w:cstheme="minorHAnsi"/>
          <w:b/>
          <w:sz w:val="22"/>
          <w:szCs w:val="22"/>
          <w:lang w:val="es-AR"/>
        </w:rPr>
        <w:t>Grupo de Revisión de la Implementación de Cumbres (GRIC)</w:t>
      </w:r>
    </w:p>
    <w:p w14:paraId="6F58B7FC" w14:textId="77777777" w:rsidR="00A906FD" w:rsidRPr="00B62815" w:rsidRDefault="00A906FD" w:rsidP="00A906FD">
      <w:pPr>
        <w:jc w:val="both"/>
        <w:rPr>
          <w:rFonts w:asciiTheme="minorHAnsi" w:hAnsiTheme="minorHAnsi" w:cstheme="minorHAnsi"/>
          <w:b/>
          <w:sz w:val="22"/>
          <w:szCs w:val="22"/>
          <w:lang w:val="es-AR"/>
        </w:rPr>
      </w:pPr>
    </w:p>
    <w:p w14:paraId="3997231A" w14:textId="77777777" w:rsidR="00A906FD" w:rsidRPr="00B62815" w:rsidRDefault="00A906FD" w:rsidP="00E67635">
      <w:pPr>
        <w:numPr>
          <w:ilvl w:val="0"/>
          <w:numId w:val="76"/>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Realización de Reunión del GRIC a nivel Ministerial, 27 de junio de 2019, Medellín, Colombia, enfocada en el seguimiento del Compromiso de Lima</w:t>
      </w:r>
    </w:p>
    <w:p w14:paraId="762A6D4A" w14:textId="77777777" w:rsidR="00A906FD" w:rsidRPr="00B62815" w:rsidRDefault="00A906FD" w:rsidP="00E67635">
      <w:pPr>
        <w:numPr>
          <w:ilvl w:val="0"/>
          <w:numId w:val="76"/>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Asistencia técnica en el diseño y construcción de la plataforma virtual del Mecanismo, incluyendo indicadores de progreso.</w:t>
      </w:r>
    </w:p>
    <w:p w14:paraId="54AFAFB6" w14:textId="77777777" w:rsidR="00A906FD" w:rsidRPr="00B62815" w:rsidRDefault="00A906FD" w:rsidP="00E67635">
      <w:pPr>
        <w:numPr>
          <w:ilvl w:val="0"/>
          <w:numId w:val="76"/>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Disponible el nivel de avance de 17 Estados Miembros y 9 instituciones del GTCC respecto al Compromiso de Lima.</w:t>
      </w:r>
    </w:p>
    <w:p w14:paraId="72F4AE75" w14:textId="77777777" w:rsidR="00A906FD" w:rsidRPr="00B62815" w:rsidRDefault="00A906FD" w:rsidP="00E67635">
      <w:pPr>
        <w:numPr>
          <w:ilvl w:val="0"/>
          <w:numId w:val="76"/>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 xml:space="preserve">Evaluación preliminar disponible sobre avances estatales del Compromiso de Lima. </w:t>
      </w:r>
    </w:p>
    <w:p w14:paraId="2FD5BA70" w14:textId="77777777" w:rsidR="00A906FD" w:rsidRPr="00B62815" w:rsidRDefault="00A906FD" w:rsidP="00E67635">
      <w:pPr>
        <w:numPr>
          <w:ilvl w:val="0"/>
          <w:numId w:val="76"/>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Banco de Buenas Prácticas y Capacidades Regionales del Mecanismo disponible con 160 buenas prácticas nacionales.</w:t>
      </w:r>
    </w:p>
    <w:p w14:paraId="355E1EF3" w14:textId="77777777" w:rsidR="00A906FD" w:rsidRPr="00B62815" w:rsidRDefault="00A906FD" w:rsidP="00E67635">
      <w:pPr>
        <w:numPr>
          <w:ilvl w:val="0"/>
          <w:numId w:val="76"/>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 xml:space="preserve">Promoción de iniciativas de cooperación a través de asistencia técnica y diálogos de política entre expertos gubernamentales, organizaciones del GTCC y actores sociales. </w:t>
      </w:r>
    </w:p>
    <w:p w14:paraId="76D615F5" w14:textId="77777777" w:rsidR="00A906FD" w:rsidRPr="00B62815" w:rsidRDefault="00A906FD" w:rsidP="00A906FD">
      <w:pPr>
        <w:jc w:val="both"/>
        <w:rPr>
          <w:rFonts w:asciiTheme="minorHAnsi" w:hAnsiTheme="minorHAnsi" w:cstheme="minorHAnsi"/>
          <w:b/>
          <w:sz w:val="22"/>
          <w:szCs w:val="22"/>
          <w:lang w:val="es-AR"/>
        </w:rPr>
      </w:pPr>
    </w:p>
    <w:p w14:paraId="0E15555D" w14:textId="77777777" w:rsidR="00A906FD" w:rsidRPr="00B62815" w:rsidRDefault="00A906FD" w:rsidP="00A906FD">
      <w:pPr>
        <w:jc w:val="both"/>
        <w:rPr>
          <w:rFonts w:asciiTheme="minorHAnsi" w:hAnsiTheme="minorHAnsi" w:cstheme="minorHAnsi"/>
          <w:b/>
          <w:sz w:val="22"/>
          <w:szCs w:val="22"/>
          <w:lang w:val="es-AR"/>
        </w:rPr>
      </w:pPr>
      <w:r w:rsidRPr="00B62815">
        <w:rPr>
          <w:rFonts w:asciiTheme="minorHAnsi" w:hAnsiTheme="minorHAnsi" w:cstheme="minorHAnsi"/>
          <w:b/>
          <w:sz w:val="22"/>
          <w:szCs w:val="22"/>
          <w:lang w:val="es-AR"/>
        </w:rPr>
        <w:t>Grupo de Trabajo Conjunto de Cumbres (GTCC)</w:t>
      </w:r>
    </w:p>
    <w:p w14:paraId="63787FEA" w14:textId="77777777" w:rsidR="00A906FD" w:rsidRPr="00B62815" w:rsidRDefault="00A906FD" w:rsidP="00A906FD">
      <w:pPr>
        <w:jc w:val="both"/>
        <w:rPr>
          <w:rFonts w:asciiTheme="minorHAnsi" w:hAnsiTheme="minorHAnsi" w:cstheme="minorHAnsi"/>
          <w:b/>
          <w:sz w:val="22"/>
          <w:szCs w:val="22"/>
          <w:lang w:val="es-AR"/>
        </w:rPr>
      </w:pPr>
    </w:p>
    <w:p w14:paraId="20D01784" w14:textId="77777777" w:rsidR="00A906FD" w:rsidRPr="00B62815" w:rsidRDefault="00A906FD" w:rsidP="00E67635">
      <w:pPr>
        <w:numPr>
          <w:ilvl w:val="0"/>
          <w:numId w:val="75"/>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Incorporación de la Organización para la Cooperación y el Desarrollo Económicos (OCDE) al GTCC.</w:t>
      </w:r>
    </w:p>
    <w:p w14:paraId="6A22DED2" w14:textId="77777777" w:rsidR="00A906FD" w:rsidRPr="00B62815" w:rsidRDefault="00A906FD" w:rsidP="00E67635">
      <w:pPr>
        <w:numPr>
          <w:ilvl w:val="0"/>
          <w:numId w:val="75"/>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Formulación del Plan de Acción del GTCC 2019-2021.</w:t>
      </w:r>
    </w:p>
    <w:p w14:paraId="56CAFD26" w14:textId="77777777" w:rsidR="00A906FD" w:rsidRPr="00B62815" w:rsidRDefault="00A906FD" w:rsidP="00E67635">
      <w:pPr>
        <w:numPr>
          <w:ilvl w:val="0"/>
          <w:numId w:val="75"/>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Realización de 2 reuniones técnicas del GTCC (mayo y junio), para identificar ofertas institucionales y definir áreas programáticas del trabajo.</w:t>
      </w:r>
    </w:p>
    <w:p w14:paraId="445E72FF" w14:textId="77777777" w:rsidR="00A906FD" w:rsidRPr="00B62815" w:rsidRDefault="00A906FD" w:rsidP="00E67635">
      <w:pPr>
        <w:numPr>
          <w:ilvl w:val="0"/>
          <w:numId w:val="75"/>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Realización de Diálogo de Políticas “Lavado de Activos y su relación con las Investigaciones de Corrupción”, Washington, DC, septiembre, con DDOT/OEA, y participación de expertos MACCIH/OEA, BID, Banco Mundial, A</w:t>
      </w:r>
      <w:r w:rsidRPr="00B62815">
        <w:rPr>
          <w:rFonts w:asciiTheme="minorHAnsi" w:eastAsia="Calibri" w:hAnsiTheme="minorHAnsi" w:cstheme="minorHAnsi"/>
          <w:i/>
          <w:sz w:val="22"/>
          <w:szCs w:val="22"/>
          <w:lang w:val="es-AR"/>
        </w:rPr>
        <w:t>sset Recovery Inter-Agency Network</w:t>
      </w:r>
      <w:r w:rsidRPr="00B62815">
        <w:rPr>
          <w:rFonts w:asciiTheme="minorHAnsi" w:eastAsia="Calibri" w:hAnsiTheme="minorHAnsi" w:cstheme="minorHAnsi"/>
          <w:sz w:val="22"/>
          <w:szCs w:val="22"/>
          <w:lang w:val="es-AR"/>
        </w:rPr>
        <w:t xml:space="preserve"> y autoridades gubernamentales.</w:t>
      </w:r>
    </w:p>
    <w:p w14:paraId="766E7275" w14:textId="77777777" w:rsidR="00A906FD" w:rsidRPr="00B62815" w:rsidRDefault="00A906FD" w:rsidP="00E67635">
      <w:pPr>
        <w:numPr>
          <w:ilvl w:val="0"/>
          <w:numId w:val="75"/>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Apoyo al Gobierno de Honduras con DGPE/OEA para socialización y validación de su Política Nacional de Datos Abiertos. Auspicio de expertos de Colombia, El Salvador y República Dominicana.</w:t>
      </w:r>
    </w:p>
    <w:p w14:paraId="0629D9D5" w14:textId="77777777" w:rsidR="00A906FD" w:rsidRPr="00B62815" w:rsidRDefault="00A906FD" w:rsidP="00E67635">
      <w:pPr>
        <w:numPr>
          <w:ilvl w:val="0"/>
          <w:numId w:val="75"/>
        </w:numPr>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 xml:space="preserve">Elaboración y publicación del informe anual sobre los avances del GTCC respecto a la implementación del Compromiso de Lima. </w:t>
      </w:r>
    </w:p>
    <w:p w14:paraId="0E968671" w14:textId="77777777" w:rsidR="00A906FD" w:rsidRPr="00B62815" w:rsidRDefault="00A906FD" w:rsidP="00A906FD">
      <w:pPr>
        <w:jc w:val="both"/>
        <w:rPr>
          <w:rFonts w:asciiTheme="minorHAnsi" w:hAnsiTheme="minorHAnsi" w:cstheme="minorHAnsi"/>
          <w:b/>
          <w:sz w:val="22"/>
          <w:szCs w:val="22"/>
          <w:lang w:val="es-AR"/>
        </w:rPr>
      </w:pPr>
    </w:p>
    <w:p w14:paraId="3FB04A28" w14:textId="77777777" w:rsidR="00A906FD" w:rsidRPr="00B62815" w:rsidRDefault="00A906FD" w:rsidP="00A906FD">
      <w:pPr>
        <w:jc w:val="both"/>
        <w:rPr>
          <w:rFonts w:asciiTheme="minorHAnsi" w:hAnsiTheme="minorHAnsi" w:cstheme="minorHAnsi"/>
          <w:b/>
          <w:sz w:val="22"/>
          <w:szCs w:val="22"/>
          <w:lang w:val="es-AR"/>
        </w:rPr>
      </w:pPr>
      <w:r w:rsidRPr="00B62815">
        <w:rPr>
          <w:rFonts w:asciiTheme="minorHAnsi" w:hAnsiTheme="minorHAnsi" w:cstheme="minorHAnsi"/>
          <w:b/>
          <w:sz w:val="22"/>
          <w:szCs w:val="22"/>
          <w:lang w:val="es-AR"/>
        </w:rPr>
        <w:t>Sociedad Civil y Actores Sociales en el Proceso de Cumbres</w:t>
      </w:r>
    </w:p>
    <w:p w14:paraId="6919C7B5" w14:textId="77777777" w:rsidR="00A906FD" w:rsidRPr="00B62815" w:rsidRDefault="00A906FD" w:rsidP="00A906FD">
      <w:pPr>
        <w:jc w:val="both"/>
        <w:rPr>
          <w:rFonts w:asciiTheme="minorHAnsi" w:hAnsiTheme="minorHAnsi" w:cstheme="minorHAnsi"/>
          <w:b/>
          <w:sz w:val="22"/>
          <w:szCs w:val="22"/>
          <w:lang w:val="es-AR"/>
        </w:rPr>
      </w:pPr>
    </w:p>
    <w:p w14:paraId="1D0F492A" w14:textId="77777777" w:rsidR="00A906FD" w:rsidRPr="00B62815" w:rsidRDefault="00A906FD" w:rsidP="00E67635">
      <w:pPr>
        <w:numPr>
          <w:ilvl w:val="0"/>
          <w:numId w:val="75"/>
        </w:numPr>
        <w:contextualSpacing/>
        <w:jc w:val="both"/>
        <w:rPr>
          <w:rFonts w:asciiTheme="minorHAnsi" w:eastAsia="Calibri" w:hAnsiTheme="minorHAnsi" w:cstheme="minorHAnsi"/>
          <w:sz w:val="22"/>
          <w:szCs w:val="22"/>
          <w:lang w:val="es-CO"/>
        </w:rPr>
      </w:pPr>
      <w:r w:rsidRPr="00B62815">
        <w:rPr>
          <w:rFonts w:asciiTheme="minorHAnsi" w:eastAsia="Calibri" w:hAnsiTheme="minorHAnsi" w:cstheme="minorHAnsi"/>
          <w:sz w:val="22"/>
          <w:szCs w:val="22"/>
          <w:lang w:val="es-AR"/>
        </w:rPr>
        <w:t>Realización</w:t>
      </w:r>
      <w:r w:rsidRPr="00B62815">
        <w:rPr>
          <w:rFonts w:asciiTheme="minorHAnsi" w:eastAsia="Calibri" w:hAnsiTheme="minorHAnsi" w:cstheme="minorHAnsi"/>
          <w:sz w:val="22"/>
          <w:szCs w:val="22"/>
          <w:lang w:val="es-CO"/>
        </w:rPr>
        <w:t xml:space="preserve"> de segunda fase de sesiones informativas virtuales y presenciales con sociedad civil y actores sociales que trabajan en materia de prevención y combate a la corrupción, de 7 Estados (Belice, Bolivia, Estados Unidos, Nicaragua, México, San Kitts y Nevis y Uruguay) entre marzo y mayo. Participaron 70 OSC y actores sociales.</w:t>
      </w:r>
    </w:p>
    <w:p w14:paraId="6E76A500" w14:textId="77777777" w:rsidR="00A906FD" w:rsidRPr="00B62815" w:rsidRDefault="00A906FD" w:rsidP="00E67635">
      <w:pPr>
        <w:numPr>
          <w:ilvl w:val="0"/>
          <w:numId w:val="75"/>
        </w:numPr>
        <w:contextualSpacing/>
        <w:jc w:val="both"/>
        <w:rPr>
          <w:rFonts w:asciiTheme="minorHAnsi" w:eastAsia="Calibri" w:hAnsiTheme="minorHAnsi" w:cstheme="minorHAnsi"/>
          <w:sz w:val="22"/>
          <w:szCs w:val="22"/>
          <w:lang w:val="es-CO"/>
        </w:rPr>
      </w:pPr>
      <w:r w:rsidRPr="00B62815">
        <w:rPr>
          <w:rFonts w:asciiTheme="minorHAnsi" w:eastAsia="Calibri" w:hAnsiTheme="minorHAnsi" w:cstheme="minorHAnsi"/>
          <w:sz w:val="22"/>
          <w:szCs w:val="22"/>
          <w:lang w:val="es-CO"/>
        </w:rPr>
        <w:t xml:space="preserve">Elaboración de un </w:t>
      </w:r>
      <w:r w:rsidRPr="00B62815">
        <w:rPr>
          <w:rFonts w:asciiTheme="minorHAnsi" w:eastAsia="Calibri" w:hAnsiTheme="minorHAnsi" w:cstheme="minorHAnsi"/>
          <w:color w:val="000000"/>
          <w:sz w:val="22"/>
          <w:szCs w:val="22"/>
          <w:lang w:val="es-CO"/>
        </w:rPr>
        <w:t xml:space="preserve">estudio para identificar estado de participación de </w:t>
      </w:r>
      <w:r w:rsidRPr="00B62815">
        <w:rPr>
          <w:rFonts w:asciiTheme="minorHAnsi" w:eastAsia="Calibri" w:hAnsiTheme="minorHAnsi" w:cstheme="minorHAnsi"/>
          <w:sz w:val="22"/>
          <w:szCs w:val="22"/>
          <w:lang w:val="es-CO"/>
        </w:rPr>
        <w:t xml:space="preserve">sociedad civil y actores sociales en el Proceso de Cumbres, que enriqueció estrategia de trabajo con el sector. </w:t>
      </w:r>
    </w:p>
    <w:p w14:paraId="58A4DB8C" w14:textId="77777777" w:rsidR="00A906FD" w:rsidRPr="00B62815" w:rsidRDefault="00A906FD" w:rsidP="00E67635">
      <w:pPr>
        <w:numPr>
          <w:ilvl w:val="0"/>
          <w:numId w:val="75"/>
        </w:numPr>
        <w:contextualSpacing/>
        <w:jc w:val="both"/>
        <w:rPr>
          <w:rFonts w:asciiTheme="minorHAnsi" w:eastAsia="Calibri" w:hAnsiTheme="minorHAnsi" w:cstheme="minorHAnsi"/>
          <w:sz w:val="22"/>
          <w:szCs w:val="22"/>
          <w:lang w:val="es-CO"/>
        </w:rPr>
      </w:pPr>
      <w:r w:rsidRPr="00B62815">
        <w:rPr>
          <w:rFonts w:asciiTheme="minorHAnsi" w:eastAsia="Calibri" w:hAnsiTheme="minorHAnsi" w:cstheme="minorHAnsi"/>
          <w:sz w:val="22"/>
          <w:szCs w:val="22"/>
          <w:lang w:val="es-CO"/>
        </w:rPr>
        <w:t>Convocatoria efectuada en septiembre al sector de 34 Estados Miembros para su participación en Nodos Nacionales en el campo anticorrupción a ser establecidos en la actual fase del Proceso de Cumbres. La Sección de Relaciones con la Sociedad Civil de la OEA, el BID y la OCDE participan en el desarrollo de esta iniciativa.</w:t>
      </w:r>
    </w:p>
    <w:p w14:paraId="47876F16" w14:textId="77777777" w:rsidR="00A906FD" w:rsidRPr="00B62815" w:rsidRDefault="00A906FD" w:rsidP="00A906FD">
      <w:pPr>
        <w:jc w:val="both"/>
        <w:rPr>
          <w:rFonts w:asciiTheme="minorHAnsi" w:hAnsiTheme="minorHAnsi" w:cstheme="minorHAnsi"/>
          <w:sz w:val="22"/>
          <w:szCs w:val="22"/>
          <w:lang w:val="es-CO"/>
        </w:rPr>
      </w:pPr>
    </w:p>
    <w:p w14:paraId="31BD880B" w14:textId="77777777" w:rsidR="00A906FD" w:rsidRPr="00B62815" w:rsidRDefault="00A906FD" w:rsidP="00A906FD">
      <w:pPr>
        <w:ind w:firstLine="720"/>
        <w:jc w:val="both"/>
        <w:rPr>
          <w:rFonts w:asciiTheme="minorHAnsi" w:hAnsiTheme="minorHAnsi" w:cstheme="minorHAnsi"/>
          <w:sz w:val="22"/>
          <w:szCs w:val="22"/>
          <w:lang w:val="es-CO"/>
        </w:rPr>
      </w:pPr>
      <w:r w:rsidRPr="00B62815">
        <w:rPr>
          <w:rFonts w:asciiTheme="minorHAnsi" w:hAnsiTheme="minorHAnsi" w:cstheme="minorHAnsi"/>
          <w:sz w:val="22"/>
          <w:szCs w:val="22"/>
          <w:u w:val="single"/>
          <w:lang w:val="es-CO"/>
        </w:rPr>
        <w:t>Enlaces:</w:t>
      </w:r>
    </w:p>
    <w:p w14:paraId="4F18DACC" w14:textId="77777777" w:rsidR="00B42085" w:rsidRPr="00B62815" w:rsidRDefault="00B42085" w:rsidP="00B42085">
      <w:pPr>
        <w:ind w:left="720"/>
        <w:contextualSpacing/>
        <w:jc w:val="both"/>
        <w:rPr>
          <w:rFonts w:asciiTheme="minorHAnsi" w:eastAsia="Calibri" w:hAnsiTheme="minorHAnsi" w:cstheme="minorHAnsi"/>
          <w:sz w:val="22"/>
          <w:szCs w:val="22"/>
          <w:lang w:val="es-MX"/>
        </w:rPr>
      </w:pPr>
    </w:p>
    <w:p w14:paraId="078EA4EC" w14:textId="77777777" w:rsidR="00A906FD" w:rsidRPr="00B62815" w:rsidRDefault="00A906FD" w:rsidP="00E67635">
      <w:pPr>
        <w:numPr>
          <w:ilvl w:val="0"/>
          <w:numId w:val="77"/>
        </w:numPr>
        <w:contextualSpacing/>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CO"/>
        </w:rPr>
        <w:t xml:space="preserve">Secretaría de Cumbres </w:t>
      </w:r>
      <w:hyperlink r:id="rId130" w:history="1">
        <w:r w:rsidRPr="00B62815">
          <w:rPr>
            <w:rFonts w:asciiTheme="minorHAnsi" w:eastAsia="Calibri" w:hAnsiTheme="minorHAnsi" w:cstheme="minorHAnsi"/>
            <w:color w:val="005C9C"/>
            <w:sz w:val="22"/>
            <w:szCs w:val="22"/>
            <w:lang w:val="es-ES"/>
          </w:rPr>
          <w:t>ESP</w:t>
        </w:r>
      </w:hyperlink>
      <w:r w:rsidRPr="00B62815">
        <w:rPr>
          <w:rFonts w:asciiTheme="minorHAnsi" w:eastAsia="Calibri" w:hAnsiTheme="minorHAnsi" w:cstheme="minorHAnsi"/>
          <w:sz w:val="22"/>
          <w:szCs w:val="22"/>
          <w:lang w:val="es-ES"/>
        </w:rPr>
        <w:t xml:space="preserve"> | </w:t>
      </w:r>
      <w:hyperlink r:id="rId131" w:history="1">
        <w:r w:rsidRPr="00B62815">
          <w:rPr>
            <w:rFonts w:asciiTheme="minorHAnsi" w:eastAsia="Calibri" w:hAnsiTheme="minorHAnsi" w:cstheme="minorHAnsi"/>
            <w:color w:val="005C9C"/>
            <w:sz w:val="22"/>
            <w:szCs w:val="22"/>
            <w:lang w:val="es-ES"/>
          </w:rPr>
          <w:t>ENG</w:t>
        </w:r>
      </w:hyperlink>
    </w:p>
    <w:p w14:paraId="065998ED" w14:textId="77777777" w:rsidR="00A906FD" w:rsidRPr="00B62815" w:rsidRDefault="00A906FD" w:rsidP="00E67635">
      <w:pPr>
        <w:numPr>
          <w:ilvl w:val="0"/>
          <w:numId w:val="77"/>
        </w:numPr>
        <w:contextualSpacing/>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CO"/>
        </w:rPr>
        <w:t xml:space="preserve">Plataforma virtual del Mecanismo de Seguimiento del Compromiso de Lima. </w:t>
      </w:r>
      <w:hyperlink r:id="rId132" w:history="1">
        <w:r w:rsidRPr="00B62815">
          <w:rPr>
            <w:rFonts w:asciiTheme="minorHAnsi" w:eastAsia="Calibri" w:hAnsiTheme="minorHAnsi" w:cstheme="minorHAnsi"/>
            <w:color w:val="005C9C"/>
            <w:sz w:val="22"/>
            <w:szCs w:val="22"/>
            <w:lang w:val="es-CO"/>
          </w:rPr>
          <w:t>ESP</w:t>
        </w:r>
      </w:hyperlink>
      <w:r w:rsidRPr="00B62815">
        <w:rPr>
          <w:rFonts w:asciiTheme="minorHAnsi" w:eastAsia="Calibri" w:hAnsiTheme="minorHAnsi" w:cstheme="minorHAnsi"/>
          <w:sz w:val="22"/>
          <w:szCs w:val="22"/>
          <w:lang w:val="es-CO"/>
        </w:rPr>
        <w:t xml:space="preserve"> | </w:t>
      </w:r>
      <w:hyperlink r:id="rId133" w:history="1">
        <w:r w:rsidRPr="00B62815">
          <w:rPr>
            <w:rFonts w:asciiTheme="minorHAnsi" w:eastAsia="Calibri" w:hAnsiTheme="minorHAnsi" w:cstheme="minorHAnsi"/>
            <w:color w:val="005C9C"/>
            <w:sz w:val="22"/>
            <w:szCs w:val="22"/>
            <w:lang w:val="es-CO"/>
          </w:rPr>
          <w:t>ENG</w:t>
        </w:r>
      </w:hyperlink>
    </w:p>
    <w:p w14:paraId="364C6F80" w14:textId="77777777" w:rsidR="00A906FD" w:rsidRPr="00B62815" w:rsidRDefault="00A906FD" w:rsidP="00E67635">
      <w:pPr>
        <w:numPr>
          <w:ilvl w:val="0"/>
          <w:numId w:val="77"/>
        </w:numPr>
        <w:contextualSpacing/>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MX"/>
        </w:rPr>
        <w:t xml:space="preserve">Banco de Buenas Prácticas y Capacidades Regionales.  </w:t>
      </w:r>
      <w:hyperlink r:id="rId134" w:history="1">
        <w:r w:rsidRPr="00B62815">
          <w:rPr>
            <w:rFonts w:asciiTheme="minorHAnsi" w:eastAsia="Calibri" w:hAnsiTheme="minorHAnsi" w:cstheme="minorHAnsi"/>
            <w:color w:val="005C9C"/>
            <w:sz w:val="22"/>
            <w:szCs w:val="22"/>
            <w:lang w:val="es-MX"/>
          </w:rPr>
          <w:t>ESP</w:t>
        </w:r>
      </w:hyperlink>
      <w:r w:rsidRPr="00B62815">
        <w:rPr>
          <w:rFonts w:asciiTheme="minorHAnsi" w:eastAsia="Calibri" w:hAnsiTheme="minorHAnsi" w:cstheme="minorHAnsi"/>
          <w:sz w:val="22"/>
          <w:szCs w:val="22"/>
          <w:lang w:val="es-MX"/>
        </w:rPr>
        <w:t xml:space="preserve"> | </w:t>
      </w:r>
      <w:hyperlink r:id="rId135" w:history="1">
        <w:r w:rsidRPr="00B62815">
          <w:rPr>
            <w:rFonts w:asciiTheme="minorHAnsi" w:eastAsia="Calibri" w:hAnsiTheme="minorHAnsi" w:cstheme="minorHAnsi"/>
            <w:color w:val="005C9C"/>
            <w:sz w:val="22"/>
            <w:szCs w:val="22"/>
            <w:lang w:val="es-MX"/>
          </w:rPr>
          <w:t>ENG</w:t>
        </w:r>
      </w:hyperlink>
    </w:p>
    <w:p w14:paraId="2D5E4C34" w14:textId="77777777" w:rsidR="00A906FD" w:rsidRPr="00B62815" w:rsidRDefault="00A906FD" w:rsidP="00A906FD">
      <w:pPr>
        <w:ind w:left="720"/>
        <w:jc w:val="both"/>
        <w:rPr>
          <w:rFonts w:asciiTheme="minorHAnsi" w:hAnsiTheme="minorHAnsi" w:cstheme="minorHAnsi"/>
          <w:sz w:val="22"/>
          <w:szCs w:val="22"/>
        </w:rPr>
      </w:pPr>
      <w:r w:rsidRPr="00B62815">
        <w:rPr>
          <w:rFonts w:asciiTheme="minorHAnsi" w:hAnsiTheme="minorHAnsi" w:cstheme="minorHAnsi"/>
          <w:sz w:val="22"/>
          <w:szCs w:val="22"/>
        </w:rPr>
        <w:t xml:space="preserve">Twitter: </w:t>
      </w:r>
      <w:hyperlink r:id="rId136" w:history="1">
        <w:r w:rsidRPr="00B62815">
          <w:rPr>
            <w:rFonts w:asciiTheme="minorHAnsi" w:hAnsiTheme="minorHAnsi" w:cstheme="minorHAnsi"/>
            <w:color w:val="005C9C"/>
            <w:sz w:val="22"/>
            <w:szCs w:val="22"/>
          </w:rPr>
          <w:t>https://twitter.com/CumbreAmericas</w:t>
        </w:r>
      </w:hyperlink>
    </w:p>
    <w:p w14:paraId="159E4467" w14:textId="77777777" w:rsidR="00A906FD" w:rsidRPr="00B62815" w:rsidRDefault="00A906FD" w:rsidP="00A906FD">
      <w:pPr>
        <w:ind w:left="720"/>
        <w:jc w:val="both"/>
        <w:rPr>
          <w:rFonts w:asciiTheme="minorHAnsi" w:hAnsiTheme="minorHAnsi" w:cstheme="minorHAnsi"/>
          <w:sz w:val="22"/>
          <w:szCs w:val="22"/>
        </w:rPr>
      </w:pPr>
      <w:r w:rsidRPr="00B62815">
        <w:rPr>
          <w:rFonts w:asciiTheme="minorHAnsi" w:hAnsiTheme="minorHAnsi" w:cstheme="minorHAnsi"/>
          <w:sz w:val="22"/>
          <w:szCs w:val="22"/>
        </w:rPr>
        <w:t xml:space="preserve">Facebook: </w:t>
      </w:r>
      <w:hyperlink r:id="rId137" w:history="1">
        <w:r w:rsidRPr="00B62815">
          <w:rPr>
            <w:rFonts w:asciiTheme="minorHAnsi" w:hAnsiTheme="minorHAnsi" w:cstheme="minorHAnsi"/>
            <w:color w:val="005C9C"/>
            <w:sz w:val="22"/>
            <w:szCs w:val="22"/>
          </w:rPr>
          <w:t>https://www.facebook.com/CumbreAmericas/</w:t>
        </w:r>
      </w:hyperlink>
      <w:r w:rsidRPr="00B62815">
        <w:rPr>
          <w:rFonts w:asciiTheme="minorHAnsi" w:hAnsiTheme="minorHAnsi" w:cstheme="minorHAnsi"/>
          <w:sz w:val="22"/>
          <w:szCs w:val="22"/>
        </w:rPr>
        <w:t xml:space="preserve"> </w:t>
      </w:r>
    </w:p>
    <w:p w14:paraId="73B2F144" w14:textId="77777777" w:rsidR="00A906FD" w:rsidRPr="00B62815" w:rsidRDefault="00A906FD" w:rsidP="00A906FD">
      <w:pPr>
        <w:ind w:left="720"/>
        <w:jc w:val="both"/>
        <w:rPr>
          <w:rFonts w:asciiTheme="minorHAnsi" w:hAnsiTheme="minorHAnsi" w:cstheme="minorHAnsi"/>
          <w:sz w:val="22"/>
          <w:szCs w:val="22"/>
          <w:lang w:val="pt-BR"/>
        </w:rPr>
      </w:pPr>
      <w:r w:rsidRPr="00B62815">
        <w:rPr>
          <w:rFonts w:asciiTheme="minorHAnsi" w:hAnsiTheme="minorHAnsi" w:cstheme="minorHAnsi"/>
          <w:sz w:val="22"/>
          <w:szCs w:val="22"/>
          <w:lang w:val="pt-BR"/>
        </w:rPr>
        <w:t xml:space="preserve">Instagram: </w:t>
      </w:r>
      <w:hyperlink r:id="rId138" w:history="1">
        <w:r w:rsidRPr="00B62815">
          <w:rPr>
            <w:rFonts w:asciiTheme="minorHAnsi" w:hAnsiTheme="minorHAnsi" w:cstheme="minorHAnsi"/>
            <w:color w:val="005C9C"/>
            <w:sz w:val="22"/>
            <w:szCs w:val="22"/>
            <w:lang w:val="pt-BR"/>
          </w:rPr>
          <w:t>https://www.instagram.com/summitamericas/</w:t>
        </w:r>
      </w:hyperlink>
      <w:r w:rsidRPr="00B62815">
        <w:rPr>
          <w:rFonts w:asciiTheme="minorHAnsi" w:hAnsiTheme="minorHAnsi" w:cstheme="minorHAnsi"/>
          <w:sz w:val="22"/>
          <w:szCs w:val="22"/>
          <w:lang w:val="pt-BR"/>
        </w:rPr>
        <w:t xml:space="preserve"> </w:t>
      </w:r>
    </w:p>
    <w:p w14:paraId="32DEB357" w14:textId="77777777" w:rsidR="00A906FD" w:rsidRPr="00B62815" w:rsidRDefault="00A906FD" w:rsidP="00A906FD">
      <w:pPr>
        <w:ind w:left="720"/>
        <w:jc w:val="both"/>
        <w:rPr>
          <w:rFonts w:asciiTheme="minorHAnsi" w:hAnsiTheme="minorHAnsi" w:cstheme="minorHAnsi"/>
          <w:sz w:val="22"/>
          <w:szCs w:val="22"/>
          <w:lang w:val="pt-BR"/>
        </w:rPr>
      </w:pPr>
    </w:p>
    <w:p w14:paraId="2492F157" w14:textId="77777777" w:rsidR="00A906FD" w:rsidRPr="00B62815" w:rsidRDefault="00A906FD" w:rsidP="00A906FD">
      <w:pPr>
        <w:ind w:left="720"/>
        <w:jc w:val="both"/>
        <w:rPr>
          <w:rFonts w:asciiTheme="minorHAnsi" w:hAnsiTheme="minorHAnsi" w:cstheme="minorHAnsi"/>
          <w:sz w:val="22"/>
          <w:szCs w:val="22"/>
          <w:lang w:val="pt-BR"/>
        </w:rPr>
      </w:pPr>
      <w:r w:rsidRPr="00B62815">
        <w:rPr>
          <w:rFonts w:asciiTheme="minorHAnsi" w:hAnsiTheme="minorHAnsi" w:cstheme="minorHAnsi"/>
          <w:sz w:val="22"/>
          <w:szCs w:val="22"/>
          <w:u w:val="single"/>
          <w:lang w:val="pt-BR"/>
        </w:rPr>
        <w:t>Mandatos</w:t>
      </w:r>
      <w:r w:rsidRPr="00B62815">
        <w:rPr>
          <w:rFonts w:asciiTheme="minorHAnsi" w:hAnsiTheme="minorHAnsi" w:cstheme="minorHAnsi"/>
          <w:sz w:val="22"/>
          <w:szCs w:val="22"/>
          <w:lang w:val="pt-BR"/>
        </w:rPr>
        <w:t>:</w:t>
      </w:r>
    </w:p>
    <w:p w14:paraId="34415D30" w14:textId="77777777" w:rsidR="00A906FD" w:rsidRPr="00B62815" w:rsidRDefault="00A906FD" w:rsidP="00A906FD">
      <w:pPr>
        <w:ind w:left="720"/>
        <w:jc w:val="both"/>
        <w:rPr>
          <w:rFonts w:asciiTheme="minorHAnsi" w:hAnsiTheme="minorHAnsi" w:cstheme="minorHAnsi"/>
          <w:sz w:val="22"/>
          <w:szCs w:val="22"/>
          <w:lang w:val="pt-BR"/>
        </w:rPr>
      </w:pPr>
      <w:r w:rsidRPr="00B62815">
        <w:rPr>
          <w:rFonts w:asciiTheme="minorHAnsi" w:hAnsiTheme="minorHAnsi" w:cstheme="minorHAnsi"/>
          <w:sz w:val="22"/>
          <w:szCs w:val="22"/>
          <w:lang w:val="pt-BR"/>
        </w:rPr>
        <w:t xml:space="preserve">AG/RES. 2931 (XLIX-O/19) </w:t>
      </w:r>
      <w:r w:rsidRPr="00B62815">
        <w:rPr>
          <w:rFonts w:asciiTheme="minorHAnsi" w:hAnsiTheme="minorHAnsi" w:cstheme="minorHAnsi"/>
          <w:sz w:val="22"/>
          <w:szCs w:val="22"/>
          <w:lang w:val="pt-BR"/>
        </w:rPr>
        <w:tab/>
      </w:r>
      <w:r w:rsidRPr="00B62815">
        <w:rPr>
          <w:rFonts w:asciiTheme="minorHAnsi" w:hAnsiTheme="minorHAnsi" w:cstheme="minorHAnsi"/>
          <w:sz w:val="22"/>
          <w:szCs w:val="22"/>
          <w:lang w:val="pt-BR"/>
        </w:rPr>
        <w:tab/>
        <w:t>AG/RES. 2920 (XLVIII-O/18)</w:t>
      </w:r>
    </w:p>
    <w:p w14:paraId="4AA0D853" w14:textId="77777777" w:rsidR="00A906FD" w:rsidRPr="00B62815" w:rsidRDefault="00A906FD" w:rsidP="00A906FD">
      <w:pPr>
        <w:ind w:left="720"/>
        <w:jc w:val="both"/>
        <w:rPr>
          <w:rFonts w:asciiTheme="minorHAnsi" w:hAnsiTheme="minorHAnsi" w:cstheme="minorHAnsi"/>
          <w:sz w:val="22"/>
          <w:szCs w:val="22"/>
          <w:lang w:val="pt-BR"/>
        </w:rPr>
      </w:pPr>
      <w:r w:rsidRPr="00B62815">
        <w:rPr>
          <w:rFonts w:asciiTheme="minorHAnsi" w:hAnsiTheme="minorHAnsi" w:cstheme="minorHAnsi"/>
          <w:sz w:val="22"/>
          <w:szCs w:val="22"/>
          <w:lang w:val="pt-BR"/>
        </w:rPr>
        <w:t>AG/RES. 2933 (XLIX-O/19)</w:t>
      </w:r>
      <w:r w:rsidRPr="00B62815">
        <w:rPr>
          <w:rFonts w:asciiTheme="minorHAnsi" w:hAnsiTheme="minorHAnsi" w:cstheme="minorHAnsi"/>
          <w:sz w:val="22"/>
          <w:szCs w:val="22"/>
          <w:lang w:val="pt-BR"/>
        </w:rPr>
        <w:tab/>
      </w:r>
      <w:r w:rsidRPr="00B62815">
        <w:rPr>
          <w:rFonts w:asciiTheme="minorHAnsi" w:hAnsiTheme="minorHAnsi" w:cstheme="minorHAnsi"/>
          <w:sz w:val="22"/>
          <w:szCs w:val="22"/>
          <w:lang w:val="pt-BR"/>
        </w:rPr>
        <w:tab/>
        <w:t>AG/RES. 2924 (XLVIII-O/18)</w:t>
      </w:r>
    </w:p>
    <w:tbl>
      <w:tblPr>
        <w:tblW w:w="0" w:type="auto"/>
        <w:tblInd w:w="720" w:type="dxa"/>
        <w:tblBorders>
          <w:insideV w:val="single" w:sz="4" w:space="0" w:color="auto"/>
        </w:tblBorders>
        <w:tblLook w:val="04A0" w:firstRow="1" w:lastRow="0" w:firstColumn="1" w:lastColumn="0" w:noHBand="0" w:noVBand="1"/>
      </w:tblPr>
      <w:tblGrid>
        <w:gridCol w:w="7576"/>
      </w:tblGrid>
      <w:tr w:rsidR="00A906FD" w:rsidRPr="00625659" w14:paraId="11E2A241" w14:textId="77777777" w:rsidTr="00A406FE">
        <w:tc>
          <w:tcPr>
            <w:tcW w:w="7576" w:type="dxa"/>
            <w:shd w:val="clear" w:color="auto" w:fill="auto"/>
          </w:tcPr>
          <w:p w14:paraId="5D228F5C" w14:textId="77777777" w:rsidR="00A906FD" w:rsidRPr="00EB718B" w:rsidRDefault="00A906FD" w:rsidP="00A906FD">
            <w:pPr>
              <w:jc w:val="center"/>
              <w:rPr>
                <w:rFonts w:asciiTheme="minorHAnsi" w:hAnsiTheme="minorHAnsi" w:cstheme="minorHAnsi"/>
                <w:bCs/>
                <w:sz w:val="22"/>
                <w:szCs w:val="22"/>
                <w:lang w:val="pt-BR" w:eastAsia="es-ES"/>
              </w:rPr>
            </w:pPr>
          </w:p>
        </w:tc>
      </w:tr>
    </w:tbl>
    <w:p w14:paraId="3C5CB590" w14:textId="77777777" w:rsidR="001A5CD8" w:rsidRPr="00EB718B" w:rsidRDefault="001C2CF3" w:rsidP="001A5CD8">
      <w:pPr>
        <w:spacing w:before="120" w:after="120"/>
        <w:jc w:val="both"/>
        <w:rPr>
          <w:rFonts w:asciiTheme="minorHAnsi" w:hAnsiTheme="minorHAnsi" w:cstheme="minorHAnsi"/>
          <w:b/>
          <w:color w:val="E36C0A"/>
          <w:sz w:val="22"/>
          <w:szCs w:val="22"/>
          <w:lang w:val="pt-BR"/>
        </w:rPr>
      </w:pPr>
      <w:r w:rsidRPr="00B62815">
        <w:rPr>
          <w:rFonts w:asciiTheme="minorHAnsi" w:hAnsiTheme="minorHAnsi" w:cstheme="minorHAnsi"/>
          <w:noProof/>
          <w:sz w:val="22"/>
          <w:szCs w:val="22"/>
        </w:rPr>
        <mc:AlternateContent>
          <mc:Choice Requires="wps">
            <w:drawing>
              <wp:anchor distT="0" distB="0" distL="114300" distR="114300" simplePos="0" relativeHeight="251715584" behindDoc="0" locked="0" layoutInCell="1" allowOverlap="1" wp14:anchorId="58C833B7" wp14:editId="72CB7A8B">
                <wp:simplePos x="0" y="0"/>
                <wp:positionH relativeFrom="column">
                  <wp:posOffset>114935</wp:posOffset>
                </wp:positionH>
                <wp:positionV relativeFrom="paragraph">
                  <wp:posOffset>2488565</wp:posOffset>
                </wp:positionV>
                <wp:extent cx="5487670" cy="494665"/>
                <wp:effectExtent l="0" t="0" r="0" b="0"/>
                <wp:wrapSquare wrapText="bothSides"/>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7670" cy="494665"/>
                        </a:xfrm>
                        <a:prstGeom prst="rect">
                          <a:avLst/>
                        </a:prstGeom>
                        <a:noFill/>
                        <a:ln>
                          <a:noFill/>
                        </a:ln>
                        <a:effectLst/>
                        <a:extLst>
                          <a:ext uri="{C572A759-6A51-4108-AA02-DFA0A04FC94B}"/>
                        </a:extLst>
                      </wps:spPr>
                      <wps:txbx>
                        <w:txbxContent>
                          <w:p w14:paraId="2B404320" w14:textId="77777777" w:rsidR="00B22AF2" w:rsidRPr="0064237D" w:rsidRDefault="00B22AF2" w:rsidP="00A906FD">
                            <w:pPr>
                              <w:ind w:left="720"/>
                              <w:jc w:val="center"/>
                              <w:rPr>
                                <w:sz w:val="22"/>
                                <w:szCs w:val="20"/>
                                <w:lang w:val="es-US"/>
                              </w:rPr>
                            </w:pPr>
                            <w:r w:rsidRPr="0064237D">
                              <w:rPr>
                                <w:bCs/>
                                <w:sz w:val="22"/>
                                <w:szCs w:val="20"/>
                                <w:lang w:val="es-ES" w:eastAsia="es-ES"/>
                              </w:rPr>
                              <w:t>Plataforma virtual del Mecanismo de Seguimiento e Implementación del Compromiso de Lima y su Banco de Buenas Practicas y Capacidades Regionales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C833B7" id="Text Box 7" o:spid="_x0000_s1029" type="#_x0000_t202" style="position:absolute;left:0;text-align:left;margin-left:9.05pt;margin-top:195.95pt;width:432.1pt;height:3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" filled="f" stroked="f">
                <v:path arrowok="t"/>
                <v:textbox>
                  <w:txbxContent>
                    <w:p w14:paraId="2B404320" w14:textId="77777777" w:rsidR="00B22AF2" w:rsidRPr="0064237D" w:rsidRDefault="00B22AF2" w:rsidP="00A906FD">
                      <w:pPr>
                        <w:ind w:left="720"/>
                        <w:jc w:val="center"/>
                        <w:rPr>
                          <w:sz w:val="22"/>
                          <w:szCs w:val="20"/>
                          <w:lang w:val="es-US"/>
                        </w:rPr>
                      </w:pPr>
                      <w:r w:rsidRPr="0064237D">
                        <w:rPr>
                          <w:bCs/>
                          <w:sz w:val="22"/>
                          <w:szCs w:val="20"/>
                          <w:lang w:val="es-ES" w:eastAsia="es-ES"/>
                        </w:rPr>
                        <w:t>Plataforma virtual del Mecanismo de Seguimiento e Implementación del Compromiso de Lima y su Banco de Buenas Practicas y Capacidades Regionales</w:t>
                      </w:r>
                    </w:p>
                  </w:txbxContent>
                </v:textbox>
                <w10:wrap type="square"/>
              </v:shape>
            </w:pict>
          </mc:Fallback>
        </mc:AlternateContent>
      </w:r>
      <w:r w:rsidRPr="00B62815">
        <w:rPr>
          <w:rFonts w:asciiTheme="minorHAnsi" w:hAnsiTheme="minorHAnsi" w:cstheme="minorHAnsi"/>
          <w:noProof/>
          <w:sz w:val="22"/>
          <w:szCs w:val="22"/>
        </w:rPr>
        <w:drawing>
          <wp:anchor distT="0" distB="0" distL="114300" distR="114300" simplePos="0" relativeHeight="251717632" behindDoc="1" locked="0" layoutInCell="1" allowOverlap="1" wp14:anchorId="03AD8C30" wp14:editId="33E7C543">
            <wp:simplePos x="0" y="0"/>
            <wp:positionH relativeFrom="column">
              <wp:posOffset>335280</wp:posOffset>
            </wp:positionH>
            <wp:positionV relativeFrom="paragraph">
              <wp:posOffset>3020695</wp:posOffset>
            </wp:positionV>
            <wp:extent cx="5314950" cy="2447925"/>
            <wp:effectExtent l="0" t="0" r="0" b="0"/>
            <wp:wrapTight wrapText="bothSides">
              <wp:wrapPolygon edited="0">
                <wp:start x="0" y="0"/>
                <wp:lineTo x="0" y="21516"/>
                <wp:lineTo x="21523" y="21516"/>
                <wp:lineTo x="21523" y="0"/>
                <wp:lineTo x="0" y="0"/>
              </wp:wrapPolygon>
            </wp:wrapTight>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53149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B2CFD" w14:textId="6971587D" w:rsidR="007C7AD1" w:rsidRPr="00B62815" w:rsidRDefault="00D109E7" w:rsidP="00DF4328">
      <w:pPr>
        <w:pStyle w:val="Heading3"/>
        <w:rPr>
          <w:rFonts w:asciiTheme="minorHAnsi" w:hAnsiTheme="minorHAnsi" w:cstheme="minorHAnsi"/>
          <w:b w:val="0"/>
          <w:color w:val="E36C0A"/>
          <w:sz w:val="22"/>
          <w:szCs w:val="22"/>
          <w:lang w:val="es-UY"/>
        </w:rPr>
      </w:pPr>
      <w:bookmarkStart w:id="79" w:name="_Toc39675855"/>
      <w:bookmarkStart w:id="80" w:name="_Toc40191078"/>
      <w:r w:rsidRPr="00B62815">
        <w:rPr>
          <w:rFonts w:asciiTheme="minorHAnsi" w:hAnsiTheme="minorHAnsi" w:cstheme="minorHAnsi"/>
          <w:b w:val="0"/>
          <w:color w:val="E36C0A"/>
          <w:sz w:val="22"/>
          <w:szCs w:val="22"/>
          <w:lang w:val="es-UY"/>
        </w:rPr>
        <w:t>2.9.3</w:t>
      </w:r>
      <w:r w:rsidRPr="00B62815">
        <w:rPr>
          <w:rFonts w:asciiTheme="minorHAnsi" w:hAnsiTheme="minorHAnsi" w:cstheme="minorHAnsi"/>
          <w:b w:val="0"/>
          <w:color w:val="E36C0A"/>
          <w:sz w:val="22"/>
          <w:szCs w:val="22"/>
          <w:lang w:val="es-UY"/>
        </w:rPr>
        <w:tab/>
      </w:r>
      <w:r w:rsidR="007C7AD1" w:rsidRPr="00B62815">
        <w:rPr>
          <w:rFonts w:asciiTheme="minorHAnsi" w:hAnsiTheme="minorHAnsi" w:cstheme="minorHAnsi"/>
          <w:b w:val="0"/>
          <w:color w:val="E36C0A"/>
          <w:sz w:val="22"/>
          <w:szCs w:val="22"/>
          <w:lang w:val="es-UY"/>
        </w:rPr>
        <w:t>Departamento de Iniciativas Estratégicas y Diplomacia Pública</w:t>
      </w:r>
      <w:bookmarkEnd w:id="79"/>
      <w:bookmarkEnd w:id="80"/>
    </w:p>
    <w:p w14:paraId="41E9A35A" w14:textId="77777777" w:rsidR="007C7AD1" w:rsidRPr="00B62815" w:rsidRDefault="007C7AD1" w:rsidP="007C7AD1">
      <w:pPr>
        <w:rPr>
          <w:rFonts w:asciiTheme="minorHAnsi" w:hAnsiTheme="minorHAnsi" w:cstheme="minorHAnsi"/>
          <w:sz w:val="22"/>
          <w:szCs w:val="22"/>
          <w:lang w:val="es-UY"/>
        </w:rPr>
      </w:pPr>
    </w:p>
    <w:p w14:paraId="3B2C8B70" w14:textId="77777777" w:rsidR="00AC5584" w:rsidRPr="00B62815" w:rsidRDefault="00D109E7" w:rsidP="007C7AD1">
      <w:pPr>
        <w:rPr>
          <w:rFonts w:asciiTheme="minorHAnsi" w:hAnsiTheme="minorHAnsi" w:cstheme="minorHAnsi"/>
          <w:sz w:val="22"/>
          <w:szCs w:val="22"/>
          <w:u w:val="single"/>
          <w:lang w:val="es-UY"/>
        </w:rPr>
      </w:pPr>
      <w:r w:rsidRPr="00B62815">
        <w:rPr>
          <w:rFonts w:asciiTheme="minorHAnsi" w:hAnsiTheme="minorHAnsi" w:cstheme="minorHAnsi"/>
          <w:sz w:val="22"/>
          <w:szCs w:val="22"/>
          <w:u w:val="single"/>
          <w:lang w:val="es-UY"/>
        </w:rPr>
        <w:t>Biblioteca Colón</w:t>
      </w:r>
    </w:p>
    <w:p w14:paraId="36EE2187" w14:textId="77777777" w:rsidR="007C7AD1" w:rsidRPr="00B62815" w:rsidRDefault="007C7AD1" w:rsidP="007C7AD1">
      <w:pPr>
        <w:rPr>
          <w:rFonts w:asciiTheme="minorHAnsi" w:hAnsiTheme="minorHAnsi" w:cstheme="minorHAnsi"/>
          <w:sz w:val="22"/>
          <w:szCs w:val="22"/>
          <w:lang w:val="es-US"/>
        </w:rPr>
      </w:pPr>
    </w:p>
    <w:p w14:paraId="688909B6" w14:textId="77777777" w:rsidR="00A906FD" w:rsidRPr="00B62815" w:rsidRDefault="00A906FD" w:rsidP="007C7AD1">
      <w:pPr>
        <w:rPr>
          <w:rFonts w:asciiTheme="minorHAnsi" w:hAnsiTheme="minorHAnsi" w:cstheme="minorHAnsi"/>
          <w:sz w:val="22"/>
          <w:szCs w:val="22"/>
          <w:lang w:val="es-US"/>
        </w:rPr>
      </w:pPr>
      <w:r w:rsidRPr="00B62815">
        <w:rPr>
          <w:rFonts w:asciiTheme="minorHAnsi" w:hAnsiTheme="minorHAnsi" w:cstheme="minorHAnsi"/>
          <w:sz w:val="22"/>
          <w:szCs w:val="22"/>
          <w:lang w:val="es-US"/>
        </w:rPr>
        <w:t>Resumen de logros alcanzados</w:t>
      </w:r>
    </w:p>
    <w:p w14:paraId="6C468ADE" w14:textId="77777777" w:rsidR="00A906FD" w:rsidRPr="00B62815" w:rsidRDefault="00A906FD" w:rsidP="007C7AD1">
      <w:pPr>
        <w:rPr>
          <w:rFonts w:asciiTheme="minorHAnsi" w:hAnsiTheme="minorHAnsi" w:cstheme="minorHAnsi"/>
          <w:bCs/>
          <w:sz w:val="22"/>
          <w:szCs w:val="22"/>
          <w:lang w:val="es-GT"/>
        </w:rPr>
      </w:pPr>
    </w:p>
    <w:p w14:paraId="0374FE6F" w14:textId="3B1B3FBD" w:rsidR="00A906FD" w:rsidRPr="00357DCF" w:rsidRDefault="00A906FD" w:rsidP="00357DCF">
      <w:pPr>
        <w:numPr>
          <w:ilvl w:val="0"/>
          <w:numId w:val="78"/>
        </w:numPr>
        <w:tabs>
          <w:tab w:val="left" w:pos="360"/>
          <w:tab w:val="left" w:pos="900"/>
        </w:tabs>
        <w:spacing w:after="240"/>
        <w:ind w:left="360"/>
        <w:jc w:val="both"/>
        <w:rPr>
          <w:rFonts w:asciiTheme="minorHAnsi" w:eastAsia="Calibri" w:hAnsiTheme="minorHAnsi" w:cstheme="minorHAnsi"/>
          <w:spacing w:val="2"/>
          <w:sz w:val="22"/>
          <w:szCs w:val="22"/>
          <w:lang w:val="es-ES"/>
        </w:rPr>
      </w:pPr>
      <w:r w:rsidRPr="00B62815">
        <w:rPr>
          <w:rFonts w:asciiTheme="minorHAnsi" w:eastAsia="Calibri" w:hAnsiTheme="minorHAnsi" w:cstheme="minorHAnsi"/>
          <w:sz w:val="22"/>
          <w:szCs w:val="22"/>
          <w:lang w:val="es-ES"/>
        </w:rPr>
        <w:t>Como el único y más extenso repositorio de la OEA y del sistema interamericano respondimos a un total de 3,821 solicitudes de información y p</w:t>
      </w:r>
      <w:r w:rsidRPr="00B62815">
        <w:rPr>
          <w:rFonts w:asciiTheme="minorHAnsi" w:eastAsia="Calibri" w:hAnsiTheme="minorHAnsi" w:cstheme="minorHAnsi"/>
          <w:spacing w:val="2"/>
          <w:sz w:val="22"/>
          <w:szCs w:val="22"/>
          <w:lang w:val="es-ES"/>
        </w:rPr>
        <w:t>rocesamos 73 préstamos inter-bibliotecarios</w:t>
      </w:r>
      <w:r w:rsidRPr="00B62815">
        <w:rPr>
          <w:rFonts w:asciiTheme="minorHAnsi" w:eastAsia="Calibri" w:hAnsiTheme="minorHAnsi" w:cstheme="minorHAnsi"/>
          <w:sz w:val="22"/>
          <w:szCs w:val="22"/>
          <w:lang w:val="es-ES"/>
        </w:rPr>
        <w:t xml:space="preserve"> a través de los servicios de: </w:t>
      </w:r>
      <w:r w:rsidRPr="00B62815" w:rsidDel="009842FE">
        <w:rPr>
          <w:rFonts w:asciiTheme="minorHAnsi" w:eastAsia="Calibri" w:hAnsiTheme="minorHAnsi" w:cstheme="minorHAnsi"/>
          <w:sz w:val="22"/>
          <w:szCs w:val="22"/>
          <w:lang w:val="es-ES"/>
        </w:rPr>
        <w:t>R</w:t>
      </w:r>
      <w:r w:rsidRPr="00B62815">
        <w:rPr>
          <w:rFonts w:asciiTheme="minorHAnsi" w:eastAsia="Calibri" w:hAnsiTheme="minorHAnsi" w:cstheme="minorHAnsi"/>
          <w:sz w:val="22"/>
          <w:szCs w:val="22"/>
          <w:lang w:val="es-ES"/>
        </w:rPr>
        <w:t xml:space="preserve">eferencia, </w:t>
      </w:r>
      <w:r w:rsidRPr="00B62815" w:rsidDel="009842FE">
        <w:rPr>
          <w:rFonts w:asciiTheme="minorHAnsi" w:eastAsia="Calibri" w:hAnsiTheme="minorHAnsi" w:cstheme="minorHAnsi"/>
          <w:sz w:val="22"/>
          <w:szCs w:val="22"/>
          <w:lang w:val="es-ES"/>
        </w:rPr>
        <w:t>D</w:t>
      </w:r>
      <w:r w:rsidRPr="00B62815">
        <w:rPr>
          <w:rFonts w:asciiTheme="minorHAnsi" w:eastAsia="Calibri" w:hAnsiTheme="minorHAnsi" w:cstheme="minorHAnsi"/>
          <w:sz w:val="22"/>
          <w:szCs w:val="22"/>
          <w:lang w:val="es-ES"/>
        </w:rPr>
        <w:t xml:space="preserve">ocumentos, </w:t>
      </w:r>
      <w:r w:rsidRPr="00B62815" w:rsidDel="009842FE">
        <w:rPr>
          <w:rFonts w:asciiTheme="minorHAnsi" w:eastAsia="Calibri" w:hAnsiTheme="minorHAnsi" w:cstheme="minorHAnsi"/>
          <w:sz w:val="22"/>
          <w:szCs w:val="22"/>
          <w:lang w:val="es-ES"/>
        </w:rPr>
        <w:t>A</w:t>
      </w:r>
      <w:r w:rsidRPr="00B62815">
        <w:rPr>
          <w:rFonts w:asciiTheme="minorHAnsi" w:eastAsia="Calibri" w:hAnsiTheme="minorHAnsi" w:cstheme="minorHAnsi"/>
          <w:sz w:val="22"/>
          <w:szCs w:val="22"/>
          <w:lang w:val="es-ES"/>
        </w:rPr>
        <w:t xml:space="preserve">cceso a la </w:t>
      </w:r>
      <w:r w:rsidRPr="00B62815" w:rsidDel="009842FE">
        <w:rPr>
          <w:rFonts w:asciiTheme="minorHAnsi" w:eastAsia="Calibri" w:hAnsiTheme="minorHAnsi" w:cstheme="minorHAnsi"/>
          <w:sz w:val="22"/>
          <w:szCs w:val="22"/>
          <w:lang w:val="es-ES"/>
        </w:rPr>
        <w:t>I</w:t>
      </w:r>
      <w:r w:rsidRPr="00B62815">
        <w:rPr>
          <w:rFonts w:asciiTheme="minorHAnsi" w:eastAsia="Calibri" w:hAnsiTheme="minorHAnsi" w:cstheme="minorHAnsi"/>
          <w:sz w:val="22"/>
          <w:szCs w:val="22"/>
          <w:lang w:val="es-ES"/>
        </w:rPr>
        <w:t xml:space="preserve">nformación y </w:t>
      </w:r>
      <w:r w:rsidRPr="00B62815" w:rsidDel="009842FE">
        <w:rPr>
          <w:rFonts w:asciiTheme="minorHAnsi" w:eastAsia="Calibri" w:hAnsiTheme="minorHAnsi" w:cstheme="minorHAnsi"/>
          <w:sz w:val="22"/>
          <w:szCs w:val="22"/>
          <w:lang w:val="es-ES"/>
        </w:rPr>
        <w:t>S</w:t>
      </w:r>
      <w:r w:rsidRPr="00B62815">
        <w:rPr>
          <w:rFonts w:asciiTheme="minorHAnsi" w:eastAsia="Calibri" w:hAnsiTheme="minorHAnsi" w:cstheme="minorHAnsi"/>
          <w:sz w:val="22"/>
          <w:szCs w:val="22"/>
          <w:lang w:val="es-ES"/>
        </w:rPr>
        <w:t xml:space="preserve">ervicio de </w:t>
      </w:r>
      <w:r w:rsidRPr="00B62815" w:rsidDel="009842FE">
        <w:rPr>
          <w:rFonts w:asciiTheme="minorHAnsi" w:eastAsia="Calibri" w:hAnsiTheme="minorHAnsi" w:cstheme="minorHAnsi"/>
          <w:sz w:val="22"/>
          <w:szCs w:val="22"/>
          <w:lang w:val="es-ES"/>
        </w:rPr>
        <w:t>A</w:t>
      </w:r>
      <w:r w:rsidRPr="00B62815">
        <w:rPr>
          <w:rFonts w:asciiTheme="minorHAnsi" w:eastAsia="Calibri" w:hAnsiTheme="minorHAnsi" w:cstheme="minorHAnsi"/>
          <w:sz w:val="22"/>
          <w:szCs w:val="22"/>
          <w:lang w:val="es-ES"/>
        </w:rPr>
        <w:t xml:space="preserve">dministración de </w:t>
      </w:r>
      <w:r w:rsidRPr="00B62815" w:rsidDel="009842FE">
        <w:rPr>
          <w:rFonts w:asciiTheme="minorHAnsi" w:eastAsia="Calibri" w:hAnsiTheme="minorHAnsi" w:cstheme="minorHAnsi"/>
          <w:sz w:val="22"/>
          <w:szCs w:val="22"/>
          <w:lang w:val="es-ES"/>
        </w:rPr>
        <w:t>A</w:t>
      </w:r>
      <w:r w:rsidRPr="00B62815">
        <w:rPr>
          <w:rFonts w:asciiTheme="minorHAnsi" w:eastAsia="Calibri" w:hAnsiTheme="minorHAnsi" w:cstheme="minorHAnsi"/>
          <w:sz w:val="22"/>
          <w:szCs w:val="22"/>
          <w:lang w:val="es-ES"/>
        </w:rPr>
        <w:t xml:space="preserve">rchivos.  </w:t>
      </w:r>
      <w:r w:rsidRPr="00B62815">
        <w:rPr>
          <w:rFonts w:asciiTheme="minorHAnsi" w:eastAsia="Calibri" w:hAnsiTheme="minorHAnsi" w:cstheme="minorHAnsi"/>
          <w:spacing w:val="2"/>
          <w:sz w:val="22"/>
          <w:szCs w:val="22"/>
          <w:lang w:val="es-ES"/>
        </w:rPr>
        <w:t>Enviamos electrónicamente 34,360 artículos y publicaciones de interés</w:t>
      </w:r>
      <w:r w:rsidRPr="00B62815">
        <w:rPr>
          <w:rFonts w:asciiTheme="minorHAnsi" w:eastAsia="Calibri" w:hAnsiTheme="minorHAnsi" w:cstheme="minorHAnsi"/>
          <w:sz w:val="22"/>
          <w:szCs w:val="22"/>
          <w:lang w:val="es-ES"/>
        </w:rPr>
        <w:t xml:space="preserve"> a través de</w:t>
      </w:r>
      <w:r w:rsidRPr="00B62815">
        <w:rPr>
          <w:rFonts w:asciiTheme="minorHAnsi" w:eastAsia="Calibri" w:hAnsiTheme="minorHAnsi" w:cstheme="minorHAnsi"/>
          <w:spacing w:val="2"/>
          <w:sz w:val="22"/>
          <w:szCs w:val="22"/>
          <w:lang w:val="es-ES"/>
        </w:rPr>
        <w:t xml:space="preserve">l </w:t>
      </w:r>
      <w:r w:rsidRPr="00357DCF">
        <w:rPr>
          <w:rFonts w:asciiTheme="minorHAnsi" w:eastAsia="Calibri" w:hAnsiTheme="minorHAnsi" w:cstheme="minorHAnsi"/>
          <w:spacing w:val="2"/>
          <w:sz w:val="22"/>
          <w:szCs w:val="22"/>
          <w:lang w:val="es-ES"/>
        </w:rPr>
        <w:t xml:space="preserve">Servicio de Noticias de Actualidad Política.  </w:t>
      </w:r>
    </w:p>
    <w:p w14:paraId="3A51967B" w14:textId="27DBD468" w:rsidR="00A906FD" w:rsidRPr="00B62815" w:rsidRDefault="00A906FD" w:rsidP="00E67635">
      <w:pPr>
        <w:numPr>
          <w:ilvl w:val="0"/>
          <w:numId w:val="78"/>
        </w:numPr>
        <w:tabs>
          <w:tab w:val="left" w:pos="360"/>
          <w:tab w:val="left" w:pos="900"/>
        </w:tabs>
        <w:spacing w:after="240"/>
        <w:ind w:left="360"/>
        <w:jc w:val="both"/>
        <w:rPr>
          <w:rFonts w:asciiTheme="minorHAnsi" w:eastAsia="Calibri" w:hAnsiTheme="minorHAnsi" w:cstheme="minorHAnsi"/>
          <w:spacing w:val="2"/>
          <w:sz w:val="22"/>
          <w:szCs w:val="22"/>
          <w:lang w:val="es-ES"/>
        </w:rPr>
      </w:pPr>
      <w:r w:rsidRPr="00B62815">
        <w:rPr>
          <w:rFonts w:asciiTheme="minorHAnsi" w:eastAsia="Calibri" w:hAnsiTheme="minorHAnsi" w:cstheme="minorHAnsi"/>
          <w:sz w:val="22"/>
          <w:szCs w:val="22"/>
          <w:lang w:val="es-ES"/>
        </w:rPr>
        <w:t>Entre las visitas de dignatari</w:t>
      </w:r>
      <w:r w:rsidR="00357DCF">
        <w:rPr>
          <w:rFonts w:asciiTheme="minorHAnsi" w:eastAsia="Calibri" w:hAnsiTheme="minorHAnsi" w:cstheme="minorHAnsi"/>
          <w:sz w:val="22"/>
          <w:szCs w:val="22"/>
          <w:lang w:val="es-ES"/>
        </w:rPr>
        <w:t>o</w:t>
      </w:r>
      <w:r w:rsidRPr="00B62815">
        <w:rPr>
          <w:rFonts w:asciiTheme="minorHAnsi" w:eastAsia="Calibri" w:hAnsiTheme="minorHAnsi" w:cstheme="minorHAnsi"/>
          <w:sz w:val="22"/>
          <w:szCs w:val="22"/>
          <w:lang w:val="es-ES"/>
        </w:rPr>
        <w:t xml:space="preserve">s destacamos la del Ex-Presidente de </w:t>
      </w:r>
      <w:r w:rsidR="00357DCF" w:rsidRPr="00B62815">
        <w:rPr>
          <w:rFonts w:asciiTheme="minorHAnsi" w:eastAsia="Calibri" w:hAnsiTheme="minorHAnsi" w:cstheme="minorHAnsi"/>
          <w:sz w:val="22"/>
          <w:szCs w:val="22"/>
          <w:lang w:val="es-ES"/>
        </w:rPr>
        <w:t>Panamá</w:t>
      </w:r>
      <w:r w:rsidRPr="00B62815">
        <w:rPr>
          <w:rFonts w:asciiTheme="minorHAnsi" w:eastAsia="Calibri" w:hAnsiTheme="minorHAnsi" w:cstheme="minorHAnsi"/>
          <w:sz w:val="22"/>
          <w:szCs w:val="22"/>
          <w:lang w:val="es-ES"/>
        </w:rPr>
        <w:t xml:space="preserve">, Arístides Royo. </w:t>
      </w:r>
      <w:r w:rsidR="00357DCF">
        <w:rPr>
          <w:rFonts w:asciiTheme="minorHAnsi" w:eastAsia="Calibri" w:hAnsiTheme="minorHAnsi" w:cstheme="minorHAnsi"/>
          <w:sz w:val="22"/>
          <w:szCs w:val="22"/>
          <w:lang w:val="es-ES"/>
        </w:rPr>
        <w:t xml:space="preserve">Se continuó </w:t>
      </w:r>
      <w:r w:rsidRPr="00B62815">
        <w:rPr>
          <w:rFonts w:asciiTheme="minorHAnsi" w:eastAsia="Calibri" w:hAnsiTheme="minorHAnsi" w:cstheme="minorHAnsi"/>
          <w:sz w:val="22"/>
          <w:szCs w:val="22"/>
          <w:lang w:val="es-ES"/>
        </w:rPr>
        <w:t xml:space="preserve">procesando la Colección Luigi R. Einaudi; </w:t>
      </w:r>
      <w:r w:rsidR="00357DCF">
        <w:rPr>
          <w:rFonts w:asciiTheme="minorHAnsi" w:eastAsia="Calibri" w:hAnsiTheme="minorHAnsi" w:cstheme="minorHAnsi"/>
          <w:sz w:val="22"/>
          <w:szCs w:val="22"/>
          <w:lang w:val="es-ES"/>
        </w:rPr>
        <w:t>y se recibieron</w:t>
      </w:r>
      <w:r w:rsidRPr="00B62815">
        <w:rPr>
          <w:rFonts w:asciiTheme="minorHAnsi" w:eastAsia="Calibri" w:hAnsiTheme="minorHAnsi" w:cstheme="minorHAnsi"/>
          <w:sz w:val="22"/>
          <w:szCs w:val="22"/>
          <w:lang w:val="es-ES"/>
        </w:rPr>
        <w:t xml:space="preserve"> donaciones de materiales bibliográficos de Brasil, </w:t>
      </w:r>
      <w:r w:rsidR="00357DCF" w:rsidRPr="00B62815">
        <w:rPr>
          <w:rFonts w:asciiTheme="minorHAnsi" w:eastAsia="Calibri" w:hAnsiTheme="minorHAnsi" w:cstheme="minorHAnsi"/>
          <w:sz w:val="22"/>
          <w:szCs w:val="22"/>
          <w:lang w:val="es-ES"/>
        </w:rPr>
        <w:t>Panamá</w:t>
      </w:r>
      <w:r w:rsidRPr="00B62815">
        <w:rPr>
          <w:rFonts w:asciiTheme="minorHAnsi" w:eastAsia="Calibri" w:hAnsiTheme="minorHAnsi" w:cstheme="minorHAnsi"/>
          <w:sz w:val="22"/>
          <w:szCs w:val="22"/>
          <w:lang w:val="es-ES"/>
        </w:rPr>
        <w:t xml:space="preserve">, </w:t>
      </w:r>
      <w:r w:rsidR="00357DCF" w:rsidRPr="00B62815">
        <w:rPr>
          <w:rFonts w:asciiTheme="minorHAnsi" w:eastAsia="Calibri" w:hAnsiTheme="minorHAnsi" w:cstheme="minorHAnsi"/>
          <w:sz w:val="22"/>
          <w:szCs w:val="22"/>
          <w:lang w:val="es-ES"/>
        </w:rPr>
        <w:t>México</w:t>
      </w:r>
      <w:r w:rsidRPr="00B62815">
        <w:rPr>
          <w:rFonts w:asciiTheme="minorHAnsi" w:eastAsia="Calibri" w:hAnsiTheme="minorHAnsi" w:cstheme="minorHAnsi"/>
          <w:sz w:val="22"/>
          <w:szCs w:val="22"/>
          <w:lang w:val="es-ES"/>
        </w:rPr>
        <w:t xml:space="preserve">, República Dominicana, entre otros; </w:t>
      </w:r>
    </w:p>
    <w:p w14:paraId="6706C253" w14:textId="596F3067" w:rsidR="00A906FD" w:rsidRPr="00B62815" w:rsidRDefault="00357DCF" w:rsidP="00E67635">
      <w:pPr>
        <w:numPr>
          <w:ilvl w:val="0"/>
          <w:numId w:val="78"/>
        </w:numPr>
        <w:tabs>
          <w:tab w:val="left" w:pos="360"/>
          <w:tab w:val="left" w:pos="900"/>
        </w:tabs>
        <w:spacing w:after="240"/>
        <w:ind w:left="360"/>
        <w:jc w:val="both"/>
        <w:rPr>
          <w:rFonts w:asciiTheme="minorHAnsi" w:eastAsia="Calibri" w:hAnsiTheme="minorHAnsi" w:cstheme="minorHAnsi"/>
          <w:spacing w:val="2"/>
          <w:sz w:val="22"/>
          <w:szCs w:val="22"/>
          <w:lang w:val="es-ES"/>
        </w:rPr>
      </w:pPr>
      <w:r>
        <w:rPr>
          <w:rFonts w:asciiTheme="minorHAnsi" w:eastAsia="Calibri" w:hAnsiTheme="minorHAnsi" w:cstheme="minorHAnsi"/>
          <w:sz w:val="22"/>
          <w:szCs w:val="22"/>
          <w:lang w:val="es-ES"/>
        </w:rPr>
        <w:t>Se acogieron a</w:t>
      </w:r>
      <w:r w:rsidR="00A906FD" w:rsidRPr="00B62815">
        <w:rPr>
          <w:rFonts w:asciiTheme="minorHAnsi" w:eastAsia="Calibri" w:hAnsiTheme="minorHAnsi" w:cstheme="minorHAnsi"/>
          <w:sz w:val="22"/>
          <w:szCs w:val="22"/>
          <w:lang w:val="es-ES"/>
        </w:rPr>
        <w:t xml:space="preserve"> 3 Bibliotecarias panameñas por 3 semanas para proveerles documentación única utilizada para la celebración del 500 aniversario de la Ciudad de </w:t>
      </w:r>
      <w:r w:rsidRPr="00B62815">
        <w:rPr>
          <w:rFonts w:asciiTheme="minorHAnsi" w:eastAsia="Calibri" w:hAnsiTheme="minorHAnsi" w:cstheme="minorHAnsi"/>
          <w:sz w:val="22"/>
          <w:szCs w:val="22"/>
          <w:lang w:val="es-ES"/>
        </w:rPr>
        <w:t>Panamá</w:t>
      </w:r>
      <w:r w:rsidR="00A906FD" w:rsidRPr="00B62815">
        <w:rPr>
          <w:rFonts w:asciiTheme="minorHAnsi" w:eastAsia="Calibri" w:hAnsiTheme="minorHAnsi" w:cstheme="minorHAnsi"/>
          <w:sz w:val="22"/>
          <w:szCs w:val="22"/>
          <w:lang w:val="es-ES"/>
        </w:rPr>
        <w:t xml:space="preserve">.  </w:t>
      </w:r>
    </w:p>
    <w:p w14:paraId="0959DB99" w14:textId="77777777" w:rsidR="00A906FD" w:rsidRPr="00B62815" w:rsidRDefault="00A906FD" w:rsidP="00E67635">
      <w:pPr>
        <w:widowControl w:val="0"/>
        <w:numPr>
          <w:ilvl w:val="0"/>
          <w:numId w:val="78"/>
        </w:numPr>
        <w:tabs>
          <w:tab w:val="left" w:pos="360"/>
          <w:tab w:val="left" w:pos="900"/>
        </w:tabs>
        <w:autoSpaceDE w:val="0"/>
        <w:autoSpaceDN w:val="0"/>
        <w:spacing w:after="240"/>
        <w:ind w:left="360" w:right="72"/>
        <w:jc w:val="both"/>
        <w:rPr>
          <w:rFonts w:asciiTheme="minorHAnsi" w:eastAsia="Calibri" w:hAnsiTheme="minorHAnsi" w:cstheme="minorHAnsi"/>
          <w:spacing w:val="2"/>
          <w:sz w:val="22"/>
          <w:szCs w:val="22"/>
          <w:lang w:val="es-ES"/>
        </w:rPr>
      </w:pPr>
      <w:r w:rsidRPr="00B62815">
        <w:rPr>
          <w:rFonts w:asciiTheme="minorHAnsi" w:eastAsia="Calibri" w:hAnsiTheme="minorHAnsi" w:cstheme="minorHAnsi"/>
          <w:spacing w:val="2"/>
          <w:sz w:val="22"/>
          <w:szCs w:val="22"/>
          <w:lang w:val="es-ES"/>
        </w:rPr>
        <w:t xml:space="preserve">En la calidad de exclusivo proveedor institucional de la normalización internacional requerida se asignaron 92 códigos de clasificación, 143 Números Internacionales Normalizados de Libros (ISBN) y se registraron 103 solicitudes de Catalogación en la Publicación (CIP). </w:t>
      </w:r>
      <w:r w:rsidR="007C7AD1" w:rsidRPr="00B62815">
        <w:rPr>
          <w:rFonts w:asciiTheme="minorHAnsi" w:eastAsia="Calibri" w:hAnsiTheme="minorHAnsi" w:cstheme="minorHAnsi"/>
          <w:spacing w:val="2"/>
          <w:sz w:val="22"/>
          <w:szCs w:val="22"/>
          <w:lang w:val="es-ES"/>
        </w:rPr>
        <w:t>Además,</w:t>
      </w:r>
      <w:r w:rsidRPr="00B62815">
        <w:rPr>
          <w:rFonts w:asciiTheme="minorHAnsi" w:eastAsia="Calibri" w:hAnsiTheme="minorHAnsi" w:cstheme="minorHAnsi"/>
          <w:spacing w:val="2"/>
          <w:sz w:val="22"/>
          <w:szCs w:val="22"/>
          <w:lang w:val="es-ES"/>
        </w:rPr>
        <w:t xml:space="preserve"> adquirimos 1335 publicaciones de diferentes unidades de la Secretaría General.</w:t>
      </w:r>
    </w:p>
    <w:p w14:paraId="574A3035" w14:textId="77777777" w:rsidR="00A906FD" w:rsidRPr="00B62815" w:rsidRDefault="00A906FD" w:rsidP="00E67635">
      <w:pPr>
        <w:numPr>
          <w:ilvl w:val="0"/>
          <w:numId w:val="78"/>
        </w:numPr>
        <w:tabs>
          <w:tab w:val="left" w:pos="360"/>
          <w:tab w:val="left" w:pos="900"/>
        </w:tabs>
        <w:spacing w:after="240"/>
        <w:ind w:left="360"/>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 xml:space="preserve">En el marco del Proyecto de Digitalización se enviaron a HeinOnline más de 18,500 páginas de documentos históricos de la OEA.  </w:t>
      </w:r>
    </w:p>
    <w:p w14:paraId="542840DD" w14:textId="23A1745F" w:rsidR="00A906FD" w:rsidRPr="00B62815" w:rsidRDefault="00357DCF" w:rsidP="00E67635">
      <w:pPr>
        <w:numPr>
          <w:ilvl w:val="0"/>
          <w:numId w:val="78"/>
        </w:numPr>
        <w:tabs>
          <w:tab w:val="left" w:pos="360"/>
          <w:tab w:val="left" w:pos="900"/>
        </w:tabs>
        <w:spacing w:after="240"/>
        <w:ind w:left="360"/>
        <w:jc w:val="both"/>
        <w:rPr>
          <w:rFonts w:asciiTheme="minorHAnsi" w:eastAsia="Calibri" w:hAnsiTheme="minorHAnsi" w:cstheme="minorHAnsi"/>
          <w:sz w:val="22"/>
          <w:szCs w:val="22"/>
          <w:lang w:val="es-ES"/>
        </w:rPr>
      </w:pPr>
      <w:r>
        <w:rPr>
          <w:rFonts w:asciiTheme="minorHAnsi" w:eastAsia="Calibri" w:hAnsiTheme="minorHAnsi" w:cstheme="minorHAnsi"/>
          <w:sz w:val="22"/>
          <w:szCs w:val="22"/>
          <w:lang w:val="es-ES"/>
        </w:rPr>
        <w:t>Se realizaron</w:t>
      </w:r>
      <w:r w:rsidR="00A906FD" w:rsidRPr="00B62815">
        <w:rPr>
          <w:rFonts w:asciiTheme="minorHAnsi" w:eastAsia="Calibri" w:hAnsiTheme="minorHAnsi" w:cstheme="minorHAnsi"/>
          <w:sz w:val="22"/>
          <w:szCs w:val="22"/>
          <w:lang w:val="es-ES"/>
        </w:rPr>
        <w:t xml:space="preserve"> varias exhibiciones incluyendo el 100 Aniversario de la Organización Internacional del Trabajo; MAAP: 15 años de paz; además de distintas presentaciones de libros incluyendo la del</w:t>
      </w:r>
      <w:r w:rsidR="00A906FD" w:rsidRPr="00B62815">
        <w:rPr>
          <w:rFonts w:asciiTheme="minorHAnsi" w:eastAsia="Calibri" w:hAnsiTheme="minorHAnsi" w:cstheme="minorHAnsi"/>
          <w:sz w:val="22"/>
          <w:szCs w:val="22"/>
          <w:lang w:val="es-US"/>
        </w:rPr>
        <w:t xml:space="preserve"> autor Emb. Néstor Cerón Suero</w:t>
      </w:r>
      <w:r w:rsidR="00A906FD" w:rsidRPr="00B62815">
        <w:rPr>
          <w:rFonts w:asciiTheme="minorHAnsi" w:eastAsia="Calibri" w:hAnsiTheme="minorHAnsi" w:cstheme="minorHAnsi"/>
          <w:i/>
          <w:sz w:val="22"/>
          <w:szCs w:val="22"/>
          <w:lang w:val="es-US"/>
        </w:rPr>
        <w:t xml:space="preserve"> Las observaciones electorales de la Organización de Estados Americanos (OEA) en la República Dominicana 1962 – 2016</w:t>
      </w:r>
      <w:r w:rsidR="00A906FD" w:rsidRPr="00B62815">
        <w:rPr>
          <w:rFonts w:asciiTheme="minorHAnsi" w:eastAsia="Calibri" w:hAnsiTheme="minorHAnsi" w:cstheme="minorHAnsi"/>
          <w:sz w:val="22"/>
          <w:szCs w:val="22"/>
          <w:lang w:val="es-US"/>
        </w:rPr>
        <w:t xml:space="preserve">; la de la autora </w:t>
      </w:r>
      <w:r w:rsidR="00A906FD" w:rsidRPr="00B62815">
        <w:rPr>
          <w:rFonts w:asciiTheme="minorHAnsi" w:eastAsia="Calibri" w:hAnsiTheme="minorHAnsi" w:cstheme="minorHAnsi"/>
          <w:sz w:val="22"/>
          <w:szCs w:val="22"/>
          <w:lang w:val="es-ES"/>
        </w:rPr>
        <w:t>Maria Werlau</w:t>
      </w:r>
      <w:r w:rsidR="00A906FD" w:rsidRPr="00B62815">
        <w:rPr>
          <w:rFonts w:asciiTheme="minorHAnsi" w:eastAsia="Calibri" w:hAnsiTheme="minorHAnsi" w:cstheme="minorHAnsi"/>
          <w:sz w:val="22"/>
          <w:szCs w:val="22"/>
          <w:lang w:val="es-US"/>
        </w:rPr>
        <w:t xml:space="preserve">, </w:t>
      </w:r>
      <w:r w:rsidR="00A906FD" w:rsidRPr="00B62815">
        <w:rPr>
          <w:rFonts w:asciiTheme="minorHAnsi" w:eastAsia="Calibri" w:hAnsiTheme="minorHAnsi" w:cstheme="minorHAnsi"/>
          <w:i/>
          <w:sz w:val="22"/>
          <w:szCs w:val="22"/>
          <w:lang w:val="es-ES"/>
        </w:rPr>
        <w:t>Cuba Intervention in Venezuela</w:t>
      </w:r>
      <w:r w:rsidR="00A906FD" w:rsidRPr="00B62815">
        <w:rPr>
          <w:rFonts w:asciiTheme="minorHAnsi" w:eastAsia="Calibri" w:hAnsiTheme="minorHAnsi" w:cstheme="minorHAnsi"/>
          <w:sz w:val="22"/>
          <w:szCs w:val="22"/>
          <w:lang w:val="es-ES"/>
        </w:rPr>
        <w:t>; y de Cletus Springer,</w:t>
      </w:r>
      <w:r w:rsidR="00A906FD" w:rsidRPr="00B62815">
        <w:rPr>
          <w:rFonts w:asciiTheme="minorHAnsi" w:eastAsia="Calibri" w:hAnsiTheme="minorHAnsi" w:cstheme="minorHAnsi"/>
          <w:i/>
          <w:sz w:val="22"/>
          <w:szCs w:val="22"/>
          <w:lang w:val="es-ES"/>
        </w:rPr>
        <w:t xml:space="preserve"> Sugar Blues</w:t>
      </w:r>
      <w:r w:rsidR="00A906FD" w:rsidRPr="00B62815">
        <w:rPr>
          <w:rFonts w:asciiTheme="minorHAnsi" w:eastAsia="Calibri" w:hAnsiTheme="minorHAnsi" w:cstheme="minorHAnsi"/>
          <w:sz w:val="22"/>
          <w:szCs w:val="22"/>
          <w:lang w:val="es-ES"/>
        </w:rPr>
        <w:t xml:space="preserve">.  Culminado en diciembre con un </w:t>
      </w:r>
      <w:r w:rsidR="00A906FD" w:rsidRPr="00B62815">
        <w:rPr>
          <w:rFonts w:asciiTheme="minorHAnsi" w:eastAsia="Calibri" w:hAnsiTheme="minorHAnsi" w:cstheme="minorHAnsi"/>
          <w:i/>
          <w:sz w:val="22"/>
          <w:szCs w:val="22"/>
          <w:lang w:val="es-ES"/>
        </w:rPr>
        <w:t>Open House</w:t>
      </w:r>
      <w:r w:rsidR="00A906FD" w:rsidRPr="00B62815">
        <w:rPr>
          <w:rFonts w:asciiTheme="minorHAnsi" w:eastAsia="Calibri" w:hAnsiTheme="minorHAnsi" w:cstheme="minorHAnsi"/>
          <w:sz w:val="22"/>
          <w:szCs w:val="22"/>
          <w:lang w:val="es-ES"/>
        </w:rPr>
        <w:t xml:space="preserve"> para los Representantes Permanentes.</w:t>
      </w:r>
    </w:p>
    <w:p w14:paraId="274D2F6F" w14:textId="77777777" w:rsidR="00A906FD" w:rsidRPr="00B62815" w:rsidRDefault="00573283" w:rsidP="00A906FD">
      <w:pPr>
        <w:tabs>
          <w:tab w:val="left" w:pos="360"/>
          <w:tab w:val="left" w:pos="900"/>
        </w:tabs>
        <w:spacing w:after="240"/>
        <w:ind w:left="360"/>
        <w:jc w:val="both"/>
        <w:rPr>
          <w:rFonts w:asciiTheme="minorHAnsi" w:hAnsiTheme="minorHAnsi" w:cstheme="minorHAnsi"/>
          <w:sz w:val="22"/>
          <w:szCs w:val="22"/>
          <w:lang w:val="es-ES"/>
        </w:rPr>
      </w:pPr>
      <w:hyperlink r:id="rId140" w:history="1">
        <w:r w:rsidR="00A906FD" w:rsidRPr="00B62815">
          <w:rPr>
            <w:rFonts w:asciiTheme="minorHAnsi" w:hAnsiTheme="minorHAnsi" w:cstheme="minorHAnsi"/>
            <w:color w:val="005C9C"/>
            <w:sz w:val="22"/>
            <w:szCs w:val="22"/>
            <w:lang w:val="es-ES"/>
          </w:rPr>
          <w:t>www.oas.org/columbus</w:t>
        </w:r>
      </w:hyperlink>
    </w:p>
    <w:p w14:paraId="5721844C" w14:textId="77777777" w:rsidR="00A906FD" w:rsidRPr="00B62815" w:rsidRDefault="001C2CF3" w:rsidP="00A906FD">
      <w:pPr>
        <w:tabs>
          <w:tab w:val="left" w:pos="360"/>
          <w:tab w:val="left" w:pos="900"/>
        </w:tabs>
        <w:jc w:val="both"/>
        <w:rPr>
          <w:rFonts w:asciiTheme="minorHAnsi" w:hAnsiTheme="minorHAnsi" w:cstheme="minorHAnsi"/>
          <w:sz w:val="22"/>
          <w:szCs w:val="22"/>
          <w:lang w:val="es-ES"/>
        </w:rPr>
      </w:pPr>
      <w:r w:rsidRPr="00B62815">
        <w:rPr>
          <w:rFonts w:asciiTheme="minorHAnsi" w:hAnsiTheme="minorHAnsi" w:cstheme="minorHAnsi"/>
          <w:noProof/>
          <w:sz w:val="22"/>
          <w:szCs w:val="22"/>
        </w:rPr>
        <w:drawing>
          <wp:anchor distT="0" distB="0" distL="114300" distR="114300" simplePos="0" relativeHeight="251719680" behindDoc="1" locked="0" layoutInCell="1" allowOverlap="1" wp14:anchorId="5D875B2D" wp14:editId="2CC1C443">
            <wp:simplePos x="0" y="0"/>
            <wp:positionH relativeFrom="column">
              <wp:posOffset>733425</wp:posOffset>
            </wp:positionH>
            <wp:positionV relativeFrom="paragraph">
              <wp:posOffset>22860</wp:posOffset>
            </wp:positionV>
            <wp:extent cx="3698240" cy="2203450"/>
            <wp:effectExtent l="0" t="0" r="0" b="0"/>
            <wp:wrapThrough wrapText="bothSides">
              <wp:wrapPolygon edited="0">
                <wp:start x="0" y="0"/>
                <wp:lineTo x="0" y="21476"/>
                <wp:lineTo x="21474" y="21476"/>
                <wp:lineTo x="21474" y="0"/>
                <wp:lineTo x="0" y="0"/>
              </wp:wrapPolygon>
            </wp:wrapThrough>
            <wp:docPr id="160" name="Picture 1" descr="S:\Royo Visting C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oyo Visting CML.jpg"/>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3698240"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D42AF"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 </w:t>
      </w:r>
    </w:p>
    <w:p w14:paraId="3253FCB5"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5B126A05"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6C7A197B"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23307175"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147D4D07"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2600CFE0"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08337F0C"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3A9DAB74"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4DC74E8B"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721CF652"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5C22A119" w14:textId="77777777" w:rsidR="00A906FD" w:rsidRPr="00B62815" w:rsidRDefault="00A906FD" w:rsidP="00A906FD">
      <w:pPr>
        <w:tabs>
          <w:tab w:val="left" w:pos="360"/>
          <w:tab w:val="left" w:pos="900"/>
        </w:tabs>
        <w:jc w:val="both"/>
        <w:rPr>
          <w:rFonts w:asciiTheme="minorHAnsi" w:hAnsiTheme="minorHAnsi" w:cstheme="minorHAnsi"/>
          <w:sz w:val="22"/>
          <w:szCs w:val="22"/>
          <w:lang w:val="es-ES"/>
        </w:rPr>
      </w:pPr>
    </w:p>
    <w:p w14:paraId="378B18EB" w14:textId="77777777" w:rsidR="00A906FD" w:rsidRPr="00B62815" w:rsidRDefault="007C7AD1" w:rsidP="00A906FD">
      <w:pPr>
        <w:tabs>
          <w:tab w:val="left" w:pos="360"/>
          <w:tab w:val="left" w:pos="900"/>
        </w:tabs>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b/>
      </w:r>
      <w:r w:rsidRPr="00B62815">
        <w:rPr>
          <w:rFonts w:asciiTheme="minorHAnsi" w:hAnsiTheme="minorHAnsi" w:cstheme="minorHAnsi"/>
          <w:sz w:val="22"/>
          <w:szCs w:val="22"/>
          <w:lang w:val="es-ES"/>
        </w:rPr>
        <w:tab/>
      </w:r>
      <w:r w:rsidR="00A906FD" w:rsidRPr="00B62815">
        <w:rPr>
          <w:rFonts w:asciiTheme="minorHAnsi" w:hAnsiTheme="minorHAnsi" w:cstheme="minorHAnsi"/>
          <w:sz w:val="22"/>
          <w:szCs w:val="22"/>
          <w:lang w:val="es-ES"/>
        </w:rPr>
        <w:t>Visita del Ex-Presidente de Panama, Arístides Royo</w:t>
      </w:r>
      <w:r w:rsidR="00A906FD" w:rsidRPr="00B62815">
        <w:rPr>
          <w:rFonts w:asciiTheme="minorHAnsi" w:hAnsiTheme="minorHAnsi" w:cstheme="minorHAnsi"/>
          <w:sz w:val="22"/>
          <w:szCs w:val="22"/>
          <w:lang w:val="es-UY"/>
        </w:rPr>
        <w:t>, noviembre 22, 2019</w:t>
      </w:r>
    </w:p>
    <w:p w14:paraId="6E47CB3B" w14:textId="77777777" w:rsidR="00A906FD" w:rsidRPr="00B62815" w:rsidRDefault="00A906FD" w:rsidP="00A906FD">
      <w:pPr>
        <w:rPr>
          <w:rFonts w:asciiTheme="minorHAnsi" w:hAnsiTheme="minorHAnsi" w:cstheme="minorHAnsi"/>
          <w:sz w:val="22"/>
          <w:szCs w:val="22"/>
          <w:lang w:val="es-UY"/>
        </w:rPr>
      </w:pPr>
    </w:p>
    <w:p w14:paraId="534C8ACC" w14:textId="77777777" w:rsidR="00B42085" w:rsidRPr="00B62815" w:rsidRDefault="00B42085" w:rsidP="00A906FD">
      <w:pPr>
        <w:rPr>
          <w:rFonts w:asciiTheme="minorHAnsi" w:hAnsiTheme="minorHAnsi" w:cstheme="minorHAnsi"/>
          <w:sz w:val="22"/>
          <w:szCs w:val="22"/>
          <w:lang w:val="es-UY"/>
        </w:rPr>
      </w:pPr>
    </w:p>
    <w:p w14:paraId="3A759165" w14:textId="77777777" w:rsidR="00A906FD" w:rsidRPr="00B62815" w:rsidRDefault="00A906FD" w:rsidP="00A906FD">
      <w:pPr>
        <w:rPr>
          <w:rFonts w:asciiTheme="minorHAnsi" w:hAnsiTheme="minorHAnsi" w:cstheme="minorHAnsi"/>
          <w:sz w:val="22"/>
          <w:szCs w:val="22"/>
          <w:lang w:val="es-UY"/>
        </w:rPr>
      </w:pPr>
    </w:p>
    <w:p w14:paraId="4B57AF00" w14:textId="77777777" w:rsidR="00A906FD" w:rsidRPr="00B62815" w:rsidRDefault="00A906FD" w:rsidP="00A906FD">
      <w:pPr>
        <w:rPr>
          <w:rFonts w:asciiTheme="minorHAnsi" w:hAnsiTheme="minorHAnsi" w:cstheme="minorHAnsi"/>
          <w:sz w:val="22"/>
          <w:szCs w:val="22"/>
          <w:lang w:val="es-UY"/>
        </w:rPr>
      </w:pPr>
    </w:p>
    <w:p w14:paraId="7DE16EA2" w14:textId="77777777" w:rsidR="00A906FD" w:rsidRPr="00B62815" w:rsidRDefault="00A906FD" w:rsidP="00A906FD">
      <w:pPr>
        <w:rPr>
          <w:rFonts w:asciiTheme="minorHAnsi" w:hAnsiTheme="minorHAnsi" w:cstheme="minorHAnsi"/>
          <w:sz w:val="22"/>
          <w:szCs w:val="22"/>
          <w:lang w:val="es-UY"/>
        </w:rPr>
      </w:pPr>
    </w:p>
    <w:p w14:paraId="4C5E42AC" w14:textId="77777777" w:rsidR="00A906FD" w:rsidRPr="00B62815" w:rsidRDefault="00A906FD" w:rsidP="00A906FD">
      <w:pPr>
        <w:rPr>
          <w:rFonts w:asciiTheme="minorHAnsi" w:hAnsiTheme="minorHAnsi" w:cstheme="minorHAnsi"/>
          <w:sz w:val="22"/>
          <w:szCs w:val="22"/>
          <w:lang w:val="es-UY"/>
        </w:rPr>
      </w:pPr>
    </w:p>
    <w:p w14:paraId="5730AA35" w14:textId="77777777" w:rsidR="00A906FD" w:rsidRPr="00B62815" w:rsidRDefault="00A906FD" w:rsidP="00A906FD">
      <w:pPr>
        <w:rPr>
          <w:rFonts w:asciiTheme="minorHAnsi" w:hAnsiTheme="minorHAnsi" w:cstheme="minorHAnsi"/>
          <w:sz w:val="22"/>
          <w:szCs w:val="22"/>
          <w:lang w:val="es-UY"/>
        </w:rPr>
      </w:pPr>
    </w:p>
    <w:p w14:paraId="00FE9869" w14:textId="77777777" w:rsidR="009A735C" w:rsidRPr="00B62815" w:rsidRDefault="001C2CF3" w:rsidP="00A906FD">
      <w:pPr>
        <w:rPr>
          <w:rFonts w:asciiTheme="minorHAnsi" w:hAnsiTheme="minorHAnsi" w:cstheme="minorHAnsi"/>
          <w:sz w:val="22"/>
          <w:szCs w:val="22"/>
          <w:lang w:val="es-UY"/>
        </w:rPr>
      </w:pPr>
      <w:r w:rsidRPr="00B62815">
        <w:rPr>
          <w:rFonts w:asciiTheme="minorHAnsi" w:hAnsiTheme="minorHAnsi" w:cstheme="minorHAnsi"/>
          <w:noProof/>
          <w:sz w:val="22"/>
          <w:szCs w:val="22"/>
        </w:rPr>
        <w:drawing>
          <wp:anchor distT="0" distB="0" distL="114300" distR="114300" simplePos="0" relativeHeight="251721728" behindDoc="1" locked="0" layoutInCell="1" allowOverlap="1" wp14:anchorId="2092FBEF" wp14:editId="41D7BF24">
            <wp:simplePos x="0" y="0"/>
            <wp:positionH relativeFrom="column">
              <wp:posOffset>471805</wp:posOffset>
            </wp:positionH>
            <wp:positionV relativeFrom="paragraph">
              <wp:posOffset>-605790</wp:posOffset>
            </wp:positionV>
            <wp:extent cx="4579620" cy="2305050"/>
            <wp:effectExtent l="0" t="0" r="0" b="0"/>
            <wp:wrapTight wrapText="bothSides">
              <wp:wrapPolygon edited="0">
                <wp:start x="0" y="0"/>
                <wp:lineTo x="0" y="21421"/>
                <wp:lineTo x="21474" y="21421"/>
                <wp:lineTo x="21474" y="0"/>
                <wp:lineTo x="0" y="0"/>
              </wp:wrapPolygon>
            </wp:wrapTight>
            <wp:docPr id="161" name="Picture 2" descr="S:\Exhibitions &amp; Events\Events\CML Open House\_12-12-2019-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xhibitions &amp; Events\Events\CML Open House\_12-12-2019-6083.jpg"/>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457962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FD" w:rsidRPr="00B62815">
        <w:rPr>
          <w:rFonts w:asciiTheme="minorHAnsi" w:hAnsiTheme="minorHAnsi" w:cstheme="minorHAnsi"/>
          <w:sz w:val="22"/>
          <w:szCs w:val="22"/>
          <w:lang w:val="es-UY"/>
        </w:rPr>
        <w:t xml:space="preserve"> </w:t>
      </w:r>
    </w:p>
    <w:p w14:paraId="4229AFDD" w14:textId="77777777" w:rsidR="009A735C" w:rsidRPr="00B62815" w:rsidRDefault="009A735C" w:rsidP="00A906FD">
      <w:pPr>
        <w:rPr>
          <w:rFonts w:asciiTheme="minorHAnsi" w:hAnsiTheme="minorHAnsi" w:cstheme="minorHAnsi"/>
          <w:sz w:val="22"/>
          <w:szCs w:val="22"/>
          <w:lang w:val="es-UY"/>
        </w:rPr>
      </w:pPr>
    </w:p>
    <w:p w14:paraId="544C8235" w14:textId="77777777" w:rsidR="009A735C" w:rsidRPr="00B62815" w:rsidRDefault="009A735C" w:rsidP="00A906FD">
      <w:pPr>
        <w:rPr>
          <w:rFonts w:asciiTheme="minorHAnsi" w:hAnsiTheme="minorHAnsi" w:cstheme="minorHAnsi"/>
          <w:sz w:val="22"/>
          <w:szCs w:val="22"/>
          <w:lang w:val="es-UY"/>
        </w:rPr>
      </w:pPr>
    </w:p>
    <w:p w14:paraId="162C1727" w14:textId="77777777" w:rsidR="009A735C" w:rsidRPr="00B62815" w:rsidRDefault="009A735C" w:rsidP="00A906FD">
      <w:pPr>
        <w:rPr>
          <w:rFonts w:asciiTheme="minorHAnsi" w:hAnsiTheme="minorHAnsi" w:cstheme="minorHAnsi"/>
          <w:sz w:val="22"/>
          <w:szCs w:val="22"/>
          <w:lang w:val="es-UY"/>
        </w:rPr>
      </w:pPr>
    </w:p>
    <w:p w14:paraId="3480FC39" w14:textId="77777777" w:rsidR="009A735C" w:rsidRPr="00B62815" w:rsidRDefault="009A735C" w:rsidP="00A906FD">
      <w:pPr>
        <w:rPr>
          <w:rFonts w:asciiTheme="minorHAnsi" w:hAnsiTheme="minorHAnsi" w:cstheme="minorHAnsi"/>
          <w:sz w:val="22"/>
          <w:szCs w:val="22"/>
          <w:lang w:val="es-UY"/>
        </w:rPr>
      </w:pPr>
    </w:p>
    <w:p w14:paraId="5358F45E" w14:textId="77777777" w:rsidR="009A735C" w:rsidRPr="00B62815" w:rsidRDefault="009A735C" w:rsidP="00A906FD">
      <w:pPr>
        <w:rPr>
          <w:rFonts w:asciiTheme="minorHAnsi" w:hAnsiTheme="minorHAnsi" w:cstheme="minorHAnsi"/>
          <w:sz w:val="22"/>
          <w:szCs w:val="22"/>
          <w:lang w:val="es-UY"/>
        </w:rPr>
      </w:pPr>
    </w:p>
    <w:p w14:paraId="16A395F0" w14:textId="77777777" w:rsidR="009A735C" w:rsidRPr="00B62815" w:rsidRDefault="009A735C" w:rsidP="00A906FD">
      <w:pPr>
        <w:rPr>
          <w:rFonts w:asciiTheme="minorHAnsi" w:hAnsiTheme="minorHAnsi" w:cstheme="minorHAnsi"/>
          <w:sz w:val="22"/>
          <w:szCs w:val="22"/>
          <w:lang w:val="es-UY"/>
        </w:rPr>
      </w:pPr>
    </w:p>
    <w:p w14:paraId="1CBBDF39" w14:textId="77777777" w:rsidR="009A735C" w:rsidRPr="00B62815" w:rsidRDefault="009A735C" w:rsidP="00A906FD">
      <w:pPr>
        <w:rPr>
          <w:rFonts w:asciiTheme="minorHAnsi" w:hAnsiTheme="minorHAnsi" w:cstheme="minorHAnsi"/>
          <w:sz w:val="22"/>
          <w:szCs w:val="22"/>
          <w:lang w:val="es-UY"/>
        </w:rPr>
      </w:pPr>
    </w:p>
    <w:p w14:paraId="6E6F48AC" w14:textId="77777777" w:rsidR="009A735C" w:rsidRPr="00B62815" w:rsidRDefault="009A735C" w:rsidP="00A906FD">
      <w:pPr>
        <w:rPr>
          <w:rFonts w:asciiTheme="minorHAnsi" w:hAnsiTheme="minorHAnsi" w:cstheme="minorHAnsi"/>
          <w:sz w:val="22"/>
          <w:szCs w:val="22"/>
          <w:lang w:val="es-UY"/>
        </w:rPr>
      </w:pPr>
    </w:p>
    <w:p w14:paraId="3E43ECD0" w14:textId="77777777" w:rsidR="009A735C" w:rsidRPr="00B62815" w:rsidRDefault="009A735C" w:rsidP="00A906FD">
      <w:pPr>
        <w:rPr>
          <w:rFonts w:asciiTheme="minorHAnsi" w:hAnsiTheme="minorHAnsi" w:cstheme="minorHAnsi"/>
          <w:sz w:val="22"/>
          <w:szCs w:val="22"/>
          <w:lang w:val="es-UY"/>
        </w:rPr>
      </w:pPr>
    </w:p>
    <w:p w14:paraId="4EE0CAFE" w14:textId="77777777" w:rsidR="009A735C" w:rsidRPr="00B62815" w:rsidRDefault="009A735C" w:rsidP="00A906FD">
      <w:pPr>
        <w:rPr>
          <w:rFonts w:asciiTheme="minorHAnsi" w:hAnsiTheme="minorHAnsi" w:cstheme="minorHAnsi"/>
          <w:sz w:val="22"/>
          <w:szCs w:val="22"/>
          <w:lang w:val="es-UY"/>
        </w:rPr>
      </w:pPr>
    </w:p>
    <w:p w14:paraId="20D84D8A" w14:textId="77777777" w:rsidR="00A906FD" w:rsidRPr="00B62815" w:rsidRDefault="009A735C" w:rsidP="00A906FD">
      <w:pPr>
        <w:rPr>
          <w:rFonts w:asciiTheme="minorHAnsi" w:hAnsiTheme="minorHAnsi" w:cstheme="minorHAnsi"/>
          <w:sz w:val="22"/>
          <w:szCs w:val="22"/>
          <w:lang w:val="es-UY"/>
        </w:rPr>
      </w:pPr>
      <w:r w:rsidRPr="00B62815">
        <w:rPr>
          <w:rFonts w:asciiTheme="minorHAnsi" w:hAnsiTheme="minorHAnsi" w:cstheme="minorHAnsi"/>
          <w:sz w:val="22"/>
          <w:szCs w:val="22"/>
          <w:lang w:val="es-UY"/>
        </w:rPr>
        <w:t xml:space="preserve">CML </w:t>
      </w:r>
      <w:r w:rsidR="00A906FD" w:rsidRPr="00B62815">
        <w:rPr>
          <w:rFonts w:asciiTheme="minorHAnsi" w:hAnsiTheme="minorHAnsi" w:cstheme="minorHAnsi"/>
          <w:sz w:val="22"/>
          <w:szCs w:val="22"/>
          <w:lang w:val="es-UY"/>
        </w:rPr>
        <w:t>Open House – diciembre 12, 2019</w:t>
      </w:r>
    </w:p>
    <w:p w14:paraId="252363C0" w14:textId="77777777" w:rsidR="00AC5584" w:rsidRPr="00B62815" w:rsidRDefault="00AC5584" w:rsidP="00AC5584">
      <w:pPr>
        <w:adjustRightInd w:val="0"/>
        <w:jc w:val="center"/>
        <w:rPr>
          <w:rFonts w:asciiTheme="minorHAnsi" w:hAnsiTheme="minorHAnsi" w:cstheme="minorHAnsi"/>
          <w:sz w:val="22"/>
          <w:szCs w:val="22"/>
          <w:lang w:val="es-UY"/>
        </w:rPr>
      </w:pPr>
    </w:p>
    <w:p w14:paraId="59B69491" w14:textId="77777777" w:rsidR="007C7AD1" w:rsidRPr="00B62815" w:rsidRDefault="007C7AD1" w:rsidP="007C7AD1">
      <w:pPr>
        <w:rPr>
          <w:rFonts w:asciiTheme="minorHAnsi" w:hAnsiTheme="minorHAnsi" w:cstheme="minorHAnsi"/>
          <w:sz w:val="22"/>
          <w:szCs w:val="22"/>
          <w:lang w:val="es-ES_tradnl"/>
        </w:rPr>
      </w:pPr>
      <w:r w:rsidRPr="00B62815">
        <w:rPr>
          <w:rFonts w:asciiTheme="minorHAnsi" w:hAnsiTheme="minorHAnsi" w:cstheme="minorHAnsi"/>
          <w:sz w:val="22"/>
          <w:szCs w:val="22"/>
          <w:u w:val="single"/>
          <w:lang w:val="es-ES_tradnl"/>
        </w:rPr>
        <w:t>Museo de Arte de Las Américas</w:t>
      </w:r>
      <w:r w:rsidRPr="00B62815">
        <w:rPr>
          <w:rFonts w:asciiTheme="minorHAnsi" w:hAnsiTheme="minorHAnsi" w:cstheme="minorHAnsi"/>
          <w:sz w:val="22"/>
          <w:szCs w:val="22"/>
          <w:lang w:val="es-ES_tradnl"/>
        </w:rPr>
        <w:t xml:space="preserve"> (AMA)</w:t>
      </w:r>
    </w:p>
    <w:p w14:paraId="4C6E5405" w14:textId="77777777" w:rsidR="007C7AD1" w:rsidRPr="00B62815" w:rsidRDefault="007C7AD1" w:rsidP="007C7AD1">
      <w:pPr>
        <w:rPr>
          <w:rFonts w:asciiTheme="minorHAnsi" w:hAnsiTheme="minorHAnsi" w:cstheme="minorHAnsi"/>
          <w:sz w:val="22"/>
          <w:szCs w:val="22"/>
          <w:lang w:val="es-ES_tradnl"/>
        </w:rPr>
      </w:pPr>
    </w:p>
    <w:p w14:paraId="3F9A1963" w14:textId="77777777" w:rsidR="007C7AD1" w:rsidRPr="00B62815" w:rsidRDefault="007C7AD1" w:rsidP="007C7AD1">
      <w:pPr>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Principales Logros alcanzados</w:t>
      </w:r>
    </w:p>
    <w:p w14:paraId="15CCAF14" w14:textId="77777777" w:rsidR="007C7AD1" w:rsidRPr="00B62815" w:rsidRDefault="007C7AD1" w:rsidP="007C7AD1">
      <w:pPr>
        <w:jc w:val="both"/>
        <w:rPr>
          <w:rFonts w:asciiTheme="minorHAnsi" w:hAnsiTheme="minorHAnsi" w:cstheme="minorHAnsi"/>
          <w:b/>
          <w:sz w:val="22"/>
          <w:szCs w:val="22"/>
          <w:lang w:val="es-ES_tradnl"/>
        </w:rPr>
      </w:pPr>
    </w:p>
    <w:p w14:paraId="10D53454" w14:textId="03A44F15" w:rsidR="007C7AD1" w:rsidRPr="00B62815" w:rsidRDefault="007C7AD1" w:rsidP="00357DCF">
      <w:pPr>
        <w:jc w:val="both"/>
        <w:rPr>
          <w:rFonts w:asciiTheme="minorHAnsi" w:hAnsiTheme="minorHAnsi" w:cstheme="minorHAnsi"/>
          <w:sz w:val="22"/>
          <w:szCs w:val="22"/>
          <w:lang w:val="es-UY"/>
        </w:rPr>
      </w:pPr>
      <w:r w:rsidRPr="00B62815">
        <w:rPr>
          <w:rFonts w:asciiTheme="minorHAnsi" w:hAnsiTheme="minorHAnsi" w:cstheme="minorHAnsi"/>
          <w:sz w:val="22"/>
          <w:szCs w:val="22"/>
          <w:lang w:val="es-UY"/>
        </w:rPr>
        <w:t xml:space="preserve">El 2019 fue un año exitoso para el Museo de Arte de las Américas, en el cual se fortaleció la imagen del museo y su importancia dentro y fuera de la OEA. </w:t>
      </w:r>
      <w:r w:rsidR="00357DCF">
        <w:rPr>
          <w:rFonts w:asciiTheme="minorHAnsi" w:hAnsiTheme="minorHAnsi" w:cstheme="minorHAnsi"/>
          <w:sz w:val="22"/>
          <w:szCs w:val="22"/>
          <w:lang w:val="es-UY"/>
        </w:rPr>
        <w:t xml:space="preserve">  </w:t>
      </w:r>
      <w:r w:rsidRPr="00B62815">
        <w:rPr>
          <w:rFonts w:asciiTheme="minorHAnsi" w:hAnsiTheme="minorHAnsi" w:cstheme="minorHAnsi"/>
          <w:sz w:val="22"/>
          <w:szCs w:val="22"/>
          <w:lang w:val="es-UY"/>
        </w:rPr>
        <w:t xml:space="preserve">Se ejecutaron 11 exhibiciones representado el arte de los Estados miembros, que fueron muy bien evaluados por los medios. El AMA tuvo gran cobertura en la prensa local y Latinoamericana incluyendo medios como el </w:t>
      </w:r>
      <w:r w:rsidRPr="00B62815">
        <w:rPr>
          <w:rFonts w:asciiTheme="minorHAnsi" w:hAnsiTheme="minorHAnsi" w:cstheme="minorHAnsi"/>
          <w:color w:val="000000"/>
          <w:sz w:val="22"/>
          <w:szCs w:val="22"/>
          <w:lang w:val="es-UY"/>
        </w:rPr>
        <w:t>El Nuevo Herald (Miami), Washingtonian, The Washington Post, Metro Weekly, Hola Cultura, Platforma Colectiva (Chile), CGTN America, and Radio Television Marti (Cuba)</w:t>
      </w:r>
      <w:r w:rsidRPr="00B62815">
        <w:rPr>
          <w:rFonts w:asciiTheme="minorHAnsi" w:hAnsiTheme="minorHAnsi" w:cstheme="minorHAnsi"/>
          <w:sz w:val="22"/>
          <w:szCs w:val="22"/>
          <w:lang w:val="es-UY"/>
        </w:rPr>
        <w:t xml:space="preserve"> and  InfoBae .</w:t>
      </w:r>
    </w:p>
    <w:p w14:paraId="659A16C3" w14:textId="77777777" w:rsidR="00357DCF" w:rsidRPr="00E74BA0" w:rsidRDefault="00357DCF" w:rsidP="00357DCF">
      <w:pPr>
        <w:jc w:val="both"/>
        <w:rPr>
          <w:rFonts w:asciiTheme="minorHAnsi" w:hAnsiTheme="minorHAnsi" w:cstheme="minorHAnsi"/>
          <w:sz w:val="22"/>
          <w:szCs w:val="22"/>
          <w:lang w:val="es-PE"/>
        </w:rPr>
      </w:pPr>
    </w:p>
    <w:p w14:paraId="5E4528D2" w14:textId="2E8AA463" w:rsidR="007C7AD1" w:rsidRPr="00F43808" w:rsidRDefault="007C7AD1" w:rsidP="00357DCF">
      <w:pPr>
        <w:jc w:val="both"/>
        <w:rPr>
          <w:rFonts w:asciiTheme="minorHAnsi" w:hAnsiTheme="minorHAnsi" w:cstheme="minorHAnsi"/>
          <w:bCs/>
          <w:color w:val="000000"/>
          <w:spacing w:val="4"/>
          <w:sz w:val="22"/>
          <w:szCs w:val="22"/>
          <w:lang w:val="es-PE"/>
        </w:rPr>
      </w:pPr>
      <w:r w:rsidRPr="00B62815">
        <w:rPr>
          <w:rFonts w:asciiTheme="minorHAnsi" w:hAnsiTheme="minorHAnsi" w:cstheme="minorHAnsi"/>
          <w:sz w:val="22"/>
          <w:szCs w:val="22"/>
        </w:rPr>
        <w:t>Las exhibiciones incluyeron: “</w:t>
      </w:r>
      <w:r w:rsidRPr="00B62815">
        <w:rPr>
          <w:rFonts w:asciiTheme="minorHAnsi" w:hAnsiTheme="minorHAnsi" w:cstheme="minorHAnsi"/>
          <w:color w:val="000000"/>
          <w:sz w:val="22"/>
          <w:szCs w:val="22"/>
        </w:rPr>
        <w:t>Carolina Mayorga: PINK</w:t>
      </w:r>
      <w:r w:rsidRPr="00B62815">
        <w:rPr>
          <w:rFonts w:asciiTheme="minorHAnsi" w:hAnsiTheme="minorHAnsi" w:cstheme="minorHAnsi"/>
          <w:iCs/>
          <w:color w:val="000000"/>
          <w:sz w:val="22"/>
          <w:szCs w:val="22"/>
        </w:rPr>
        <w:t xml:space="preserve"> Ranchos and Other Ephemeral Zip Codes (Colombia)”</w:t>
      </w:r>
      <w:r w:rsidRPr="00B62815">
        <w:rPr>
          <w:rFonts w:asciiTheme="minorHAnsi" w:hAnsiTheme="minorHAnsi" w:cstheme="minorHAnsi"/>
          <w:sz w:val="22"/>
          <w:szCs w:val="22"/>
        </w:rPr>
        <w:t>, “</w:t>
      </w:r>
      <w:r w:rsidRPr="00B62815">
        <w:rPr>
          <w:rFonts w:asciiTheme="minorHAnsi" w:eastAsia="Times New Roman" w:hAnsiTheme="minorHAnsi" w:cstheme="minorHAnsi"/>
          <w:color w:val="000000"/>
          <w:sz w:val="22"/>
          <w:szCs w:val="22"/>
        </w:rPr>
        <w:t>A Gaze through the CINTAS Fellowship Program: a Selection of Works from the CINTAS Foundation and the Art Museum of the Americas Collections (Cuba/United States)”, “</w:t>
      </w:r>
      <w:r w:rsidRPr="00B62815">
        <w:rPr>
          <w:rFonts w:asciiTheme="minorHAnsi" w:hAnsiTheme="minorHAnsi" w:cstheme="minorHAnsi"/>
          <w:color w:val="000000"/>
          <w:sz w:val="22"/>
          <w:szCs w:val="22"/>
        </w:rPr>
        <w:t>Carlos Paez Vilaró: Roots of Peace (Uruguay)” , “Rafael Soriano: “Cabezas/Heads” (Cuba)”, “</w:t>
      </w:r>
      <w:r w:rsidRPr="00B62815">
        <w:rPr>
          <w:rFonts w:asciiTheme="minorHAnsi" w:eastAsia="Times New Roman" w:hAnsiTheme="minorHAnsi" w:cstheme="minorHAnsi"/>
          <w:color w:val="000000"/>
          <w:sz w:val="22"/>
          <w:szCs w:val="22"/>
        </w:rPr>
        <w:t xml:space="preserve"> </w:t>
      </w:r>
      <w:r w:rsidRPr="00B62815">
        <w:rPr>
          <w:rFonts w:asciiTheme="minorHAnsi" w:hAnsiTheme="minorHAnsi" w:cstheme="minorHAnsi"/>
          <w:color w:val="000000"/>
          <w:sz w:val="22"/>
          <w:szCs w:val="22"/>
        </w:rPr>
        <w:t>Visual Memory: Home and Place</w:t>
      </w:r>
      <w:r w:rsidRPr="00B62815">
        <w:rPr>
          <w:rFonts w:asciiTheme="minorHAnsi" w:eastAsia="Times New Roman" w:hAnsiTheme="minorHAnsi" w:cstheme="minorHAnsi"/>
          <w:color w:val="000000"/>
          <w:sz w:val="22"/>
          <w:szCs w:val="22"/>
        </w:rPr>
        <w:t xml:space="preserve"> (Dominican Republic)”, </w:t>
      </w:r>
      <w:r w:rsidRPr="00B62815">
        <w:rPr>
          <w:rFonts w:asciiTheme="minorHAnsi" w:hAnsiTheme="minorHAnsi" w:cstheme="minorHAnsi"/>
          <w:color w:val="000000"/>
          <w:sz w:val="22"/>
          <w:szCs w:val="22"/>
        </w:rPr>
        <w:t>“</w:t>
      </w:r>
      <w:r w:rsidRPr="00B62815">
        <w:rPr>
          <w:rFonts w:asciiTheme="minorHAnsi" w:hAnsiTheme="minorHAnsi" w:cstheme="minorHAnsi"/>
          <w:sz w:val="22"/>
          <w:szCs w:val="22"/>
        </w:rPr>
        <w:t xml:space="preserve">Todo existe palpitando. </w:t>
      </w:r>
      <w:r w:rsidRPr="00F43808">
        <w:rPr>
          <w:rFonts w:asciiTheme="minorHAnsi" w:hAnsiTheme="minorHAnsi" w:cstheme="minorHAnsi"/>
          <w:sz w:val="22"/>
          <w:szCs w:val="22"/>
          <w:lang w:val="es-PE"/>
        </w:rPr>
        <w:t xml:space="preserve">Rodolfo Abularach en el Museo de Arte de las Américas (1959 -2019) (Guatemala)”,” </w:t>
      </w:r>
      <w:r w:rsidRPr="00F43808">
        <w:rPr>
          <w:rFonts w:asciiTheme="minorHAnsi" w:hAnsiTheme="minorHAnsi" w:cstheme="minorHAnsi"/>
          <w:color w:val="000000"/>
          <w:spacing w:val="4"/>
          <w:sz w:val="22"/>
          <w:szCs w:val="22"/>
          <w:lang w:val="es-PE"/>
        </w:rPr>
        <w:t>Vicente González Mimica: Del Sur, retratos de Punta Arenas y Valparaíso (Argentina and Chile)”, “Museum: A Haunted Medium: Paula Pedrosa, Traer Scott, and Andrés Wertheim (Brazil, United States and Argentina)”, “</w:t>
      </w:r>
      <w:r w:rsidRPr="00F43808">
        <w:rPr>
          <w:rFonts w:asciiTheme="minorHAnsi" w:hAnsiTheme="minorHAnsi" w:cstheme="minorHAnsi"/>
          <w:bCs/>
          <w:color w:val="000000"/>
          <w:spacing w:val="4"/>
          <w:sz w:val="22"/>
          <w:szCs w:val="22"/>
          <w:lang w:val="es-PE"/>
        </w:rPr>
        <w:t>On the Move: Photographs by Juana Barreto Yampey, Helena Giestas, and Olivia Vivanco (Brazil, Paraguay, Argentina).</w:t>
      </w:r>
    </w:p>
    <w:p w14:paraId="17D1387E" w14:textId="77777777" w:rsidR="00357DCF" w:rsidRPr="00F43808" w:rsidRDefault="00357DCF" w:rsidP="00357DCF">
      <w:pPr>
        <w:jc w:val="both"/>
        <w:rPr>
          <w:rFonts w:asciiTheme="minorHAnsi" w:eastAsia="Times New Roman" w:hAnsiTheme="minorHAnsi" w:cstheme="minorHAnsi"/>
          <w:sz w:val="22"/>
          <w:szCs w:val="22"/>
          <w:lang w:val="es-PE"/>
        </w:rPr>
      </w:pPr>
    </w:p>
    <w:p w14:paraId="263DF392" w14:textId="0C55832A" w:rsidR="007C7AD1" w:rsidRPr="00357DCF" w:rsidRDefault="007C7AD1" w:rsidP="00357DCF">
      <w:pPr>
        <w:jc w:val="both"/>
        <w:rPr>
          <w:rFonts w:asciiTheme="minorHAnsi" w:eastAsia="Times New Roman" w:hAnsiTheme="minorHAnsi" w:cstheme="minorHAnsi"/>
          <w:sz w:val="22"/>
          <w:szCs w:val="22"/>
          <w:lang w:val="es-UY"/>
        </w:rPr>
      </w:pPr>
      <w:r w:rsidRPr="00B62815">
        <w:rPr>
          <w:rFonts w:asciiTheme="minorHAnsi" w:eastAsia="Times New Roman" w:hAnsiTheme="minorHAnsi" w:cstheme="minorHAnsi"/>
          <w:sz w:val="22"/>
          <w:szCs w:val="22"/>
          <w:lang w:val="es-UY"/>
        </w:rPr>
        <w:t xml:space="preserve">El mural </w:t>
      </w:r>
      <w:r w:rsidRPr="00B62815">
        <w:rPr>
          <w:rFonts w:asciiTheme="minorHAnsi" w:hAnsiTheme="minorHAnsi" w:cstheme="minorHAnsi"/>
          <w:sz w:val="22"/>
          <w:szCs w:val="22"/>
          <w:lang w:val="es-UY"/>
        </w:rPr>
        <w:t xml:space="preserve">Raíces de Paz, de Carlos Páez Vilaró fue mayormente restaurado permitiendo lanzar una serie de visitas guiadas de esta obra maestra.  </w:t>
      </w:r>
      <w:r w:rsidR="00357DCF">
        <w:rPr>
          <w:rFonts w:asciiTheme="minorHAnsi" w:eastAsia="Times New Roman" w:hAnsiTheme="minorHAnsi" w:cstheme="minorHAnsi"/>
          <w:sz w:val="22"/>
          <w:szCs w:val="22"/>
          <w:lang w:val="es-UY"/>
        </w:rPr>
        <w:t xml:space="preserve"> </w:t>
      </w:r>
      <w:r w:rsidRPr="00B62815">
        <w:rPr>
          <w:rFonts w:asciiTheme="minorHAnsi" w:hAnsiTheme="minorHAnsi" w:cstheme="minorHAnsi"/>
          <w:sz w:val="22"/>
          <w:szCs w:val="22"/>
          <w:lang w:val="es-UY"/>
        </w:rPr>
        <w:t xml:space="preserve">Se facilitaron más de 15 programas educativos entre conferencias y talleres que logran nuevos conocimientos sobre el arte y diplomacia cultural.  </w:t>
      </w:r>
      <w:r w:rsidR="00357DCF">
        <w:rPr>
          <w:rFonts w:asciiTheme="minorHAnsi" w:eastAsia="Times New Roman" w:hAnsiTheme="minorHAnsi" w:cstheme="minorHAnsi"/>
          <w:sz w:val="22"/>
          <w:szCs w:val="22"/>
          <w:lang w:val="es-UY"/>
        </w:rPr>
        <w:t xml:space="preserve"> </w:t>
      </w:r>
      <w:r w:rsidRPr="00B62815">
        <w:rPr>
          <w:rFonts w:asciiTheme="minorHAnsi" w:hAnsiTheme="minorHAnsi" w:cstheme="minorHAnsi"/>
          <w:sz w:val="22"/>
          <w:szCs w:val="22"/>
          <w:lang w:val="es-UY"/>
        </w:rPr>
        <w:t xml:space="preserve">Se aumentó el número de visitante al museo a más de quince mil doscientas personas y se realizó un programa activo de visitas guiadas para introducir el AMA a nuevas audiencias claves. Incluyendo un programa especial de visitas al mural del túnel “Raíces de Paz, de Carlos Páez Vilaró. </w:t>
      </w:r>
    </w:p>
    <w:p w14:paraId="31B600AE" w14:textId="77777777" w:rsidR="007C7AD1" w:rsidRPr="00B62815" w:rsidRDefault="007C7AD1" w:rsidP="007C7AD1">
      <w:pPr>
        <w:rPr>
          <w:rFonts w:asciiTheme="minorHAnsi" w:hAnsiTheme="minorHAnsi" w:cstheme="minorHAnsi"/>
          <w:b/>
          <w:sz w:val="22"/>
          <w:szCs w:val="22"/>
          <w:lang w:val="es-UY"/>
        </w:rPr>
      </w:pPr>
    </w:p>
    <w:p w14:paraId="6DC6BFCD" w14:textId="77777777" w:rsidR="007C7AD1" w:rsidRPr="00B62815" w:rsidRDefault="007C7AD1" w:rsidP="007C7AD1">
      <w:pPr>
        <w:ind w:left="720"/>
        <w:rPr>
          <w:rFonts w:asciiTheme="minorHAnsi" w:hAnsiTheme="minorHAnsi" w:cstheme="minorHAnsi"/>
          <w:b/>
          <w:sz w:val="22"/>
          <w:szCs w:val="22"/>
          <w:u w:val="single"/>
          <w:lang w:val="es-ES"/>
        </w:rPr>
      </w:pPr>
    </w:p>
    <w:p w14:paraId="7CB904BE" w14:textId="77777777" w:rsidR="007C7AD1" w:rsidRPr="00357DCF" w:rsidRDefault="007C7AD1" w:rsidP="007C7AD1">
      <w:pPr>
        <w:rPr>
          <w:rFonts w:asciiTheme="minorHAnsi" w:hAnsiTheme="minorHAnsi" w:cstheme="minorHAnsi"/>
          <w:bCs/>
          <w:sz w:val="22"/>
          <w:szCs w:val="22"/>
          <w:u w:val="single"/>
          <w:lang w:val="es-ES"/>
        </w:rPr>
      </w:pPr>
      <w:r w:rsidRPr="00357DCF">
        <w:rPr>
          <w:rFonts w:asciiTheme="minorHAnsi" w:hAnsiTheme="minorHAnsi" w:cstheme="minorHAnsi"/>
          <w:bCs/>
          <w:sz w:val="22"/>
          <w:szCs w:val="22"/>
          <w:u w:val="single"/>
          <w:lang w:val="es-ES"/>
        </w:rPr>
        <w:t>Más información puede encontrarse en los siguientes links:</w:t>
      </w:r>
    </w:p>
    <w:p w14:paraId="60F7F52B" w14:textId="77777777" w:rsidR="007C7AD1" w:rsidRPr="00357DCF" w:rsidRDefault="00573283" w:rsidP="00E67635">
      <w:pPr>
        <w:numPr>
          <w:ilvl w:val="0"/>
          <w:numId w:val="79"/>
        </w:numPr>
        <w:rPr>
          <w:rFonts w:asciiTheme="minorHAnsi" w:hAnsiTheme="minorHAnsi" w:cstheme="minorHAnsi"/>
          <w:bCs/>
          <w:sz w:val="22"/>
          <w:szCs w:val="22"/>
          <w:lang w:val="es-CR"/>
        </w:rPr>
      </w:pPr>
      <w:hyperlink r:id="rId143" w:history="1">
        <w:r w:rsidR="007C7AD1" w:rsidRPr="00357DCF">
          <w:rPr>
            <w:rFonts w:asciiTheme="minorHAnsi" w:hAnsiTheme="minorHAnsi" w:cstheme="minorHAnsi"/>
            <w:bCs/>
            <w:color w:val="005C9C"/>
            <w:sz w:val="22"/>
            <w:szCs w:val="22"/>
            <w:lang w:val="es-CR"/>
          </w:rPr>
          <w:t>http://museum.oas.org</w:t>
        </w:r>
      </w:hyperlink>
    </w:p>
    <w:p w14:paraId="23854E1C" w14:textId="77777777" w:rsidR="007C7AD1" w:rsidRPr="00357DCF" w:rsidRDefault="00573283" w:rsidP="00E67635">
      <w:pPr>
        <w:numPr>
          <w:ilvl w:val="0"/>
          <w:numId w:val="79"/>
        </w:numPr>
        <w:rPr>
          <w:rFonts w:asciiTheme="minorHAnsi" w:hAnsiTheme="minorHAnsi" w:cstheme="minorHAnsi"/>
          <w:bCs/>
          <w:sz w:val="22"/>
          <w:szCs w:val="22"/>
          <w:lang w:val="es-CR"/>
        </w:rPr>
      </w:pPr>
      <w:hyperlink r:id="rId144" w:history="1">
        <w:r w:rsidR="007C7AD1" w:rsidRPr="00357DCF">
          <w:rPr>
            <w:rFonts w:asciiTheme="minorHAnsi" w:hAnsiTheme="minorHAnsi" w:cstheme="minorHAnsi"/>
            <w:bCs/>
            <w:color w:val="005C9C"/>
            <w:sz w:val="22"/>
            <w:szCs w:val="22"/>
            <w:lang w:val="es-CR"/>
          </w:rPr>
          <w:t>http://museum.oas.org/collection.html</w:t>
        </w:r>
      </w:hyperlink>
      <w:r w:rsidR="007C7AD1" w:rsidRPr="00357DCF">
        <w:rPr>
          <w:rFonts w:asciiTheme="minorHAnsi" w:hAnsiTheme="minorHAnsi" w:cstheme="minorHAnsi"/>
          <w:bCs/>
          <w:sz w:val="22"/>
          <w:szCs w:val="22"/>
          <w:lang w:val="es-CR"/>
        </w:rPr>
        <w:t xml:space="preserve">  </w:t>
      </w:r>
    </w:p>
    <w:p w14:paraId="4C1259B2" w14:textId="77777777" w:rsidR="007C7AD1" w:rsidRPr="00357DCF" w:rsidRDefault="00573283" w:rsidP="00E67635">
      <w:pPr>
        <w:numPr>
          <w:ilvl w:val="0"/>
          <w:numId w:val="79"/>
        </w:numPr>
        <w:rPr>
          <w:rFonts w:asciiTheme="minorHAnsi" w:hAnsiTheme="minorHAnsi" w:cstheme="minorHAnsi"/>
          <w:bCs/>
          <w:color w:val="005C9C"/>
          <w:sz w:val="22"/>
          <w:szCs w:val="22"/>
          <w:lang w:val="es-CR"/>
        </w:rPr>
      </w:pPr>
      <w:hyperlink r:id="rId145" w:history="1">
        <w:r w:rsidR="007C7AD1" w:rsidRPr="00357DCF">
          <w:rPr>
            <w:rFonts w:asciiTheme="minorHAnsi" w:hAnsiTheme="minorHAnsi" w:cstheme="minorHAnsi"/>
            <w:bCs/>
            <w:color w:val="005C9C"/>
            <w:sz w:val="22"/>
            <w:szCs w:val="22"/>
            <w:lang w:val="es-CR"/>
          </w:rPr>
          <w:t>http://museum.oas.org/rental.html</w:t>
        </w:r>
      </w:hyperlink>
      <w:r w:rsidR="007C7AD1" w:rsidRPr="00357DCF">
        <w:rPr>
          <w:rFonts w:asciiTheme="minorHAnsi" w:hAnsiTheme="minorHAnsi" w:cstheme="minorHAnsi"/>
          <w:bCs/>
          <w:color w:val="005C9C"/>
          <w:sz w:val="22"/>
          <w:szCs w:val="22"/>
          <w:lang w:val="es-CR"/>
        </w:rPr>
        <w:t xml:space="preserve"> </w:t>
      </w:r>
    </w:p>
    <w:p w14:paraId="7707CD1D" w14:textId="77777777" w:rsidR="007C7AD1" w:rsidRPr="00357DCF" w:rsidRDefault="007C7AD1" w:rsidP="007C7AD1">
      <w:pPr>
        <w:ind w:left="720"/>
        <w:rPr>
          <w:rFonts w:asciiTheme="minorHAnsi" w:hAnsiTheme="minorHAnsi" w:cstheme="minorHAnsi"/>
          <w:bCs/>
          <w:sz w:val="22"/>
          <w:szCs w:val="22"/>
          <w:lang w:val="es-CR"/>
        </w:rPr>
      </w:pPr>
    </w:p>
    <w:p w14:paraId="0154CE5F" w14:textId="77777777" w:rsidR="007C7AD1" w:rsidRPr="00357DCF" w:rsidRDefault="007C7AD1" w:rsidP="007C7AD1">
      <w:pPr>
        <w:jc w:val="both"/>
        <w:rPr>
          <w:rFonts w:asciiTheme="minorHAnsi" w:hAnsiTheme="minorHAnsi" w:cstheme="minorHAnsi"/>
          <w:bCs/>
          <w:sz w:val="22"/>
          <w:szCs w:val="22"/>
          <w:u w:val="single"/>
          <w:lang w:val="es-CR"/>
        </w:rPr>
      </w:pPr>
      <w:r w:rsidRPr="00357DCF">
        <w:rPr>
          <w:rFonts w:asciiTheme="minorHAnsi" w:hAnsiTheme="minorHAnsi" w:cstheme="minorHAnsi"/>
          <w:bCs/>
          <w:sz w:val="22"/>
          <w:szCs w:val="22"/>
          <w:u w:val="single"/>
          <w:lang w:val="es-CR"/>
        </w:rPr>
        <w:t>Publicaciones en web o redes sociales:</w:t>
      </w:r>
    </w:p>
    <w:p w14:paraId="4F22B00A" w14:textId="77777777" w:rsidR="00357DCF" w:rsidRPr="00357DCF" w:rsidRDefault="00357DCF" w:rsidP="007C7AD1">
      <w:pPr>
        <w:rPr>
          <w:rFonts w:asciiTheme="minorHAnsi" w:hAnsiTheme="minorHAnsi" w:cstheme="minorHAnsi"/>
          <w:bCs/>
          <w:sz w:val="22"/>
          <w:szCs w:val="22"/>
          <w:lang w:val="es-CO"/>
        </w:rPr>
      </w:pPr>
    </w:p>
    <w:p w14:paraId="2D7DB74E" w14:textId="1BFE6096" w:rsidR="007C7AD1" w:rsidRPr="00357DCF" w:rsidRDefault="007C7AD1" w:rsidP="007C7AD1">
      <w:pPr>
        <w:rPr>
          <w:rFonts w:asciiTheme="minorHAnsi" w:hAnsiTheme="minorHAnsi" w:cstheme="minorHAnsi"/>
          <w:bCs/>
          <w:sz w:val="22"/>
          <w:szCs w:val="22"/>
          <w:lang w:val="es-CO"/>
        </w:rPr>
      </w:pPr>
      <w:r w:rsidRPr="00357DCF">
        <w:rPr>
          <w:rFonts w:asciiTheme="minorHAnsi" w:hAnsiTheme="minorHAnsi" w:cstheme="minorHAnsi"/>
          <w:bCs/>
          <w:sz w:val="22"/>
          <w:szCs w:val="22"/>
          <w:lang w:val="es-CO"/>
        </w:rPr>
        <w:t>Carolina Mayorga (Colombia) — Arte al Dia —14</w:t>
      </w:r>
      <w:r w:rsidR="00357DCF">
        <w:rPr>
          <w:rFonts w:asciiTheme="minorHAnsi" w:hAnsiTheme="minorHAnsi" w:cstheme="minorHAnsi"/>
          <w:bCs/>
          <w:sz w:val="22"/>
          <w:szCs w:val="22"/>
          <w:lang w:val="es-CO"/>
        </w:rPr>
        <w:t xml:space="preserve"> de febrero de </w:t>
      </w:r>
      <w:r w:rsidRPr="00357DCF">
        <w:rPr>
          <w:rFonts w:asciiTheme="minorHAnsi" w:hAnsiTheme="minorHAnsi" w:cstheme="minorHAnsi"/>
          <w:bCs/>
          <w:sz w:val="22"/>
          <w:szCs w:val="22"/>
          <w:lang w:val="es-CO"/>
        </w:rPr>
        <w:t>2019</w:t>
      </w:r>
    </w:p>
    <w:p w14:paraId="4AEDE5EE" w14:textId="77777777" w:rsidR="007C7AD1" w:rsidRPr="00357DCF" w:rsidRDefault="00573283" w:rsidP="007C7AD1">
      <w:pPr>
        <w:rPr>
          <w:rFonts w:asciiTheme="minorHAnsi" w:hAnsiTheme="minorHAnsi" w:cstheme="minorHAnsi"/>
          <w:bCs/>
          <w:sz w:val="22"/>
          <w:szCs w:val="22"/>
          <w:lang w:val="es-CO"/>
        </w:rPr>
      </w:pPr>
      <w:hyperlink r:id="rId146" w:history="1">
        <w:r w:rsidR="007C7AD1" w:rsidRPr="00357DCF">
          <w:rPr>
            <w:rFonts w:asciiTheme="minorHAnsi" w:hAnsiTheme="minorHAnsi" w:cstheme="minorHAnsi"/>
            <w:bCs/>
            <w:color w:val="005C9C"/>
            <w:sz w:val="22"/>
            <w:szCs w:val="22"/>
            <w:lang w:val="es-CO"/>
          </w:rPr>
          <w:t>http://www.artealdia.com/News/CAROLINA-MAYORGA-CREATES-A-PINK-UNIVERSE</w:t>
        </w:r>
      </w:hyperlink>
    </w:p>
    <w:p w14:paraId="239AC274" w14:textId="77777777" w:rsidR="007C7AD1" w:rsidRPr="00357DCF" w:rsidRDefault="007C7AD1" w:rsidP="007C7AD1">
      <w:pPr>
        <w:rPr>
          <w:rFonts w:asciiTheme="minorHAnsi" w:hAnsiTheme="minorHAnsi" w:cstheme="minorHAnsi"/>
          <w:bCs/>
          <w:sz w:val="22"/>
          <w:szCs w:val="22"/>
          <w:lang w:val="es-CO"/>
        </w:rPr>
      </w:pPr>
    </w:p>
    <w:p w14:paraId="032295FD" w14:textId="69694D6C" w:rsidR="007C7AD1" w:rsidRPr="00357DCF" w:rsidRDefault="007C7AD1" w:rsidP="007C7AD1">
      <w:pPr>
        <w:rPr>
          <w:rFonts w:asciiTheme="minorHAnsi" w:hAnsiTheme="minorHAnsi" w:cstheme="minorHAnsi"/>
          <w:bCs/>
          <w:sz w:val="22"/>
          <w:szCs w:val="22"/>
        </w:rPr>
      </w:pPr>
      <w:r w:rsidRPr="00357DCF">
        <w:rPr>
          <w:rFonts w:asciiTheme="minorHAnsi" w:hAnsiTheme="minorHAnsi" w:cstheme="minorHAnsi"/>
          <w:bCs/>
          <w:i/>
          <w:iCs/>
          <w:sz w:val="22"/>
          <w:szCs w:val="22"/>
        </w:rPr>
        <w:t>Art Museum of the Americas (General) — Where Traveler</w:t>
      </w:r>
      <w:r w:rsidRPr="00357DCF">
        <w:rPr>
          <w:rFonts w:asciiTheme="minorHAnsi" w:hAnsiTheme="minorHAnsi" w:cstheme="minorHAnsi"/>
          <w:bCs/>
          <w:sz w:val="22"/>
          <w:szCs w:val="22"/>
        </w:rPr>
        <w:t xml:space="preserve"> — </w:t>
      </w:r>
      <w:r w:rsidR="00357DCF">
        <w:rPr>
          <w:rFonts w:asciiTheme="minorHAnsi" w:hAnsiTheme="minorHAnsi" w:cstheme="minorHAnsi"/>
          <w:bCs/>
          <w:sz w:val="22"/>
          <w:szCs w:val="22"/>
        </w:rPr>
        <w:t xml:space="preserve">1 de marzo de </w:t>
      </w:r>
      <w:r w:rsidRPr="00357DCF">
        <w:rPr>
          <w:rFonts w:asciiTheme="minorHAnsi" w:hAnsiTheme="minorHAnsi" w:cstheme="minorHAnsi"/>
          <w:bCs/>
          <w:sz w:val="22"/>
          <w:szCs w:val="22"/>
        </w:rPr>
        <w:t>2019</w:t>
      </w:r>
    </w:p>
    <w:p w14:paraId="60E0C713" w14:textId="77777777" w:rsidR="007C7AD1" w:rsidRPr="00357DCF" w:rsidRDefault="00573283" w:rsidP="007C7AD1">
      <w:pPr>
        <w:rPr>
          <w:rFonts w:asciiTheme="minorHAnsi" w:hAnsiTheme="minorHAnsi" w:cstheme="minorHAnsi"/>
          <w:bCs/>
          <w:sz w:val="22"/>
          <w:szCs w:val="22"/>
        </w:rPr>
      </w:pPr>
      <w:hyperlink r:id="rId147" w:history="1">
        <w:r w:rsidR="007C7AD1" w:rsidRPr="00357DCF">
          <w:rPr>
            <w:rFonts w:asciiTheme="minorHAnsi" w:hAnsiTheme="minorHAnsi" w:cstheme="minorHAnsi"/>
            <w:bCs/>
            <w:color w:val="005C9C"/>
            <w:sz w:val="22"/>
            <w:szCs w:val="22"/>
          </w:rPr>
          <w:t>https://www.wheretraveler.com/washington-dc/play/dc-museums-open-during-government-shutdown</w:t>
        </w:r>
      </w:hyperlink>
    </w:p>
    <w:p w14:paraId="2A421EA4" w14:textId="77777777" w:rsidR="007C7AD1" w:rsidRPr="00357DCF" w:rsidRDefault="007C7AD1" w:rsidP="007C7AD1">
      <w:pPr>
        <w:rPr>
          <w:rFonts w:asciiTheme="minorHAnsi" w:hAnsiTheme="minorHAnsi" w:cstheme="minorHAnsi"/>
          <w:bCs/>
          <w:sz w:val="22"/>
          <w:szCs w:val="22"/>
        </w:rPr>
      </w:pPr>
    </w:p>
    <w:p w14:paraId="60EE1B5A" w14:textId="1FFC9839" w:rsidR="007C7AD1" w:rsidRPr="00357DCF" w:rsidRDefault="007C7AD1" w:rsidP="007C7AD1">
      <w:pPr>
        <w:rPr>
          <w:rFonts w:asciiTheme="minorHAnsi" w:hAnsiTheme="minorHAnsi" w:cstheme="minorHAnsi"/>
          <w:bCs/>
          <w:sz w:val="22"/>
          <w:szCs w:val="22"/>
        </w:rPr>
      </w:pPr>
      <w:r w:rsidRPr="00357DCF">
        <w:rPr>
          <w:rFonts w:asciiTheme="minorHAnsi" w:hAnsiTheme="minorHAnsi" w:cstheme="minorHAnsi"/>
          <w:bCs/>
          <w:i/>
          <w:iCs/>
          <w:sz w:val="22"/>
          <w:szCs w:val="22"/>
        </w:rPr>
        <w:t>A Gaze through the CINTAS Fellowship Program: a Selection of Works from the CINTAS Foundation and the Art Museum of the Americas Collections (United States / Cuba)</w:t>
      </w:r>
      <w:r w:rsidRPr="00357DCF">
        <w:rPr>
          <w:rFonts w:asciiTheme="minorHAnsi" w:hAnsiTheme="minorHAnsi" w:cstheme="minorHAnsi"/>
          <w:bCs/>
          <w:sz w:val="22"/>
          <w:szCs w:val="22"/>
        </w:rPr>
        <w:t xml:space="preserve"> — El Nuevo Herald — </w:t>
      </w:r>
      <w:r w:rsidR="00357DCF">
        <w:rPr>
          <w:rFonts w:asciiTheme="minorHAnsi" w:hAnsiTheme="minorHAnsi" w:cstheme="minorHAnsi"/>
          <w:bCs/>
          <w:sz w:val="22"/>
          <w:szCs w:val="22"/>
        </w:rPr>
        <w:t xml:space="preserve">23 de mayo de </w:t>
      </w:r>
      <w:r w:rsidRPr="00357DCF">
        <w:rPr>
          <w:rFonts w:asciiTheme="minorHAnsi" w:hAnsiTheme="minorHAnsi" w:cstheme="minorHAnsi"/>
          <w:bCs/>
          <w:sz w:val="22"/>
          <w:szCs w:val="22"/>
        </w:rPr>
        <w:t>2019</w:t>
      </w:r>
      <w:r w:rsidR="00357DCF">
        <w:rPr>
          <w:rFonts w:asciiTheme="minorHAnsi" w:hAnsiTheme="minorHAnsi" w:cstheme="minorHAnsi"/>
          <w:bCs/>
          <w:sz w:val="22"/>
          <w:szCs w:val="22"/>
        </w:rPr>
        <w:t xml:space="preserve">, </w:t>
      </w:r>
      <w:hyperlink r:id="rId148" w:history="1">
        <w:r w:rsidR="00357DCF" w:rsidRPr="005A7615">
          <w:rPr>
            <w:rStyle w:val="Hyperlink"/>
            <w:rFonts w:asciiTheme="minorHAnsi" w:hAnsiTheme="minorHAnsi" w:cstheme="minorHAnsi"/>
            <w:bCs/>
            <w:sz w:val="22"/>
            <w:szCs w:val="22"/>
          </w:rPr>
          <w:t>https://www.elnuevoherald.com/vivir-mejor/artes-letras/article230439349.html</w:t>
        </w:r>
      </w:hyperlink>
    </w:p>
    <w:p w14:paraId="299C25C3" w14:textId="77777777" w:rsidR="007C7AD1" w:rsidRPr="00357DCF" w:rsidRDefault="007C7AD1" w:rsidP="007C7AD1">
      <w:pPr>
        <w:rPr>
          <w:rFonts w:asciiTheme="minorHAnsi" w:hAnsiTheme="minorHAnsi" w:cstheme="minorHAnsi"/>
          <w:bCs/>
          <w:sz w:val="22"/>
          <w:szCs w:val="22"/>
        </w:rPr>
      </w:pPr>
    </w:p>
    <w:p w14:paraId="203E6045" w14:textId="43B2B39F" w:rsidR="00357DCF" w:rsidRPr="00357DCF" w:rsidRDefault="007C7AD1" w:rsidP="007C7AD1">
      <w:pPr>
        <w:rPr>
          <w:rFonts w:asciiTheme="minorHAnsi" w:hAnsiTheme="minorHAnsi" w:cstheme="minorHAnsi"/>
          <w:bCs/>
          <w:sz w:val="22"/>
          <w:szCs w:val="22"/>
        </w:rPr>
      </w:pPr>
      <w:r w:rsidRPr="00357DCF">
        <w:rPr>
          <w:rFonts w:asciiTheme="minorHAnsi" w:hAnsiTheme="minorHAnsi" w:cstheme="minorHAnsi"/>
          <w:bCs/>
          <w:i/>
          <w:iCs/>
          <w:sz w:val="22"/>
          <w:szCs w:val="22"/>
        </w:rPr>
        <w:t>Museum: A Haunted Medium (Argentina / Brazil / United States)</w:t>
      </w:r>
      <w:r w:rsidRPr="00357DCF">
        <w:rPr>
          <w:rFonts w:asciiTheme="minorHAnsi" w:hAnsiTheme="minorHAnsi" w:cstheme="minorHAnsi"/>
          <w:bCs/>
          <w:sz w:val="22"/>
          <w:szCs w:val="22"/>
        </w:rPr>
        <w:t xml:space="preserve"> — Washingtonian — </w:t>
      </w:r>
      <w:r w:rsidR="00357DCF">
        <w:rPr>
          <w:rFonts w:asciiTheme="minorHAnsi" w:hAnsiTheme="minorHAnsi" w:cstheme="minorHAnsi"/>
          <w:bCs/>
          <w:sz w:val="22"/>
          <w:szCs w:val="22"/>
        </w:rPr>
        <w:t>18 de julio de</w:t>
      </w:r>
      <w:r w:rsidR="00665873">
        <w:rPr>
          <w:rFonts w:asciiTheme="minorHAnsi" w:hAnsiTheme="minorHAnsi" w:cstheme="minorHAnsi"/>
          <w:bCs/>
          <w:sz w:val="22"/>
          <w:szCs w:val="22"/>
        </w:rPr>
        <w:t xml:space="preserve"> </w:t>
      </w:r>
      <w:r w:rsidRPr="00357DCF">
        <w:rPr>
          <w:rFonts w:asciiTheme="minorHAnsi" w:hAnsiTheme="minorHAnsi" w:cstheme="minorHAnsi"/>
          <w:bCs/>
          <w:sz w:val="22"/>
          <w:szCs w:val="22"/>
        </w:rPr>
        <w:t>2019</w:t>
      </w:r>
      <w:r w:rsidR="00357DCF">
        <w:rPr>
          <w:rFonts w:asciiTheme="minorHAnsi" w:hAnsiTheme="minorHAnsi" w:cstheme="minorHAnsi"/>
          <w:bCs/>
          <w:sz w:val="22"/>
          <w:szCs w:val="22"/>
        </w:rPr>
        <w:t xml:space="preserve">, </w:t>
      </w:r>
      <w:hyperlink r:id="rId149" w:history="1">
        <w:r w:rsidR="00665873" w:rsidRPr="005A7615">
          <w:rPr>
            <w:rStyle w:val="Hyperlink"/>
            <w:rFonts w:asciiTheme="minorHAnsi" w:hAnsiTheme="minorHAnsi" w:cstheme="minorHAnsi"/>
            <w:bCs/>
            <w:sz w:val="22"/>
            <w:szCs w:val="22"/>
          </w:rPr>
          <w:t>https://www.washingtonian.com/2019/07/18/at-this-new-exhibit-you-are-a-ghost-and-youre-haunting-the-museum/</w:t>
        </w:r>
      </w:hyperlink>
    </w:p>
    <w:p w14:paraId="095CEFE3" w14:textId="0FB1EF03" w:rsidR="007C7AD1" w:rsidRPr="00F43808" w:rsidRDefault="007C7AD1" w:rsidP="007C7AD1">
      <w:pPr>
        <w:rPr>
          <w:rFonts w:asciiTheme="minorHAnsi" w:hAnsiTheme="minorHAnsi" w:cstheme="minorHAnsi"/>
          <w:bCs/>
          <w:sz w:val="22"/>
          <w:szCs w:val="22"/>
          <w:lang w:val="es-PE"/>
        </w:rPr>
      </w:pPr>
      <w:r w:rsidRPr="002834DA">
        <w:rPr>
          <w:rFonts w:asciiTheme="minorHAnsi" w:hAnsiTheme="minorHAnsi" w:cstheme="minorHAnsi"/>
          <w:bCs/>
          <w:sz w:val="22"/>
          <w:szCs w:val="22"/>
        </w:rPr>
        <w:br/>
      </w:r>
      <w:r w:rsidRPr="00F43808">
        <w:rPr>
          <w:rFonts w:asciiTheme="minorHAnsi" w:hAnsiTheme="minorHAnsi" w:cstheme="minorHAnsi"/>
          <w:bCs/>
          <w:sz w:val="22"/>
          <w:szCs w:val="22"/>
          <w:lang w:val="es-PE"/>
        </w:rPr>
        <w:t>Carlos Paez Vilaró (Uruguay) — InfoBae—</w:t>
      </w:r>
      <w:r w:rsidR="00665873" w:rsidRPr="00F43808">
        <w:rPr>
          <w:rFonts w:asciiTheme="minorHAnsi" w:hAnsiTheme="minorHAnsi" w:cstheme="minorHAnsi"/>
          <w:bCs/>
          <w:sz w:val="22"/>
          <w:szCs w:val="22"/>
          <w:lang w:val="es-PE"/>
        </w:rPr>
        <w:t xml:space="preserve">1 de agosto de </w:t>
      </w:r>
      <w:r w:rsidRPr="00F43808">
        <w:rPr>
          <w:rFonts w:asciiTheme="minorHAnsi" w:hAnsiTheme="minorHAnsi" w:cstheme="minorHAnsi"/>
          <w:bCs/>
          <w:sz w:val="22"/>
          <w:szCs w:val="22"/>
          <w:lang w:val="es-PE"/>
        </w:rPr>
        <w:t>2019</w:t>
      </w:r>
    </w:p>
    <w:p w14:paraId="4D6B98A7" w14:textId="39A1C1F0" w:rsidR="007C7AD1" w:rsidRPr="00F43808" w:rsidRDefault="00573283" w:rsidP="007C7AD1">
      <w:pPr>
        <w:rPr>
          <w:rFonts w:asciiTheme="minorHAnsi" w:hAnsiTheme="minorHAnsi" w:cstheme="minorHAnsi"/>
          <w:color w:val="005C9C"/>
          <w:sz w:val="22"/>
          <w:szCs w:val="22"/>
          <w:lang w:val="es-PE"/>
        </w:rPr>
      </w:pPr>
      <w:hyperlink r:id="rId150" w:history="1">
        <w:r w:rsidR="007C7AD1" w:rsidRPr="00F43808">
          <w:rPr>
            <w:rFonts w:asciiTheme="minorHAnsi" w:hAnsiTheme="minorHAnsi" w:cstheme="minorHAnsi"/>
            <w:color w:val="005C9C"/>
            <w:sz w:val="22"/>
            <w:szCs w:val="22"/>
            <w:lang w:val="es-PE"/>
          </w:rPr>
          <w:t>https://www.infobae.com/america/cultura-america/2019/08/01/un-mural-secreto-del-artista-uruguayo-carlos-paez-vilaro-en-un-tunel-de-washington-fue-abierto-al-publico-tras-seis-decadas/</w:t>
        </w:r>
      </w:hyperlink>
    </w:p>
    <w:p w14:paraId="0D99F29A" w14:textId="77777777" w:rsidR="00665873" w:rsidRPr="00F43808" w:rsidRDefault="00665873" w:rsidP="007C7AD1">
      <w:pPr>
        <w:rPr>
          <w:rFonts w:asciiTheme="minorHAnsi" w:hAnsiTheme="minorHAnsi" w:cstheme="minorHAnsi"/>
          <w:color w:val="0563C1"/>
          <w:sz w:val="22"/>
          <w:szCs w:val="22"/>
          <w:u w:val="single"/>
          <w:lang w:val="es-PE"/>
        </w:rPr>
      </w:pPr>
    </w:p>
    <w:p w14:paraId="33CC198F" w14:textId="77777777" w:rsidR="007C7AD1" w:rsidRPr="00F43808" w:rsidRDefault="007C7AD1" w:rsidP="007C7AD1">
      <w:pPr>
        <w:rPr>
          <w:rFonts w:asciiTheme="minorHAnsi" w:hAnsiTheme="minorHAnsi" w:cstheme="minorHAnsi"/>
          <w:sz w:val="22"/>
          <w:szCs w:val="22"/>
          <w:lang w:val="es-PE"/>
        </w:rPr>
      </w:pPr>
    </w:p>
    <w:p w14:paraId="37FD4317" w14:textId="77777777" w:rsidR="007C7AD1" w:rsidRPr="00B62815" w:rsidRDefault="001C2CF3" w:rsidP="007C7AD1">
      <w:pPr>
        <w:rPr>
          <w:rFonts w:asciiTheme="minorHAnsi" w:hAnsiTheme="minorHAnsi" w:cstheme="minorHAnsi"/>
          <w:sz w:val="22"/>
          <w:szCs w:val="22"/>
        </w:rPr>
      </w:pPr>
      <w:r w:rsidRPr="00B62815">
        <w:rPr>
          <w:rFonts w:asciiTheme="minorHAnsi" w:hAnsiTheme="minorHAnsi" w:cstheme="minorHAnsi"/>
          <w:noProof/>
          <w:sz w:val="22"/>
          <w:szCs w:val="22"/>
        </w:rPr>
        <w:drawing>
          <wp:inline distT="0" distB="0" distL="0" distR="0" wp14:anchorId="0CCC8E37" wp14:editId="1E78880F">
            <wp:extent cx="4335780" cy="2438400"/>
            <wp:effectExtent l="0" t="0" r="0" b="0"/>
            <wp:docPr id="20" name="Picture 20" descr="TL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L opening"/>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4335780" cy="2438400"/>
                    </a:xfrm>
                    <a:prstGeom prst="rect">
                      <a:avLst/>
                    </a:prstGeom>
                    <a:noFill/>
                    <a:ln>
                      <a:noFill/>
                    </a:ln>
                  </pic:spPr>
                </pic:pic>
              </a:graphicData>
            </a:graphic>
          </wp:inline>
        </w:drawing>
      </w:r>
    </w:p>
    <w:p w14:paraId="0A038F6B" w14:textId="77777777" w:rsidR="007C7AD1" w:rsidRPr="00B62815" w:rsidRDefault="007C7AD1" w:rsidP="007C7AD1">
      <w:pPr>
        <w:rPr>
          <w:rFonts w:asciiTheme="minorHAnsi" w:hAnsiTheme="minorHAnsi" w:cstheme="minorHAnsi"/>
          <w:bCs/>
          <w:color w:val="000000"/>
          <w:spacing w:val="4"/>
          <w:sz w:val="22"/>
          <w:szCs w:val="22"/>
          <w:lang w:val="es-UY"/>
        </w:rPr>
      </w:pPr>
      <w:r w:rsidRPr="00B62815">
        <w:rPr>
          <w:rFonts w:asciiTheme="minorHAnsi" w:hAnsiTheme="minorHAnsi" w:cstheme="minorHAnsi"/>
          <w:bCs/>
          <w:color w:val="000000"/>
          <w:spacing w:val="4"/>
          <w:sz w:val="22"/>
          <w:szCs w:val="22"/>
          <w:lang w:val="es-UY"/>
        </w:rPr>
        <w:t xml:space="preserve">Apertura de la </w:t>
      </w:r>
      <w:r w:rsidRPr="00B62815">
        <w:rPr>
          <w:rFonts w:asciiTheme="minorHAnsi" w:hAnsiTheme="minorHAnsi" w:cstheme="minorHAnsi"/>
          <w:bCs/>
          <w:color w:val="000000"/>
          <w:spacing w:val="4"/>
          <w:sz w:val="22"/>
          <w:szCs w:val="22"/>
          <w:lang w:val="es-ES"/>
        </w:rPr>
        <w:t>exposición</w:t>
      </w:r>
      <w:r w:rsidRPr="00B62815">
        <w:rPr>
          <w:rFonts w:asciiTheme="minorHAnsi" w:hAnsiTheme="minorHAnsi" w:cstheme="minorHAnsi"/>
          <w:bCs/>
          <w:color w:val="000000"/>
          <w:spacing w:val="4"/>
          <w:sz w:val="22"/>
          <w:szCs w:val="22"/>
          <w:lang w:val="es-UY"/>
        </w:rPr>
        <w:t xml:space="preserve"> “On the Move: Photographs by Juana Barreto Yampey, Helena Giestas, and Olivia Vivanco” (Brazil, Paraguay, Argentina) en la Galeria de Fotografía del TL (GSB)</w:t>
      </w:r>
    </w:p>
    <w:p w14:paraId="45A1A8FA" w14:textId="77777777" w:rsidR="007C7AD1" w:rsidRPr="00B62815" w:rsidRDefault="007C7AD1" w:rsidP="007C7AD1">
      <w:pPr>
        <w:rPr>
          <w:rFonts w:asciiTheme="minorHAnsi" w:hAnsiTheme="minorHAnsi" w:cstheme="minorHAnsi"/>
          <w:bCs/>
          <w:color w:val="000000"/>
          <w:spacing w:val="4"/>
          <w:sz w:val="22"/>
          <w:szCs w:val="22"/>
          <w:lang w:val="es-UY"/>
        </w:rPr>
      </w:pPr>
    </w:p>
    <w:p w14:paraId="65DC65FF" w14:textId="77777777" w:rsidR="007C7AD1" w:rsidRPr="00B62815" w:rsidRDefault="001C2CF3" w:rsidP="007C7AD1">
      <w:pPr>
        <w:rPr>
          <w:rFonts w:asciiTheme="minorHAnsi" w:hAnsiTheme="minorHAnsi" w:cstheme="minorHAnsi"/>
          <w:bCs/>
          <w:color w:val="000000"/>
          <w:spacing w:val="4"/>
          <w:sz w:val="22"/>
          <w:szCs w:val="22"/>
        </w:rPr>
      </w:pPr>
      <w:r w:rsidRPr="00B62815">
        <w:rPr>
          <w:rFonts w:asciiTheme="minorHAnsi" w:hAnsiTheme="minorHAnsi" w:cstheme="minorHAnsi"/>
          <w:bCs/>
          <w:noProof/>
          <w:color w:val="000000"/>
          <w:spacing w:val="4"/>
          <w:sz w:val="22"/>
          <w:szCs w:val="22"/>
        </w:rPr>
        <w:drawing>
          <wp:inline distT="0" distB="0" distL="0" distR="0" wp14:anchorId="11086425" wp14:editId="09F697DE">
            <wp:extent cx="4652645" cy="2799080"/>
            <wp:effectExtent l="0" t="0" r="0" b="0"/>
            <wp:docPr id="21" name="Picture 21" descr="Performace Art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rformace Art Talk"/>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4652645" cy="2799080"/>
                    </a:xfrm>
                    <a:prstGeom prst="rect">
                      <a:avLst/>
                    </a:prstGeom>
                    <a:noFill/>
                    <a:ln>
                      <a:noFill/>
                    </a:ln>
                  </pic:spPr>
                </pic:pic>
              </a:graphicData>
            </a:graphic>
          </wp:inline>
        </w:drawing>
      </w:r>
    </w:p>
    <w:p w14:paraId="5341C60C" w14:textId="77777777" w:rsidR="007C7AD1" w:rsidRPr="00B62815" w:rsidRDefault="007C7AD1" w:rsidP="007C7AD1">
      <w:pPr>
        <w:rPr>
          <w:rFonts w:asciiTheme="minorHAnsi" w:hAnsiTheme="minorHAnsi" w:cstheme="minorHAnsi"/>
          <w:sz w:val="22"/>
          <w:szCs w:val="22"/>
          <w:lang w:val="es-UY"/>
        </w:rPr>
      </w:pPr>
      <w:r w:rsidRPr="00B62815">
        <w:rPr>
          <w:rFonts w:asciiTheme="minorHAnsi" w:hAnsiTheme="minorHAnsi" w:cstheme="minorHAnsi"/>
          <w:bCs/>
          <w:color w:val="000000"/>
          <w:spacing w:val="4"/>
          <w:sz w:val="22"/>
          <w:szCs w:val="22"/>
          <w:lang w:val="es-UY"/>
        </w:rPr>
        <w:t xml:space="preserve">Charla sobre arte performatico en el Museo de Arte de las Americas, impartida por la curadora Laura Roulet como parte de la </w:t>
      </w:r>
      <w:r w:rsidRPr="00B62815">
        <w:rPr>
          <w:rFonts w:asciiTheme="minorHAnsi" w:hAnsiTheme="minorHAnsi" w:cstheme="minorHAnsi"/>
          <w:bCs/>
          <w:color w:val="000000"/>
          <w:spacing w:val="4"/>
          <w:sz w:val="22"/>
          <w:szCs w:val="22"/>
          <w:lang w:val="es-ES"/>
        </w:rPr>
        <w:t>exposición</w:t>
      </w:r>
      <w:r w:rsidRPr="00B62815">
        <w:rPr>
          <w:rFonts w:asciiTheme="minorHAnsi" w:hAnsiTheme="minorHAnsi" w:cstheme="minorHAnsi"/>
          <w:bCs/>
          <w:color w:val="000000"/>
          <w:spacing w:val="4"/>
          <w:sz w:val="22"/>
          <w:szCs w:val="22"/>
          <w:lang w:val="es-UY"/>
        </w:rPr>
        <w:t xml:space="preserve"> </w:t>
      </w:r>
      <w:r w:rsidRPr="00B62815">
        <w:rPr>
          <w:rFonts w:asciiTheme="minorHAnsi" w:hAnsiTheme="minorHAnsi" w:cstheme="minorHAnsi"/>
          <w:color w:val="000000"/>
          <w:sz w:val="22"/>
          <w:szCs w:val="22"/>
          <w:lang w:val="es-UY"/>
        </w:rPr>
        <w:t>Carolina Mayorga: PINK</w:t>
      </w:r>
      <w:r w:rsidRPr="00B62815">
        <w:rPr>
          <w:rFonts w:asciiTheme="minorHAnsi" w:hAnsiTheme="minorHAnsi" w:cstheme="minorHAnsi"/>
          <w:iCs/>
          <w:color w:val="000000"/>
          <w:sz w:val="22"/>
          <w:szCs w:val="22"/>
          <w:lang w:val="es-UY"/>
        </w:rPr>
        <w:t xml:space="preserve"> Ranchos and Other Ephemeral Zip Codes (Colombia)</w:t>
      </w:r>
    </w:p>
    <w:p w14:paraId="1D578F1B" w14:textId="77777777" w:rsidR="007C7AD1" w:rsidRPr="00B62815" w:rsidRDefault="007C7AD1" w:rsidP="007C7AD1">
      <w:pPr>
        <w:jc w:val="both"/>
        <w:rPr>
          <w:rFonts w:asciiTheme="minorHAnsi" w:hAnsiTheme="minorHAnsi" w:cstheme="minorHAnsi"/>
          <w:b/>
          <w:sz w:val="22"/>
          <w:szCs w:val="22"/>
          <w:lang w:val="es-UY"/>
        </w:rPr>
      </w:pPr>
    </w:p>
    <w:p w14:paraId="4319C2FE" w14:textId="77777777" w:rsidR="008646CD" w:rsidRPr="00B62815" w:rsidRDefault="008646CD" w:rsidP="00A906FD">
      <w:pPr>
        <w:pStyle w:val="ListParagraph"/>
        <w:spacing w:line="276" w:lineRule="auto"/>
        <w:ind w:left="0"/>
        <w:contextualSpacing/>
        <w:rPr>
          <w:rFonts w:asciiTheme="minorHAnsi" w:hAnsiTheme="minorHAnsi" w:cstheme="minorHAnsi"/>
          <w:sz w:val="22"/>
          <w:szCs w:val="22"/>
          <w:lang w:val="es-UY"/>
        </w:rPr>
      </w:pPr>
    </w:p>
    <w:p w14:paraId="4E5A6F5A" w14:textId="77777777" w:rsidR="007C7AD1" w:rsidRPr="00B62815" w:rsidRDefault="0000382C" w:rsidP="00A906FD">
      <w:pPr>
        <w:pStyle w:val="ListParagraph"/>
        <w:spacing w:line="276" w:lineRule="auto"/>
        <w:ind w:left="0"/>
        <w:contextualSpacing/>
        <w:rPr>
          <w:rFonts w:asciiTheme="minorHAnsi" w:hAnsiTheme="minorHAnsi" w:cstheme="minorHAnsi"/>
          <w:b/>
          <w:sz w:val="22"/>
          <w:szCs w:val="22"/>
          <w:lang w:val="es-UY"/>
        </w:rPr>
      </w:pPr>
      <w:r w:rsidRPr="00B62815">
        <w:rPr>
          <w:rFonts w:asciiTheme="minorHAnsi" w:hAnsiTheme="minorHAnsi" w:cstheme="minorHAnsi"/>
          <w:b/>
          <w:sz w:val="22"/>
          <w:szCs w:val="22"/>
          <w:lang w:val="es-UY"/>
        </w:rPr>
        <w:t xml:space="preserve">XII Foro del Sector Privado de las Américas </w:t>
      </w:r>
    </w:p>
    <w:p w14:paraId="7E6EAACE" w14:textId="77777777" w:rsidR="0000382C" w:rsidRPr="00B62815" w:rsidRDefault="0000382C" w:rsidP="00A906FD">
      <w:pPr>
        <w:pStyle w:val="ListParagraph"/>
        <w:spacing w:line="276" w:lineRule="auto"/>
        <w:ind w:left="0"/>
        <w:contextualSpacing/>
        <w:rPr>
          <w:rFonts w:asciiTheme="minorHAnsi" w:hAnsiTheme="minorHAnsi" w:cstheme="minorHAnsi"/>
          <w:sz w:val="22"/>
          <w:szCs w:val="22"/>
          <w:lang w:val="es-UY"/>
        </w:rPr>
      </w:pPr>
    </w:p>
    <w:p w14:paraId="769B9C3D" w14:textId="77777777" w:rsidR="007C7AD1" w:rsidRPr="00B62815" w:rsidRDefault="007C7AD1" w:rsidP="007C7AD1">
      <w:pPr>
        <w:jc w:val="both"/>
        <w:rPr>
          <w:rFonts w:asciiTheme="minorHAnsi" w:hAnsiTheme="minorHAnsi" w:cstheme="minorHAnsi"/>
          <w:sz w:val="22"/>
          <w:szCs w:val="22"/>
          <w:lang w:val="es-UY"/>
        </w:rPr>
      </w:pPr>
      <w:r w:rsidRPr="00B62815">
        <w:rPr>
          <w:rFonts w:asciiTheme="minorHAnsi" w:hAnsiTheme="minorHAnsi" w:cstheme="minorHAnsi"/>
          <w:sz w:val="22"/>
          <w:szCs w:val="22"/>
          <w:lang w:val="es-UY"/>
        </w:rPr>
        <w:t xml:space="preserve">En el marco de la 49 Asamblea General, la Secretaría General, el Gobierno de la República de Colombia y el Sector Privado de las Américas organizaron el XII Foro del Sector Privado de las Américas, bajo el lema “Innovación desde el Sector Privado: impulsando el desarrollo en las Américas”. Esta materia se abordó por medio de tres paneles: (i) la IV Revolución Industrial: oportunidades y desafíos para las Américas, (ii) El futuro de la integración en las Américas, y (iii) la Energía inteligente en las Américas. El Foro buscó la representación de diversos sectores y países en la integración de sus panelistas y moderadores y contó con la participación de más de 300 Ejecutivos del Sector Privado de 17 Estados Miembros. </w:t>
      </w:r>
    </w:p>
    <w:p w14:paraId="4AC5D6A8" w14:textId="77777777" w:rsidR="007C7AD1" w:rsidRPr="00B62815" w:rsidRDefault="007C7AD1" w:rsidP="007C7AD1">
      <w:pPr>
        <w:jc w:val="both"/>
        <w:rPr>
          <w:rFonts w:asciiTheme="minorHAnsi" w:hAnsiTheme="minorHAnsi" w:cstheme="minorHAnsi"/>
          <w:sz w:val="22"/>
          <w:szCs w:val="22"/>
          <w:lang w:val="es-UY"/>
        </w:rPr>
      </w:pPr>
    </w:p>
    <w:p w14:paraId="22C8C6AC" w14:textId="77777777" w:rsidR="007C7AD1" w:rsidRPr="00B62815" w:rsidRDefault="007C7AD1" w:rsidP="007C7AD1">
      <w:pPr>
        <w:jc w:val="both"/>
        <w:rPr>
          <w:rFonts w:asciiTheme="minorHAnsi" w:hAnsiTheme="minorHAnsi" w:cstheme="minorHAnsi"/>
          <w:sz w:val="22"/>
          <w:szCs w:val="22"/>
          <w:lang w:val="es-CO"/>
        </w:rPr>
      </w:pPr>
      <w:r w:rsidRPr="00B62815">
        <w:rPr>
          <w:rFonts w:asciiTheme="minorHAnsi" w:hAnsiTheme="minorHAnsi" w:cstheme="minorHAnsi"/>
          <w:sz w:val="22"/>
          <w:szCs w:val="22"/>
          <w:lang w:val="es-CO"/>
        </w:rPr>
        <w:t>El Sector Privado de las Américas hizo entrega de sus recomendaciones al Presidente de la República de Colombia y al Secretario General de la OEA con el objetivo de alentar a los Estados Miembros de la OEA a poner en práctica políticas públicas que se alineen con las mismas y manifestar su compromiso a trabajar en conjunto “en pos del progreso económico y social” de los países y de la región.</w:t>
      </w:r>
    </w:p>
    <w:p w14:paraId="0B7A6D95" w14:textId="77777777" w:rsidR="007C7AD1" w:rsidRPr="00B62815" w:rsidRDefault="007C7AD1" w:rsidP="007C7AD1">
      <w:pPr>
        <w:jc w:val="both"/>
        <w:rPr>
          <w:rFonts w:asciiTheme="minorHAnsi" w:hAnsiTheme="minorHAnsi" w:cstheme="minorHAnsi"/>
          <w:sz w:val="22"/>
          <w:szCs w:val="22"/>
          <w:lang w:val="es-CO"/>
        </w:rPr>
      </w:pPr>
    </w:p>
    <w:p w14:paraId="72CAB056" w14:textId="77777777" w:rsidR="007C7AD1" w:rsidRPr="00B62815" w:rsidRDefault="007C7AD1" w:rsidP="007C7AD1">
      <w:pPr>
        <w:jc w:val="both"/>
        <w:rPr>
          <w:rFonts w:asciiTheme="minorHAnsi" w:hAnsiTheme="minorHAnsi" w:cstheme="minorHAnsi"/>
          <w:b/>
          <w:bCs/>
          <w:color w:val="FF6600"/>
          <w:sz w:val="22"/>
          <w:szCs w:val="22"/>
          <w:lang w:val="es-CO"/>
        </w:rPr>
      </w:pPr>
      <w:r w:rsidRPr="00B62815">
        <w:rPr>
          <w:rFonts w:asciiTheme="minorHAnsi" w:hAnsiTheme="minorHAnsi" w:cstheme="minorHAnsi"/>
          <w:sz w:val="22"/>
          <w:szCs w:val="22"/>
          <w:lang w:val="es-UY"/>
        </w:rPr>
        <w:t>La SG/OEA se encuentra elaborando un plan de trabajo hacia una Carta Interamericana Empresarial que comprenda a todos los actores y sectores del hemisferio.</w:t>
      </w:r>
    </w:p>
    <w:p w14:paraId="64DBD0D2" w14:textId="77777777" w:rsidR="007C7AD1" w:rsidRPr="00B62815" w:rsidRDefault="007C7AD1" w:rsidP="007C7AD1">
      <w:pPr>
        <w:rPr>
          <w:rFonts w:asciiTheme="minorHAnsi" w:hAnsiTheme="minorHAnsi" w:cstheme="minorHAnsi"/>
          <w:sz w:val="22"/>
          <w:szCs w:val="22"/>
          <w:lang w:val="es-UY"/>
        </w:rPr>
      </w:pPr>
    </w:p>
    <w:p w14:paraId="5FE6F29C" w14:textId="77777777" w:rsidR="007C7AD1" w:rsidRPr="00B62815" w:rsidRDefault="001C2CF3" w:rsidP="007C7AD1">
      <w:pPr>
        <w:rPr>
          <w:rFonts w:asciiTheme="minorHAnsi" w:hAnsiTheme="minorHAnsi" w:cstheme="minorHAnsi"/>
          <w:sz w:val="22"/>
          <w:szCs w:val="22"/>
          <w:lang w:val="es-UY"/>
        </w:rPr>
      </w:pPr>
      <w:r w:rsidRPr="00B62815">
        <w:rPr>
          <w:rFonts w:asciiTheme="minorHAnsi" w:hAnsiTheme="minorHAnsi" w:cstheme="minorHAnsi"/>
          <w:noProof/>
          <w:sz w:val="22"/>
          <w:szCs w:val="22"/>
        </w:rPr>
        <w:drawing>
          <wp:anchor distT="0" distB="0" distL="114300" distR="114300" simplePos="0" relativeHeight="251723776" behindDoc="1" locked="0" layoutInCell="1" allowOverlap="1" wp14:anchorId="542CCA82" wp14:editId="5561B32B">
            <wp:simplePos x="0" y="0"/>
            <wp:positionH relativeFrom="page">
              <wp:align>center</wp:align>
            </wp:positionH>
            <wp:positionV relativeFrom="paragraph">
              <wp:posOffset>12065</wp:posOffset>
            </wp:positionV>
            <wp:extent cx="4911725" cy="3456305"/>
            <wp:effectExtent l="0" t="0" r="0" b="0"/>
            <wp:wrapTight wrapText="bothSides">
              <wp:wrapPolygon edited="0">
                <wp:start x="0" y="0"/>
                <wp:lineTo x="0" y="21429"/>
                <wp:lineTo x="21530" y="21429"/>
                <wp:lineTo x="21530" y="0"/>
                <wp:lineTo x="0" y="0"/>
              </wp:wrapPolygon>
            </wp:wrapTight>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4911725" cy="3456305"/>
                    </a:xfrm>
                    <a:prstGeom prst="rect">
                      <a:avLst/>
                    </a:prstGeom>
                    <a:noFill/>
                  </pic:spPr>
                </pic:pic>
              </a:graphicData>
            </a:graphic>
            <wp14:sizeRelH relativeFrom="margin">
              <wp14:pctWidth>0</wp14:pctWidth>
            </wp14:sizeRelH>
            <wp14:sizeRelV relativeFrom="margin">
              <wp14:pctHeight>0</wp14:pctHeight>
            </wp14:sizeRelV>
          </wp:anchor>
        </w:drawing>
      </w:r>
    </w:p>
    <w:p w14:paraId="39F64136" w14:textId="77777777" w:rsidR="007C7AD1" w:rsidRPr="00B62815" w:rsidRDefault="007C7AD1" w:rsidP="007C7AD1">
      <w:pPr>
        <w:jc w:val="center"/>
        <w:rPr>
          <w:rFonts w:asciiTheme="minorHAnsi" w:hAnsiTheme="minorHAnsi" w:cstheme="minorHAnsi"/>
          <w:b/>
          <w:bCs/>
          <w:sz w:val="22"/>
          <w:szCs w:val="22"/>
          <w:u w:val="single"/>
          <w:lang w:val="es-UY"/>
        </w:rPr>
      </w:pPr>
    </w:p>
    <w:p w14:paraId="373075BB" w14:textId="77777777" w:rsidR="007C7AD1" w:rsidRPr="00B62815" w:rsidRDefault="007C7AD1" w:rsidP="007C7AD1">
      <w:pPr>
        <w:jc w:val="center"/>
        <w:rPr>
          <w:rFonts w:asciiTheme="minorHAnsi" w:hAnsiTheme="minorHAnsi" w:cstheme="minorHAnsi"/>
          <w:color w:val="767171"/>
          <w:sz w:val="22"/>
          <w:szCs w:val="22"/>
          <w:lang w:val="es-UY"/>
        </w:rPr>
      </w:pPr>
    </w:p>
    <w:p w14:paraId="59215ADA" w14:textId="77777777" w:rsidR="007C7AD1" w:rsidRPr="00B62815" w:rsidRDefault="007C7AD1" w:rsidP="007C7AD1">
      <w:pPr>
        <w:jc w:val="center"/>
        <w:rPr>
          <w:rFonts w:asciiTheme="minorHAnsi" w:hAnsiTheme="minorHAnsi" w:cstheme="minorHAnsi"/>
          <w:color w:val="767171"/>
          <w:sz w:val="22"/>
          <w:szCs w:val="22"/>
          <w:lang w:val="es-UY"/>
        </w:rPr>
      </w:pPr>
    </w:p>
    <w:p w14:paraId="6FA747D1" w14:textId="77777777" w:rsidR="007C7AD1" w:rsidRPr="00B62815" w:rsidRDefault="007C7AD1" w:rsidP="007C7AD1">
      <w:pPr>
        <w:jc w:val="center"/>
        <w:rPr>
          <w:rFonts w:asciiTheme="minorHAnsi" w:hAnsiTheme="minorHAnsi" w:cstheme="minorHAnsi"/>
          <w:color w:val="767171"/>
          <w:sz w:val="22"/>
          <w:szCs w:val="22"/>
          <w:lang w:val="es-UY"/>
        </w:rPr>
      </w:pPr>
    </w:p>
    <w:p w14:paraId="7F7B08F8" w14:textId="77777777" w:rsidR="007C7AD1" w:rsidRPr="00B62815" w:rsidRDefault="007C7AD1" w:rsidP="007C7AD1">
      <w:pPr>
        <w:rPr>
          <w:rFonts w:asciiTheme="minorHAnsi" w:hAnsiTheme="minorHAnsi" w:cstheme="minorHAnsi"/>
          <w:sz w:val="22"/>
          <w:szCs w:val="22"/>
          <w:lang w:val="es-UY"/>
        </w:rPr>
      </w:pPr>
    </w:p>
    <w:p w14:paraId="2E140F9A" w14:textId="77777777" w:rsidR="007C7AD1" w:rsidRPr="00B62815" w:rsidRDefault="007C7AD1" w:rsidP="007C7AD1">
      <w:pPr>
        <w:rPr>
          <w:rFonts w:asciiTheme="minorHAnsi" w:hAnsiTheme="minorHAnsi" w:cstheme="minorHAnsi"/>
          <w:sz w:val="22"/>
          <w:szCs w:val="22"/>
          <w:lang w:val="es-UY"/>
        </w:rPr>
      </w:pPr>
    </w:p>
    <w:p w14:paraId="52A74403" w14:textId="77777777" w:rsidR="007C7AD1" w:rsidRPr="00B62815" w:rsidRDefault="007C7AD1" w:rsidP="007C7AD1">
      <w:pPr>
        <w:rPr>
          <w:rFonts w:asciiTheme="minorHAnsi" w:hAnsiTheme="minorHAnsi" w:cstheme="minorHAnsi"/>
          <w:sz w:val="22"/>
          <w:szCs w:val="22"/>
          <w:lang w:val="es-UY"/>
        </w:rPr>
      </w:pPr>
    </w:p>
    <w:p w14:paraId="75E90259" w14:textId="77777777" w:rsidR="007C7AD1" w:rsidRPr="00B62815" w:rsidRDefault="007C7AD1" w:rsidP="007C7AD1">
      <w:pPr>
        <w:rPr>
          <w:rFonts w:asciiTheme="minorHAnsi" w:hAnsiTheme="minorHAnsi" w:cstheme="minorHAnsi"/>
          <w:sz w:val="22"/>
          <w:szCs w:val="22"/>
          <w:lang w:val="es-UY"/>
        </w:rPr>
      </w:pPr>
    </w:p>
    <w:p w14:paraId="070C19AE" w14:textId="77777777" w:rsidR="007C7AD1" w:rsidRPr="00B62815" w:rsidRDefault="007C7AD1" w:rsidP="007C7AD1">
      <w:pPr>
        <w:rPr>
          <w:rFonts w:asciiTheme="minorHAnsi" w:hAnsiTheme="minorHAnsi" w:cstheme="minorHAnsi"/>
          <w:sz w:val="22"/>
          <w:szCs w:val="22"/>
          <w:lang w:val="es-UY"/>
        </w:rPr>
      </w:pPr>
    </w:p>
    <w:p w14:paraId="7641D9BC" w14:textId="77777777" w:rsidR="007C7AD1" w:rsidRPr="00B62815" w:rsidRDefault="007C7AD1" w:rsidP="007C7AD1">
      <w:pPr>
        <w:rPr>
          <w:rFonts w:asciiTheme="minorHAnsi" w:hAnsiTheme="minorHAnsi" w:cstheme="minorHAnsi"/>
          <w:sz w:val="22"/>
          <w:szCs w:val="22"/>
          <w:lang w:val="es-UY"/>
        </w:rPr>
      </w:pPr>
    </w:p>
    <w:p w14:paraId="574B03F9" w14:textId="77777777" w:rsidR="007C7AD1" w:rsidRPr="00B62815" w:rsidRDefault="007C7AD1" w:rsidP="007C7AD1">
      <w:pPr>
        <w:rPr>
          <w:rFonts w:asciiTheme="minorHAnsi" w:hAnsiTheme="minorHAnsi" w:cstheme="minorHAnsi"/>
          <w:sz w:val="22"/>
          <w:szCs w:val="22"/>
          <w:lang w:val="es-UY"/>
        </w:rPr>
      </w:pPr>
    </w:p>
    <w:p w14:paraId="73E438E7" w14:textId="77777777" w:rsidR="007C7AD1" w:rsidRPr="00B62815" w:rsidRDefault="007C7AD1" w:rsidP="007C7AD1">
      <w:pPr>
        <w:rPr>
          <w:rFonts w:asciiTheme="minorHAnsi" w:hAnsiTheme="minorHAnsi" w:cstheme="minorHAnsi"/>
          <w:sz w:val="22"/>
          <w:szCs w:val="22"/>
          <w:lang w:val="es-UY"/>
        </w:rPr>
      </w:pPr>
    </w:p>
    <w:p w14:paraId="1567E0C5" w14:textId="77777777" w:rsidR="007C7AD1" w:rsidRPr="00B62815" w:rsidRDefault="007C7AD1" w:rsidP="007C7AD1">
      <w:pPr>
        <w:rPr>
          <w:rFonts w:asciiTheme="minorHAnsi" w:hAnsiTheme="minorHAnsi" w:cstheme="minorHAnsi"/>
          <w:sz w:val="22"/>
          <w:szCs w:val="22"/>
          <w:lang w:val="es-UY"/>
        </w:rPr>
      </w:pPr>
    </w:p>
    <w:p w14:paraId="4D2699F1" w14:textId="77777777" w:rsidR="007C7AD1" w:rsidRPr="00B62815" w:rsidRDefault="007C7AD1" w:rsidP="007C7AD1">
      <w:pPr>
        <w:rPr>
          <w:rFonts w:asciiTheme="minorHAnsi" w:hAnsiTheme="minorHAnsi" w:cstheme="minorHAnsi"/>
          <w:sz w:val="22"/>
          <w:szCs w:val="22"/>
          <w:lang w:val="es-UY"/>
        </w:rPr>
      </w:pPr>
    </w:p>
    <w:p w14:paraId="5CEC8B1D" w14:textId="77777777" w:rsidR="007C7AD1" w:rsidRPr="00B62815" w:rsidRDefault="007C7AD1" w:rsidP="007C7AD1">
      <w:pPr>
        <w:rPr>
          <w:rFonts w:asciiTheme="minorHAnsi" w:hAnsiTheme="minorHAnsi" w:cstheme="minorHAnsi"/>
          <w:sz w:val="22"/>
          <w:szCs w:val="22"/>
          <w:lang w:val="es-UY"/>
        </w:rPr>
      </w:pPr>
    </w:p>
    <w:p w14:paraId="79A1CC32" w14:textId="77777777" w:rsidR="007C7AD1" w:rsidRPr="00B62815" w:rsidRDefault="007C7AD1" w:rsidP="007C7AD1">
      <w:pPr>
        <w:rPr>
          <w:rFonts w:asciiTheme="minorHAnsi" w:hAnsiTheme="minorHAnsi" w:cstheme="minorHAnsi"/>
          <w:sz w:val="22"/>
          <w:szCs w:val="22"/>
          <w:lang w:val="es-UY"/>
        </w:rPr>
      </w:pPr>
    </w:p>
    <w:p w14:paraId="4F23933F" w14:textId="77777777" w:rsidR="007C7AD1" w:rsidRPr="00B62815" w:rsidRDefault="007C7AD1" w:rsidP="007C7AD1">
      <w:pPr>
        <w:rPr>
          <w:rFonts w:asciiTheme="minorHAnsi" w:hAnsiTheme="minorHAnsi" w:cstheme="minorHAnsi"/>
          <w:sz w:val="22"/>
          <w:szCs w:val="22"/>
          <w:lang w:val="es-UY"/>
        </w:rPr>
      </w:pPr>
    </w:p>
    <w:p w14:paraId="22D4C61C" w14:textId="77777777" w:rsidR="007C7AD1" w:rsidRPr="00B62815" w:rsidRDefault="007C7AD1" w:rsidP="007C7AD1">
      <w:pPr>
        <w:rPr>
          <w:rFonts w:asciiTheme="minorHAnsi" w:hAnsiTheme="minorHAnsi" w:cstheme="minorHAnsi"/>
          <w:sz w:val="22"/>
          <w:szCs w:val="22"/>
          <w:lang w:val="es-UY"/>
        </w:rPr>
      </w:pPr>
    </w:p>
    <w:p w14:paraId="57C0DB10" w14:textId="77777777" w:rsidR="007C7AD1" w:rsidRPr="00B62815" w:rsidRDefault="007C7AD1" w:rsidP="007C7AD1">
      <w:pPr>
        <w:rPr>
          <w:rFonts w:asciiTheme="minorHAnsi" w:hAnsiTheme="minorHAnsi" w:cstheme="minorHAnsi"/>
          <w:sz w:val="22"/>
          <w:szCs w:val="22"/>
          <w:lang w:val="es-UY"/>
        </w:rPr>
      </w:pPr>
    </w:p>
    <w:p w14:paraId="1CA0EC2D" w14:textId="77777777" w:rsidR="007C7AD1" w:rsidRPr="00B62815" w:rsidRDefault="007C7AD1" w:rsidP="007C7AD1">
      <w:pPr>
        <w:rPr>
          <w:rFonts w:asciiTheme="minorHAnsi" w:hAnsiTheme="minorHAnsi" w:cstheme="minorHAnsi"/>
          <w:sz w:val="22"/>
          <w:szCs w:val="22"/>
          <w:lang w:val="es-UY"/>
        </w:rPr>
      </w:pPr>
    </w:p>
    <w:p w14:paraId="64913B62" w14:textId="77777777" w:rsidR="007C7AD1" w:rsidRPr="00B62815" w:rsidRDefault="007C7AD1" w:rsidP="007C7AD1">
      <w:pPr>
        <w:rPr>
          <w:rFonts w:asciiTheme="minorHAnsi" w:hAnsiTheme="minorHAnsi" w:cstheme="minorHAnsi"/>
          <w:sz w:val="22"/>
          <w:szCs w:val="22"/>
          <w:lang w:val="es-UY"/>
        </w:rPr>
      </w:pPr>
    </w:p>
    <w:p w14:paraId="36ADAD6C" w14:textId="77777777" w:rsidR="007C7AD1" w:rsidRPr="00B62815" w:rsidRDefault="007C7AD1" w:rsidP="007C7AD1">
      <w:pPr>
        <w:rPr>
          <w:rFonts w:asciiTheme="minorHAnsi" w:hAnsiTheme="minorHAnsi" w:cstheme="minorHAnsi"/>
          <w:sz w:val="22"/>
          <w:szCs w:val="22"/>
          <w:lang w:val="es-UY"/>
        </w:rPr>
      </w:pPr>
    </w:p>
    <w:p w14:paraId="3FE2E2C0" w14:textId="77777777" w:rsidR="008646CD" w:rsidRPr="00B62815" w:rsidRDefault="00C329E8" w:rsidP="00E67635">
      <w:pPr>
        <w:pStyle w:val="ListParagraph"/>
        <w:numPr>
          <w:ilvl w:val="1"/>
          <w:numId w:val="16"/>
        </w:numPr>
        <w:spacing w:after="200" w:line="276" w:lineRule="auto"/>
        <w:ind w:left="0" w:firstLine="0"/>
        <w:contextualSpacing/>
        <w:outlineLvl w:val="1"/>
        <w:rPr>
          <w:rFonts w:asciiTheme="minorHAnsi" w:hAnsiTheme="minorHAnsi" w:cstheme="minorHAnsi"/>
          <w:b/>
          <w:color w:val="1F497D"/>
          <w:sz w:val="22"/>
          <w:szCs w:val="22"/>
          <w:lang w:val="es-ES"/>
        </w:rPr>
      </w:pPr>
      <w:bookmarkStart w:id="81" w:name="_Toc39675856"/>
      <w:bookmarkStart w:id="82" w:name="_Toc40191079"/>
      <w:r w:rsidRPr="00B62815">
        <w:rPr>
          <w:rFonts w:asciiTheme="minorHAnsi" w:hAnsiTheme="minorHAnsi" w:cstheme="minorHAnsi"/>
          <w:b/>
          <w:color w:val="1F497D"/>
          <w:sz w:val="22"/>
          <w:szCs w:val="22"/>
          <w:lang w:val="es-ES"/>
        </w:rPr>
        <w:t>CONSEJERÍA ESTRATÉGICA PARA EL DESARROLLO ORGANIZACIONAL Y LA GESTIÓN POR RESULTADOS</w:t>
      </w:r>
      <w:bookmarkEnd w:id="81"/>
      <w:bookmarkEnd w:id="82"/>
    </w:p>
    <w:p w14:paraId="7E21A368" w14:textId="77777777" w:rsidR="000B4E8B" w:rsidRPr="00B62815" w:rsidRDefault="000B4E8B" w:rsidP="000B4E8B">
      <w:pPr>
        <w:jc w:val="both"/>
        <w:rPr>
          <w:rFonts w:asciiTheme="minorHAnsi" w:hAnsiTheme="minorHAnsi" w:cstheme="minorHAnsi"/>
          <w:sz w:val="22"/>
          <w:szCs w:val="22"/>
          <w:lang w:val="es-ES"/>
        </w:rPr>
      </w:pPr>
      <w:r w:rsidRPr="00B62815">
        <w:rPr>
          <w:rFonts w:asciiTheme="minorHAnsi" w:eastAsia="Times New Roman" w:hAnsiTheme="minorHAnsi" w:cstheme="minorHAnsi"/>
          <w:color w:val="000000"/>
          <w:sz w:val="22"/>
          <w:szCs w:val="22"/>
          <w:lang w:val="es-ES"/>
        </w:rPr>
        <w:t>La Consejería Estratégica para el Desarrollo Organizacional y la Gestión por Resultados (CEDOGR) continuó brindando insumos a los cuerpos políticos para la clarificación y aprobación de la información complementaria del Plan Estratégico Integral, así como  la relativa a la situación actual de los mandatos de la Organización; logró avances importantes en la implementación del Programa de Desarrollo Organizacional -para contribuir</w:t>
      </w:r>
      <w:r w:rsidRPr="00B62815">
        <w:rPr>
          <w:rFonts w:asciiTheme="minorHAnsi" w:hAnsiTheme="minorHAnsi" w:cstheme="minorHAnsi"/>
          <w:sz w:val="22"/>
          <w:szCs w:val="22"/>
          <w:lang w:val="es-ES"/>
        </w:rPr>
        <w:t xml:space="preserve"> al proceso de transformación y fortalecimiento de la OEA- orientado a: i) realinear el capital humano a los objetivos organizacionales; ii) romper los silos, promover la innovación y trabajar más colaborativamente; iii) mejorar los niveles de eficiencia de la Organización; y iv) mejorar el ambiente de trabajo de la OEA/GS. </w:t>
      </w:r>
    </w:p>
    <w:p w14:paraId="6B86CDCE" w14:textId="77777777" w:rsidR="000B4E8B" w:rsidRPr="00B62815" w:rsidRDefault="000B4E8B" w:rsidP="000B4E8B">
      <w:pPr>
        <w:jc w:val="both"/>
        <w:rPr>
          <w:rFonts w:asciiTheme="minorHAnsi" w:eastAsia="Times New Roman" w:hAnsiTheme="minorHAnsi" w:cstheme="minorHAnsi"/>
          <w:sz w:val="22"/>
          <w:szCs w:val="22"/>
          <w:lang w:val="es-PE"/>
        </w:rPr>
      </w:pPr>
    </w:p>
    <w:p w14:paraId="2D924FF3" w14:textId="77777777" w:rsidR="000B4E8B" w:rsidRPr="00B62815" w:rsidRDefault="000B4E8B" w:rsidP="000B4E8B">
      <w:pPr>
        <w:jc w:val="both"/>
        <w:rPr>
          <w:rFonts w:asciiTheme="minorHAnsi" w:hAnsiTheme="minorHAnsi" w:cstheme="minorHAnsi"/>
          <w:sz w:val="22"/>
          <w:szCs w:val="22"/>
          <w:lang w:val="es-ES_tradnl"/>
        </w:rPr>
      </w:pPr>
      <w:r w:rsidRPr="00B62815">
        <w:rPr>
          <w:rFonts w:asciiTheme="minorHAnsi" w:hAnsiTheme="minorHAnsi" w:cstheme="minorHAnsi"/>
          <w:sz w:val="22"/>
          <w:szCs w:val="22"/>
          <w:lang w:val="es-PE"/>
        </w:rPr>
        <w:t xml:space="preserve">CEDOGR contribuyó también al </w:t>
      </w:r>
      <w:r w:rsidRPr="00B62815">
        <w:rPr>
          <w:rFonts w:asciiTheme="minorHAnsi" w:hAnsiTheme="minorHAnsi" w:cstheme="minorHAnsi"/>
          <w:sz w:val="22"/>
          <w:szCs w:val="22"/>
          <w:lang w:val="es-ES_tradnl"/>
        </w:rPr>
        <w:t xml:space="preserve">fortalecimiento de las contribuciones voluntarias a proyectos de la Secretaría General, las cuales ascendieron a un total de $61 millones y realizó esfuerzos para atraer nuevos Estados Observadores a la OEA, actores del sector privado y fundaciones de países Observadores para diversificar donantes y apalancar recursos. </w:t>
      </w:r>
      <w:r w:rsidRPr="00B62815">
        <w:rPr>
          <w:rFonts w:asciiTheme="minorHAnsi" w:hAnsiTheme="minorHAnsi" w:cstheme="minorHAnsi"/>
          <w:sz w:val="22"/>
          <w:szCs w:val="22"/>
          <w:lang w:val="es-PE"/>
        </w:rPr>
        <w:t xml:space="preserve">Asimismo, </w:t>
      </w:r>
      <w:r w:rsidRPr="00B62815">
        <w:rPr>
          <w:rFonts w:asciiTheme="minorHAnsi" w:hAnsiTheme="minorHAnsi" w:cstheme="minorHAnsi"/>
          <w:sz w:val="22"/>
          <w:szCs w:val="22"/>
          <w:lang w:val="es-ES_tradnl"/>
        </w:rPr>
        <w:t xml:space="preserve">avanzó en la ejecución de la estrategia de comunicación interna y externa que tiene como fin contribuir a que OEA sea percibida por actores externos e internos como un referente en temas de democracia, derechos humanos, seguridad multidimensional y desarrollo integral. </w:t>
      </w:r>
    </w:p>
    <w:p w14:paraId="6111D758" w14:textId="77777777" w:rsidR="000B4E8B" w:rsidRPr="00B62815" w:rsidRDefault="000B4E8B" w:rsidP="000B4E8B">
      <w:pPr>
        <w:pStyle w:val="NoSpacing"/>
        <w:spacing w:line="276" w:lineRule="auto"/>
        <w:jc w:val="both"/>
        <w:rPr>
          <w:rFonts w:asciiTheme="minorHAnsi" w:hAnsiTheme="minorHAnsi" w:cstheme="minorHAnsi"/>
          <w:lang w:val="es-ES_tradnl"/>
        </w:rPr>
      </w:pPr>
    </w:p>
    <w:p w14:paraId="047F4269" w14:textId="77777777" w:rsidR="000B4E8B" w:rsidRPr="00B62815" w:rsidRDefault="000B4E8B" w:rsidP="000B4E8B">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La Oficina del Consejero Estratégico para el Desarrollo Organizacional y la Gestión por Resultados también atendió los requerimientos de otras áreas de la SG tales como la participación en Misiones Especiales (ej. CICIES); en la Escuela de Gobierno; en proyectos de Competitividad de SEDI; y de difusión de los programas de la SG/OEA como invitado en diferentes seminarios y conferencias.</w:t>
      </w:r>
    </w:p>
    <w:p w14:paraId="212357CA" w14:textId="77777777" w:rsidR="000B4E8B" w:rsidRPr="00B62815" w:rsidRDefault="000B4E8B" w:rsidP="000B4E8B">
      <w:pPr>
        <w:jc w:val="both"/>
        <w:rPr>
          <w:rFonts w:asciiTheme="minorHAnsi" w:eastAsia="Calibri" w:hAnsiTheme="minorHAnsi" w:cstheme="minorHAnsi"/>
          <w:sz w:val="22"/>
          <w:szCs w:val="22"/>
          <w:lang w:val="es-ES"/>
        </w:rPr>
      </w:pPr>
    </w:p>
    <w:p w14:paraId="63EBA936" w14:textId="77777777" w:rsidR="000B4E8B" w:rsidRPr="00B62815" w:rsidRDefault="000B4E8B" w:rsidP="000B4E8B">
      <w:pPr>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Los resultados alcanzados en el 2019 se presentan bajo las siguientes áreas de CEDOGR:</w:t>
      </w:r>
    </w:p>
    <w:p w14:paraId="62C76BBC" w14:textId="77777777" w:rsidR="000B4E8B" w:rsidRPr="00B62815" w:rsidRDefault="000B4E8B" w:rsidP="000B4E8B">
      <w:pPr>
        <w:jc w:val="both"/>
        <w:rPr>
          <w:rFonts w:asciiTheme="minorHAnsi" w:hAnsiTheme="minorHAnsi" w:cstheme="minorHAnsi"/>
          <w:sz w:val="22"/>
          <w:szCs w:val="22"/>
          <w:lang w:val="es-ES_tradnl"/>
        </w:rPr>
      </w:pPr>
    </w:p>
    <w:p w14:paraId="177CF373" w14:textId="77777777" w:rsidR="000B4E8B" w:rsidRPr="00B62815" w:rsidRDefault="000B4E8B" w:rsidP="000B4E8B">
      <w:pPr>
        <w:pStyle w:val="Heading3"/>
        <w:spacing w:before="0" w:after="0"/>
        <w:rPr>
          <w:rFonts w:asciiTheme="minorHAnsi" w:hAnsiTheme="minorHAnsi" w:cstheme="minorHAnsi"/>
          <w:b w:val="0"/>
          <w:color w:val="E36C0A"/>
          <w:sz w:val="22"/>
          <w:szCs w:val="22"/>
          <w:lang w:val="es-ES_tradnl"/>
        </w:rPr>
      </w:pPr>
      <w:bookmarkStart w:id="83" w:name="_Toc39675857"/>
      <w:bookmarkStart w:id="84" w:name="_Toc40191080"/>
      <w:r w:rsidRPr="00B62815">
        <w:rPr>
          <w:rFonts w:asciiTheme="minorHAnsi" w:hAnsiTheme="minorHAnsi" w:cstheme="minorHAnsi"/>
          <w:b w:val="0"/>
          <w:color w:val="E36C0A"/>
          <w:sz w:val="22"/>
          <w:szCs w:val="22"/>
          <w:lang w:val="es-ES_tradnl"/>
        </w:rPr>
        <w:t>2.10.1</w:t>
      </w:r>
      <w:r w:rsidRPr="00B62815">
        <w:rPr>
          <w:rFonts w:asciiTheme="minorHAnsi" w:hAnsiTheme="minorHAnsi" w:cstheme="minorHAnsi"/>
          <w:b w:val="0"/>
          <w:color w:val="E36C0A"/>
          <w:sz w:val="22"/>
          <w:szCs w:val="22"/>
          <w:lang w:val="es-ES_tradnl"/>
        </w:rPr>
        <w:tab/>
        <w:t>Departamento de Planeación y Evaluación</w:t>
      </w:r>
      <w:bookmarkEnd w:id="83"/>
      <w:bookmarkEnd w:id="84"/>
    </w:p>
    <w:p w14:paraId="2F9448B0" w14:textId="77777777" w:rsidR="000B4E8B" w:rsidRPr="00B62815" w:rsidRDefault="000B4E8B" w:rsidP="000B4E8B">
      <w:pPr>
        <w:jc w:val="center"/>
        <w:rPr>
          <w:rFonts w:asciiTheme="minorHAnsi" w:hAnsiTheme="minorHAnsi" w:cstheme="minorHAnsi"/>
          <w:b/>
          <w:sz w:val="22"/>
          <w:szCs w:val="22"/>
          <w:lang w:val="es-ES_tradnl"/>
        </w:rPr>
      </w:pPr>
    </w:p>
    <w:p w14:paraId="66B54D78" w14:textId="77777777" w:rsidR="000B4E8B" w:rsidRPr="00B62815" w:rsidRDefault="000B4E8B" w:rsidP="000B4E8B">
      <w:pPr>
        <w:shd w:val="clear" w:color="auto" w:fill="FFFFFF"/>
        <w:autoSpaceDE w:val="0"/>
        <w:autoSpaceDN w:val="0"/>
        <w:adjustRightInd w:val="0"/>
        <w:spacing w:after="100" w:afterAutospacing="1"/>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 xml:space="preserve">El Departamento de Planificación y Evaluación (DPE) brindó asesoría técnica al Consejo Permanente (CP) y a sus Comisiones Permanentes, en respuesta a los mandatos de la Asamblea General y a las solicitudes del Consejo Permanente y sus Cuerpos Políticos; </w:t>
      </w:r>
      <w:r w:rsidRPr="00B62815">
        <w:rPr>
          <w:rFonts w:asciiTheme="minorHAnsi" w:hAnsiTheme="minorHAnsi" w:cstheme="minorHAnsi"/>
          <w:sz w:val="22"/>
          <w:szCs w:val="22"/>
          <w:lang w:val="es-PE"/>
        </w:rPr>
        <w:t>apoyó a las áreas técnicas responsables de las líneas estratégicas y objetivos en la compilación del Plan estratégico Integral.</w:t>
      </w:r>
      <w:r w:rsidRPr="00B62815">
        <w:rPr>
          <w:rFonts w:asciiTheme="minorHAnsi" w:eastAsia="Times New Roman" w:hAnsiTheme="minorHAnsi" w:cstheme="minorHAnsi"/>
          <w:color w:val="000000"/>
          <w:kern w:val="24"/>
          <w:sz w:val="22"/>
          <w:szCs w:val="22"/>
          <w:lang w:val="es-PE"/>
        </w:rPr>
        <w:t xml:space="preserve"> </w:t>
      </w:r>
      <w:r w:rsidRPr="00B62815">
        <w:rPr>
          <w:rFonts w:asciiTheme="minorHAnsi" w:hAnsiTheme="minorHAnsi" w:cstheme="minorHAnsi"/>
          <w:sz w:val="22"/>
          <w:szCs w:val="22"/>
          <w:lang w:val="es-ES_tradnl"/>
        </w:rPr>
        <w:t>Asimismo</w:t>
      </w:r>
      <w:r w:rsidRPr="00B62815">
        <w:rPr>
          <w:rFonts w:asciiTheme="minorHAnsi" w:hAnsiTheme="minorHAnsi" w:cstheme="minorHAnsi"/>
          <w:sz w:val="22"/>
          <w:szCs w:val="22"/>
          <w:lang w:val="es-PE"/>
        </w:rPr>
        <w:t xml:space="preserve">, comunicó al </w:t>
      </w:r>
      <w:r w:rsidRPr="00B62815">
        <w:rPr>
          <w:rFonts w:asciiTheme="minorHAnsi" w:hAnsiTheme="minorHAnsi" w:cstheme="minorHAnsi"/>
          <w:sz w:val="22"/>
          <w:szCs w:val="22"/>
          <w:lang w:val="es-ES_tradnl"/>
        </w:rPr>
        <w:t>Consejo Permanente</w:t>
      </w:r>
      <w:r w:rsidRPr="00B62815">
        <w:rPr>
          <w:rFonts w:asciiTheme="minorHAnsi" w:hAnsiTheme="minorHAnsi" w:cstheme="minorHAnsi"/>
          <w:sz w:val="22"/>
          <w:szCs w:val="22"/>
          <w:lang w:val="es-PE"/>
        </w:rPr>
        <w:t xml:space="preserve"> sobre los avances del proceso del Plan Estratégico, resoluciones y solicitudes de los Cuerpos Políticos. </w:t>
      </w:r>
    </w:p>
    <w:p w14:paraId="5469E403" w14:textId="77777777" w:rsidR="000B4E8B" w:rsidRPr="00B62815" w:rsidRDefault="000B4E8B" w:rsidP="000B4E8B">
      <w:pPr>
        <w:shd w:val="clear" w:color="auto" w:fill="FFFFFF"/>
        <w:autoSpaceDE w:val="0"/>
        <w:autoSpaceDN w:val="0"/>
        <w:adjustRightInd w:val="0"/>
        <w:jc w:val="both"/>
        <w:rPr>
          <w:rFonts w:asciiTheme="minorHAnsi" w:hAnsiTheme="minorHAnsi" w:cstheme="minorHAnsi"/>
          <w:sz w:val="22"/>
          <w:szCs w:val="22"/>
          <w:lang w:val="es-ES_tradnl"/>
        </w:rPr>
      </w:pPr>
      <w:r w:rsidRPr="00B62815">
        <w:rPr>
          <w:rFonts w:asciiTheme="minorHAnsi" w:hAnsiTheme="minorHAnsi" w:cstheme="minorHAnsi"/>
          <w:sz w:val="22"/>
          <w:szCs w:val="22"/>
          <w:lang w:val="es-ES_tradnl"/>
        </w:rPr>
        <w:t xml:space="preserve">A través de su sección de Gestión de Proyectos, continuó fortaleciendo capacidades en la formulación y seguimiento de proyectos mediante la capacitación de funcionarios y representantes de las misiones permanentes ante la Organización. Con el apoyo del Comité de Evaluación de proyectos (CEP) y la coordinación en el desarrollo de evaluaciones externas independientes y el desarrollo de herramientas de seguimiento a las recomendaciones de evaluaciones externas, se mejoraron los procesos a la supervisión y rendición de cuentas de la Organización y a la utilización de la Gestión Basada en Resultados.  </w:t>
      </w:r>
    </w:p>
    <w:p w14:paraId="7D5D24BF" w14:textId="77777777" w:rsidR="000B4E8B" w:rsidRPr="00B62815" w:rsidRDefault="000B4E8B" w:rsidP="000B4E8B">
      <w:pPr>
        <w:spacing w:after="120"/>
        <w:rPr>
          <w:rFonts w:asciiTheme="minorHAnsi" w:hAnsiTheme="minorHAnsi" w:cstheme="minorHAnsi"/>
          <w:sz w:val="22"/>
          <w:szCs w:val="22"/>
          <w:lang w:val="es-ES_tradnl"/>
        </w:rPr>
      </w:pPr>
    </w:p>
    <w:p w14:paraId="7957B589" w14:textId="650930C5" w:rsidR="000B4E8B" w:rsidRPr="00B62815" w:rsidRDefault="000B4E8B" w:rsidP="000B4E8B">
      <w:pPr>
        <w:spacing w:after="120"/>
        <w:rPr>
          <w:rStyle w:val="Hyperlink"/>
          <w:rFonts w:asciiTheme="minorHAnsi" w:hAnsiTheme="minorHAnsi" w:cstheme="minorHAnsi"/>
          <w:sz w:val="22"/>
          <w:szCs w:val="22"/>
          <w:lang w:val="es-ES_tradnl"/>
        </w:rPr>
      </w:pPr>
      <w:r w:rsidRPr="00B62815">
        <w:rPr>
          <w:rFonts w:asciiTheme="minorHAnsi" w:hAnsiTheme="minorHAnsi" w:cstheme="minorHAnsi"/>
          <w:sz w:val="22"/>
          <w:szCs w:val="22"/>
          <w:lang w:val="es-ES_tradnl"/>
        </w:rPr>
        <w:t xml:space="preserve">A </w:t>
      </w:r>
      <w:r w:rsidR="00665873" w:rsidRPr="00B62815">
        <w:rPr>
          <w:rFonts w:asciiTheme="minorHAnsi" w:hAnsiTheme="minorHAnsi" w:cstheme="minorHAnsi"/>
          <w:sz w:val="22"/>
          <w:szCs w:val="22"/>
          <w:lang w:val="es-ES_tradnl"/>
        </w:rPr>
        <w:t>continuación,</w:t>
      </w:r>
      <w:r w:rsidRPr="00B62815">
        <w:rPr>
          <w:rFonts w:asciiTheme="minorHAnsi" w:hAnsiTheme="minorHAnsi" w:cstheme="minorHAnsi"/>
          <w:sz w:val="22"/>
          <w:szCs w:val="22"/>
          <w:lang w:val="es-ES_tradnl"/>
        </w:rPr>
        <w:t xml:space="preserve"> se destacan los logros alcanzados: </w:t>
      </w:r>
    </w:p>
    <w:p w14:paraId="34DC363E" w14:textId="77777777" w:rsidR="000B4E8B" w:rsidRPr="00B62815" w:rsidRDefault="000B4E8B" w:rsidP="000B4E8B">
      <w:pPr>
        <w:rPr>
          <w:rFonts w:asciiTheme="minorHAnsi" w:hAnsiTheme="minorHAnsi" w:cstheme="minorHAnsi"/>
          <w:b/>
          <w:sz w:val="22"/>
          <w:szCs w:val="22"/>
          <w:lang w:val="es-ES_tradnl"/>
        </w:rPr>
      </w:pPr>
    </w:p>
    <w:p w14:paraId="7F19AA88" w14:textId="2CA0E5E3" w:rsidR="000B4E8B" w:rsidRDefault="000B4E8B" w:rsidP="000B4E8B">
      <w:pPr>
        <w:rPr>
          <w:rFonts w:asciiTheme="minorHAnsi" w:hAnsiTheme="minorHAnsi" w:cstheme="minorHAnsi"/>
          <w:b/>
          <w:sz w:val="22"/>
          <w:szCs w:val="22"/>
          <w:lang w:val="es-ES_tradnl"/>
        </w:rPr>
      </w:pPr>
      <w:r w:rsidRPr="00B62815">
        <w:rPr>
          <w:rFonts w:asciiTheme="minorHAnsi" w:hAnsiTheme="minorHAnsi" w:cstheme="minorHAnsi"/>
          <w:b/>
          <w:sz w:val="22"/>
          <w:szCs w:val="22"/>
          <w:lang w:val="es-ES_tradnl"/>
        </w:rPr>
        <w:t>Sección de Apoyo a la Planificación, Presupuesto y Seguimiento de Mandatos:</w:t>
      </w:r>
    </w:p>
    <w:p w14:paraId="339FF3A8" w14:textId="77777777" w:rsidR="00665873" w:rsidRPr="00B62815" w:rsidRDefault="00665873" w:rsidP="000B4E8B">
      <w:pPr>
        <w:rPr>
          <w:rFonts w:asciiTheme="minorHAnsi" w:hAnsiTheme="minorHAnsi" w:cstheme="minorHAnsi"/>
          <w:b/>
          <w:sz w:val="22"/>
          <w:szCs w:val="22"/>
          <w:lang w:val="es-ES_tradnl"/>
        </w:rPr>
      </w:pPr>
    </w:p>
    <w:p w14:paraId="16B02496" w14:textId="1A5344BB" w:rsidR="000B4E8B" w:rsidRDefault="000B4E8B" w:rsidP="000B4E8B">
      <w:pPr>
        <w:numPr>
          <w:ilvl w:val="0"/>
          <w:numId w:val="23"/>
        </w:numPr>
        <w:ind w:left="284" w:hanging="284"/>
        <w:rPr>
          <w:rFonts w:asciiTheme="minorHAnsi" w:eastAsia="Times New Roman" w:hAnsiTheme="minorHAnsi" w:cstheme="minorHAnsi"/>
          <w:sz w:val="22"/>
          <w:szCs w:val="22"/>
          <w:lang w:val="es-ES_tradnl" w:eastAsia="es-ES"/>
        </w:rPr>
      </w:pPr>
      <w:r w:rsidRPr="00F43808">
        <w:rPr>
          <w:rFonts w:asciiTheme="minorHAnsi" w:eastAsia="Times New Roman" w:hAnsiTheme="minorHAnsi" w:cstheme="minorHAnsi"/>
          <w:sz w:val="22"/>
          <w:szCs w:val="22"/>
          <w:lang w:eastAsia="es-ES"/>
        </w:rPr>
        <w:t xml:space="preserve">Un (1) Strategic Planning System (STPS): </w:t>
      </w:r>
      <w:hyperlink r:id="rId154" w:history="1">
        <w:r w:rsidRPr="00F43808">
          <w:rPr>
            <w:rFonts w:asciiTheme="minorHAnsi" w:eastAsia="Times New Roman" w:hAnsiTheme="minorHAnsi" w:cstheme="minorHAnsi"/>
            <w:color w:val="0000FF"/>
            <w:sz w:val="22"/>
            <w:szCs w:val="22"/>
            <w:u w:val="single"/>
            <w:lang w:eastAsia="es-ES"/>
          </w:rPr>
          <w:t>http://services/stps/</w:t>
        </w:r>
      </w:hyperlink>
      <w:r w:rsidRPr="00F43808">
        <w:rPr>
          <w:rFonts w:asciiTheme="minorHAnsi" w:eastAsia="Times New Roman" w:hAnsiTheme="minorHAnsi" w:cstheme="minorHAnsi"/>
          <w:sz w:val="22"/>
          <w:szCs w:val="22"/>
          <w:lang w:eastAsia="es-ES"/>
        </w:rPr>
        <w:t xml:space="preserve"> desarrollado.  </w:t>
      </w:r>
      <w:r w:rsidRPr="00B62815">
        <w:rPr>
          <w:rFonts w:asciiTheme="minorHAnsi" w:eastAsia="Times New Roman" w:hAnsiTheme="minorHAnsi" w:cstheme="minorHAnsi"/>
          <w:sz w:val="22"/>
          <w:szCs w:val="22"/>
          <w:lang w:val="es-ES_tradnl" w:eastAsia="es-ES"/>
        </w:rPr>
        <w:t xml:space="preserve">Ciento nueve (109) usuarios del STPS (personal de la SG) capacitados en la recopilación de insumos asociados a los resultados del plan estratégico. </w:t>
      </w:r>
    </w:p>
    <w:p w14:paraId="07808577" w14:textId="77777777" w:rsidR="00665873" w:rsidRPr="00B62815" w:rsidRDefault="00665873" w:rsidP="00665873">
      <w:pPr>
        <w:ind w:left="284"/>
        <w:rPr>
          <w:rFonts w:asciiTheme="minorHAnsi" w:eastAsia="Times New Roman" w:hAnsiTheme="minorHAnsi" w:cstheme="minorHAnsi"/>
          <w:sz w:val="22"/>
          <w:szCs w:val="22"/>
          <w:lang w:val="es-ES_tradnl" w:eastAsia="es-ES"/>
        </w:rPr>
      </w:pPr>
    </w:p>
    <w:p w14:paraId="7E7847A9" w14:textId="77777777" w:rsidR="000B4E8B" w:rsidRPr="00B62815" w:rsidRDefault="000B4E8B" w:rsidP="00843BD7">
      <w:pPr>
        <w:numPr>
          <w:ilvl w:val="0"/>
          <w:numId w:val="23"/>
        </w:numPr>
        <w:ind w:left="284" w:hanging="284"/>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Documentos actualizados y publicados en la página de “Rendición de Cuentas” de la Organización:</w:t>
      </w:r>
    </w:p>
    <w:p w14:paraId="67620EEF" w14:textId="77777777" w:rsidR="00843BD7" w:rsidRPr="00B62815" w:rsidRDefault="00843BD7" w:rsidP="00843BD7">
      <w:pPr>
        <w:ind w:left="284"/>
        <w:rPr>
          <w:rFonts w:asciiTheme="minorHAnsi" w:eastAsia="Times New Roman" w:hAnsiTheme="minorHAnsi" w:cstheme="minorHAnsi"/>
          <w:sz w:val="22"/>
          <w:szCs w:val="22"/>
          <w:lang w:val="es-ES_tradnl" w:eastAsia="es-ES"/>
        </w:rPr>
      </w:pPr>
    </w:p>
    <w:p w14:paraId="37E3E06F" w14:textId="77777777" w:rsidR="000B4E8B" w:rsidRPr="00B62815" w:rsidRDefault="000B4E8B" w:rsidP="00AF0D93">
      <w:pPr>
        <w:numPr>
          <w:ilvl w:val="0"/>
          <w:numId w:val="105"/>
        </w:numPr>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bCs/>
          <w:sz w:val="22"/>
          <w:szCs w:val="22"/>
          <w:lang w:val="es-ES" w:eastAsia="es-ES"/>
        </w:rPr>
        <w:t>Compilación del Plan Estratégico Integral OEA 2019, </w:t>
      </w:r>
      <w:r w:rsidRPr="00B62815">
        <w:rPr>
          <w:rFonts w:asciiTheme="minorHAnsi" w:eastAsia="Times New Roman" w:hAnsiTheme="minorHAnsi" w:cstheme="minorHAnsi"/>
          <w:sz w:val="22"/>
          <w:szCs w:val="22"/>
          <w:lang w:val="es-ES" w:eastAsia="es-ES"/>
        </w:rPr>
        <w:t>documento</w:t>
      </w:r>
      <w:r w:rsidRPr="00B62815">
        <w:rPr>
          <w:rFonts w:asciiTheme="minorHAnsi" w:eastAsia="Times New Roman" w:hAnsiTheme="minorHAnsi" w:cstheme="minorHAnsi"/>
          <w:bCs/>
          <w:sz w:val="22"/>
          <w:szCs w:val="22"/>
          <w:lang w:val="es-ES" w:eastAsia="es-ES"/>
        </w:rPr>
        <w:t> </w:t>
      </w:r>
      <w:r w:rsidRPr="00B62815">
        <w:rPr>
          <w:rFonts w:asciiTheme="minorHAnsi" w:eastAsia="Times New Roman" w:hAnsiTheme="minorHAnsi" w:cstheme="minorHAnsi"/>
          <w:sz w:val="22"/>
          <w:szCs w:val="22"/>
          <w:lang w:val="es-ES" w:eastAsia="es-ES"/>
        </w:rPr>
        <w:t>que presenta el proceso histórico de la elaboración del plan, su estructura y compila las matrices por pilar y áreas de soporte: </w:t>
      </w:r>
      <w:hyperlink r:id="rId155" w:history="1">
        <w:r w:rsidRPr="00B62815">
          <w:rPr>
            <w:rFonts w:asciiTheme="minorHAnsi" w:eastAsia="Times New Roman" w:hAnsiTheme="minorHAnsi" w:cstheme="minorHAnsi"/>
            <w:color w:val="0000FF"/>
            <w:sz w:val="22"/>
            <w:szCs w:val="22"/>
            <w:u w:val="single"/>
            <w:lang w:val="es-ES" w:eastAsia="es-ES"/>
          </w:rPr>
          <w:t>CP/doc.5469/19</w:t>
        </w:r>
      </w:hyperlink>
      <w:r w:rsidRPr="00B62815">
        <w:rPr>
          <w:rFonts w:asciiTheme="minorHAnsi" w:eastAsia="Times New Roman" w:hAnsiTheme="minorHAnsi" w:cstheme="minorHAnsi"/>
          <w:sz w:val="22"/>
          <w:szCs w:val="22"/>
          <w:lang w:val="es-ES_tradnl" w:eastAsia="es-ES"/>
        </w:rPr>
        <w:t xml:space="preserve"> </w:t>
      </w:r>
    </w:p>
    <w:p w14:paraId="3C25D499" w14:textId="77777777" w:rsidR="000B4E8B" w:rsidRPr="00B62815" w:rsidRDefault="000B4E8B" w:rsidP="00AF0D93">
      <w:pPr>
        <w:numPr>
          <w:ilvl w:val="0"/>
          <w:numId w:val="105"/>
        </w:numPr>
        <w:rPr>
          <w:rFonts w:asciiTheme="minorHAnsi" w:eastAsia="Times New Roman" w:hAnsiTheme="minorHAnsi" w:cstheme="minorHAnsi"/>
          <w:bCs/>
          <w:sz w:val="22"/>
          <w:szCs w:val="22"/>
          <w:lang w:val="es-ES_tradnl" w:eastAsia="es-ES"/>
        </w:rPr>
      </w:pPr>
      <w:r w:rsidRPr="00B62815">
        <w:rPr>
          <w:rFonts w:asciiTheme="minorHAnsi" w:eastAsia="Times New Roman" w:hAnsiTheme="minorHAnsi" w:cstheme="minorHAnsi"/>
          <w:bCs/>
          <w:sz w:val="22"/>
          <w:szCs w:val="22"/>
          <w:lang w:val="es-ES" w:eastAsia="es-ES"/>
        </w:rPr>
        <w:t>Planeación Estratégica de la Organización: </w:t>
      </w:r>
      <w:hyperlink r:id="rId156" w:history="1">
        <w:r w:rsidRPr="00B62815">
          <w:rPr>
            <w:rFonts w:asciiTheme="minorHAnsi" w:eastAsia="Times New Roman" w:hAnsiTheme="minorHAnsi" w:cstheme="minorHAnsi"/>
            <w:bCs/>
            <w:color w:val="0000FF"/>
            <w:sz w:val="22"/>
            <w:szCs w:val="22"/>
            <w:u w:val="single"/>
            <w:lang w:val="es-ES" w:eastAsia="es-ES"/>
          </w:rPr>
          <w:t>CP/RES. 1121 (2209/19)</w:t>
        </w:r>
      </w:hyperlink>
      <w:r w:rsidRPr="00B62815">
        <w:rPr>
          <w:rFonts w:asciiTheme="minorHAnsi" w:eastAsia="Times New Roman" w:hAnsiTheme="minorHAnsi" w:cstheme="minorHAnsi"/>
          <w:bCs/>
          <w:sz w:val="22"/>
          <w:szCs w:val="22"/>
          <w:lang w:val="es-ES" w:eastAsia="es-ES"/>
        </w:rPr>
        <w:t>, resolución aprobada por el Consejo Permanente el pasado miércoles 13 de Marzo del 2019 durante su sesión ordinaria.</w:t>
      </w:r>
    </w:p>
    <w:p w14:paraId="1259B5FF" w14:textId="77777777" w:rsidR="000B4E8B" w:rsidRPr="00B62815" w:rsidRDefault="000B4E8B" w:rsidP="00AF0D93">
      <w:pPr>
        <w:numPr>
          <w:ilvl w:val="0"/>
          <w:numId w:val="105"/>
        </w:numPr>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bCs/>
          <w:sz w:val="22"/>
          <w:szCs w:val="22"/>
          <w:lang w:val="es-ES" w:eastAsia="es-ES"/>
        </w:rPr>
        <w:t>Informe relacionado con el Plan Estratégico</w:t>
      </w:r>
      <w:r w:rsidRPr="00B62815">
        <w:rPr>
          <w:rFonts w:asciiTheme="minorHAnsi" w:eastAsia="Times New Roman" w:hAnsiTheme="minorHAnsi" w:cstheme="minorHAnsi"/>
          <w:b/>
          <w:bCs/>
          <w:sz w:val="22"/>
          <w:szCs w:val="22"/>
          <w:lang w:val="es-ES" w:eastAsia="es-ES"/>
        </w:rPr>
        <w:t xml:space="preserve">  </w:t>
      </w:r>
      <w:r w:rsidRPr="00B62815">
        <w:rPr>
          <w:rFonts w:asciiTheme="minorHAnsi" w:eastAsia="Times New Roman" w:hAnsiTheme="minorHAnsi" w:cstheme="minorHAnsi"/>
          <w:bCs/>
          <w:sz w:val="22"/>
          <w:szCs w:val="22"/>
          <w:lang w:val="es-ES" w:eastAsia="es-ES"/>
        </w:rPr>
        <w:t xml:space="preserve">Documento CAAP/GT/RVPP-422/19 </w:t>
      </w:r>
      <w:r w:rsidRPr="00B62815">
        <w:rPr>
          <w:rFonts w:asciiTheme="minorHAnsi" w:eastAsia="Times New Roman" w:hAnsiTheme="minorHAnsi" w:cstheme="minorHAnsi"/>
          <w:sz w:val="22"/>
          <w:szCs w:val="22"/>
          <w:lang w:val="es-ES" w:eastAsia="es-ES"/>
        </w:rPr>
        <w:t> </w:t>
      </w:r>
      <w:hyperlink r:id="rId157" w:history="1">
        <w:r w:rsidRPr="00B62815">
          <w:rPr>
            <w:rFonts w:asciiTheme="minorHAnsi" w:eastAsia="Times New Roman" w:hAnsiTheme="minorHAnsi" w:cstheme="minorHAnsi"/>
            <w:color w:val="0000FF"/>
            <w:sz w:val="22"/>
            <w:szCs w:val="22"/>
            <w:u w:val="single"/>
            <w:lang w:val="es-ES" w:eastAsia="es-ES"/>
          </w:rPr>
          <w:t>al 30 de septiembre de 2019</w:t>
        </w:r>
      </w:hyperlink>
      <w:r w:rsidRPr="00B62815">
        <w:rPr>
          <w:rFonts w:asciiTheme="minorHAnsi" w:eastAsia="Times New Roman" w:hAnsiTheme="minorHAnsi" w:cstheme="minorHAnsi"/>
          <w:sz w:val="22"/>
          <w:szCs w:val="22"/>
          <w:lang w:val="es-ES" w:eastAsia="es-ES"/>
        </w:rPr>
        <w:t xml:space="preserve"> y Reporte de </w:t>
      </w:r>
      <w:hyperlink r:id="rId158" w:history="1">
        <w:r w:rsidRPr="00B62815">
          <w:rPr>
            <w:rFonts w:asciiTheme="minorHAnsi" w:eastAsia="Times New Roman" w:hAnsiTheme="minorHAnsi" w:cstheme="minorHAnsi"/>
            <w:color w:val="0000FF"/>
            <w:sz w:val="22"/>
            <w:szCs w:val="22"/>
            <w:u w:val="single"/>
            <w:lang w:val="es-ES" w:eastAsia="es-ES"/>
          </w:rPr>
          <w:t>Logros Verificados a Dic 2019</w:t>
        </w:r>
      </w:hyperlink>
      <w:r w:rsidRPr="00B62815">
        <w:rPr>
          <w:rFonts w:asciiTheme="minorHAnsi" w:eastAsia="Times New Roman" w:hAnsiTheme="minorHAnsi" w:cstheme="minorHAnsi"/>
          <w:sz w:val="22"/>
          <w:szCs w:val="22"/>
          <w:lang w:val="es-ES_tradnl" w:eastAsia="es-ES"/>
        </w:rPr>
        <w:t xml:space="preserve">. </w:t>
      </w:r>
    </w:p>
    <w:p w14:paraId="301D1093" w14:textId="1046BD48" w:rsidR="001A5CD8" w:rsidRPr="00B62815" w:rsidRDefault="000B4E8B" w:rsidP="00680BD9">
      <w:pPr>
        <w:numPr>
          <w:ilvl w:val="0"/>
          <w:numId w:val="105"/>
        </w:numPr>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Informe con principales resultados programáticos por capítulos de la SG/OEA, para los períodos enero a diciembre de 2018</w:t>
      </w:r>
      <w:r w:rsidR="001A5CD8" w:rsidRPr="00B62815">
        <w:rPr>
          <w:rFonts w:asciiTheme="minorHAnsi" w:eastAsia="Times New Roman" w:hAnsiTheme="minorHAnsi" w:cstheme="minorHAnsi"/>
          <w:sz w:val="22"/>
          <w:szCs w:val="22"/>
          <w:lang w:val="es-ES_tradnl" w:eastAsia="es-ES"/>
        </w:rPr>
        <w:t xml:space="preserve"> y </w:t>
      </w:r>
      <w:r w:rsidRPr="00B62815">
        <w:rPr>
          <w:rFonts w:asciiTheme="minorHAnsi" w:eastAsia="Times New Roman" w:hAnsiTheme="minorHAnsi" w:cstheme="minorHAnsi"/>
          <w:sz w:val="22"/>
          <w:szCs w:val="22"/>
          <w:lang w:val="es-ES_tradnl" w:eastAsia="es-ES"/>
        </w:rPr>
        <w:t>enero a junio de 2019 publicados.</w:t>
      </w:r>
    </w:p>
    <w:p w14:paraId="386DB3F1" w14:textId="59FBE8C1" w:rsidR="000B4E8B" w:rsidRPr="00B62815" w:rsidRDefault="000B4E8B" w:rsidP="00680BD9">
      <w:pPr>
        <w:numPr>
          <w:ilvl w:val="0"/>
          <w:numId w:val="105"/>
        </w:numPr>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Informe de Costo de Programas y servicios de la SG/OEA para el 2020, elaborados</w:t>
      </w:r>
    </w:p>
    <w:p w14:paraId="639CFAB7" w14:textId="77777777" w:rsidR="000B4E8B" w:rsidRPr="00B62815" w:rsidRDefault="000B4E8B" w:rsidP="000B4E8B">
      <w:pPr>
        <w:pStyle w:val="ListParagraph"/>
        <w:ind w:left="0"/>
        <w:jc w:val="both"/>
        <w:rPr>
          <w:rFonts w:asciiTheme="minorHAnsi" w:hAnsiTheme="minorHAnsi" w:cstheme="minorHAnsi"/>
          <w:sz w:val="22"/>
          <w:szCs w:val="22"/>
          <w:lang w:val="es-US"/>
        </w:rPr>
      </w:pPr>
    </w:p>
    <w:p w14:paraId="184B3A57" w14:textId="688CDD4D" w:rsidR="000B4E8B" w:rsidRDefault="000B4E8B" w:rsidP="000B4E8B">
      <w:pPr>
        <w:pStyle w:val="ListParagraph"/>
        <w:ind w:left="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Los Estados Miembros contaron con información adicional sobre:</w:t>
      </w:r>
    </w:p>
    <w:p w14:paraId="7F12C037" w14:textId="77777777" w:rsidR="00665873" w:rsidRPr="00B62815" w:rsidRDefault="00665873" w:rsidP="000B4E8B">
      <w:pPr>
        <w:pStyle w:val="ListParagraph"/>
        <w:ind w:left="0"/>
        <w:jc w:val="both"/>
        <w:rPr>
          <w:rFonts w:asciiTheme="minorHAnsi" w:hAnsiTheme="minorHAnsi" w:cstheme="minorHAnsi"/>
          <w:sz w:val="22"/>
          <w:szCs w:val="22"/>
          <w:lang w:val="es-US"/>
        </w:rPr>
      </w:pPr>
    </w:p>
    <w:p w14:paraId="1909D8C0" w14:textId="77777777" w:rsidR="000B4E8B" w:rsidRPr="00B62815" w:rsidRDefault="000B4E8B" w:rsidP="00AF0D93">
      <w:pPr>
        <w:numPr>
          <w:ilvl w:val="0"/>
          <w:numId w:val="106"/>
        </w:numPr>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 xml:space="preserve">Avances del Plan Estratégico Integral de la Organización </w:t>
      </w:r>
      <w:hyperlink r:id="rId159" w:history="1">
        <w:r w:rsidRPr="00B62815">
          <w:rPr>
            <w:rFonts w:asciiTheme="minorHAnsi" w:eastAsia="Times New Roman" w:hAnsiTheme="minorHAnsi" w:cstheme="minorHAnsi"/>
            <w:color w:val="0000FF"/>
            <w:sz w:val="22"/>
            <w:szCs w:val="22"/>
            <w:u w:val="single"/>
            <w:lang w:val="es-ES" w:eastAsia="es-ES"/>
          </w:rPr>
          <w:t>CAAP/GT/RVPP-410/19</w:t>
        </w:r>
      </w:hyperlink>
      <w:r w:rsidRPr="00B62815">
        <w:rPr>
          <w:rFonts w:asciiTheme="minorHAnsi" w:eastAsia="Times New Roman" w:hAnsiTheme="minorHAnsi" w:cstheme="minorHAnsi"/>
          <w:sz w:val="22"/>
          <w:szCs w:val="22"/>
          <w:lang w:val="es-ES" w:eastAsia="es-ES"/>
        </w:rPr>
        <w:t xml:space="preserve"> </w:t>
      </w:r>
      <w:r w:rsidRPr="00B62815">
        <w:rPr>
          <w:rFonts w:asciiTheme="minorHAnsi" w:eastAsia="Times New Roman" w:hAnsiTheme="minorHAnsi" w:cstheme="minorHAnsi"/>
          <w:sz w:val="22"/>
          <w:szCs w:val="22"/>
          <w:lang w:val="es-ES_tradnl" w:eastAsia="es-ES"/>
        </w:rPr>
        <w:t xml:space="preserve">a Noviembre 2019 presentado. </w:t>
      </w:r>
    </w:p>
    <w:p w14:paraId="29CCF99F" w14:textId="77777777" w:rsidR="000B4E8B" w:rsidRPr="00B62815" w:rsidRDefault="000B4E8B" w:rsidP="00AF0D93">
      <w:pPr>
        <w:numPr>
          <w:ilvl w:val="0"/>
          <w:numId w:val="106"/>
        </w:numPr>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Análisis de la Secretaría General sobre incentivos para el pago oportuno y cuotas y liquidez. Documento (CAAP/GT/RTPP 186) presentado.</w:t>
      </w:r>
      <w:r w:rsidR="00843BD7" w:rsidRPr="00B62815">
        <w:rPr>
          <w:rFonts w:asciiTheme="minorHAnsi" w:eastAsia="Times New Roman" w:hAnsiTheme="minorHAnsi" w:cstheme="minorHAnsi"/>
          <w:sz w:val="22"/>
          <w:szCs w:val="22"/>
          <w:lang w:val="es-ES_tradnl" w:eastAsia="es-ES"/>
        </w:rPr>
        <w:t xml:space="preserve"> </w:t>
      </w:r>
      <w:hyperlink r:id="rId160" w:history="1">
        <w:r w:rsidRPr="00B62815">
          <w:rPr>
            <w:rFonts w:asciiTheme="minorHAnsi" w:eastAsia="Times New Roman" w:hAnsiTheme="minorHAnsi" w:cstheme="minorHAnsi"/>
            <w:color w:val="0000FF"/>
            <w:sz w:val="22"/>
            <w:szCs w:val="22"/>
            <w:u w:val="single"/>
            <w:lang w:val="es-ES" w:eastAsia="es-ES"/>
          </w:rPr>
          <w:t>CP40979S03.doc</w:t>
        </w:r>
      </w:hyperlink>
    </w:p>
    <w:p w14:paraId="37910142" w14:textId="77777777" w:rsidR="000B4E8B" w:rsidRPr="00B62815" w:rsidRDefault="000B4E8B" w:rsidP="00AF0D93">
      <w:pPr>
        <w:numPr>
          <w:ilvl w:val="0"/>
          <w:numId w:val="105"/>
        </w:numPr>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 xml:space="preserve">Informe y cuadro con estimado de costos de las resoluciones del 2019 aprobadas por la Asamblea General, distribuido y publicado. </w:t>
      </w:r>
      <w:hyperlink r:id="rId161" w:history="1">
        <w:r w:rsidRPr="00B62815">
          <w:rPr>
            <w:rFonts w:asciiTheme="minorHAnsi" w:eastAsia="Times New Roman" w:hAnsiTheme="minorHAnsi" w:cstheme="minorHAnsi"/>
            <w:bCs/>
            <w:color w:val="0000FF"/>
            <w:sz w:val="22"/>
            <w:szCs w:val="22"/>
            <w:u w:val="single"/>
            <w:lang w:val="es-ES" w:eastAsia="es-ES"/>
          </w:rPr>
          <w:t>Enlace</w:t>
        </w:r>
      </w:hyperlink>
      <w:r w:rsidRPr="00B62815">
        <w:rPr>
          <w:rFonts w:asciiTheme="minorHAnsi" w:eastAsia="Times New Roman" w:hAnsiTheme="minorHAnsi" w:cstheme="minorHAnsi"/>
          <w:sz w:val="22"/>
          <w:szCs w:val="22"/>
          <w:lang w:val="es-ES_tradnl" w:eastAsia="es-ES"/>
        </w:rPr>
        <w:t xml:space="preserve">; </w:t>
      </w:r>
      <w:hyperlink r:id="rId162" w:history="1">
        <w:r w:rsidRPr="00B62815">
          <w:rPr>
            <w:rFonts w:asciiTheme="minorHAnsi" w:eastAsia="Times New Roman" w:hAnsiTheme="minorHAnsi" w:cstheme="minorHAnsi"/>
            <w:bCs/>
            <w:color w:val="0000FF"/>
            <w:sz w:val="22"/>
            <w:szCs w:val="22"/>
            <w:u w:val="single"/>
            <w:lang w:val="es-ES" w:eastAsia="es-ES"/>
          </w:rPr>
          <w:t>Enlace</w:t>
        </w:r>
      </w:hyperlink>
      <w:r w:rsidRPr="00B62815">
        <w:rPr>
          <w:rFonts w:asciiTheme="minorHAnsi" w:eastAsia="Times New Roman" w:hAnsiTheme="minorHAnsi" w:cstheme="minorHAnsi"/>
          <w:sz w:val="22"/>
          <w:szCs w:val="22"/>
          <w:lang w:val="es-ES_tradnl" w:eastAsia="es-ES"/>
        </w:rPr>
        <w:t xml:space="preserve"> </w:t>
      </w:r>
    </w:p>
    <w:p w14:paraId="50EA192B" w14:textId="77777777" w:rsidR="000B4E8B" w:rsidRPr="00B62815" w:rsidRDefault="000B4E8B" w:rsidP="00AF0D93">
      <w:pPr>
        <w:numPr>
          <w:ilvl w:val="0"/>
          <w:numId w:val="105"/>
        </w:numPr>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 xml:space="preserve">Priorización de mandatos y creación de nuevos mandatos presentado. </w:t>
      </w:r>
      <w:hyperlink r:id="rId163" w:history="1">
        <w:r w:rsidRPr="00B62815">
          <w:rPr>
            <w:rFonts w:asciiTheme="minorHAnsi" w:hAnsiTheme="minorHAnsi" w:cstheme="minorHAnsi"/>
            <w:color w:val="0000FF"/>
            <w:sz w:val="22"/>
            <w:szCs w:val="22"/>
            <w:u w:val="single"/>
            <w:lang w:val="es-ES_tradnl" w:eastAsia="es-ES"/>
          </w:rPr>
          <w:t>CP41623EMandatos.pdf</w:t>
        </w:r>
      </w:hyperlink>
    </w:p>
    <w:p w14:paraId="3FD45871" w14:textId="77777777" w:rsidR="000B4E8B" w:rsidRPr="00B62815" w:rsidRDefault="000B4E8B" w:rsidP="000B4E8B">
      <w:pPr>
        <w:ind w:left="720"/>
        <w:rPr>
          <w:rFonts w:asciiTheme="minorHAnsi" w:eastAsia="Times New Roman" w:hAnsiTheme="minorHAnsi" w:cstheme="minorHAnsi"/>
          <w:sz w:val="22"/>
          <w:szCs w:val="22"/>
          <w:lang w:val="es-ES_tradnl" w:eastAsia="es-ES"/>
        </w:rPr>
      </w:pPr>
    </w:p>
    <w:p w14:paraId="5051CE60" w14:textId="0D64F7BE" w:rsidR="000B4E8B" w:rsidRDefault="000B4E8B" w:rsidP="000B4E8B">
      <w:pPr>
        <w:rPr>
          <w:rFonts w:asciiTheme="minorHAnsi" w:hAnsiTheme="minorHAnsi" w:cstheme="minorHAnsi"/>
          <w:b/>
          <w:sz w:val="22"/>
          <w:szCs w:val="22"/>
          <w:lang w:val="es-ES_tradnl"/>
        </w:rPr>
      </w:pPr>
      <w:r w:rsidRPr="00B62815">
        <w:rPr>
          <w:rFonts w:asciiTheme="minorHAnsi" w:hAnsiTheme="minorHAnsi" w:cstheme="minorHAnsi"/>
          <w:b/>
          <w:sz w:val="22"/>
          <w:szCs w:val="22"/>
          <w:lang w:val="es-ES_tradnl"/>
        </w:rPr>
        <w:t>Sección de Apoyo a la Gestión de Proyectos:</w:t>
      </w:r>
    </w:p>
    <w:p w14:paraId="7580EDF1" w14:textId="77777777" w:rsidR="00665873" w:rsidRPr="00B62815" w:rsidRDefault="00665873" w:rsidP="000B4E8B">
      <w:pPr>
        <w:rPr>
          <w:rFonts w:asciiTheme="minorHAnsi" w:hAnsiTheme="minorHAnsi" w:cstheme="minorHAnsi"/>
          <w:b/>
          <w:sz w:val="22"/>
          <w:szCs w:val="22"/>
          <w:lang w:val="es-ES_tradnl"/>
        </w:rPr>
      </w:pPr>
    </w:p>
    <w:p w14:paraId="6D672538" w14:textId="77777777" w:rsidR="00843BD7" w:rsidRPr="00B62815" w:rsidRDefault="000B4E8B" w:rsidP="00AF0D93">
      <w:pPr>
        <w:pStyle w:val="ListParagraph"/>
        <w:numPr>
          <w:ilvl w:val="0"/>
          <w:numId w:val="102"/>
        </w:num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Siete (7) Informes de Evaluaciones Externas sobre doce (12) proyectos, </w:t>
      </w:r>
      <w:r w:rsidRPr="00B62815">
        <w:rPr>
          <w:rFonts w:asciiTheme="minorHAnsi" w:eastAsia="Calibri" w:hAnsiTheme="minorHAnsi" w:cstheme="minorHAnsi"/>
          <w:sz w:val="22"/>
          <w:szCs w:val="22"/>
          <w:lang w:val="es-ES_tradnl"/>
        </w:rPr>
        <w:t>publicados y difundidos en la página web de rendición de cuentas de la OEA</w:t>
      </w:r>
      <w:r w:rsidRPr="00B62815">
        <w:rPr>
          <w:rFonts w:asciiTheme="minorHAnsi" w:hAnsiTheme="minorHAnsi" w:cstheme="minorHAnsi"/>
          <w:sz w:val="22"/>
          <w:szCs w:val="22"/>
          <w:lang w:val="es-ES_tradnl"/>
        </w:rPr>
        <w:t>.</w:t>
      </w:r>
      <w:r w:rsidRPr="00B62815">
        <w:rPr>
          <w:rFonts w:asciiTheme="minorHAnsi" w:hAnsiTheme="minorHAnsi" w:cstheme="minorHAnsi"/>
          <w:sz w:val="22"/>
          <w:szCs w:val="22"/>
          <w:lang w:val="es-US"/>
        </w:rPr>
        <w:t xml:space="preserve"> </w:t>
      </w:r>
    </w:p>
    <w:p w14:paraId="290BC836" w14:textId="77777777" w:rsidR="000B4E8B" w:rsidRPr="00B62815" w:rsidRDefault="00573283" w:rsidP="00AF0D93">
      <w:pPr>
        <w:pStyle w:val="ListParagraph"/>
        <w:numPr>
          <w:ilvl w:val="0"/>
          <w:numId w:val="102"/>
        </w:numPr>
        <w:jc w:val="both"/>
        <w:rPr>
          <w:rFonts w:asciiTheme="minorHAnsi" w:hAnsiTheme="minorHAnsi" w:cstheme="minorHAnsi"/>
          <w:sz w:val="22"/>
          <w:szCs w:val="22"/>
          <w:lang w:val="es-US"/>
        </w:rPr>
      </w:pPr>
      <w:hyperlink r:id="rId164" w:history="1">
        <w:r w:rsidR="000B4E8B" w:rsidRPr="00B62815">
          <w:rPr>
            <w:rStyle w:val="Hyperlink"/>
            <w:rFonts w:asciiTheme="minorHAnsi" w:hAnsiTheme="minorHAnsi" w:cstheme="minorHAnsi"/>
            <w:sz w:val="22"/>
            <w:szCs w:val="22"/>
            <w:lang w:val="es-US"/>
          </w:rPr>
          <w:t>http://www.oas.org/es/saf/rendicion_cuentas/evaluacion.asp</w:t>
        </w:r>
      </w:hyperlink>
    </w:p>
    <w:p w14:paraId="440C84A0" w14:textId="77777777" w:rsidR="000B4E8B" w:rsidRPr="00B62815" w:rsidRDefault="000B4E8B" w:rsidP="00AF0D93">
      <w:pPr>
        <w:pStyle w:val="ListParagraph"/>
        <w:numPr>
          <w:ilvl w:val="0"/>
          <w:numId w:val="103"/>
        </w:num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Informes sobre los Proyectos Evaluados por la Comisión de Evaluación de Proyectos (CEP), elaborados.</w:t>
      </w:r>
    </w:p>
    <w:p w14:paraId="2F48D321" w14:textId="77777777" w:rsidR="000B4E8B" w:rsidRPr="00B62815" w:rsidRDefault="000B4E8B" w:rsidP="00AF0D93">
      <w:pPr>
        <w:pStyle w:val="ListParagraph"/>
        <w:numPr>
          <w:ilvl w:val="0"/>
          <w:numId w:val="103"/>
        </w:num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Datos estadísticos disponibles sobre proyectos presentados y evaluados por la CEP por secretaría.</w:t>
      </w:r>
    </w:p>
    <w:p w14:paraId="17D86D23" w14:textId="77777777" w:rsidR="000B4E8B" w:rsidRPr="00B62815" w:rsidRDefault="000B4E8B" w:rsidP="00AF0D93">
      <w:pPr>
        <w:pStyle w:val="ListParagraph"/>
        <w:numPr>
          <w:ilvl w:val="0"/>
          <w:numId w:val="103"/>
        </w:num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La Comisión de Evaluación de Proyecto (CEP) evaluó la pertinencia y viabilidad técnica de veintiséis (26) perfiles de</w:t>
      </w:r>
      <w:r w:rsidRPr="00B62815">
        <w:rPr>
          <w:rFonts w:asciiTheme="minorHAnsi" w:hAnsiTheme="minorHAnsi" w:cstheme="minorHAnsi"/>
          <w:sz w:val="22"/>
          <w:szCs w:val="22"/>
          <w:lang w:val="es-ES_tradnl" w:eastAsia="es-ES"/>
        </w:rPr>
        <w:t xml:space="preserve"> </w:t>
      </w:r>
      <w:r w:rsidRPr="00B62815">
        <w:rPr>
          <w:rFonts w:asciiTheme="minorHAnsi" w:hAnsiTheme="minorHAnsi" w:cstheme="minorHAnsi"/>
          <w:sz w:val="22"/>
          <w:szCs w:val="22"/>
          <w:lang w:val="es-US"/>
        </w:rPr>
        <w:t>proyectos y Misiones de Observación Electoral.</w:t>
      </w:r>
    </w:p>
    <w:p w14:paraId="64DF8A84"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Asistencia técnica, revisión y análisis de y doce (12) Documentos de Proyectos, prevista</w:t>
      </w:r>
      <w:r w:rsidRPr="00B62815">
        <w:rPr>
          <w:rFonts w:asciiTheme="minorHAnsi" w:eastAsia="Times New Roman" w:hAnsiTheme="minorHAnsi" w:cstheme="minorHAnsi"/>
          <w:b/>
          <w:sz w:val="22"/>
          <w:szCs w:val="22"/>
          <w:lang w:val="es-ES_tradnl" w:eastAsia="es-ES"/>
        </w:rPr>
        <w:t>.</w:t>
      </w:r>
      <w:r w:rsidRPr="00B62815">
        <w:rPr>
          <w:rFonts w:asciiTheme="minorHAnsi" w:eastAsia="Times New Roman" w:hAnsiTheme="minorHAnsi" w:cstheme="minorHAnsi"/>
          <w:sz w:val="22"/>
          <w:szCs w:val="22"/>
          <w:lang w:val="es-ES_tradnl" w:eastAsia="es-ES"/>
        </w:rPr>
        <w:t xml:space="preserve"> (</w:t>
      </w:r>
      <w:hyperlink r:id="rId165" w:history="1">
        <w:r w:rsidRPr="00B62815">
          <w:rPr>
            <w:rFonts w:asciiTheme="minorHAnsi" w:eastAsia="Times New Roman" w:hAnsiTheme="minorHAnsi" w:cstheme="minorHAnsi"/>
            <w:color w:val="0000FF"/>
            <w:sz w:val="22"/>
            <w:szCs w:val="22"/>
            <w:u w:val="single"/>
            <w:lang w:val="es-ES_tradnl" w:eastAsia="es-ES"/>
          </w:rPr>
          <w:t>http://services/PFME/Monitoring/MonitoringAll.aspx</w:t>
        </w:r>
      </w:hyperlink>
      <w:r w:rsidRPr="00B62815">
        <w:rPr>
          <w:rFonts w:asciiTheme="minorHAnsi" w:eastAsia="Times New Roman" w:hAnsiTheme="minorHAnsi" w:cstheme="minorHAnsi"/>
          <w:sz w:val="22"/>
          <w:szCs w:val="22"/>
          <w:lang w:val="es-ES_tradnl" w:eastAsia="es-ES"/>
        </w:rPr>
        <w:t>)</w:t>
      </w:r>
    </w:p>
    <w:p w14:paraId="6ED1C9A2"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Nueve (9) informes semestrales sobre el estado de la ejecución de fondos presentados a la Misión de Estados Unidos ante la OEA y la Agencia de Cooperación Española, elaborados</w:t>
      </w:r>
      <w:r w:rsidRPr="00B62815">
        <w:rPr>
          <w:rFonts w:asciiTheme="minorHAnsi" w:eastAsia="Times New Roman" w:hAnsiTheme="minorHAnsi" w:cstheme="minorHAnsi"/>
          <w:b/>
          <w:sz w:val="22"/>
          <w:szCs w:val="22"/>
          <w:lang w:val="es-ES_tradnl" w:eastAsia="es-ES"/>
        </w:rPr>
        <w:t>.</w:t>
      </w:r>
    </w:p>
    <w:p w14:paraId="01314A56"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Cuarenta (40) informes de verificación intermedios o finales de proyectos financiados por el Fondo Español para la OEA, por el Fondo de Cooperación de Estados Unidos en la OEA y por el Fondo de Democracia de Estados Unidos en la OEA y otros donantes, elaborados.</w:t>
      </w:r>
    </w:p>
    <w:p w14:paraId="5AFD69BB"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Política de Evaluación de programas y proyectos de la Secretaría General, elaborada.</w:t>
      </w:r>
    </w:p>
    <w:p w14:paraId="46CE1662"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Diez (10) evaluaciones externas independientes (formativas y sumativas), financiadas por donantes externos, coordinadas y supervisadas</w:t>
      </w:r>
      <w:r w:rsidRPr="00B62815">
        <w:rPr>
          <w:rFonts w:asciiTheme="minorHAnsi" w:eastAsia="Times New Roman" w:hAnsiTheme="minorHAnsi" w:cstheme="minorHAnsi"/>
          <w:b/>
          <w:sz w:val="22"/>
          <w:szCs w:val="22"/>
          <w:lang w:val="es-ES_tradnl" w:eastAsia="es-ES"/>
        </w:rPr>
        <w:t>.</w:t>
      </w:r>
    </w:p>
    <w:p w14:paraId="6B3D7EAC"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 xml:space="preserve">Asistencia técnica proporcionada en la implementación de recomendaciones emanadas de evaluaciones externas en aproximadamente veinticinco (25) nuevos proyectos. </w:t>
      </w:r>
    </w:p>
    <w:p w14:paraId="31317ADB"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rPr>
      </w:pPr>
      <w:r w:rsidRPr="00B62815">
        <w:rPr>
          <w:rFonts w:asciiTheme="minorHAnsi" w:eastAsia="Times New Roman" w:hAnsiTheme="minorHAnsi" w:cstheme="minorHAnsi"/>
          <w:sz w:val="22"/>
          <w:szCs w:val="22"/>
          <w:lang w:val="es-ES_tradnl"/>
        </w:rPr>
        <w:t>Sistema de Seguimiento a la Implementación de Recomendaciones de Evaluaciones Externas, actualizado</w:t>
      </w:r>
      <w:r w:rsidRPr="00B62815">
        <w:rPr>
          <w:rFonts w:asciiTheme="minorHAnsi" w:eastAsia="Times New Roman" w:hAnsiTheme="minorHAnsi" w:cstheme="minorHAnsi"/>
          <w:b/>
          <w:sz w:val="22"/>
          <w:szCs w:val="22"/>
          <w:lang w:val="es-ES_tradnl"/>
        </w:rPr>
        <w:t>.</w:t>
      </w:r>
    </w:p>
    <w:p w14:paraId="5242EC77"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90 participantes (personal de la SG y de Representantes permanentes) incrementaron sus conocimientos en Gestión por Resultados.</w:t>
      </w:r>
    </w:p>
    <w:p w14:paraId="6C7660F4"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Documentos de Decisiones de la CEP 2018 y 2019, publicados.</w:t>
      </w:r>
    </w:p>
    <w:p w14:paraId="147254AC"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Base de datos de Lecciones Aprendida de programas y proyectos, desarrollada</w:t>
      </w:r>
      <w:r w:rsidRPr="00B62815">
        <w:rPr>
          <w:rFonts w:asciiTheme="minorHAnsi" w:eastAsia="Times New Roman" w:hAnsiTheme="minorHAnsi" w:cstheme="minorHAnsi"/>
          <w:b/>
          <w:sz w:val="22"/>
          <w:szCs w:val="22"/>
          <w:lang w:val="es-ES_tradnl" w:eastAsia="es-ES"/>
        </w:rPr>
        <w:t>.</w:t>
      </w:r>
    </w:p>
    <w:p w14:paraId="012710D9" w14:textId="77777777" w:rsidR="000B4E8B" w:rsidRPr="00B62815" w:rsidRDefault="000B4E8B" w:rsidP="0014077C">
      <w:pPr>
        <w:numPr>
          <w:ilvl w:val="0"/>
          <w:numId w:val="103"/>
        </w:numPr>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Coordinación de control de gastos, entre SAF y el DPE, de proyectos financiados por fondos específicos para el uso eficiente de recursos, mejorada.</w:t>
      </w:r>
    </w:p>
    <w:p w14:paraId="52BDF773" w14:textId="77777777" w:rsidR="000B4E8B" w:rsidRPr="00B62815" w:rsidRDefault="000B4E8B" w:rsidP="0014077C">
      <w:pPr>
        <w:numPr>
          <w:ilvl w:val="0"/>
          <w:numId w:val="104"/>
        </w:numPr>
        <w:spacing w:after="200" w:line="276" w:lineRule="auto"/>
        <w:jc w:val="both"/>
        <w:rPr>
          <w:rFonts w:asciiTheme="minorHAnsi" w:eastAsia="Times New Roman" w:hAnsiTheme="minorHAnsi" w:cstheme="minorHAnsi"/>
          <w:sz w:val="22"/>
          <w:szCs w:val="22"/>
          <w:lang w:val="es-ES_tradnl" w:eastAsia="es-ES"/>
        </w:rPr>
      </w:pPr>
      <w:r w:rsidRPr="00B62815">
        <w:rPr>
          <w:rFonts w:asciiTheme="minorHAnsi" w:eastAsia="Times New Roman" w:hAnsiTheme="minorHAnsi" w:cstheme="minorHAnsi"/>
          <w:sz w:val="22"/>
          <w:szCs w:val="22"/>
          <w:lang w:val="es-ES_tradnl" w:eastAsia="es-ES"/>
        </w:rPr>
        <w:t>Los procedimientos y lineamientos para la gestión institucional de proyectos, (formulación, monitoreo y evaluación de proyectos), desarrollados, documentados y publicados.</w:t>
      </w:r>
    </w:p>
    <w:p w14:paraId="5CCACD78" w14:textId="48016D6B" w:rsidR="000B4E8B" w:rsidRPr="00B62815" w:rsidRDefault="001C2CF3" w:rsidP="000B4E8B">
      <w:pPr>
        <w:rPr>
          <w:rFonts w:asciiTheme="minorHAnsi" w:hAnsiTheme="minorHAnsi" w:cstheme="minorHAnsi"/>
          <w:b/>
          <w:sz w:val="22"/>
          <w:szCs w:val="22"/>
          <w:lang w:val="es-PE"/>
        </w:rPr>
      </w:pPr>
      <w:r w:rsidRPr="00B62815">
        <w:rPr>
          <w:rFonts w:asciiTheme="minorHAnsi" w:hAnsiTheme="minorHAnsi" w:cstheme="minorHAnsi"/>
          <w:noProof/>
          <w:sz w:val="22"/>
          <w:szCs w:val="22"/>
        </w:rPr>
        <w:drawing>
          <wp:anchor distT="0" distB="0" distL="114300" distR="114300" simplePos="0" relativeHeight="251738112" behindDoc="1" locked="0" layoutInCell="1" allowOverlap="1" wp14:anchorId="5B9DCC63" wp14:editId="28901DDE">
            <wp:simplePos x="0" y="0"/>
            <wp:positionH relativeFrom="column">
              <wp:posOffset>635</wp:posOffset>
            </wp:positionH>
            <wp:positionV relativeFrom="paragraph">
              <wp:posOffset>254635</wp:posOffset>
            </wp:positionV>
            <wp:extent cx="2844800" cy="2133600"/>
            <wp:effectExtent l="0" t="0" r="0" b="0"/>
            <wp:wrapTight wrapText="bothSides">
              <wp:wrapPolygon edited="0">
                <wp:start x="0" y="0"/>
                <wp:lineTo x="0" y="21407"/>
                <wp:lineTo x="21407" y="21407"/>
                <wp:lineTo x="21407" y="0"/>
                <wp:lineTo x="0" y="0"/>
              </wp:wrapPolygon>
            </wp:wrapTight>
            <wp:docPr id="176" name="Picture 1" descr="IMG_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307"/>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E8B" w:rsidRPr="00B62815">
        <w:rPr>
          <w:rFonts w:asciiTheme="minorHAnsi" w:hAnsiTheme="minorHAnsi" w:cstheme="minorHAnsi"/>
          <w:b/>
          <w:sz w:val="22"/>
          <w:szCs w:val="22"/>
          <w:lang w:val="es-PE"/>
        </w:rPr>
        <w:t>Imágenes de talleres de capacitación en Gestión de Proyectos realizados en mayo 2019.</w:t>
      </w:r>
    </w:p>
    <w:p w14:paraId="6B395FF7" w14:textId="79CF80E1" w:rsidR="000B4E8B" w:rsidRPr="00B62815" w:rsidRDefault="0014077C" w:rsidP="000B4E8B">
      <w:pPr>
        <w:rPr>
          <w:rFonts w:asciiTheme="minorHAnsi" w:hAnsiTheme="minorHAnsi" w:cstheme="minorHAnsi"/>
          <w:b/>
          <w:sz w:val="22"/>
          <w:szCs w:val="22"/>
          <w:lang w:val="es-PE"/>
        </w:rPr>
      </w:pPr>
      <w:r w:rsidRPr="00B62815">
        <w:rPr>
          <w:rFonts w:asciiTheme="minorHAnsi" w:hAnsiTheme="minorHAnsi" w:cstheme="minorHAnsi"/>
          <w:noProof/>
          <w:sz w:val="22"/>
          <w:szCs w:val="22"/>
        </w:rPr>
        <w:drawing>
          <wp:anchor distT="0" distB="0" distL="114300" distR="114300" simplePos="0" relativeHeight="251740160" behindDoc="1" locked="0" layoutInCell="1" allowOverlap="1" wp14:anchorId="20235F93" wp14:editId="62916AB9">
            <wp:simplePos x="0" y="0"/>
            <wp:positionH relativeFrom="margin">
              <wp:align>right</wp:align>
            </wp:positionH>
            <wp:positionV relativeFrom="paragraph">
              <wp:posOffset>53975</wp:posOffset>
            </wp:positionV>
            <wp:extent cx="2628900" cy="1971675"/>
            <wp:effectExtent l="0" t="0" r="0" b="9525"/>
            <wp:wrapTight wrapText="bothSides">
              <wp:wrapPolygon edited="0">
                <wp:start x="0" y="0"/>
                <wp:lineTo x="0" y="21496"/>
                <wp:lineTo x="21443" y="21496"/>
                <wp:lineTo x="21443" y="0"/>
                <wp:lineTo x="0" y="0"/>
              </wp:wrapPolygon>
            </wp:wrapTight>
            <wp:docPr id="177" name="Picture 2" descr="IMG_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305"/>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36BBD" w14:textId="77777777" w:rsidR="000B4E8B" w:rsidRPr="00B62815" w:rsidRDefault="000B4E8B" w:rsidP="000B4E8B">
      <w:pPr>
        <w:jc w:val="center"/>
        <w:rPr>
          <w:rFonts w:asciiTheme="minorHAnsi" w:hAnsiTheme="minorHAnsi" w:cstheme="minorHAnsi"/>
          <w:b/>
          <w:sz w:val="22"/>
          <w:szCs w:val="22"/>
          <w:lang w:val="es-PE"/>
        </w:rPr>
      </w:pPr>
    </w:p>
    <w:p w14:paraId="50E8DF71" w14:textId="77777777" w:rsidR="000B4E8B" w:rsidRPr="00B62815" w:rsidRDefault="000B4E8B" w:rsidP="000B4E8B">
      <w:pPr>
        <w:ind w:right="720"/>
        <w:rPr>
          <w:rFonts w:asciiTheme="minorHAnsi" w:hAnsiTheme="minorHAnsi" w:cstheme="minorHAnsi"/>
          <w:b/>
          <w:bCs/>
          <w:color w:val="000000"/>
          <w:sz w:val="22"/>
          <w:szCs w:val="22"/>
          <w:lang w:val="es-ES"/>
        </w:rPr>
      </w:pPr>
    </w:p>
    <w:p w14:paraId="10D0CB38" w14:textId="77777777" w:rsidR="000B4E8B" w:rsidRPr="00B62815" w:rsidRDefault="000B4E8B" w:rsidP="000B4E8B">
      <w:pPr>
        <w:jc w:val="center"/>
        <w:rPr>
          <w:rFonts w:asciiTheme="minorHAnsi" w:hAnsiTheme="minorHAnsi" w:cstheme="minorHAnsi"/>
          <w:b/>
          <w:sz w:val="22"/>
          <w:szCs w:val="22"/>
          <w:lang w:val="es-PE"/>
        </w:rPr>
      </w:pPr>
    </w:p>
    <w:p w14:paraId="3510DCAA" w14:textId="77777777" w:rsidR="000B4E8B" w:rsidRPr="00B62815" w:rsidRDefault="000B4E8B" w:rsidP="000B4E8B">
      <w:pPr>
        <w:jc w:val="center"/>
        <w:rPr>
          <w:rFonts w:asciiTheme="minorHAnsi" w:hAnsiTheme="minorHAnsi" w:cstheme="minorHAnsi"/>
          <w:b/>
          <w:sz w:val="22"/>
          <w:szCs w:val="22"/>
          <w:lang w:val="es-PE"/>
        </w:rPr>
      </w:pPr>
    </w:p>
    <w:p w14:paraId="62EE3DDF" w14:textId="77777777" w:rsidR="000B4E8B" w:rsidRPr="00B62815" w:rsidRDefault="000B4E8B" w:rsidP="000B4E8B">
      <w:pPr>
        <w:jc w:val="center"/>
        <w:rPr>
          <w:rFonts w:asciiTheme="minorHAnsi" w:hAnsiTheme="minorHAnsi" w:cstheme="minorHAnsi"/>
          <w:b/>
          <w:sz w:val="22"/>
          <w:szCs w:val="22"/>
          <w:lang w:val="es-PE"/>
        </w:rPr>
      </w:pPr>
    </w:p>
    <w:p w14:paraId="7FEED17C" w14:textId="77777777" w:rsidR="0014077C" w:rsidRPr="00B62815" w:rsidRDefault="0014077C" w:rsidP="00843BD7">
      <w:pPr>
        <w:rPr>
          <w:rFonts w:asciiTheme="minorHAnsi" w:hAnsiTheme="minorHAnsi" w:cstheme="minorHAnsi"/>
          <w:b/>
          <w:sz w:val="22"/>
          <w:szCs w:val="22"/>
          <w:lang w:val="es-PE"/>
        </w:rPr>
      </w:pPr>
    </w:p>
    <w:p w14:paraId="11052F0D" w14:textId="77777777" w:rsidR="0014077C" w:rsidRPr="00B62815" w:rsidRDefault="0014077C" w:rsidP="00843BD7">
      <w:pPr>
        <w:rPr>
          <w:rFonts w:asciiTheme="minorHAnsi" w:hAnsiTheme="minorHAnsi" w:cstheme="minorHAnsi"/>
          <w:b/>
          <w:sz w:val="22"/>
          <w:szCs w:val="22"/>
          <w:lang w:val="es-PE"/>
        </w:rPr>
      </w:pPr>
    </w:p>
    <w:p w14:paraId="69BB17B4" w14:textId="77777777" w:rsidR="0014077C" w:rsidRPr="00B62815" w:rsidRDefault="0014077C" w:rsidP="00843BD7">
      <w:pPr>
        <w:rPr>
          <w:rFonts w:asciiTheme="minorHAnsi" w:hAnsiTheme="minorHAnsi" w:cstheme="minorHAnsi"/>
          <w:b/>
          <w:sz w:val="22"/>
          <w:szCs w:val="22"/>
          <w:lang w:val="es-PE"/>
        </w:rPr>
      </w:pPr>
    </w:p>
    <w:p w14:paraId="6403006D" w14:textId="77777777" w:rsidR="0014077C" w:rsidRPr="00B62815" w:rsidRDefault="0014077C" w:rsidP="00843BD7">
      <w:pPr>
        <w:rPr>
          <w:rFonts w:asciiTheme="minorHAnsi" w:hAnsiTheme="minorHAnsi" w:cstheme="minorHAnsi"/>
          <w:b/>
          <w:sz w:val="22"/>
          <w:szCs w:val="22"/>
          <w:lang w:val="es-PE"/>
        </w:rPr>
      </w:pPr>
    </w:p>
    <w:p w14:paraId="676CC608" w14:textId="77777777" w:rsidR="0014077C" w:rsidRPr="00B62815" w:rsidRDefault="0014077C" w:rsidP="00843BD7">
      <w:pPr>
        <w:rPr>
          <w:rFonts w:asciiTheme="minorHAnsi" w:hAnsiTheme="minorHAnsi" w:cstheme="minorHAnsi"/>
          <w:b/>
          <w:sz w:val="22"/>
          <w:szCs w:val="22"/>
          <w:lang w:val="es-PE"/>
        </w:rPr>
      </w:pPr>
    </w:p>
    <w:p w14:paraId="48A18564" w14:textId="77777777" w:rsidR="0014077C" w:rsidRPr="00B62815" w:rsidRDefault="0014077C" w:rsidP="00843BD7">
      <w:pPr>
        <w:rPr>
          <w:rFonts w:asciiTheme="minorHAnsi" w:hAnsiTheme="minorHAnsi" w:cstheme="minorHAnsi"/>
          <w:b/>
          <w:sz w:val="22"/>
          <w:szCs w:val="22"/>
          <w:lang w:val="es-PE"/>
        </w:rPr>
      </w:pPr>
    </w:p>
    <w:p w14:paraId="13C4BD96" w14:textId="77777777" w:rsidR="0014077C" w:rsidRPr="00B62815" w:rsidRDefault="0014077C" w:rsidP="00843BD7">
      <w:pPr>
        <w:rPr>
          <w:rFonts w:asciiTheme="minorHAnsi" w:hAnsiTheme="minorHAnsi" w:cstheme="minorHAnsi"/>
          <w:b/>
          <w:sz w:val="22"/>
          <w:szCs w:val="22"/>
          <w:lang w:val="es-PE"/>
        </w:rPr>
      </w:pPr>
    </w:p>
    <w:p w14:paraId="323BA9FD" w14:textId="77777777" w:rsidR="0014077C" w:rsidRPr="00B62815" w:rsidRDefault="0014077C" w:rsidP="00843BD7">
      <w:pPr>
        <w:rPr>
          <w:rFonts w:asciiTheme="minorHAnsi" w:hAnsiTheme="minorHAnsi" w:cstheme="minorHAnsi"/>
          <w:b/>
          <w:sz w:val="22"/>
          <w:szCs w:val="22"/>
          <w:lang w:val="es-PE"/>
        </w:rPr>
      </w:pPr>
    </w:p>
    <w:p w14:paraId="68C8853A" w14:textId="66D5C6E2" w:rsidR="00843BD7" w:rsidRPr="00B62815" w:rsidRDefault="00843BD7" w:rsidP="00843BD7">
      <w:pPr>
        <w:rPr>
          <w:rFonts w:asciiTheme="minorHAnsi" w:hAnsiTheme="minorHAnsi" w:cstheme="minorHAnsi"/>
          <w:b/>
          <w:sz w:val="22"/>
          <w:szCs w:val="22"/>
          <w:lang w:val="es-PE"/>
        </w:rPr>
      </w:pPr>
      <w:r w:rsidRPr="00B62815">
        <w:rPr>
          <w:rFonts w:asciiTheme="minorHAnsi" w:hAnsiTheme="minorHAnsi" w:cstheme="minorHAnsi"/>
          <w:b/>
          <w:sz w:val="22"/>
          <w:szCs w:val="22"/>
          <w:lang w:val="es-PE"/>
        </w:rPr>
        <w:t>Desarrollo Organizacional</w:t>
      </w:r>
    </w:p>
    <w:p w14:paraId="6FABED84" w14:textId="77777777" w:rsidR="00843BD7" w:rsidRPr="00B62815" w:rsidRDefault="00843BD7" w:rsidP="000B4E8B">
      <w:pPr>
        <w:jc w:val="both"/>
        <w:rPr>
          <w:rFonts w:asciiTheme="minorHAnsi" w:hAnsiTheme="minorHAnsi" w:cstheme="minorHAnsi"/>
          <w:sz w:val="22"/>
          <w:szCs w:val="22"/>
          <w:lang w:val="es-PE"/>
        </w:rPr>
      </w:pPr>
    </w:p>
    <w:p w14:paraId="31C3CCED" w14:textId="77777777" w:rsidR="00843BD7" w:rsidRPr="00B62815" w:rsidRDefault="000B4E8B" w:rsidP="000B4E8B">
      <w:pPr>
        <w:jc w:val="both"/>
        <w:rPr>
          <w:rFonts w:asciiTheme="minorHAnsi" w:hAnsiTheme="minorHAnsi" w:cstheme="minorHAnsi"/>
          <w:sz w:val="22"/>
          <w:szCs w:val="22"/>
          <w:lang w:val="es-PE"/>
        </w:rPr>
      </w:pPr>
      <w:r w:rsidRPr="00B62815">
        <w:rPr>
          <w:rFonts w:asciiTheme="minorHAnsi" w:hAnsiTheme="minorHAnsi" w:cstheme="minorHAnsi"/>
          <w:sz w:val="22"/>
          <w:szCs w:val="22"/>
          <w:lang w:val="es-PE"/>
        </w:rPr>
        <w:t xml:space="preserve">La Sección de Desarrollo Organizacional (DO), en colaboración con distintas áreas de la Organización, continuó con la ejecución de componentes del Programa de Desarrollo Organizacional, para alcanzar un mayor impacto en las respuestas a las directrices políticas de los Estados miembros, orientado a: i) realinear el capital humano a los objetivos organizacionales, acentuando el proceso de fortalecimiento de competencias organizacionales; ii) romper los silos, promover la innovación e incrementar los niveles de colaboración, a través de la implementación de metodologías de trabajo colaborativas; iii) mejorar los niveles de eficiencia de la Organización mediante el desarrollo de metodologías, protocolos, documentación y optimización de procesos; y iv) mejorar el ambiente de trabajo de la OEA / GS, a través de capacitaciones orientadas a la prevención del acoso y conflicto laboral.  </w:t>
      </w:r>
    </w:p>
    <w:p w14:paraId="3F997032" w14:textId="77777777" w:rsidR="000B4E8B" w:rsidRPr="00B62815" w:rsidRDefault="000B4E8B" w:rsidP="000B4E8B">
      <w:pPr>
        <w:jc w:val="both"/>
        <w:rPr>
          <w:rFonts w:asciiTheme="minorHAnsi" w:hAnsiTheme="minorHAnsi" w:cstheme="minorHAnsi"/>
          <w:sz w:val="22"/>
          <w:szCs w:val="22"/>
          <w:lang w:val="es-PE"/>
        </w:rPr>
      </w:pPr>
      <w:r w:rsidRPr="00B62815">
        <w:rPr>
          <w:rFonts w:asciiTheme="minorHAnsi" w:hAnsiTheme="minorHAnsi" w:cstheme="minorHAnsi"/>
          <w:sz w:val="22"/>
          <w:szCs w:val="22"/>
          <w:lang w:val="es-PE"/>
        </w:rPr>
        <w:t xml:space="preserve"> </w:t>
      </w:r>
    </w:p>
    <w:p w14:paraId="7C720EAB" w14:textId="77777777" w:rsidR="000B4E8B" w:rsidRPr="00B62815" w:rsidRDefault="000B4E8B" w:rsidP="000B4E8B">
      <w:pPr>
        <w:jc w:val="both"/>
        <w:rPr>
          <w:rFonts w:asciiTheme="minorHAnsi" w:hAnsiTheme="minorHAnsi" w:cstheme="minorHAnsi"/>
          <w:sz w:val="22"/>
          <w:szCs w:val="22"/>
          <w:lang w:val="es-PE"/>
        </w:rPr>
      </w:pPr>
      <w:r w:rsidRPr="00B62815">
        <w:rPr>
          <w:rFonts w:asciiTheme="minorHAnsi" w:hAnsiTheme="minorHAnsi" w:cstheme="minorHAnsi"/>
          <w:sz w:val="22"/>
          <w:szCs w:val="22"/>
          <w:lang w:val="es-PE"/>
        </w:rPr>
        <w:t>La Sección concentró sus esfuerzos en las cuatro áreas de trabajo señaladas en el párrafo anterior iniciando el proceso de institucionalización del Marco de Competencias, guiando los cursos de capacitación del personal y los procesos de reclutamiento. Aplicó la metodología de aproximar retos hemisféricos desde la perspectiva de los cuatro pilares en el desarrollo de programas, y buscó la colaboración de entidades altamente especializadas en áreas que complementan los esfuerzos de la SG/OEA. Adaptó metodologías orientadas a: evitar repetir errores y diseminar buenas prácticas para mejorar la calidad de programas, proyectos y servicios; medir el impacto de las capacitaciones e incentivar la aplicación de lo aprendido en el trabajo; y protocolos para reducir al mínimo suficiente el número de reuniones e incrementar al máximo su efectividad. Implementó un curso virtual sobre el Código de Etica y Conducta de la OEA y un piloto con voluntarios y voluntarias de la organización buscando construir un ambiente de trabajo propicio al crecimiento profesional y alcanzar los más altos niveles de eficiencia.</w:t>
      </w:r>
    </w:p>
    <w:p w14:paraId="3EA9B487" w14:textId="77777777" w:rsidR="00843BD7" w:rsidRPr="00B62815" w:rsidRDefault="00843BD7" w:rsidP="000B4E8B">
      <w:pPr>
        <w:jc w:val="both"/>
        <w:rPr>
          <w:rFonts w:asciiTheme="minorHAnsi" w:hAnsiTheme="minorHAnsi" w:cstheme="minorHAnsi"/>
          <w:sz w:val="22"/>
          <w:szCs w:val="22"/>
          <w:lang w:val="es-PE"/>
        </w:rPr>
      </w:pPr>
    </w:p>
    <w:p w14:paraId="0F7F6302" w14:textId="77777777" w:rsidR="000B4E8B" w:rsidRPr="00B62815" w:rsidRDefault="000B4E8B" w:rsidP="000B4E8B">
      <w:pPr>
        <w:jc w:val="both"/>
        <w:rPr>
          <w:rFonts w:asciiTheme="minorHAnsi" w:hAnsiTheme="minorHAnsi" w:cstheme="minorHAnsi"/>
          <w:sz w:val="22"/>
          <w:szCs w:val="22"/>
          <w:lang w:val="es-PE"/>
        </w:rPr>
      </w:pPr>
      <w:r w:rsidRPr="00B62815">
        <w:rPr>
          <w:rFonts w:asciiTheme="minorHAnsi" w:hAnsiTheme="minorHAnsi" w:cstheme="minorHAnsi"/>
          <w:sz w:val="22"/>
          <w:szCs w:val="22"/>
          <w:lang w:val="es-ES_tradnl"/>
        </w:rPr>
        <w:t>Entre los resultados se destacan:</w:t>
      </w:r>
    </w:p>
    <w:p w14:paraId="6F76883E" w14:textId="3322FBD7"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Inicio de la incorporación del Marco de Competencias a las herramientas existentes de Recursos Humanos.</w:t>
      </w:r>
    </w:p>
    <w:p w14:paraId="3ED34576" w14:textId="41317C3C"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Documentación del proceso de construcción del Marco de Competencias de la SG/OEA para su institucionalización.</w:t>
      </w:r>
    </w:p>
    <w:p w14:paraId="4A1C858D" w14:textId="77777777" w:rsidR="000B4E8B" w:rsidRPr="00B62815" w:rsidRDefault="000B4E8B" w:rsidP="00AF0D9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Brechas de competencias organizacionales en temas de gestión gerencial abordadas con capacitación a Secretarios, Directores y Jefes de Sección (80 miembros del personal beneficiados).</w:t>
      </w:r>
    </w:p>
    <w:p w14:paraId="433C4937" w14:textId="77777777" w:rsidR="000B4E8B" w:rsidRPr="00B62815" w:rsidRDefault="000B4E8B" w:rsidP="000B4E8B">
      <w:pPr>
        <w:pStyle w:val="ListParagraph"/>
        <w:rPr>
          <w:rFonts w:asciiTheme="minorHAnsi" w:hAnsiTheme="minorHAnsi" w:cstheme="minorHAnsi"/>
          <w:sz w:val="22"/>
          <w:szCs w:val="22"/>
          <w:lang w:val="es-ES"/>
        </w:rPr>
      </w:pPr>
    </w:p>
    <w:p w14:paraId="55D05D97" w14:textId="6F59C26D"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Diseño de la primera metodología cuantitativa de la SG/OEA para apoyar el Programa-Integrado contra la corrupción.</w:t>
      </w:r>
    </w:p>
    <w:p w14:paraId="554BBF9C" w14:textId="672DA28D"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Estandarización y normalización de la primera base de datos de la SG/OEA para apoyar la </w:t>
      </w:r>
      <w:r w:rsidR="00843BD7" w:rsidRPr="00B62815">
        <w:rPr>
          <w:rFonts w:asciiTheme="minorHAnsi" w:hAnsiTheme="minorHAnsi" w:cstheme="minorHAnsi"/>
          <w:sz w:val="22"/>
          <w:szCs w:val="22"/>
          <w:lang w:val="es-US"/>
        </w:rPr>
        <w:t>implementación</w:t>
      </w:r>
      <w:r w:rsidRPr="00B62815">
        <w:rPr>
          <w:rFonts w:asciiTheme="minorHAnsi" w:hAnsiTheme="minorHAnsi" w:cstheme="minorHAnsi"/>
          <w:sz w:val="22"/>
          <w:szCs w:val="22"/>
          <w:lang w:val="es-US"/>
        </w:rPr>
        <w:t xml:space="preserve"> del Compromiso de Lima.</w:t>
      </w:r>
    </w:p>
    <w:p w14:paraId="3D0B4024" w14:textId="271FE4FB"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Negociaciones avanzadas para obtener el apoyo probono de Bain &amp; Company para la construcción de indicadores cuantitativos contra la corrupción.</w:t>
      </w:r>
    </w:p>
    <w:p w14:paraId="23504114" w14:textId="640319BB"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Adaptación de metodologías de documentación y aplicación de lecciones aprendidas para promover la transferencia de conocimiento entre las áreas de la SG/OEA.</w:t>
      </w:r>
    </w:p>
    <w:p w14:paraId="3F87E3D5" w14:textId="190C4AA7"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Red de Gestión del conocimiento (GC) con expertos del BM, FMI, BID fortalecida e informando el desarrollo de la Estrategia GC de la SG.</w:t>
      </w:r>
    </w:p>
    <w:p w14:paraId="2E04E2DE" w14:textId="645CC492" w:rsidR="000B4E8B" w:rsidRPr="00665873" w:rsidRDefault="000B4E8B" w:rsidP="00665873">
      <w:pPr>
        <w:pStyle w:val="ListParagraph"/>
        <w:numPr>
          <w:ilvl w:val="0"/>
          <w:numId w:val="101"/>
        </w:numPr>
        <w:ind w:left="450"/>
        <w:jc w:val="both"/>
        <w:rPr>
          <w:rFonts w:asciiTheme="minorHAnsi" w:eastAsia="Calibri" w:hAnsiTheme="minorHAnsi" w:cstheme="minorHAnsi"/>
          <w:sz w:val="22"/>
          <w:szCs w:val="22"/>
          <w:lang w:val="es-US"/>
        </w:rPr>
      </w:pPr>
      <w:r w:rsidRPr="00B62815">
        <w:rPr>
          <w:rFonts w:asciiTheme="minorHAnsi" w:hAnsiTheme="minorHAnsi" w:cstheme="minorHAnsi"/>
          <w:sz w:val="22"/>
          <w:szCs w:val="22"/>
          <w:lang w:val="es-US"/>
        </w:rPr>
        <w:t>3 pilotos con diferentes áreas de la Organización iniciados para aprender en pequeña escala e informar la Estrategia</w:t>
      </w:r>
      <w:r w:rsidRPr="00B62815">
        <w:rPr>
          <w:rFonts w:asciiTheme="minorHAnsi" w:eastAsia="Calibri" w:hAnsiTheme="minorHAnsi" w:cstheme="minorHAnsi"/>
          <w:sz w:val="22"/>
          <w:szCs w:val="22"/>
          <w:lang w:val="es-US"/>
        </w:rPr>
        <w:t xml:space="preserve"> de Gestión de Conocimiento.</w:t>
      </w:r>
    </w:p>
    <w:p w14:paraId="29D69531" w14:textId="4A84E4B6"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Protocolo para reuniones efectivas elaborado conjuntamente con el staff con el fin de reducir el número de reuniones, sus tiempos y costos a la Organización.</w:t>
      </w:r>
    </w:p>
    <w:p w14:paraId="60F2729C" w14:textId="587C467A"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PE"/>
        </w:rPr>
        <w:t>Metodología para medir el impacto y mejorar la efectividad de los programas de capacitación, adaptada para la SG/OEA.</w:t>
      </w:r>
    </w:p>
    <w:p w14:paraId="06E8D389" w14:textId="3B17985E" w:rsidR="000B4E8B" w:rsidRPr="00665873" w:rsidRDefault="000B4E8B" w:rsidP="00665873">
      <w:pPr>
        <w:pStyle w:val="ListParagraph"/>
        <w:numPr>
          <w:ilvl w:val="0"/>
          <w:numId w:val="101"/>
        </w:numPr>
        <w:ind w:left="450"/>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Diagnóstico sobre el proceso de formulación, revisión y aprobación de proyectos para informar su futura optimización realizado.</w:t>
      </w:r>
    </w:p>
    <w:p w14:paraId="597AB60C" w14:textId="77777777" w:rsidR="00665873" w:rsidRDefault="000B4E8B" w:rsidP="00665873">
      <w:pPr>
        <w:numPr>
          <w:ilvl w:val="0"/>
          <w:numId w:val="101"/>
        </w:numPr>
        <w:spacing w:after="200"/>
        <w:ind w:left="450"/>
        <w:rPr>
          <w:rFonts w:asciiTheme="minorHAnsi" w:hAnsiTheme="minorHAnsi" w:cstheme="minorHAnsi"/>
          <w:sz w:val="22"/>
          <w:szCs w:val="22"/>
          <w:lang w:val="es-PE"/>
        </w:rPr>
      </w:pPr>
      <w:r w:rsidRPr="00B62815">
        <w:rPr>
          <w:rFonts w:asciiTheme="minorHAnsi" w:hAnsiTheme="minorHAnsi" w:cstheme="minorHAnsi"/>
          <w:sz w:val="22"/>
          <w:szCs w:val="22"/>
          <w:lang w:val="es-PE"/>
        </w:rPr>
        <w:t>Revisión del proceso EARS y propuesta de mejora desarrollada.</w:t>
      </w:r>
    </w:p>
    <w:p w14:paraId="58385608" w14:textId="77777777" w:rsidR="00665873" w:rsidRDefault="000B4E8B" w:rsidP="00665873">
      <w:pPr>
        <w:numPr>
          <w:ilvl w:val="0"/>
          <w:numId w:val="101"/>
        </w:numPr>
        <w:spacing w:after="200"/>
        <w:ind w:left="450"/>
        <w:rPr>
          <w:rFonts w:asciiTheme="minorHAnsi" w:hAnsiTheme="minorHAnsi" w:cstheme="minorHAnsi"/>
          <w:sz w:val="22"/>
          <w:szCs w:val="22"/>
          <w:lang w:val="es-PE"/>
        </w:rPr>
      </w:pPr>
      <w:r w:rsidRPr="00665873">
        <w:rPr>
          <w:rFonts w:asciiTheme="minorHAnsi" w:hAnsiTheme="minorHAnsi" w:cstheme="minorHAnsi"/>
          <w:sz w:val="22"/>
          <w:szCs w:val="22"/>
          <w:lang w:val="es-PE"/>
        </w:rPr>
        <w:t xml:space="preserve">Implementación del Programa piloto para la promoción de un ambiente de trabajo respetuoso (guiado por CEDOGR, CIM y Ombudsperson) y realización de: i) talleres sobre </w:t>
      </w:r>
      <w:r w:rsidRPr="00665873">
        <w:rPr>
          <w:rFonts w:asciiTheme="minorHAnsi" w:hAnsiTheme="minorHAnsi" w:cstheme="minorHAnsi"/>
          <w:i/>
          <w:sz w:val="22"/>
          <w:szCs w:val="22"/>
          <w:lang w:val="es-PE"/>
        </w:rPr>
        <w:t xml:space="preserve">feedback </w:t>
      </w:r>
      <w:r w:rsidRPr="00665873">
        <w:rPr>
          <w:rFonts w:asciiTheme="minorHAnsi" w:hAnsiTheme="minorHAnsi" w:cstheme="minorHAnsi"/>
          <w:sz w:val="22"/>
          <w:szCs w:val="22"/>
          <w:lang w:val="es-PE"/>
        </w:rPr>
        <w:t>constructivo; ii) talleres sobre relaciones interpersonales; y iii) campaña de sensibilización con DPC a implementarse en 2020.</w:t>
      </w:r>
    </w:p>
    <w:p w14:paraId="59CED63E" w14:textId="56D8DA37" w:rsidR="000B4E8B" w:rsidRPr="00665873" w:rsidRDefault="000B4E8B" w:rsidP="00665873">
      <w:pPr>
        <w:numPr>
          <w:ilvl w:val="0"/>
          <w:numId w:val="101"/>
        </w:numPr>
        <w:spacing w:after="200" w:line="276" w:lineRule="auto"/>
        <w:ind w:left="450"/>
        <w:rPr>
          <w:rFonts w:asciiTheme="minorHAnsi" w:hAnsiTheme="minorHAnsi" w:cstheme="minorHAnsi"/>
          <w:sz w:val="22"/>
          <w:szCs w:val="22"/>
          <w:lang w:val="es-PE"/>
        </w:rPr>
      </w:pPr>
      <w:r w:rsidRPr="00665873">
        <w:rPr>
          <w:rFonts w:asciiTheme="minorHAnsi" w:hAnsiTheme="minorHAnsi" w:cstheme="minorHAnsi"/>
          <w:sz w:val="22"/>
          <w:szCs w:val="22"/>
          <w:lang w:val="es-PE"/>
        </w:rPr>
        <w:t>Curso virtual de ética y código de conducta para todo el personal implementado conjuntamente con DHR y el Portal de las Américas (775 personal beneficiado).</w:t>
      </w:r>
    </w:p>
    <w:p w14:paraId="6EFE00DB" w14:textId="77777777" w:rsidR="000B4E8B" w:rsidRPr="00EB718B" w:rsidRDefault="000B4E8B" w:rsidP="000B4E8B">
      <w:pPr>
        <w:pStyle w:val="NoSpacing"/>
        <w:jc w:val="center"/>
        <w:rPr>
          <w:rFonts w:asciiTheme="minorHAnsi" w:hAnsiTheme="minorHAnsi" w:cstheme="minorHAnsi"/>
          <w:b/>
          <w:lang w:val="es-PE"/>
        </w:rPr>
      </w:pPr>
    </w:p>
    <w:p w14:paraId="2173C6D3" w14:textId="77777777" w:rsidR="00843BD7" w:rsidRPr="00EB718B" w:rsidRDefault="00843BD7" w:rsidP="000B4E8B">
      <w:pPr>
        <w:pStyle w:val="NoSpacing"/>
        <w:jc w:val="center"/>
        <w:rPr>
          <w:rFonts w:asciiTheme="minorHAnsi" w:hAnsiTheme="minorHAnsi" w:cstheme="minorHAnsi"/>
          <w:b/>
          <w:lang w:val="es-PE"/>
        </w:rPr>
      </w:pPr>
    </w:p>
    <w:p w14:paraId="719F4A77" w14:textId="77777777" w:rsidR="00843BD7" w:rsidRPr="00EB718B" w:rsidRDefault="00843BD7" w:rsidP="000B4E8B">
      <w:pPr>
        <w:pStyle w:val="NoSpacing"/>
        <w:jc w:val="center"/>
        <w:rPr>
          <w:rFonts w:asciiTheme="minorHAnsi" w:hAnsiTheme="minorHAnsi" w:cstheme="minorHAnsi"/>
          <w:b/>
          <w:lang w:val="es-PE"/>
        </w:rPr>
      </w:pPr>
    </w:p>
    <w:p w14:paraId="06F8B1D1" w14:textId="25F64110" w:rsidR="00843BD7" w:rsidRPr="00EB718B" w:rsidRDefault="00843BD7" w:rsidP="000B4E8B">
      <w:pPr>
        <w:pStyle w:val="NoSpacing"/>
        <w:jc w:val="center"/>
        <w:rPr>
          <w:rFonts w:asciiTheme="minorHAnsi" w:hAnsiTheme="minorHAnsi" w:cstheme="minorHAnsi"/>
          <w:b/>
          <w:lang w:val="es-PE"/>
        </w:rPr>
      </w:pPr>
    </w:p>
    <w:p w14:paraId="732ACAF7" w14:textId="4EF562C7" w:rsidR="00E74BA0" w:rsidRPr="00EB718B" w:rsidRDefault="00E74BA0" w:rsidP="000B4E8B">
      <w:pPr>
        <w:pStyle w:val="NoSpacing"/>
        <w:jc w:val="center"/>
        <w:rPr>
          <w:rFonts w:asciiTheme="minorHAnsi" w:hAnsiTheme="minorHAnsi" w:cstheme="minorHAnsi"/>
          <w:b/>
          <w:lang w:val="es-PE"/>
        </w:rPr>
      </w:pPr>
    </w:p>
    <w:p w14:paraId="36DB5664" w14:textId="447F8432" w:rsidR="00E74BA0" w:rsidRPr="00EB718B" w:rsidRDefault="00E74BA0" w:rsidP="000B4E8B">
      <w:pPr>
        <w:pStyle w:val="NoSpacing"/>
        <w:jc w:val="center"/>
        <w:rPr>
          <w:rFonts w:asciiTheme="minorHAnsi" w:hAnsiTheme="minorHAnsi" w:cstheme="minorHAnsi"/>
          <w:b/>
          <w:lang w:val="es-PE"/>
        </w:rPr>
      </w:pPr>
    </w:p>
    <w:p w14:paraId="6AFF458F" w14:textId="104EDBB0" w:rsidR="00E74BA0" w:rsidRPr="00EB718B" w:rsidRDefault="00E74BA0" w:rsidP="000B4E8B">
      <w:pPr>
        <w:pStyle w:val="NoSpacing"/>
        <w:jc w:val="center"/>
        <w:rPr>
          <w:rFonts w:asciiTheme="minorHAnsi" w:hAnsiTheme="minorHAnsi" w:cstheme="minorHAnsi"/>
          <w:b/>
          <w:lang w:val="es-PE"/>
        </w:rPr>
      </w:pPr>
    </w:p>
    <w:p w14:paraId="3C4EB37F" w14:textId="4D6D529C" w:rsidR="00E74BA0" w:rsidRPr="00EB718B" w:rsidRDefault="00E74BA0" w:rsidP="000B4E8B">
      <w:pPr>
        <w:pStyle w:val="NoSpacing"/>
        <w:jc w:val="center"/>
        <w:rPr>
          <w:rFonts w:asciiTheme="minorHAnsi" w:hAnsiTheme="minorHAnsi" w:cstheme="minorHAnsi"/>
          <w:b/>
          <w:lang w:val="es-PE"/>
        </w:rPr>
      </w:pPr>
    </w:p>
    <w:p w14:paraId="7607185D" w14:textId="77777777" w:rsidR="00E74BA0" w:rsidRPr="00EB718B" w:rsidRDefault="00E74BA0" w:rsidP="000B4E8B">
      <w:pPr>
        <w:pStyle w:val="NoSpacing"/>
        <w:jc w:val="center"/>
        <w:rPr>
          <w:rFonts w:asciiTheme="minorHAnsi" w:hAnsiTheme="minorHAnsi" w:cstheme="minorHAnsi"/>
          <w:b/>
          <w:lang w:val="es-PE"/>
        </w:rPr>
      </w:pPr>
    </w:p>
    <w:p w14:paraId="0DCA58B3" w14:textId="77777777" w:rsidR="00843BD7" w:rsidRPr="00EB718B" w:rsidRDefault="00843BD7" w:rsidP="000B4E8B">
      <w:pPr>
        <w:pStyle w:val="NoSpacing"/>
        <w:jc w:val="center"/>
        <w:rPr>
          <w:rFonts w:asciiTheme="minorHAnsi" w:hAnsiTheme="minorHAnsi" w:cstheme="minorHAnsi"/>
          <w:b/>
          <w:lang w:val="es-PE"/>
        </w:rPr>
      </w:pPr>
    </w:p>
    <w:p w14:paraId="26B9803A" w14:textId="77777777" w:rsidR="00843BD7" w:rsidRPr="00EB718B" w:rsidRDefault="00843BD7" w:rsidP="000B4E8B">
      <w:pPr>
        <w:pStyle w:val="NoSpacing"/>
        <w:jc w:val="center"/>
        <w:rPr>
          <w:rFonts w:asciiTheme="minorHAnsi" w:hAnsiTheme="minorHAnsi" w:cstheme="minorHAnsi"/>
          <w:b/>
          <w:lang w:val="es-PE"/>
        </w:rPr>
      </w:pPr>
    </w:p>
    <w:p w14:paraId="35790990" w14:textId="77777777" w:rsidR="00843BD7" w:rsidRPr="00EB718B" w:rsidRDefault="00843BD7" w:rsidP="000B4E8B">
      <w:pPr>
        <w:pStyle w:val="NoSpacing"/>
        <w:jc w:val="center"/>
        <w:rPr>
          <w:rFonts w:asciiTheme="minorHAnsi" w:hAnsiTheme="minorHAnsi" w:cstheme="minorHAnsi"/>
          <w:b/>
          <w:lang w:val="es-PE"/>
        </w:rPr>
      </w:pPr>
    </w:p>
    <w:p w14:paraId="7F70A0A4" w14:textId="77777777" w:rsidR="000B4E8B" w:rsidRPr="00B62815" w:rsidRDefault="001C2CF3" w:rsidP="000B4E8B">
      <w:pPr>
        <w:pStyle w:val="NoSpacing"/>
        <w:rPr>
          <w:rFonts w:asciiTheme="minorHAnsi" w:hAnsiTheme="minorHAnsi" w:cstheme="minorHAnsi"/>
          <w:b/>
          <w:lang w:val="pt-BR"/>
        </w:rPr>
      </w:pPr>
      <w:r w:rsidRPr="00B62815">
        <w:rPr>
          <w:rFonts w:asciiTheme="minorHAnsi" w:hAnsiTheme="minorHAnsi" w:cstheme="minorHAnsi"/>
          <w:b/>
          <w:noProof/>
          <w:lang w:eastAsia="en-US"/>
        </w:rPr>
        <w:drawing>
          <wp:inline distT="0" distB="0" distL="0" distR="0" wp14:anchorId="350B549C" wp14:editId="0EB9B0E1">
            <wp:extent cx="3097530" cy="1567815"/>
            <wp:effectExtent l="0" t="0" r="0" b="0"/>
            <wp:docPr id="22"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drawing&#10;&#10;Description automatically generated"/>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3097530" cy="1567815"/>
                    </a:xfrm>
                    <a:prstGeom prst="rect">
                      <a:avLst/>
                    </a:prstGeom>
                    <a:noFill/>
                    <a:ln>
                      <a:noFill/>
                    </a:ln>
                  </pic:spPr>
                </pic:pic>
              </a:graphicData>
            </a:graphic>
          </wp:inline>
        </w:drawing>
      </w:r>
    </w:p>
    <w:p w14:paraId="1ECFB0C9" w14:textId="77777777" w:rsidR="000B4E8B" w:rsidRPr="00B62815" w:rsidRDefault="001C2CF3" w:rsidP="000B4E8B">
      <w:pPr>
        <w:pStyle w:val="NoSpacing"/>
        <w:jc w:val="center"/>
        <w:rPr>
          <w:rFonts w:asciiTheme="minorHAnsi" w:hAnsiTheme="minorHAnsi" w:cstheme="minorHAnsi"/>
          <w:b/>
          <w:lang w:val="pt-BR"/>
        </w:rPr>
      </w:pPr>
      <w:r w:rsidRPr="00B62815">
        <w:rPr>
          <w:rFonts w:asciiTheme="minorHAnsi" w:hAnsiTheme="minorHAnsi" w:cstheme="minorHAnsi"/>
          <w:b/>
          <w:noProof/>
          <w:lang w:eastAsia="en-US"/>
        </w:rPr>
        <w:drawing>
          <wp:inline distT="0" distB="0" distL="0" distR="0" wp14:anchorId="04C350CE" wp14:editId="53FF90A1">
            <wp:extent cx="3813175" cy="3533140"/>
            <wp:effectExtent l="0" t="0" r="0" b="0"/>
            <wp:docPr id="23" name="Picture 3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lose up of a card&#10;&#10;Description automatically generated"/>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3813175" cy="3533140"/>
                    </a:xfrm>
                    <a:prstGeom prst="rect">
                      <a:avLst/>
                    </a:prstGeom>
                    <a:noFill/>
                    <a:ln>
                      <a:noFill/>
                    </a:ln>
                  </pic:spPr>
                </pic:pic>
              </a:graphicData>
            </a:graphic>
          </wp:inline>
        </w:drawing>
      </w:r>
    </w:p>
    <w:p w14:paraId="20BDD694" w14:textId="77777777" w:rsidR="000B4E8B" w:rsidRPr="00B62815" w:rsidRDefault="000B4E8B" w:rsidP="000B4E8B">
      <w:pPr>
        <w:pStyle w:val="NoSpacing"/>
        <w:jc w:val="right"/>
        <w:rPr>
          <w:rFonts w:asciiTheme="minorHAnsi" w:hAnsiTheme="minorHAnsi" w:cstheme="minorHAnsi"/>
          <w:b/>
          <w:lang w:val="pt-BR"/>
        </w:rPr>
      </w:pPr>
    </w:p>
    <w:p w14:paraId="2DDDB127" w14:textId="77777777" w:rsidR="00843BD7" w:rsidRPr="00B62815" w:rsidRDefault="00843BD7" w:rsidP="00843BD7">
      <w:pPr>
        <w:pStyle w:val="Heading3"/>
        <w:rPr>
          <w:rFonts w:asciiTheme="minorHAnsi" w:hAnsiTheme="minorHAnsi" w:cstheme="minorHAnsi"/>
          <w:b w:val="0"/>
          <w:bCs w:val="0"/>
          <w:color w:val="E36C0A"/>
          <w:sz w:val="22"/>
          <w:szCs w:val="22"/>
          <w:lang w:val="es-US"/>
        </w:rPr>
      </w:pPr>
      <w:bookmarkStart w:id="85" w:name="_Toc39675858"/>
      <w:bookmarkStart w:id="86" w:name="_Toc40191081"/>
      <w:r w:rsidRPr="00B62815">
        <w:rPr>
          <w:rFonts w:asciiTheme="minorHAnsi" w:hAnsiTheme="minorHAnsi" w:cstheme="minorHAnsi"/>
          <w:b w:val="0"/>
          <w:color w:val="E36C0A"/>
          <w:sz w:val="22"/>
          <w:szCs w:val="22"/>
          <w:lang w:val="es-US"/>
        </w:rPr>
        <w:t>2.10.2</w:t>
      </w:r>
      <w:r w:rsidRPr="00B62815">
        <w:rPr>
          <w:rFonts w:asciiTheme="minorHAnsi" w:hAnsiTheme="minorHAnsi" w:cstheme="minorHAnsi"/>
          <w:b w:val="0"/>
          <w:color w:val="E36C0A"/>
          <w:sz w:val="22"/>
          <w:szCs w:val="22"/>
          <w:lang w:val="es-US"/>
        </w:rPr>
        <w:tab/>
        <w:t>Departamento de Relaciones Externas e Institucionales (DREI)</w:t>
      </w:r>
      <w:bookmarkEnd w:id="85"/>
      <w:bookmarkEnd w:id="86"/>
    </w:p>
    <w:p w14:paraId="2CE1E04A" w14:textId="77777777" w:rsidR="000B4E8B" w:rsidRPr="00B62815" w:rsidRDefault="000B4E8B" w:rsidP="000B4E8B">
      <w:pPr>
        <w:pStyle w:val="NoSpacing"/>
        <w:rPr>
          <w:rFonts w:asciiTheme="minorHAnsi" w:hAnsiTheme="minorHAnsi" w:cstheme="minorHAnsi"/>
          <w:lang w:val="es-US"/>
        </w:rPr>
      </w:pPr>
    </w:p>
    <w:p w14:paraId="7066366B" w14:textId="77777777" w:rsidR="000B4E8B" w:rsidRPr="00B62815" w:rsidRDefault="000B4E8B" w:rsidP="00843BD7">
      <w:pPr>
        <w:jc w:val="both"/>
        <w:rPr>
          <w:rFonts w:asciiTheme="minorHAnsi" w:hAnsiTheme="minorHAnsi" w:cstheme="minorHAnsi"/>
          <w:sz w:val="22"/>
          <w:szCs w:val="22"/>
          <w:lang w:val="es-PE"/>
        </w:rPr>
      </w:pPr>
      <w:r w:rsidRPr="00B62815">
        <w:rPr>
          <w:rFonts w:asciiTheme="minorHAnsi" w:hAnsiTheme="minorHAnsi" w:cstheme="minorHAnsi"/>
          <w:sz w:val="22"/>
          <w:szCs w:val="22"/>
          <w:lang w:val="es-PE"/>
        </w:rPr>
        <w:t xml:space="preserve">El Departamento de Relaciones Externas e Institucionales (DREI) contribuyó al fortalecimiento de las contribuciones voluntarias a proyectos de la Secretaría General, las cuales ascendieron a un total de $61 millones.  De este monto, $21 millones fueron aportes de los Observadores Permanentes, lo cual equivale a un incremento del 30.6% con respecto a 2018. Este significativo aumento se logró gracias a la organización de 250 reuniones bilaterales entre las áreas de la Secretaria General y los Observadores Permanentes, sector privado y fundaciones. El Departamento también ha organizado 30 reuniones entre el Secretario General y autoridades de alto nivel de los Observadores Permanentes, incluyendo 3 visitas a capitales de estos socios estratégicos. </w:t>
      </w:r>
    </w:p>
    <w:p w14:paraId="1C42A846" w14:textId="77777777" w:rsidR="000B4E8B" w:rsidRPr="00B62815" w:rsidRDefault="000B4E8B" w:rsidP="000B4E8B">
      <w:pPr>
        <w:pStyle w:val="NoSpacing"/>
        <w:jc w:val="both"/>
        <w:rPr>
          <w:rFonts w:asciiTheme="minorHAnsi" w:hAnsiTheme="minorHAnsi" w:cstheme="minorHAnsi"/>
          <w:lang w:val="es-PE"/>
        </w:rPr>
      </w:pPr>
    </w:p>
    <w:p w14:paraId="443E5394" w14:textId="77777777" w:rsidR="000B4E8B" w:rsidRPr="00B62815" w:rsidRDefault="000B4E8B" w:rsidP="00843BD7">
      <w:pPr>
        <w:jc w:val="both"/>
        <w:rPr>
          <w:rFonts w:asciiTheme="minorHAnsi" w:hAnsiTheme="minorHAnsi" w:cstheme="minorHAnsi"/>
          <w:sz w:val="22"/>
          <w:szCs w:val="22"/>
          <w:lang w:val="es-PE"/>
        </w:rPr>
      </w:pPr>
      <w:r w:rsidRPr="00B62815">
        <w:rPr>
          <w:rFonts w:asciiTheme="minorHAnsi" w:hAnsiTheme="minorHAnsi" w:cstheme="minorHAnsi"/>
          <w:sz w:val="22"/>
          <w:szCs w:val="22"/>
          <w:lang w:val="es-PE"/>
        </w:rPr>
        <w:t>El DREI promovió proyectos de las diferentes Secretarías y Comisiones a través de 10 mesas de donantes.  Fortaleció el diálogo político y de cooperación entre Estados Miembros y Observadores Permanentes en el marco de la Asamblea General y la reunión anual de los Jefes de Delegación con los Observadores, propiciando el intercambio de ideas y el aumento del financiamiento a programas de la OEA. Dos nuevos países Observadores se convirtieron en donantes de la organización (Ucrania y Georgia) y se reactivó la relación con países Observadores de Asia y Medio Oriente.</w:t>
      </w:r>
    </w:p>
    <w:p w14:paraId="26193FEA" w14:textId="77777777" w:rsidR="000B4E8B" w:rsidRPr="00B62815" w:rsidRDefault="000B4E8B" w:rsidP="00843BD7">
      <w:pPr>
        <w:jc w:val="both"/>
        <w:rPr>
          <w:rFonts w:asciiTheme="minorHAnsi" w:hAnsiTheme="minorHAnsi" w:cstheme="minorHAnsi"/>
          <w:sz w:val="22"/>
          <w:szCs w:val="22"/>
          <w:lang w:val="es-PE"/>
        </w:rPr>
      </w:pPr>
    </w:p>
    <w:p w14:paraId="31B5C41B" w14:textId="77777777" w:rsidR="000B4E8B" w:rsidRPr="00B62815" w:rsidRDefault="000B4E8B" w:rsidP="00843BD7">
      <w:pPr>
        <w:jc w:val="both"/>
        <w:rPr>
          <w:rFonts w:asciiTheme="minorHAnsi" w:hAnsiTheme="minorHAnsi" w:cstheme="minorHAnsi"/>
          <w:sz w:val="22"/>
          <w:szCs w:val="22"/>
          <w:lang w:val="es-PE"/>
        </w:rPr>
      </w:pPr>
      <w:r w:rsidRPr="00B62815">
        <w:rPr>
          <w:rFonts w:asciiTheme="minorHAnsi" w:hAnsiTheme="minorHAnsi" w:cstheme="minorHAnsi"/>
          <w:sz w:val="22"/>
          <w:szCs w:val="22"/>
          <w:lang w:val="es-PE"/>
        </w:rPr>
        <w:t>En coordinación con las Presidencias del Consejo Permanente (Estados Unidos y Guatemala), el DREI organizó dos sesiones extraordinarias del Consejo Permanente dedicadas a los Estados Observadores para promover el intercambio de información sobre objetivos y proyectos comunes y alianzas con estos socios de la organización. Finalmente, durante 2019, el DREI realizó esfuerzos para atraer nuevos Estados Observadores a la OEA así como actores del sector privado y fundaciones de países Observadores con el fin de diversificar donantes, apalancar recursos y aprovechar experiencias y mejores prácticas.</w:t>
      </w:r>
    </w:p>
    <w:p w14:paraId="25312051" w14:textId="77777777" w:rsidR="000B4E8B" w:rsidRPr="00B62815" w:rsidRDefault="000B4E8B" w:rsidP="000B4E8B">
      <w:pPr>
        <w:pStyle w:val="NoSpacing"/>
        <w:jc w:val="both"/>
        <w:rPr>
          <w:rFonts w:asciiTheme="minorHAnsi" w:hAnsiTheme="minorHAnsi" w:cstheme="minorHAnsi"/>
          <w:lang w:val="es-PE"/>
        </w:rPr>
      </w:pPr>
    </w:p>
    <w:p w14:paraId="68B19B77" w14:textId="77777777"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ES_tradnl"/>
        </w:rPr>
        <w:t>$21,072,075 en contribuciones de Observadores Permanentes representan el mayor aumento desde 2008 y un incremento del 30.6% con respecto a 2018.</w:t>
      </w:r>
    </w:p>
    <w:p w14:paraId="00A60E7C" w14:textId="77777777"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ES_tradnl"/>
        </w:rPr>
        <w:t xml:space="preserve">Se intensificó la promoción de proyectos a través de más de 250 reuniones bilaterales entre las áreas de la Secretaría General y Observadores Permanentes, sector privado y fundaciones. </w:t>
      </w:r>
    </w:p>
    <w:p w14:paraId="7D864DE3" w14:textId="77777777"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ES_tradnl"/>
        </w:rPr>
        <w:t xml:space="preserve">30 reuniones entre el Secretario General y Ministros, Viceministros y Jefes de las Américas de Estados Observadores, incluyendo 3 visitas a capitales de Observadores. </w:t>
      </w:r>
    </w:p>
    <w:p w14:paraId="2466E911" w14:textId="77777777"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ES_tradnl"/>
        </w:rPr>
        <w:t xml:space="preserve">10 mesas de donantes para presentar la oferta de proyectos de la Secretaría General a Estados Miembros y Observadores Permanentes. </w:t>
      </w:r>
    </w:p>
    <w:p w14:paraId="1B07E9E6" w14:textId="77777777"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ES_tradnl"/>
        </w:rPr>
        <w:t xml:space="preserve">Diálogo anual de los Jefes de Delegación de la Asamblea General (Medellín) y los Observadores Permanentes, donde participaron 44 Estados Observadores a un alto nivel. </w:t>
      </w:r>
    </w:p>
    <w:p w14:paraId="19A4E34A" w14:textId="77777777"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ES_tradnl"/>
        </w:rPr>
        <w:t>2 sesiones extraordinarias del Consejo Permanente dedicadas a los Observadores Permanentes.</w:t>
      </w:r>
    </w:p>
    <w:p w14:paraId="65B05357" w14:textId="044959E2"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ES_tradnl"/>
        </w:rPr>
        <w:t>Alianza con Países Bajos y Academia diplomática Clingenda logró capacitar a 14 representes de Misiones Permanentes ante la OEA en La Haya.</w:t>
      </w:r>
    </w:p>
    <w:p w14:paraId="387A190E" w14:textId="77777777" w:rsidR="000B4E8B" w:rsidRPr="00B62815" w:rsidRDefault="000B4E8B" w:rsidP="00AF0D93">
      <w:pPr>
        <w:pStyle w:val="NoSpacing"/>
        <w:numPr>
          <w:ilvl w:val="0"/>
          <w:numId w:val="107"/>
        </w:numPr>
        <w:jc w:val="both"/>
        <w:rPr>
          <w:rFonts w:asciiTheme="minorHAnsi" w:hAnsiTheme="minorHAnsi" w:cstheme="minorHAnsi"/>
          <w:lang w:val="es-PE"/>
        </w:rPr>
      </w:pPr>
      <w:r w:rsidRPr="00B62815">
        <w:rPr>
          <w:rFonts w:asciiTheme="minorHAnsi" w:hAnsiTheme="minorHAnsi" w:cstheme="minorHAnsi"/>
          <w:lang w:val="es-PE"/>
        </w:rPr>
        <w:t xml:space="preserve">Quinto Diálogo político de alto nivel OEA-UE realizado en la sede de la OEA para fortalecer </w:t>
      </w:r>
      <w:r w:rsidR="00843BD7" w:rsidRPr="00B62815">
        <w:rPr>
          <w:rFonts w:asciiTheme="minorHAnsi" w:hAnsiTheme="minorHAnsi" w:cstheme="minorHAnsi"/>
          <w:lang w:val="es-PE"/>
        </w:rPr>
        <w:t>alianzas</w:t>
      </w:r>
      <w:r w:rsidRPr="00B62815">
        <w:rPr>
          <w:rFonts w:asciiTheme="minorHAnsi" w:hAnsiTheme="minorHAnsi" w:cstheme="minorHAnsi"/>
          <w:lang w:val="es-PE"/>
        </w:rPr>
        <w:t xml:space="preserve"> e incrementar la colaboración y la coordinación en pos de </w:t>
      </w:r>
      <w:r w:rsidR="00843BD7" w:rsidRPr="00B62815">
        <w:rPr>
          <w:rFonts w:asciiTheme="minorHAnsi" w:hAnsiTheme="minorHAnsi" w:cstheme="minorHAnsi"/>
          <w:lang w:val="es-PE"/>
        </w:rPr>
        <w:t>avanzar la democracia, la segu</w:t>
      </w:r>
      <w:r w:rsidRPr="00B62815">
        <w:rPr>
          <w:rFonts w:asciiTheme="minorHAnsi" w:hAnsiTheme="minorHAnsi" w:cstheme="minorHAnsi"/>
          <w:lang w:val="es-PE"/>
        </w:rPr>
        <w:t>ridad, los derechos humanos y el desarrollo sostenible en las Américas</w:t>
      </w:r>
    </w:p>
    <w:p w14:paraId="3F200FDE" w14:textId="77777777" w:rsidR="000B4E8B" w:rsidRPr="00B62815" w:rsidRDefault="000B4E8B" w:rsidP="00AF0D93">
      <w:pPr>
        <w:pStyle w:val="NoSpacing"/>
        <w:numPr>
          <w:ilvl w:val="0"/>
          <w:numId w:val="107"/>
        </w:numPr>
        <w:jc w:val="both"/>
        <w:rPr>
          <w:rFonts w:asciiTheme="minorHAnsi" w:hAnsiTheme="minorHAnsi" w:cstheme="minorHAnsi"/>
          <w:lang w:val="es-US"/>
        </w:rPr>
      </w:pPr>
      <w:r w:rsidRPr="00B62815">
        <w:rPr>
          <w:rFonts w:asciiTheme="minorHAnsi" w:hAnsiTheme="minorHAnsi" w:cstheme="minorHAnsi"/>
          <w:lang w:val="es-ES_tradnl"/>
        </w:rPr>
        <w:t>Mayor coordinación con Estados miembros, Observadores y áreas de la Secretaría General para la búsqueda de financiamiento externo.</w:t>
      </w:r>
    </w:p>
    <w:p w14:paraId="4C0D930F" w14:textId="77777777"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ES_tradnl"/>
        </w:rPr>
        <w:t>40 reuniones con 11 empresas del sector privado de Estados Observadores para promover alianzas en proyectos en las áreas de desarrollo y seguridad.</w:t>
      </w:r>
    </w:p>
    <w:p w14:paraId="3FCF975E" w14:textId="77777777"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ES_tradnl"/>
        </w:rPr>
        <w:t>2 países Observadores se convirtieron en nuevos donantes (Ucrania y Georgia)</w:t>
      </w:r>
    </w:p>
    <w:p w14:paraId="19EEC0BA" w14:textId="77777777" w:rsidR="000B4E8B" w:rsidRPr="00B62815" w:rsidRDefault="000B4E8B" w:rsidP="00AF0D93">
      <w:pPr>
        <w:pStyle w:val="NoSpacing"/>
        <w:numPr>
          <w:ilvl w:val="0"/>
          <w:numId w:val="107"/>
        </w:numPr>
        <w:jc w:val="both"/>
        <w:rPr>
          <w:rFonts w:asciiTheme="minorHAnsi" w:hAnsiTheme="minorHAnsi" w:cstheme="minorHAnsi"/>
          <w:lang w:val="es-ES_tradnl"/>
        </w:rPr>
      </w:pPr>
      <w:r w:rsidRPr="00B62815">
        <w:rPr>
          <w:rFonts w:asciiTheme="minorHAnsi" w:hAnsiTheme="minorHAnsi" w:cstheme="minorHAnsi"/>
          <w:lang w:val="es-PE"/>
        </w:rPr>
        <w:t>Acercamientos con potenciales nuevos Observadores con el fin de diversificar donantes, apalancar recursos y aprovechar experiencias y mejores prácticas.</w:t>
      </w:r>
    </w:p>
    <w:p w14:paraId="77644F4C" w14:textId="77777777" w:rsidR="000B4E8B" w:rsidRPr="00B62815" w:rsidRDefault="000B4E8B" w:rsidP="000B4E8B">
      <w:pPr>
        <w:pStyle w:val="NoSpacing"/>
        <w:ind w:left="360"/>
        <w:jc w:val="both"/>
        <w:rPr>
          <w:rFonts w:asciiTheme="minorHAnsi" w:hAnsiTheme="minorHAnsi" w:cstheme="minorHAnsi"/>
          <w:lang w:val="es-ES_tradnl"/>
        </w:rPr>
      </w:pPr>
    </w:p>
    <w:p w14:paraId="5E430B7F" w14:textId="77777777" w:rsidR="000B4E8B" w:rsidRPr="00B62815" w:rsidRDefault="00573283" w:rsidP="00843BD7">
      <w:pPr>
        <w:pStyle w:val="NoSpacing"/>
        <w:jc w:val="both"/>
        <w:rPr>
          <w:rFonts w:asciiTheme="minorHAnsi" w:hAnsiTheme="minorHAnsi" w:cstheme="minorHAnsi"/>
          <w:lang w:val="es-ES_tradnl"/>
        </w:rPr>
      </w:pPr>
      <w:hyperlink r:id="rId170" w:history="1">
        <w:r w:rsidR="000B4E8B" w:rsidRPr="00B62815">
          <w:rPr>
            <w:rStyle w:val="Hyperlink"/>
            <w:rFonts w:asciiTheme="minorHAnsi" w:hAnsiTheme="minorHAnsi" w:cstheme="minorHAnsi"/>
            <w:lang w:val="es-ES_tradnl"/>
          </w:rPr>
          <w:t>http://www.oas.org/saf/DFAMS/2019/12/SF_TABLE_CONTPO_20191231_EN.pdf</w:t>
        </w:r>
      </w:hyperlink>
    </w:p>
    <w:p w14:paraId="4D1CEEC3" w14:textId="77777777" w:rsidR="000B4E8B" w:rsidRPr="00B62815" w:rsidRDefault="00573283" w:rsidP="00843BD7">
      <w:pPr>
        <w:pStyle w:val="NoSpacing"/>
        <w:jc w:val="both"/>
        <w:rPr>
          <w:rFonts w:asciiTheme="minorHAnsi" w:hAnsiTheme="minorHAnsi" w:cstheme="minorHAnsi"/>
          <w:lang w:val="es-ES_tradnl"/>
        </w:rPr>
      </w:pPr>
      <w:hyperlink r:id="rId171" w:history="1">
        <w:r w:rsidR="000B4E8B" w:rsidRPr="00B62815">
          <w:rPr>
            <w:rStyle w:val="Hyperlink"/>
            <w:rFonts w:asciiTheme="minorHAnsi" w:hAnsiTheme="minorHAnsi" w:cstheme="minorHAnsi"/>
            <w:lang w:val="es-ES_tradnl"/>
          </w:rPr>
          <w:t>http://www.oas.org/en/ser/dia/perm_observers/countries.asp</w:t>
        </w:r>
      </w:hyperlink>
      <w:r w:rsidR="000B4E8B" w:rsidRPr="00B62815">
        <w:rPr>
          <w:rFonts w:asciiTheme="minorHAnsi" w:hAnsiTheme="minorHAnsi" w:cstheme="minorHAnsi"/>
          <w:lang w:val="es-ES_tradnl"/>
        </w:rPr>
        <w:t xml:space="preserve"> </w:t>
      </w:r>
    </w:p>
    <w:p w14:paraId="6A0090B2" w14:textId="77777777" w:rsidR="000B4E8B" w:rsidRPr="00B62815" w:rsidRDefault="000B4E8B" w:rsidP="000B4E8B">
      <w:pPr>
        <w:pStyle w:val="NoSpacing"/>
        <w:ind w:left="1440"/>
        <w:rPr>
          <w:rFonts w:asciiTheme="minorHAnsi" w:hAnsiTheme="minorHAnsi" w:cstheme="minorHAnsi"/>
          <w:lang w:val="es-ES_tradnl"/>
        </w:rPr>
      </w:pPr>
    </w:p>
    <w:p w14:paraId="32BBDF0C" w14:textId="77777777" w:rsidR="00843BD7" w:rsidRPr="00B62815" w:rsidRDefault="00843BD7" w:rsidP="000B4E8B">
      <w:pPr>
        <w:pStyle w:val="NoSpacing"/>
        <w:ind w:left="1440"/>
        <w:rPr>
          <w:rFonts w:asciiTheme="minorHAnsi" w:hAnsiTheme="minorHAnsi" w:cstheme="minorHAnsi"/>
          <w:lang w:val="es-ES_tradnl"/>
        </w:rPr>
      </w:pPr>
    </w:p>
    <w:p w14:paraId="6C6895CA" w14:textId="77777777" w:rsidR="003E3532" w:rsidRPr="00B62815" w:rsidRDefault="003E3532" w:rsidP="000B4E8B">
      <w:pPr>
        <w:pStyle w:val="NoSpacing"/>
        <w:ind w:left="1440"/>
        <w:rPr>
          <w:rFonts w:asciiTheme="minorHAnsi" w:hAnsiTheme="minorHAnsi" w:cstheme="minorHAnsi"/>
          <w:lang w:val="es-ES_tradnl"/>
        </w:rPr>
      </w:pPr>
    </w:p>
    <w:p w14:paraId="03475CB3" w14:textId="77777777" w:rsidR="003E3532" w:rsidRPr="00B62815" w:rsidRDefault="003E3532" w:rsidP="000B4E8B">
      <w:pPr>
        <w:pStyle w:val="NoSpacing"/>
        <w:ind w:left="1440"/>
        <w:rPr>
          <w:rFonts w:asciiTheme="minorHAnsi" w:hAnsiTheme="minorHAnsi" w:cstheme="minorHAnsi"/>
          <w:lang w:val="es-ES_tradnl"/>
        </w:rPr>
      </w:pPr>
    </w:p>
    <w:p w14:paraId="63BBEB4F" w14:textId="77777777" w:rsidR="003E3532" w:rsidRPr="00B62815" w:rsidRDefault="003E3532" w:rsidP="000B4E8B">
      <w:pPr>
        <w:pStyle w:val="NoSpacing"/>
        <w:ind w:left="1440"/>
        <w:rPr>
          <w:rFonts w:asciiTheme="minorHAnsi" w:hAnsiTheme="minorHAnsi" w:cstheme="minorHAnsi"/>
          <w:lang w:val="es-ES_tradnl"/>
        </w:rPr>
      </w:pPr>
    </w:p>
    <w:p w14:paraId="3B3F1CF4" w14:textId="77777777" w:rsidR="003E3532" w:rsidRPr="00B62815" w:rsidRDefault="003E3532" w:rsidP="000B4E8B">
      <w:pPr>
        <w:pStyle w:val="NoSpacing"/>
        <w:ind w:left="1440"/>
        <w:rPr>
          <w:rFonts w:asciiTheme="minorHAnsi" w:hAnsiTheme="minorHAnsi" w:cstheme="minorHAnsi"/>
          <w:lang w:val="es-ES_tradnl"/>
        </w:rPr>
      </w:pPr>
    </w:p>
    <w:p w14:paraId="7F4692A8" w14:textId="77777777" w:rsidR="003E3532" w:rsidRPr="00B62815" w:rsidRDefault="003E3532" w:rsidP="000B4E8B">
      <w:pPr>
        <w:pStyle w:val="NoSpacing"/>
        <w:ind w:left="1440"/>
        <w:rPr>
          <w:rFonts w:asciiTheme="minorHAnsi" w:hAnsiTheme="minorHAnsi" w:cstheme="minorHAnsi"/>
          <w:lang w:val="es-ES_tradnl"/>
        </w:rPr>
      </w:pPr>
    </w:p>
    <w:p w14:paraId="517524F3" w14:textId="77777777" w:rsidR="00843BD7" w:rsidRPr="00B62815" w:rsidRDefault="00843BD7" w:rsidP="000B4E8B">
      <w:pPr>
        <w:pStyle w:val="NoSpacing"/>
        <w:ind w:left="1440"/>
        <w:rPr>
          <w:rFonts w:asciiTheme="minorHAnsi" w:hAnsiTheme="minorHAnsi" w:cstheme="minorHAnsi"/>
          <w:lang w:val="es-ES_tradnl"/>
        </w:rPr>
      </w:pPr>
    </w:p>
    <w:p w14:paraId="16176A1A" w14:textId="77777777" w:rsidR="00843BD7" w:rsidRPr="00B62815" w:rsidRDefault="00843BD7" w:rsidP="000B4E8B">
      <w:pPr>
        <w:pStyle w:val="NoSpacing"/>
        <w:ind w:left="1440"/>
        <w:rPr>
          <w:rFonts w:asciiTheme="minorHAnsi" w:hAnsiTheme="minorHAnsi" w:cstheme="minorHAnsi"/>
          <w:lang w:val="es-ES_tradnl"/>
        </w:rPr>
      </w:pPr>
    </w:p>
    <w:p w14:paraId="1B4E2989" w14:textId="77777777" w:rsidR="00843BD7" w:rsidRPr="00B62815" w:rsidRDefault="00843BD7" w:rsidP="000B4E8B">
      <w:pPr>
        <w:pStyle w:val="NoSpacing"/>
        <w:ind w:left="1440"/>
        <w:rPr>
          <w:rFonts w:asciiTheme="minorHAnsi" w:hAnsiTheme="minorHAnsi" w:cstheme="minorHAnsi"/>
          <w:lang w:val="es-ES_tradnl"/>
        </w:rPr>
      </w:pPr>
    </w:p>
    <w:p w14:paraId="209C2831" w14:textId="77777777" w:rsidR="00843BD7" w:rsidRPr="00B62815" w:rsidRDefault="00843BD7" w:rsidP="000B4E8B">
      <w:pPr>
        <w:pStyle w:val="NoSpacing"/>
        <w:ind w:left="1440"/>
        <w:rPr>
          <w:rFonts w:asciiTheme="minorHAnsi" w:hAnsiTheme="minorHAnsi" w:cstheme="minorHAnsi"/>
          <w:lang w:val="es-ES_tradnl"/>
        </w:rPr>
      </w:pPr>
    </w:p>
    <w:p w14:paraId="21BE94DA" w14:textId="77777777" w:rsidR="00843BD7" w:rsidRPr="00B62815" w:rsidRDefault="00843BD7" w:rsidP="000B4E8B">
      <w:pPr>
        <w:pStyle w:val="NoSpacing"/>
        <w:ind w:left="1440"/>
        <w:rPr>
          <w:rFonts w:asciiTheme="minorHAnsi" w:hAnsiTheme="minorHAnsi" w:cstheme="minorHAnsi"/>
          <w:lang w:val="es-ES_tradnl"/>
        </w:rPr>
      </w:pPr>
    </w:p>
    <w:p w14:paraId="276139C0" w14:textId="77777777" w:rsidR="00843BD7" w:rsidRPr="00B62815" w:rsidRDefault="00843BD7" w:rsidP="000B4E8B">
      <w:pPr>
        <w:pStyle w:val="NoSpacing"/>
        <w:ind w:left="1440"/>
        <w:rPr>
          <w:rFonts w:asciiTheme="minorHAnsi" w:hAnsiTheme="minorHAnsi" w:cstheme="minorHAnsi"/>
          <w:lang w:val="es-ES_tradnl"/>
        </w:rPr>
      </w:pPr>
    </w:p>
    <w:p w14:paraId="57F14A53" w14:textId="77777777" w:rsidR="000B4E8B" w:rsidRPr="00B62815" w:rsidRDefault="001C2CF3" w:rsidP="00843BD7">
      <w:pPr>
        <w:pStyle w:val="NoSpacing"/>
        <w:rPr>
          <w:rFonts w:asciiTheme="minorHAnsi" w:hAnsiTheme="minorHAnsi" w:cstheme="minorHAnsi"/>
          <w:b/>
          <w:lang w:val="es-ES_tradnl"/>
        </w:rPr>
      </w:pPr>
      <w:r w:rsidRPr="00B62815">
        <w:rPr>
          <w:rFonts w:asciiTheme="minorHAnsi" w:hAnsiTheme="minorHAnsi" w:cstheme="minorHAnsi"/>
          <w:noProof/>
          <w:lang w:eastAsia="en-US"/>
        </w:rPr>
        <w:drawing>
          <wp:anchor distT="0" distB="0" distL="114300" distR="114300" simplePos="0" relativeHeight="251742208" behindDoc="0" locked="0" layoutInCell="1" allowOverlap="1" wp14:anchorId="0E5C4742" wp14:editId="05266F7E">
            <wp:simplePos x="0" y="0"/>
            <wp:positionH relativeFrom="column">
              <wp:posOffset>3310255</wp:posOffset>
            </wp:positionH>
            <wp:positionV relativeFrom="paragraph">
              <wp:posOffset>212090</wp:posOffset>
            </wp:positionV>
            <wp:extent cx="3002280" cy="2057400"/>
            <wp:effectExtent l="0" t="0" r="0" b="0"/>
            <wp:wrapSquare wrapText="bothSides"/>
            <wp:docPr id="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300228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D283E" w14:textId="77777777" w:rsidR="000B4E8B" w:rsidRPr="00B62815" w:rsidRDefault="001C2CF3" w:rsidP="000B4E8B">
      <w:pPr>
        <w:pStyle w:val="NoSpacing"/>
        <w:rPr>
          <w:rFonts w:asciiTheme="minorHAnsi" w:hAnsiTheme="minorHAnsi" w:cstheme="minorHAnsi"/>
          <w:b/>
          <w:lang w:val="es-ES_tradnl"/>
        </w:rPr>
      </w:pPr>
      <w:r w:rsidRPr="00B62815">
        <w:rPr>
          <w:rFonts w:asciiTheme="minorHAnsi" w:hAnsiTheme="minorHAnsi" w:cstheme="minorHAnsi"/>
          <w:noProof/>
          <w:lang w:eastAsia="en-US"/>
        </w:rPr>
        <mc:AlternateContent>
          <mc:Choice Requires="wps">
            <w:drawing>
              <wp:anchor distT="45720" distB="45720" distL="114300" distR="114300" simplePos="0" relativeHeight="251748352" behindDoc="0" locked="0" layoutInCell="1" allowOverlap="1" wp14:anchorId="2E8FF750" wp14:editId="640F76ED">
                <wp:simplePos x="0" y="0"/>
                <wp:positionH relativeFrom="column">
                  <wp:posOffset>3314700</wp:posOffset>
                </wp:positionH>
                <wp:positionV relativeFrom="paragraph">
                  <wp:posOffset>2303145</wp:posOffset>
                </wp:positionV>
                <wp:extent cx="2343150" cy="828675"/>
                <wp:effectExtent l="0" t="0" r="0"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28675"/>
                        </a:xfrm>
                        <a:prstGeom prst="rect">
                          <a:avLst/>
                        </a:prstGeom>
                        <a:solidFill>
                          <a:srgbClr val="FFFFFF"/>
                        </a:solidFill>
                        <a:ln w="9525">
                          <a:solidFill>
                            <a:srgbClr val="000000"/>
                          </a:solidFill>
                          <a:miter lim="800000"/>
                          <a:headEnd/>
                          <a:tailEnd/>
                        </a:ln>
                      </wps:spPr>
                      <wps:txbx>
                        <w:txbxContent>
                          <w:p w14:paraId="6DE96CD6" w14:textId="77777777" w:rsidR="00B22AF2" w:rsidRPr="000B4E8B" w:rsidRDefault="00B22AF2" w:rsidP="000B4E8B">
                            <w:pPr>
                              <w:rPr>
                                <w:lang w:val="es-PE"/>
                              </w:rPr>
                            </w:pPr>
                            <w:r w:rsidRPr="000B4E8B">
                              <w:rPr>
                                <w:lang w:val="es-PE"/>
                              </w:rPr>
                              <w:t>Tercera reunión extraordinaria del Consejo Permanente dedicada a los Observadores Permanentes (noviembre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8FF750" id="_x0000_s1030" type="#_x0000_t202" style="position:absolute;margin-left:261pt;margin-top:181.35pt;width:184.5pt;height:65.2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">
                <v:textbox>
                  <w:txbxContent>
                    <w:p w14:paraId="6DE96CD6" w14:textId="77777777" w:rsidR="00B22AF2" w:rsidRPr="000B4E8B" w:rsidRDefault="00B22AF2" w:rsidP="000B4E8B">
                      <w:pPr>
                        <w:rPr>
                          <w:lang w:val="es-PE"/>
                        </w:rPr>
                      </w:pPr>
                      <w:r w:rsidRPr="000B4E8B">
                        <w:rPr>
                          <w:lang w:val="es-PE"/>
                        </w:rPr>
                        <w:t>Tercera reunión extraordinaria del Consejo Permanente dedicada a los Observadores Permanentes (noviembre 2019)</w:t>
                      </w:r>
                    </w:p>
                  </w:txbxContent>
                </v:textbox>
                <w10:wrap type="square"/>
              </v:shape>
            </w:pict>
          </mc:Fallback>
        </mc:AlternateContent>
      </w:r>
      <w:r w:rsidRPr="00B62815">
        <w:rPr>
          <w:rFonts w:asciiTheme="minorHAnsi" w:hAnsiTheme="minorHAnsi" w:cstheme="minorHAnsi"/>
          <w:noProof/>
          <w:lang w:eastAsia="en-US"/>
        </w:rPr>
        <mc:AlternateContent>
          <mc:Choice Requires="wps">
            <w:drawing>
              <wp:anchor distT="45720" distB="45720" distL="114300" distR="114300" simplePos="0" relativeHeight="251746304" behindDoc="0" locked="0" layoutInCell="1" allowOverlap="1" wp14:anchorId="40524B26" wp14:editId="3019BD9C">
                <wp:simplePos x="0" y="0"/>
                <wp:positionH relativeFrom="column">
                  <wp:posOffset>-19050</wp:posOffset>
                </wp:positionH>
                <wp:positionV relativeFrom="paragraph">
                  <wp:posOffset>2294255</wp:posOffset>
                </wp:positionV>
                <wp:extent cx="2076450" cy="838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38200"/>
                        </a:xfrm>
                        <a:prstGeom prst="rect">
                          <a:avLst/>
                        </a:prstGeom>
                        <a:solidFill>
                          <a:srgbClr val="FFFFFF"/>
                        </a:solidFill>
                        <a:ln w="9525">
                          <a:solidFill>
                            <a:srgbClr val="000000"/>
                          </a:solidFill>
                          <a:miter lim="800000"/>
                          <a:headEnd/>
                          <a:tailEnd/>
                        </a:ln>
                      </wps:spPr>
                      <wps:txbx>
                        <w:txbxContent>
                          <w:p w14:paraId="60BEC729" w14:textId="77777777" w:rsidR="00B22AF2" w:rsidRPr="000B4E8B" w:rsidRDefault="00B22AF2" w:rsidP="000B4E8B">
                            <w:pPr>
                              <w:rPr>
                                <w:lang w:val="es-PE"/>
                              </w:rPr>
                            </w:pPr>
                            <w:r w:rsidRPr="000B4E8B">
                              <w:rPr>
                                <w:lang w:val="es-PE"/>
                              </w:rPr>
                              <w:t>Reunión del Observador Permanente del Reino de Países Bajos, André Haspels, y el Secretario General Luis Almagro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0524B26" id="_x0000_s1031" type="#_x0000_t202" style="position:absolute;margin-left:-1.5pt;margin-top:180.65pt;width:163.5pt;height:66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YAJgIAAE0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">
                <v:textbox>
                  <w:txbxContent>
                    <w:p w14:paraId="60BEC729" w14:textId="77777777" w:rsidR="00B22AF2" w:rsidRPr="000B4E8B" w:rsidRDefault="00B22AF2" w:rsidP="000B4E8B">
                      <w:pPr>
                        <w:rPr>
                          <w:lang w:val="es-PE"/>
                        </w:rPr>
                      </w:pPr>
                      <w:r w:rsidRPr="000B4E8B">
                        <w:rPr>
                          <w:lang w:val="es-PE"/>
                        </w:rPr>
                        <w:t xml:space="preserve">Reunión del Observador Permanente del Reino de Países Bajos, André </w:t>
                      </w:r>
                      <w:proofErr w:type="spellStart"/>
                      <w:r w:rsidRPr="000B4E8B">
                        <w:rPr>
                          <w:lang w:val="es-PE"/>
                        </w:rPr>
                        <w:t>Haspels</w:t>
                      </w:r>
                      <w:proofErr w:type="spellEnd"/>
                      <w:r w:rsidRPr="000B4E8B">
                        <w:rPr>
                          <w:lang w:val="es-PE"/>
                        </w:rPr>
                        <w:t>, y el Secretario General Luis Almagro</w:t>
                      </w:r>
                    </w:p>
                  </w:txbxContent>
                </v:textbox>
                <w10:wrap type="square"/>
              </v:shape>
            </w:pict>
          </mc:Fallback>
        </mc:AlternateContent>
      </w:r>
      <w:r w:rsidRPr="00B62815">
        <w:rPr>
          <w:rFonts w:asciiTheme="minorHAnsi" w:hAnsiTheme="minorHAnsi" w:cstheme="minorHAnsi"/>
          <w:noProof/>
          <w:lang w:eastAsia="en-US"/>
        </w:rPr>
        <w:drawing>
          <wp:anchor distT="0" distB="0" distL="114300" distR="114300" simplePos="0" relativeHeight="251744256" behindDoc="0" locked="0" layoutInCell="1" allowOverlap="1" wp14:anchorId="668BC41D" wp14:editId="1AEF8074">
            <wp:simplePos x="0" y="0"/>
            <wp:positionH relativeFrom="column">
              <wp:posOffset>-635</wp:posOffset>
            </wp:positionH>
            <wp:positionV relativeFrom="paragraph">
              <wp:posOffset>151765</wp:posOffset>
            </wp:positionV>
            <wp:extent cx="3038475" cy="2058670"/>
            <wp:effectExtent l="0" t="0" r="0" b="0"/>
            <wp:wrapSquare wrapText="bothSides"/>
            <wp:docPr id="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3038475" cy="205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DC76A" w14:textId="77777777" w:rsidR="000B4E8B" w:rsidRPr="00B62815" w:rsidRDefault="000B4E8B" w:rsidP="000B4E8B">
      <w:pPr>
        <w:pStyle w:val="NoSpacing"/>
        <w:rPr>
          <w:rFonts w:asciiTheme="minorHAnsi" w:hAnsiTheme="minorHAnsi" w:cstheme="minorHAnsi"/>
          <w:b/>
          <w:lang w:val="es-ES_tradnl"/>
        </w:rPr>
      </w:pPr>
    </w:p>
    <w:p w14:paraId="2097EEC6" w14:textId="77777777" w:rsidR="000B4E8B" w:rsidRPr="00B62815" w:rsidRDefault="000B4E8B" w:rsidP="000B4E8B">
      <w:pPr>
        <w:pStyle w:val="NoSpacing"/>
        <w:jc w:val="right"/>
        <w:rPr>
          <w:rFonts w:asciiTheme="minorHAnsi" w:hAnsiTheme="minorHAnsi" w:cstheme="minorHAnsi"/>
          <w:b/>
          <w:lang w:val="es-ES_tradnl"/>
        </w:rPr>
      </w:pPr>
      <w:r w:rsidRPr="00B62815">
        <w:rPr>
          <w:rFonts w:asciiTheme="minorHAnsi" w:hAnsiTheme="minorHAnsi" w:cstheme="minorHAnsi"/>
          <w:b/>
          <w:lang w:val="es-ES_tradnl"/>
        </w:rPr>
        <w:t xml:space="preserve">    </w:t>
      </w:r>
    </w:p>
    <w:p w14:paraId="7FAFDD6B" w14:textId="77777777" w:rsidR="000B4E8B" w:rsidRPr="00B62815" w:rsidRDefault="000B4E8B" w:rsidP="000B4E8B">
      <w:pPr>
        <w:rPr>
          <w:rFonts w:asciiTheme="minorHAnsi" w:hAnsiTheme="minorHAnsi" w:cstheme="minorHAnsi"/>
          <w:sz w:val="22"/>
          <w:szCs w:val="22"/>
          <w:lang w:val="es-ES_tradnl"/>
        </w:rPr>
      </w:pPr>
    </w:p>
    <w:p w14:paraId="18CE5A9E" w14:textId="34E80700" w:rsidR="000B4E8B" w:rsidRPr="00B62815" w:rsidRDefault="000B4E8B" w:rsidP="000B4E8B">
      <w:pPr>
        <w:rPr>
          <w:rFonts w:asciiTheme="minorHAnsi" w:hAnsiTheme="minorHAnsi" w:cstheme="minorHAnsi"/>
          <w:sz w:val="22"/>
          <w:szCs w:val="22"/>
          <w:lang w:val="es-ES_tradnl"/>
        </w:rPr>
      </w:pPr>
    </w:p>
    <w:p w14:paraId="3F7725E8" w14:textId="4461630A" w:rsidR="000B4E8B" w:rsidRPr="00B62815" w:rsidRDefault="00BB7151" w:rsidP="000B4E8B">
      <w:pPr>
        <w:rPr>
          <w:rFonts w:asciiTheme="minorHAnsi" w:hAnsiTheme="minorHAnsi" w:cstheme="minorHAnsi"/>
          <w:sz w:val="22"/>
          <w:szCs w:val="22"/>
          <w:lang w:val="es-ES_tradnl"/>
        </w:rPr>
      </w:pPr>
      <w:r w:rsidRPr="00B62815">
        <w:rPr>
          <w:rFonts w:asciiTheme="minorHAnsi" w:hAnsiTheme="minorHAnsi" w:cstheme="minorHAnsi"/>
          <w:noProof/>
          <w:sz w:val="22"/>
          <w:szCs w:val="22"/>
        </w:rPr>
        <w:drawing>
          <wp:anchor distT="0" distB="0" distL="114300" distR="114300" simplePos="0" relativeHeight="251750400" behindDoc="0" locked="0" layoutInCell="1" allowOverlap="1" wp14:anchorId="711F958A" wp14:editId="7E63C532">
            <wp:simplePos x="0" y="0"/>
            <wp:positionH relativeFrom="column">
              <wp:posOffset>1072515</wp:posOffset>
            </wp:positionH>
            <wp:positionV relativeFrom="paragraph">
              <wp:posOffset>125095</wp:posOffset>
            </wp:positionV>
            <wp:extent cx="3395345" cy="2700655"/>
            <wp:effectExtent l="0" t="4445" r="0" b="0"/>
            <wp:wrapSquare wrapText="bothSides"/>
            <wp:docPr id="171"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14:sizeRelH relativeFrom="page">
              <wp14:pctWidth>0</wp14:pctWidth>
            </wp14:sizeRelH>
            <wp14:sizeRelV relativeFrom="page">
              <wp14:pctHeight>0</wp14:pctHeight>
            </wp14:sizeRelV>
          </wp:anchor>
        </w:drawing>
      </w:r>
    </w:p>
    <w:p w14:paraId="58F60C32" w14:textId="57E7F285" w:rsidR="009107CB" w:rsidRPr="00B62815" w:rsidRDefault="009107CB" w:rsidP="0037172C">
      <w:pPr>
        <w:jc w:val="both"/>
        <w:rPr>
          <w:rFonts w:asciiTheme="minorHAnsi" w:hAnsiTheme="minorHAnsi" w:cstheme="minorHAnsi"/>
          <w:sz w:val="22"/>
          <w:szCs w:val="22"/>
          <w:lang w:val="es-ES_tradnl"/>
        </w:rPr>
      </w:pPr>
    </w:p>
    <w:p w14:paraId="723ECEF9" w14:textId="47165DBA" w:rsidR="000B4E8B" w:rsidRPr="00B62815" w:rsidRDefault="000B4E8B" w:rsidP="0037172C">
      <w:pPr>
        <w:pStyle w:val="Heading3"/>
        <w:spacing w:before="0" w:after="0"/>
        <w:rPr>
          <w:rFonts w:asciiTheme="minorHAnsi" w:hAnsiTheme="minorHAnsi" w:cstheme="minorHAnsi"/>
          <w:b w:val="0"/>
          <w:color w:val="E36C0A"/>
          <w:sz w:val="22"/>
          <w:szCs w:val="22"/>
          <w:lang w:val="es-ES_tradnl"/>
        </w:rPr>
      </w:pPr>
    </w:p>
    <w:p w14:paraId="6E972D7A" w14:textId="77777777" w:rsidR="000B4E8B" w:rsidRPr="00B62815" w:rsidRDefault="000B4E8B" w:rsidP="0037172C">
      <w:pPr>
        <w:pStyle w:val="Heading3"/>
        <w:spacing w:before="0" w:after="0"/>
        <w:rPr>
          <w:rFonts w:asciiTheme="minorHAnsi" w:hAnsiTheme="minorHAnsi" w:cstheme="minorHAnsi"/>
          <w:b w:val="0"/>
          <w:color w:val="E36C0A"/>
          <w:sz w:val="22"/>
          <w:szCs w:val="22"/>
          <w:lang w:val="es-ES_tradnl"/>
        </w:rPr>
      </w:pPr>
    </w:p>
    <w:p w14:paraId="38B88773" w14:textId="77777777" w:rsidR="000B4E8B" w:rsidRPr="00B62815" w:rsidRDefault="000B4E8B" w:rsidP="0037172C">
      <w:pPr>
        <w:pStyle w:val="Heading3"/>
        <w:spacing w:before="0" w:after="0"/>
        <w:rPr>
          <w:rFonts w:asciiTheme="minorHAnsi" w:hAnsiTheme="minorHAnsi" w:cstheme="minorHAnsi"/>
          <w:b w:val="0"/>
          <w:color w:val="E36C0A"/>
          <w:sz w:val="22"/>
          <w:szCs w:val="22"/>
          <w:lang w:val="es-ES_tradnl"/>
        </w:rPr>
      </w:pPr>
    </w:p>
    <w:p w14:paraId="1A31106F" w14:textId="77777777" w:rsidR="000B4E8B" w:rsidRPr="00B62815" w:rsidRDefault="000B4E8B" w:rsidP="0037172C">
      <w:pPr>
        <w:pStyle w:val="Heading3"/>
        <w:spacing w:before="0" w:after="0"/>
        <w:rPr>
          <w:rFonts w:asciiTheme="minorHAnsi" w:hAnsiTheme="minorHAnsi" w:cstheme="minorHAnsi"/>
          <w:b w:val="0"/>
          <w:color w:val="E36C0A"/>
          <w:sz w:val="22"/>
          <w:szCs w:val="22"/>
          <w:lang w:val="es-ES_tradnl"/>
        </w:rPr>
      </w:pPr>
    </w:p>
    <w:p w14:paraId="67503B01" w14:textId="77777777" w:rsidR="000B4E8B" w:rsidRPr="00B62815" w:rsidRDefault="000B4E8B" w:rsidP="0037172C">
      <w:pPr>
        <w:pStyle w:val="Heading3"/>
        <w:spacing w:before="0" w:after="0"/>
        <w:rPr>
          <w:rFonts w:asciiTheme="minorHAnsi" w:hAnsiTheme="minorHAnsi" w:cstheme="minorHAnsi"/>
          <w:b w:val="0"/>
          <w:color w:val="E36C0A"/>
          <w:sz w:val="22"/>
          <w:szCs w:val="22"/>
          <w:lang w:val="es-ES_tradnl"/>
        </w:rPr>
      </w:pPr>
    </w:p>
    <w:p w14:paraId="0BF4768C" w14:textId="77777777" w:rsidR="000B4E8B" w:rsidRPr="00B62815" w:rsidRDefault="000B4E8B" w:rsidP="0037172C">
      <w:pPr>
        <w:pStyle w:val="Heading3"/>
        <w:spacing w:before="0" w:after="0"/>
        <w:rPr>
          <w:rFonts w:asciiTheme="minorHAnsi" w:hAnsiTheme="minorHAnsi" w:cstheme="minorHAnsi"/>
          <w:b w:val="0"/>
          <w:color w:val="E36C0A"/>
          <w:sz w:val="22"/>
          <w:szCs w:val="22"/>
          <w:lang w:val="es-ES_tradnl"/>
        </w:rPr>
      </w:pPr>
    </w:p>
    <w:p w14:paraId="3C74A2E4" w14:textId="77777777" w:rsidR="000B4E8B" w:rsidRPr="00B62815" w:rsidRDefault="000B4E8B" w:rsidP="0037172C">
      <w:pPr>
        <w:pStyle w:val="Heading3"/>
        <w:spacing w:before="0" w:after="0"/>
        <w:rPr>
          <w:rFonts w:asciiTheme="minorHAnsi" w:hAnsiTheme="minorHAnsi" w:cstheme="minorHAnsi"/>
          <w:b w:val="0"/>
          <w:color w:val="E36C0A"/>
          <w:sz w:val="22"/>
          <w:szCs w:val="22"/>
          <w:lang w:val="es-ES_tradnl"/>
        </w:rPr>
      </w:pPr>
    </w:p>
    <w:p w14:paraId="6199C9FC" w14:textId="77777777" w:rsidR="009107CB" w:rsidRPr="00B62815" w:rsidRDefault="009107CB" w:rsidP="009107CB">
      <w:pPr>
        <w:spacing w:line="276" w:lineRule="auto"/>
        <w:ind w:left="360"/>
        <w:rPr>
          <w:rFonts w:asciiTheme="minorHAnsi" w:hAnsiTheme="minorHAnsi" w:cstheme="minorHAnsi"/>
          <w:sz w:val="22"/>
          <w:szCs w:val="22"/>
          <w:lang w:val="es-ES_tradnl"/>
        </w:rPr>
      </w:pPr>
    </w:p>
    <w:p w14:paraId="63E6BB7C" w14:textId="77777777" w:rsidR="00176C66" w:rsidRPr="00B62815" w:rsidRDefault="00176C66" w:rsidP="00CE4125">
      <w:pPr>
        <w:rPr>
          <w:rFonts w:asciiTheme="minorHAnsi" w:hAnsiTheme="minorHAnsi" w:cstheme="minorHAnsi"/>
          <w:b/>
          <w:bCs/>
          <w:color w:val="E36C0A"/>
          <w:sz w:val="22"/>
          <w:szCs w:val="22"/>
          <w:lang w:val="es-US"/>
        </w:rPr>
      </w:pPr>
    </w:p>
    <w:p w14:paraId="25B37650" w14:textId="77777777" w:rsidR="00843BD7" w:rsidRPr="00B62815" w:rsidRDefault="00843BD7" w:rsidP="0037172C">
      <w:pPr>
        <w:pStyle w:val="Heading3"/>
        <w:rPr>
          <w:rFonts w:asciiTheme="minorHAnsi" w:hAnsiTheme="minorHAnsi" w:cstheme="minorHAnsi"/>
          <w:b w:val="0"/>
          <w:color w:val="E36C0A"/>
          <w:sz w:val="22"/>
          <w:szCs w:val="22"/>
          <w:lang w:val="es-ES"/>
        </w:rPr>
      </w:pPr>
    </w:p>
    <w:p w14:paraId="70CEB4F9" w14:textId="77777777" w:rsidR="00843BD7" w:rsidRPr="00B62815" w:rsidRDefault="00843BD7" w:rsidP="0037172C">
      <w:pPr>
        <w:pStyle w:val="Heading3"/>
        <w:rPr>
          <w:rFonts w:asciiTheme="minorHAnsi" w:hAnsiTheme="minorHAnsi" w:cstheme="minorHAnsi"/>
          <w:b w:val="0"/>
          <w:color w:val="E36C0A"/>
          <w:sz w:val="22"/>
          <w:szCs w:val="22"/>
          <w:lang w:val="es-ES"/>
        </w:rPr>
      </w:pPr>
    </w:p>
    <w:p w14:paraId="4501B376" w14:textId="77777777" w:rsidR="00843BD7" w:rsidRPr="00B62815" w:rsidRDefault="00843BD7" w:rsidP="0037172C">
      <w:pPr>
        <w:pStyle w:val="Heading3"/>
        <w:rPr>
          <w:rFonts w:asciiTheme="minorHAnsi" w:hAnsiTheme="minorHAnsi" w:cstheme="minorHAnsi"/>
          <w:b w:val="0"/>
          <w:color w:val="E36C0A"/>
          <w:sz w:val="22"/>
          <w:szCs w:val="22"/>
          <w:lang w:val="es-ES"/>
        </w:rPr>
      </w:pPr>
    </w:p>
    <w:p w14:paraId="6D4E8B35" w14:textId="034BEAE5" w:rsidR="00521B33" w:rsidRPr="00B62815" w:rsidRDefault="000A798A" w:rsidP="0037172C">
      <w:pPr>
        <w:pStyle w:val="Heading3"/>
        <w:rPr>
          <w:rFonts w:asciiTheme="minorHAnsi" w:hAnsiTheme="minorHAnsi" w:cstheme="minorHAnsi"/>
          <w:b w:val="0"/>
          <w:color w:val="E36C0A"/>
          <w:sz w:val="22"/>
          <w:szCs w:val="22"/>
          <w:lang w:val="es-ES"/>
        </w:rPr>
      </w:pPr>
      <w:bookmarkStart w:id="87" w:name="_Toc39675859"/>
      <w:bookmarkStart w:id="88" w:name="_Toc40191082"/>
      <w:r w:rsidRPr="00E9142A">
        <w:rPr>
          <w:rFonts w:asciiTheme="minorHAnsi" w:hAnsiTheme="minorHAnsi" w:cstheme="minorHAnsi"/>
          <w:b w:val="0"/>
          <w:color w:val="E36C0A"/>
          <w:sz w:val="22"/>
          <w:szCs w:val="22"/>
          <w:lang w:val="es-ES"/>
        </w:rPr>
        <w:t>2.10</w:t>
      </w:r>
      <w:r w:rsidR="00521B33" w:rsidRPr="00E9142A">
        <w:rPr>
          <w:rFonts w:asciiTheme="minorHAnsi" w:hAnsiTheme="minorHAnsi" w:cstheme="minorHAnsi"/>
          <w:b w:val="0"/>
          <w:color w:val="E36C0A"/>
          <w:sz w:val="22"/>
          <w:szCs w:val="22"/>
          <w:lang w:val="es-ES"/>
        </w:rPr>
        <w:t>.3</w:t>
      </w:r>
      <w:r w:rsidR="00521B33" w:rsidRPr="00E9142A">
        <w:rPr>
          <w:rFonts w:asciiTheme="minorHAnsi" w:hAnsiTheme="minorHAnsi" w:cstheme="minorHAnsi"/>
          <w:b w:val="0"/>
          <w:color w:val="E36C0A"/>
          <w:sz w:val="22"/>
          <w:szCs w:val="22"/>
          <w:lang w:val="es-ES"/>
        </w:rPr>
        <w:tab/>
        <w:t>Departamento de Prensa y Comunicaciones</w:t>
      </w:r>
      <w:bookmarkEnd w:id="87"/>
      <w:bookmarkEnd w:id="88"/>
    </w:p>
    <w:p w14:paraId="648F566E" w14:textId="77777777" w:rsidR="00E9142A" w:rsidRDefault="00E9142A" w:rsidP="00E9142A">
      <w:pPr>
        <w:rPr>
          <w:rFonts w:asciiTheme="minorHAnsi" w:hAnsiTheme="minorHAnsi" w:cstheme="minorHAnsi"/>
          <w:sz w:val="22"/>
          <w:szCs w:val="22"/>
          <w:lang w:val="es-ES"/>
        </w:rPr>
      </w:pPr>
    </w:p>
    <w:p w14:paraId="2AAAE71F" w14:textId="69F39CDD" w:rsidR="00E9142A" w:rsidRDefault="00E9142A" w:rsidP="00E9142A">
      <w:pPr>
        <w:jc w:val="both"/>
        <w:rPr>
          <w:rFonts w:asciiTheme="minorHAnsi" w:hAnsiTheme="minorHAnsi" w:cstheme="minorHAnsi"/>
          <w:sz w:val="22"/>
          <w:szCs w:val="22"/>
          <w:lang w:val="es-ES"/>
        </w:rPr>
      </w:pPr>
      <w:r w:rsidRPr="00E9142A">
        <w:rPr>
          <w:rFonts w:asciiTheme="minorHAnsi" w:hAnsiTheme="minorHAnsi" w:cstheme="minorHAnsi"/>
          <w:sz w:val="22"/>
          <w:szCs w:val="22"/>
          <w:lang w:val="es-ES"/>
        </w:rPr>
        <w:t xml:space="preserve">El Departamento de Prensa y Comunicaciones (DPC) continuó trabajando hacia el propósito definido en la Estrategia de Comunicaciones de noviembre de 2015: “Que la OEA sea percibida por actores claves (externos e internos) como un facilitador de soluciones en temas de democracia, derechos humanos, seguridad y desarrollo integral”. </w:t>
      </w:r>
    </w:p>
    <w:p w14:paraId="41D5C17F" w14:textId="77777777" w:rsidR="00E9142A" w:rsidRPr="00E9142A" w:rsidRDefault="00E9142A" w:rsidP="00E9142A">
      <w:pPr>
        <w:jc w:val="both"/>
        <w:rPr>
          <w:rFonts w:asciiTheme="minorHAnsi" w:hAnsiTheme="minorHAnsi" w:cstheme="minorHAnsi"/>
          <w:sz w:val="22"/>
          <w:szCs w:val="22"/>
          <w:lang w:val="es-ES"/>
        </w:rPr>
      </w:pPr>
    </w:p>
    <w:p w14:paraId="797149CE" w14:textId="406CFE9A" w:rsidR="00E9142A" w:rsidRDefault="00E9142A" w:rsidP="00E9142A">
      <w:pPr>
        <w:jc w:val="both"/>
        <w:rPr>
          <w:rFonts w:asciiTheme="minorHAnsi" w:hAnsiTheme="minorHAnsi" w:cstheme="minorHAnsi"/>
          <w:sz w:val="22"/>
          <w:szCs w:val="22"/>
          <w:lang w:val="es-ES"/>
        </w:rPr>
      </w:pPr>
      <w:r w:rsidRPr="00E9142A">
        <w:rPr>
          <w:rFonts w:asciiTheme="minorHAnsi" w:hAnsiTheme="minorHAnsi" w:cstheme="minorHAnsi"/>
          <w:sz w:val="22"/>
          <w:szCs w:val="22"/>
          <w:lang w:val="es-ES"/>
        </w:rPr>
        <w:t xml:space="preserve">Tomando como proxy para la medición del impacto la información disponible, los resultados revelan la relevancia de la Organización. El crecimiento en la publicación de artículos con menciones a la OEA en diarios líderes de la región, por ejemplo, registró un repunte significativo. El crecimiento interanual fue del 85 por ciento, lo que disparó hasta el 161 por ciento el crecimiento registrado desde 2015 (ver detalle abajo). La presencia, por tanto, de la Organización en los medios líderes sigue en niveles históricamente altos. </w:t>
      </w:r>
    </w:p>
    <w:p w14:paraId="30702F24" w14:textId="77777777" w:rsidR="00E9142A" w:rsidRPr="00E9142A" w:rsidRDefault="00E9142A" w:rsidP="00E9142A">
      <w:pPr>
        <w:jc w:val="both"/>
        <w:rPr>
          <w:rFonts w:asciiTheme="minorHAnsi" w:hAnsiTheme="minorHAnsi" w:cstheme="minorHAnsi"/>
          <w:sz w:val="22"/>
          <w:szCs w:val="22"/>
          <w:lang w:val="es-ES"/>
        </w:rPr>
      </w:pPr>
    </w:p>
    <w:p w14:paraId="0A2950DC" w14:textId="0F11F579" w:rsidR="00E9142A" w:rsidRDefault="00E9142A" w:rsidP="00E9142A">
      <w:pPr>
        <w:jc w:val="both"/>
        <w:rPr>
          <w:rFonts w:asciiTheme="minorHAnsi" w:hAnsiTheme="minorHAnsi" w:cstheme="minorHAnsi"/>
          <w:sz w:val="22"/>
          <w:szCs w:val="22"/>
          <w:lang w:val="es-ES"/>
        </w:rPr>
      </w:pPr>
      <w:r w:rsidRPr="00E9142A">
        <w:rPr>
          <w:rFonts w:asciiTheme="minorHAnsi" w:hAnsiTheme="minorHAnsi" w:cstheme="minorHAnsi"/>
          <w:sz w:val="22"/>
          <w:szCs w:val="22"/>
          <w:lang w:val="es-ES"/>
        </w:rPr>
        <w:t>Las redes sociales de la Organización continuaron registrando muy altas cifras. El seguimiento en Twitter en español creció un 51 por ciento (223.000 nuevos seguidores), y en inglés un 79 por ciento (casi 14.000 seguidores más). En Facebook se ralentizó levemente el crecimiento de seguidores en español (-7 por ciento, 80.000 seguidores nuevos frente a las 86.000 nuevos registrados en 2018). El alcance, sin embargo, creció un 11 por ciento. En inglés la cantidad de nuevos seguidores creció un 47 por ciento (en 2019 se adquirieron unos 9.000 nuevos seguidores, por unos 6.000 en 2018), el alcance sin embargo se redujo un 9 por ciento.</w:t>
      </w:r>
    </w:p>
    <w:p w14:paraId="3F02D9F4" w14:textId="77777777" w:rsidR="00E9142A" w:rsidRPr="00E9142A" w:rsidRDefault="00E9142A" w:rsidP="00E9142A">
      <w:pPr>
        <w:jc w:val="both"/>
        <w:rPr>
          <w:rFonts w:asciiTheme="minorHAnsi" w:hAnsiTheme="minorHAnsi" w:cstheme="minorHAnsi"/>
          <w:sz w:val="22"/>
          <w:szCs w:val="22"/>
          <w:lang w:val="es-ES"/>
        </w:rPr>
      </w:pPr>
    </w:p>
    <w:p w14:paraId="6E0FC67C" w14:textId="4E1D4DE3" w:rsidR="00E9142A" w:rsidRDefault="00E9142A" w:rsidP="00E9142A">
      <w:pPr>
        <w:jc w:val="both"/>
        <w:rPr>
          <w:rFonts w:asciiTheme="minorHAnsi" w:hAnsiTheme="minorHAnsi" w:cstheme="minorHAnsi"/>
          <w:sz w:val="22"/>
          <w:szCs w:val="22"/>
          <w:lang w:val="es-ES"/>
        </w:rPr>
      </w:pPr>
      <w:r w:rsidRPr="00E9142A">
        <w:rPr>
          <w:rFonts w:asciiTheme="minorHAnsi" w:hAnsiTheme="minorHAnsi" w:cstheme="minorHAnsi"/>
          <w:sz w:val="22"/>
          <w:szCs w:val="22"/>
          <w:lang w:val="es-ES"/>
        </w:rPr>
        <w:t>La web de la OEA, en proceso de ser renovada, registró un repunte importante: los visitantes únicos crecieron un 21,80 por ciento y las páginas vistas crecieron un 17,22 por ciento. Los envíos por email registraron una disminución del 6 por ciento en la ratio de apertura (0,8 puntos) y la misma cifra en la ratio de clicks (0,03 puntos), lo que confirma la madurez de la lista de distribución por email y quizá incluso del email como canal de distribución.</w:t>
      </w:r>
    </w:p>
    <w:p w14:paraId="5541DD4C" w14:textId="77777777" w:rsidR="00E9142A" w:rsidRPr="00E9142A" w:rsidRDefault="00E9142A" w:rsidP="00E9142A">
      <w:pPr>
        <w:jc w:val="both"/>
        <w:rPr>
          <w:rFonts w:asciiTheme="minorHAnsi" w:hAnsiTheme="minorHAnsi" w:cstheme="minorHAnsi"/>
          <w:sz w:val="22"/>
          <w:szCs w:val="22"/>
          <w:lang w:val="es-ES"/>
        </w:rPr>
      </w:pPr>
    </w:p>
    <w:p w14:paraId="6E3E7695" w14:textId="01AE4660" w:rsidR="00E9142A" w:rsidRDefault="00E9142A" w:rsidP="00E9142A">
      <w:pPr>
        <w:jc w:val="both"/>
        <w:rPr>
          <w:rFonts w:asciiTheme="minorHAnsi" w:hAnsiTheme="minorHAnsi" w:cstheme="minorHAnsi"/>
          <w:sz w:val="22"/>
          <w:szCs w:val="22"/>
          <w:lang w:val="es-ES"/>
        </w:rPr>
      </w:pPr>
      <w:r w:rsidRPr="00E9142A">
        <w:rPr>
          <w:rFonts w:asciiTheme="minorHAnsi" w:hAnsiTheme="minorHAnsi" w:cstheme="minorHAnsi"/>
          <w:sz w:val="22"/>
          <w:szCs w:val="22"/>
          <w:lang w:val="es-ES"/>
        </w:rPr>
        <w:t>En materia de videos creció en general la producción: se realizó un 6 por ciento más de transmisiones en directo por la web –Webcasts-, 183 en 2019 por 159 en 2018; se incrementó en un 6 por ciento la producción de videonoticias (118 frente a 111) y se cortó y difundió un 170 por ciento más de videos breves (389 frente a 144).</w:t>
      </w:r>
    </w:p>
    <w:p w14:paraId="15CE7059" w14:textId="77777777" w:rsidR="00E9142A" w:rsidRPr="00E9142A" w:rsidRDefault="00E9142A" w:rsidP="00E9142A">
      <w:pPr>
        <w:jc w:val="both"/>
        <w:rPr>
          <w:rFonts w:asciiTheme="minorHAnsi" w:hAnsiTheme="minorHAnsi" w:cstheme="minorHAnsi"/>
          <w:sz w:val="22"/>
          <w:szCs w:val="22"/>
          <w:lang w:val="es-ES"/>
        </w:rPr>
      </w:pPr>
    </w:p>
    <w:p w14:paraId="6D5835ED" w14:textId="77777777" w:rsidR="00E9142A" w:rsidRPr="00E9142A" w:rsidRDefault="00E9142A" w:rsidP="00E9142A">
      <w:pPr>
        <w:jc w:val="both"/>
        <w:rPr>
          <w:rFonts w:asciiTheme="minorHAnsi" w:hAnsiTheme="minorHAnsi" w:cstheme="minorHAnsi"/>
          <w:sz w:val="22"/>
          <w:szCs w:val="22"/>
          <w:lang w:val="es-ES"/>
        </w:rPr>
      </w:pPr>
      <w:r w:rsidRPr="00E9142A">
        <w:rPr>
          <w:rFonts w:asciiTheme="minorHAnsi" w:hAnsiTheme="minorHAnsi" w:cstheme="minorHAnsi"/>
          <w:sz w:val="22"/>
          <w:szCs w:val="22"/>
          <w:lang w:val="es-ES"/>
        </w:rPr>
        <w:t xml:space="preserve">Igualmente, se fortalecieron los trabajos de gestión corporativa de la comunicación (edición de discursos, preparación de entrevistas, diseño e implementación de planes de comunicaciones) y se continuó la renovación y homogeneización de la imagen de la Secretaría General. </w:t>
      </w:r>
    </w:p>
    <w:p w14:paraId="617C5A13" w14:textId="56C41AD1" w:rsidR="00E74BA0" w:rsidRDefault="00E74BA0">
      <w:pPr>
        <w:rPr>
          <w:rFonts w:asciiTheme="minorHAnsi" w:hAnsiTheme="minorHAnsi" w:cstheme="minorHAnsi"/>
          <w:b/>
          <w:sz w:val="22"/>
          <w:szCs w:val="22"/>
          <w:lang w:val="es-ES"/>
        </w:rPr>
      </w:pPr>
      <w:r>
        <w:rPr>
          <w:rFonts w:asciiTheme="minorHAnsi" w:hAnsiTheme="minorHAnsi" w:cstheme="minorHAnsi"/>
          <w:b/>
          <w:sz w:val="22"/>
          <w:szCs w:val="22"/>
          <w:lang w:val="es-ES"/>
        </w:rPr>
        <w:br w:type="page"/>
      </w:r>
    </w:p>
    <w:p w14:paraId="7A9885B5" w14:textId="7A47B460" w:rsidR="00E9142A" w:rsidRDefault="00E9142A" w:rsidP="00E9142A">
      <w:pPr>
        <w:rPr>
          <w:rFonts w:asciiTheme="minorHAnsi" w:hAnsiTheme="minorHAnsi" w:cstheme="minorHAnsi"/>
          <w:b/>
          <w:sz w:val="22"/>
          <w:szCs w:val="22"/>
          <w:lang w:val="es-ES"/>
        </w:rPr>
      </w:pPr>
      <w:r w:rsidRPr="00E9142A">
        <w:rPr>
          <w:rFonts w:asciiTheme="minorHAnsi" w:hAnsiTheme="minorHAnsi" w:cstheme="minorHAnsi"/>
          <w:b/>
          <w:sz w:val="22"/>
          <w:szCs w:val="22"/>
          <w:lang w:val="es-ES"/>
        </w:rPr>
        <w:t>Resultados obtenidos por el DPC</w:t>
      </w:r>
    </w:p>
    <w:p w14:paraId="2BDFB446" w14:textId="39018B9B" w:rsidR="00DD4A29" w:rsidRDefault="00DD4A29" w:rsidP="00E9142A">
      <w:pPr>
        <w:rPr>
          <w:rFonts w:asciiTheme="minorHAnsi" w:hAnsiTheme="minorHAnsi" w:cstheme="minorHAnsi"/>
          <w:b/>
          <w:sz w:val="22"/>
          <w:szCs w:val="22"/>
          <w:lang w:val="es-ES"/>
        </w:rPr>
      </w:pPr>
    </w:p>
    <w:p w14:paraId="0B5578C7" w14:textId="77777777" w:rsidR="00DD4A29" w:rsidRDefault="00DD4A29" w:rsidP="00E9142A">
      <w:pPr>
        <w:rPr>
          <w:rFonts w:asciiTheme="minorHAnsi" w:hAnsiTheme="minorHAnsi" w:cstheme="minorHAnsi"/>
          <w:b/>
          <w:sz w:val="22"/>
          <w:szCs w:val="22"/>
          <w:lang w:val="es-ES"/>
        </w:rPr>
      </w:pPr>
    </w:p>
    <w:p w14:paraId="484E65CB" w14:textId="77777777" w:rsidR="00E9142A" w:rsidRPr="00E9142A" w:rsidRDefault="00E9142A" w:rsidP="00E9142A">
      <w:pPr>
        <w:rPr>
          <w:rFonts w:asciiTheme="minorHAnsi" w:hAnsiTheme="minorHAnsi" w:cstheme="minorHAnsi"/>
          <w:b/>
          <w:sz w:val="22"/>
          <w:szCs w:val="22"/>
        </w:rPr>
      </w:pPr>
      <w:r w:rsidRPr="00E9142A">
        <w:rPr>
          <w:rFonts w:asciiTheme="minorHAnsi" w:hAnsiTheme="minorHAnsi" w:cstheme="minorHAnsi"/>
          <w:b/>
          <w:noProof/>
          <w:sz w:val="22"/>
          <w:szCs w:val="22"/>
        </w:rPr>
        <w:drawing>
          <wp:inline distT="0" distB="0" distL="0" distR="0" wp14:anchorId="07949750" wp14:editId="1894A264">
            <wp:extent cx="6180455" cy="4658356"/>
            <wp:effectExtent l="0" t="0" r="0" b="952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ciones-OEA-en-los-medios-2019.png"/>
                    <pic:cNvPicPr/>
                  </pic:nvPicPr>
                  <pic:blipFill>
                    <a:blip r:embed="rId175">
                      <a:extLst>
                        <a:ext uri="{28A0092B-C50C-407E-A947-70E740481C1C}">
                          <a14:useLocalDpi xmlns:a14="http://schemas.microsoft.com/office/drawing/2010/main" val="0"/>
                        </a:ext>
                      </a:extLst>
                    </a:blip>
                    <a:stretch>
                      <a:fillRect/>
                    </a:stretch>
                  </pic:blipFill>
                  <pic:spPr>
                    <a:xfrm>
                      <a:off x="0" y="0"/>
                      <a:ext cx="6200553" cy="4673504"/>
                    </a:xfrm>
                    <a:prstGeom prst="rect">
                      <a:avLst/>
                    </a:prstGeom>
                  </pic:spPr>
                </pic:pic>
              </a:graphicData>
            </a:graphic>
          </wp:inline>
        </w:drawing>
      </w:r>
    </w:p>
    <w:p w14:paraId="417EE763" w14:textId="77777777" w:rsidR="00DD4A29" w:rsidRDefault="00DD4A29">
      <w:r>
        <w:br w:type="page"/>
      </w:r>
    </w:p>
    <w:tbl>
      <w:tblPr>
        <w:tblW w:w="6192" w:type="pct"/>
        <w:tblInd w:w="-1170" w:type="dxa"/>
        <w:tblLayout w:type="fixed"/>
        <w:tblLook w:val="04A0" w:firstRow="1" w:lastRow="0" w:firstColumn="1" w:lastColumn="0" w:noHBand="0" w:noVBand="1"/>
      </w:tblPr>
      <w:tblGrid>
        <w:gridCol w:w="1320"/>
        <w:gridCol w:w="457"/>
        <w:gridCol w:w="457"/>
        <w:gridCol w:w="828"/>
        <w:gridCol w:w="457"/>
        <w:gridCol w:w="802"/>
        <w:gridCol w:w="810"/>
        <w:gridCol w:w="457"/>
        <w:gridCol w:w="802"/>
        <w:gridCol w:w="810"/>
        <w:gridCol w:w="899"/>
        <w:gridCol w:w="457"/>
        <w:gridCol w:w="713"/>
        <w:gridCol w:w="722"/>
        <w:gridCol w:w="751"/>
        <w:gridCol w:w="903"/>
      </w:tblGrid>
      <w:tr w:rsidR="00E9142A" w:rsidRPr="00E74BA0" w14:paraId="65A53C45" w14:textId="77777777" w:rsidTr="00DD4A29">
        <w:trPr>
          <w:trHeight w:val="420"/>
        </w:trPr>
        <w:tc>
          <w:tcPr>
            <w:tcW w:w="11644" w:type="dxa"/>
            <w:gridSpan w:val="16"/>
            <w:tcBorders>
              <w:top w:val="nil"/>
              <w:left w:val="nil"/>
              <w:bottom w:val="single" w:sz="4" w:space="0" w:color="BFBFBF"/>
              <w:right w:val="nil"/>
            </w:tcBorders>
            <w:shd w:val="clear" w:color="auto" w:fill="auto"/>
            <w:noWrap/>
            <w:vAlign w:val="center"/>
            <w:hideMark/>
          </w:tcPr>
          <w:p w14:paraId="65DBD2B8" w14:textId="77777777" w:rsidR="00E9142A" w:rsidRDefault="00E9142A" w:rsidP="00E9142A">
            <w:pPr>
              <w:rPr>
                <w:rFonts w:asciiTheme="minorHAnsi" w:hAnsiTheme="minorHAnsi" w:cstheme="minorHAnsi"/>
                <w:b/>
                <w:bCs/>
                <w:sz w:val="22"/>
                <w:szCs w:val="22"/>
                <w:lang w:val="es-ES"/>
              </w:rPr>
            </w:pPr>
            <w:r w:rsidRPr="00E9142A">
              <w:rPr>
                <w:rFonts w:asciiTheme="minorHAnsi" w:hAnsiTheme="minorHAnsi" w:cstheme="minorHAnsi"/>
                <w:b/>
                <w:bCs/>
                <w:sz w:val="22"/>
                <w:szCs w:val="22"/>
                <w:lang w:val="es-ES"/>
              </w:rPr>
              <w:t>Menciones "OEA" en medios líderes</w:t>
            </w:r>
          </w:p>
          <w:p w14:paraId="02A3EC19" w14:textId="23F76B4B" w:rsidR="00DD4A29" w:rsidRPr="00E9142A" w:rsidRDefault="00DD4A29" w:rsidP="00E9142A">
            <w:pPr>
              <w:rPr>
                <w:rFonts w:asciiTheme="minorHAnsi" w:hAnsiTheme="minorHAnsi" w:cstheme="minorHAnsi"/>
                <w:b/>
                <w:bCs/>
                <w:sz w:val="22"/>
                <w:szCs w:val="22"/>
                <w:lang w:val="es-ES"/>
              </w:rPr>
            </w:pPr>
          </w:p>
        </w:tc>
      </w:tr>
      <w:tr w:rsidR="00DD4A29" w:rsidRPr="00E9142A" w14:paraId="6FCEAD86" w14:textId="77777777" w:rsidTr="00DD4A29">
        <w:trPr>
          <w:trHeight w:val="450"/>
        </w:trPr>
        <w:tc>
          <w:tcPr>
            <w:tcW w:w="1319" w:type="dxa"/>
            <w:vMerge w:val="restart"/>
            <w:tcBorders>
              <w:top w:val="nil"/>
              <w:left w:val="single" w:sz="4" w:space="0" w:color="BFBFBF"/>
              <w:bottom w:val="single" w:sz="4" w:space="0" w:color="BFBFBF"/>
              <w:right w:val="single" w:sz="4" w:space="0" w:color="BFBFBF"/>
            </w:tcBorders>
            <w:shd w:val="clear" w:color="000000" w:fill="366092"/>
            <w:noWrap/>
            <w:vAlign w:val="center"/>
            <w:hideMark/>
          </w:tcPr>
          <w:p w14:paraId="0F05FDF6"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Medio</w:t>
            </w:r>
          </w:p>
        </w:tc>
        <w:tc>
          <w:tcPr>
            <w:tcW w:w="457" w:type="dxa"/>
            <w:vMerge w:val="restart"/>
            <w:tcBorders>
              <w:top w:val="nil"/>
              <w:left w:val="single" w:sz="4" w:space="0" w:color="BFBFBF"/>
              <w:bottom w:val="single" w:sz="4" w:space="0" w:color="BFBFBF"/>
              <w:right w:val="single" w:sz="4" w:space="0" w:color="BFBFBF"/>
            </w:tcBorders>
            <w:shd w:val="clear" w:color="000000" w:fill="366092"/>
            <w:noWrap/>
            <w:tcMar>
              <w:left w:w="0" w:type="dxa"/>
              <w:right w:w="0" w:type="dxa"/>
            </w:tcMar>
            <w:vAlign w:val="center"/>
            <w:hideMark/>
          </w:tcPr>
          <w:p w14:paraId="73EC7725"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2015</w:t>
            </w:r>
          </w:p>
        </w:tc>
        <w:tc>
          <w:tcPr>
            <w:tcW w:w="457" w:type="dxa"/>
            <w:vMerge w:val="restart"/>
            <w:tcBorders>
              <w:top w:val="nil"/>
              <w:left w:val="single" w:sz="4" w:space="0" w:color="BFBFBF"/>
              <w:bottom w:val="single" w:sz="4" w:space="0" w:color="BFBFBF"/>
              <w:right w:val="single" w:sz="4" w:space="0" w:color="BFBFBF"/>
            </w:tcBorders>
            <w:shd w:val="clear" w:color="000000" w:fill="366092"/>
            <w:noWrap/>
            <w:tcMar>
              <w:left w:w="0" w:type="dxa"/>
              <w:right w:w="0" w:type="dxa"/>
            </w:tcMar>
            <w:vAlign w:val="center"/>
            <w:hideMark/>
          </w:tcPr>
          <w:p w14:paraId="51A3A9CC"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2016</w:t>
            </w:r>
          </w:p>
        </w:tc>
        <w:tc>
          <w:tcPr>
            <w:tcW w:w="828"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0EB5CB8F"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2015-2016</w:t>
            </w:r>
          </w:p>
        </w:tc>
        <w:tc>
          <w:tcPr>
            <w:tcW w:w="457" w:type="dxa"/>
            <w:vMerge w:val="restart"/>
            <w:tcBorders>
              <w:top w:val="nil"/>
              <w:left w:val="single" w:sz="4" w:space="0" w:color="BFBFBF"/>
              <w:bottom w:val="single" w:sz="4" w:space="0" w:color="BFBFBF"/>
              <w:right w:val="single" w:sz="4" w:space="0" w:color="BFBFBF"/>
            </w:tcBorders>
            <w:shd w:val="clear" w:color="000000" w:fill="366092"/>
            <w:noWrap/>
            <w:tcMar>
              <w:left w:w="0" w:type="dxa"/>
              <w:right w:w="0" w:type="dxa"/>
            </w:tcMar>
            <w:vAlign w:val="center"/>
            <w:hideMark/>
          </w:tcPr>
          <w:p w14:paraId="6F4ED542"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2017</w:t>
            </w:r>
          </w:p>
        </w:tc>
        <w:tc>
          <w:tcPr>
            <w:tcW w:w="802"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3E583A8A"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2016-2017</w:t>
            </w:r>
          </w:p>
        </w:tc>
        <w:tc>
          <w:tcPr>
            <w:tcW w:w="810"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59CA99D2"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2015-2017</w:t>
            </w:r>
          </w:p>
        </w:tc>
        <w:tc>
          <w:tcPr>
            <w:tcW w:w="457"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4C7BF763"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2018</w:t>
            </w:r>
          </w:p>
        </w:tc>
        <w:tc>
          <w:tcPr>
            <w:tcW w:w="802"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4ACE7299"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2017-2018</w:t>
            </w:r>
          </w:p>
        </w:tc>
        <w:tc>
          <w:tcPr>
            <w:tcW w:w="810"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6D0F250E"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2016-2018</w:t>
            </w:r>
          </w:p>
        </w:tc>
        <w:tc>
          <w:tcPr>
            <w:tcW w:w="899"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790D833E"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2015-2018</w:t>
            </w:r>
          </w:p>
        </w:tc>
        <w:tc>
          <w:tcPr>
            <w:tcW w:w="457"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1670D6CA"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2019</w:t>
            </w:r>
          </w:p>
        </w:tc>
        <w:tc>
          <w:tcPr>
            <w:tcW w:w="713"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01ECC134"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2018-2019</w:t>
            </w:r>
          </w:p>
        </w:tc>
        <w:tc>
          <w:tcPr>
            <w:tcW w:w="722"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72BC95BE"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2017-2019</w:t>
            </w:r>
          </w:p>
        </w:tc>
        <w:tc>
          <w:tcPr>
            <w:tcW w:w="751"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47C9A086"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2016-2019</w:t>
            </w:r>
          </w:p>
        </w:tc>
        <w:tc>
          <w:tcPr>
            <w:tcW w:w="903"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1D2000E2" w14:textId="77777777" w:rsidR="00E9142A" w:rsidRPr="00E9142A" w:rsidRDefault="00E9142A" w:rsidP="00DD4A29">
            <w:pPr>
              <w:ind w:left="-1900" w:hanging="180"/>
              <w:rPr>
                <w:rFonts w:asciiTheme="minorHAnsi" w:hAnsiTheme="minorHAnsi" w:cstheme="minorHAnsi"/>
                <w:b/>
                <w:bCs/>
                <w:sz w:val="22"/>
                <w:szCs w:val="22"/>
              </w:rPr>
            </w:pPr>
            <w:r w:rsidRPr="00E9142A">
              <w:rPr>
                <w:rFonts w:asciiTheme="minorHAnsi" w:hAnsiTheme="minorHAnsi" w:cstheme="minorHAnsi"/>
                <w:b/>
                <w:bCs/>
                <w:sz w:val="22"/>
                <w:szCs w:val="22"/>
              </w:rPr>
              <w:t>Incremento</w:t>
            </w:r>
            <w:r w:rsidRPr="00E9142A">
              <w:rPr>
                <w:rFonts w:asciiTheme="minorHAnsi" w:hAnsiTheme="minorHAnsi" w:cstheme="minorHAnsi"/>
                <w:b/>
                <w:bCs/>
                <w:sz w:val="22"/>
                <w:szCs w:val="22"/>
              </w:rPr>
              <w:br/>
              <w:t>2015-2019</w:t>
            </w:r>
          </w:p>
        </w:tc>
      </w:tr>
      <w:tr w:rsidR="00DD4A29" w:rsidRPr="00E9142A" w14:paraId="041C538F" w14:textId="77777777" w:rsidTr="00DD4A29">
        <w:trPr>
          <w:trHeight w:val="450"/>
        </w:trPr>
        <w:tc>
          <w:tcPr>
            <w:tcW w:w="1319" w:type="dxa"/>
            <w:vMerge/>
            <w:tcBorders>
              <w:top w:val="nil"/>
              <w:left w:val="single" w:sz="4" w:space="0" w:color="BFBFBF"/>
              <w:bottom w:val="single" w:sz="4" w:space="0" w:color="BFBFBF"/>
              <w:right w:val="single" w:sz="4" w:space="0" w:color="BFBFBF"/>
            </w:tcBorders>
            <w:vAlign w:val="center"/>
            <w:hideMark/>
          </w:tcPr>
          <w:p w14:paraId="66E3DC32" w14:textId="77777777" w:rsidR="00E9142A" w:rsidRPr="00E9142A" w:rsidRDefault="00E9142A" w:rsidP="00E9142A">
            <w:pPr>
              <w:rPr>
                <w:rFonts w:asciiTheme="minorHAnsi" w:hAnsiTheme="minorHAnsi" w:cstheme="minorHAnsi"/>
                <w:b/>
                <w:bCs/>
                <w:sz w:val="22"/>
                <w:szCs w:val="22"/>
              </w:rPr>
            </w:pPr>
          </w:p>
        </w:tc>
        <w:tc>
          <w:tcPr>
            <w:tcW w:w="457" w:type="dxa"/>
            <w:vMerge/>
            <w:tcBorders>
              <w:top w:val="nil"/>
              <w:left w:val="single" w:sz="4" w:space="0" w:color="BFBFBF"/>
              <w:bottom w:val="single" w:sz="4" w:space="0" w:color="BFBFBF"/>
              <w:right w:val="single" w:sz="4" w:space="0" w:color="BFBFBF"/>
            </w:tcBorders>
            <w:vAlign w:val="center"/>
            <w:hideMark/>
          </w:tcPr>
          <w:p w14:paraId="4E83675E" w14:textId="77777777" w:rsidR="00E9142A" w:rsidRPr="00E9142A" w:rsidRDefault="00E9142A" w:rsidP="00E9142A">
            <w:pPr>
              <w:rPr>
                <w:rFonts w:asciiTheme="minorHAnsi" w:hAnsiTheme="minorHAnsi" w:cstheme="minorHAnsi"/>
                <w:b/>
                <w:bCs/>
                <w:sz w:val="22"/>
                <w:szCs w:val="22"/>
              </w:rPr>
            </w:pPr>
          </w:p>
        </w:tc>
        <w:tc>
          <w:tcPr>
            <w:tcW w:w="457" w:type="dxa"/>
            <w:vMerge/>
            <w:tcBorders>
              <w:top w:val="nil"/>
              <w:left w:val="single" w:sz="4" w:space="0" w:color="BFBFBF"/>
              <w:bottom w:val="single" w:sz="4" w:space="0" w:color="BFBFBF"/>
              <w:right w:val="single" w:sz="4" w:space="0" w:color="BFBFBF"/>
            </w:tcBorders>
            <w:vAlign w:val="center"/>
            <w:hideMark/>
          </w:tcPr>
          <w:p w14:paraId="22216EFF" w14:textId="77777777" w:rsidR="00E9142A" w:rsidRPr="00E9142A" w:rsidRDefault="00E9142A" w:rsidP="00E9142A">
            <w:pPr>
              <w:rPr>
                <w:rFonts w:asciiTheme="minorHAnsi" w:hAnsiTheme="minorHAnsi" w:cstheme="minorHAnsi"/>
                <w:b/>
                <w:bCs/>
                <w:sz w:val="22"/>
                <w:szCs w:val="22"/>
              </w:rPr>
            </w:pPr>
          </w:p>
        </w:tc>
        <w:tc>
          <w:tcPr>
            <w:tcW w:w="828" w:type="dxa"/>
            <w:vMerge/>
            <w:tcBorders>
              <w:top w:val="nil"/>
              <w:left w:val="single" w:sz="4" w:space="0" w:color="BFBFBF"/>
              <w:bottom w:val="single" w:sz="4" w:space="0" w:color="BFBFBF"/>
              <w:right w:val="single" w:sz="4" w:space="0" w:color="BFBFBF"/>
            </w:tcBorders>
            <w:vAlign w:val="center"/>
            <w:hideMark/>
          </w:tcPr>
          <w:p w14:paraId="77ABEB0D" w14:textId="77777777" w:rsidR="00E9142A" w:rsidRPr="00E9142A" w:rsidRDefault="00E9142A" w:rsidP="00E9142A">
            <w:pPr>
              <w:rPr>
                <w:rFonts w:asciiTheme="minorHAnsi" w:hAnsiTheme="minorHAnsi" w:cstheme="minorHAnsi"/>
                <w:b/>
                <w:bCs/>
                <w:sz w:val="22"/>
                <w:szCs w:val="22"/>
              </w:rPr>
            </w:pPr>
          </w:p>
        </w:tc>
        <w:tc>
          <w:tcPr>
            <w:tcW w:w="457" w:type="dxa"/>
            <w:vMerge/>
            <w:tcBorders>
              <w:top w:val="nil"/>
              <w:left w:val="single" w:sz="4" w:space="0" w:color="BFBFBF"/>
              <w:bottom w:val="single" w:sz="4" w:space="0" w:color="BFBFBF"/>
              <w:right w:val="single" w:sz="4" w:space="0" w:color="BFBFBF"/>
            </w:tcBorders>
            <w:vAlign w:val="center"/>
            <w:hideMark/>
          </w:tcPr>
          <w:p w14:paraId="19653754" w14:textId="77777777" w:rsidR="00E9142A" w:rsidRPr="00E9142A" w:rsidRDefault="00E9142A" w:rsidP="00E9142A">
            <w:pPr>
              <w:rPr>
                <w:rFonts w:asciiTheme="minorHAnsi" w:hAnsiTheme="minorHAnsi" w:cstheme="minorHAnsi"/>
                <w:b/>
                <w:bCs/>
                <w:sz w:val="22"/>
                <w:szCs w:val="22"/>
              </w:rPr>
            </w:pPr>
          </w:p>
        </w:tc>
        <w:tc>
          <w:tcPr>
            <w:tcW w:w="802" w:type="dxa"/>
            <w:vMerge/>
            <w:tcBorders>
              <w:top w:val="nil"/>
              <w:left w:val="single" w:sz="4" w:space="0" w:color="BFBFBF"/>
              <w:bottom w:val="single" w:sz="4" w:space="0" w:color="BFBFBF"/>
              <w:right w:val="single" w:sz="4" w:space="0" w:color="BFBFBF"/>
            </w:tcBorders>
            <w:vAlign w:val="center"/>
            <w:hideMark/>
          </w:tcPr>
          <w:p w14:paraId="5B0850AE" w14:textId="77777777" w:rsidR="00E9142A" w:rsidRPr="00E9142A" w:rsidRDefault="00E9142A" w:rsidP="00E9142A">
            <w:pPr>
              <w:rPr>
                <w:rFonts w:asciiTheme="minorHAnsi" w:hAnsiTheme="minorHAnsi" w:cstheme="minorHAnsi"/>
                <w:b/>
                <w:bCs/>
                <w:sz w:val="22"/>
                <w:szCs w:val="22"/>
              </w:rPr>
            </w:pPr>
          </w:p>
        </w:tc>
        <w:tc>
          <w:tcPr>
            <w:tcW w:w="810" w:type="dxa"/>
            <w:vMerge/>
            <w:tcBorders>
              <w:top w:val="nil"/>
              <w:left w:val="single" w:sz="4" w:space="0" w:color="BFBFBF"/>
              <w:bottom w:val="single" w:sz="4" w:space="0" w:color="BFBFBF"/>
              <w:right w:val="single" w:sz="4" w:space="0" w:color="BFBFBF"/>
            </w:tcBorders>
            <w:vAlign w:val="center"/>
            <w:hideMark/>
          </w:tcPr>
          <w:p w14:paraId="690C01C5" w14:textId="77777777" w:rsidR="00E9142A" w:rsidRPr="00E9142A" w:rsidRDefault="00E9142A" w:rsidP="00E9142A">
            <w:pPr>
              <w:rPr>
                <w:rFonts w:asciiTheme="minorHAnsi" w:hAnsiTheme="minorHAnsi" w:cstheme="minorHAnsi"/>
                <w:b/>
                <w:bCs/>
                <w:sz w:val="22"/>
                <w:szCs w:val="22"/>
              </w:rPr>
            </w:pPr>
          </w:p>
        </w:tc>
        <w:tc>
          <w:tcPr>
            <w:tcW w:w="457" w:type="dxa"/>
            <w:vMerge/>
            <w:tcBorders>
              <w:top w:val="nil"/>
              <w:left w:val="single" w:sz="4" w:space="0" w:color="BFBFBF"/>
              <w:bottom w:val="single" w:sz="4" w:space="0" w:color="BFBFBF"/>
              <w:right w:val="single" w:sz="4" w:space="0" w:color="BFBFBF"/>
            </w:tcBorders>
            <w:vAlign w:val="center"/>
            <w:hideMark/>
          </w:tcPr>
          <w:p w14:paraId="0CACC540" w14:textId="77777777" w:rsidR="00E9142A" w:rsidRPr="00E9142A" w:rsidRDefault="00E9142A" w:rsidP="00E9142A">
            <w:pPr>
              <w:rPr>
                <w:rFonts w:asciiTheme="minorHAnsi" w:hAnsiTheme="minorHAnsi" w:cstheme="minorHAnsi"/>
                <w:b/>
                <w:bCs/>
                <w:sz w:val="22"/>
                <w:szCs w:val="22"/>
              </w:rPr>
            </w:pPr>
          </w:p>
        </w:tc>
        <w:tc>
          <w:tcPr>
            <w:tcW w:w="802" w:type="dxa"/>
            <w:vMerge/>
            <w:tcBorders>
              <w:top w:val="nil"/>
              <w:left w:val="single" w:sz="4" w:space="0" w:color="BFBFBF"/>
              <w:bottom w:val="single" w:sz="4" w:space="0" w:color="BFBFBF"/>
              <w:right w:val="single" w:sz="4" w:space="0" w:color="BFBFBF"/>
            </w:tcBorders>
            <w:vAlign w:val="center"/>
            <w:hideMark/>
          </w:tcPr>
          <w:p w14:paraId="5B17E431" w14:textId="77777777" w:rsidR="00E9142A" w:rsidRPr="00E9142A" w:rsidRDefault="00E9142A" w:rsidP="00E9142A">
            <w:pPr>
              <w:rPr>
                <w:rFonts w:asciiTheme="minorHAnsi" w:hAnsiTheme="minorHAnsi" w:cstheme="minorHAnsi"/>
                <w:b/>
                <w:bCs/>
                <w:sz w:val="22"/>
                <w:szCs w:val="22"/>
              </w:rPr>
            </w:pPr>
          </w:p>
        </w:tc>
        <w:tc>
          <w:tcPr>
            <w:tcW w:w="810" w:type="dxa"/>
            <w:vMerge/>
            <w:tcBorders>
              <w:top w:val="nil"/>
              <w:left w:val="single" w:sz="4" w:space="0" w:color="BFBFBF"/>
              <w:bottom w:val="single" w:sz="4" w:space="0" w:color="BFBFBF"/>
              <w:right w:val="single" w:sz="4" w:space="0" w:color="BFBFBF"/>
            </w:tcBorders>
            <w:vAlign w:val="center"/>
            <w:hideMark/>
          </w:tcPr>
          <w:p w14:paraId="3E9A11A1" w14:textId="77777777" w:rsidR="00E9142A" w:rsidRPr="00E9142A" w:rsidRDefault="00E9142A" w:rsidP="00E9142A">
            <w:pPr>
              <w:rPr>
                <w:rFonts w:asciiTheme="minorHAnsi" w:hAnsiTheme="minorHAnsi" w:cstheme="minorHAnsi"/>
                <w:b/>
                <w:bCs/>
                <w:sz w:val="22"/>
                <w:szCs w:val="22"/>
              </w:rPr>
            </w:pPr>
          </w:p>
        </w:tc>
        <w:tc>
          <w:tcPr>
            <w:tcW w:w="899" w:type="dxa"/>
            <w:vMerge/>
            <w:tcBorders>
              <w:top w:val="nil"/>
              <w:left w:val="single" w:sz="4" w:space="0" w:color="BFBFBF"/>
              <w:bottom w:val="single" w:sz="4" w:space="0" w:color="BFBFBF"/>
              <w:right w:val="single" w:sz="4" w:space="0" w:color="BFBFBF"/>
            </w:tcBorders>
            <w:vAlign w:val="center"/>
            <w:hideMark/>
          </w:tcPr>
          <w:p w14:paraId="37A3218F" w14:textId="77777777" w:rsidR="00E9142A" w:rsidRPr="00E9142A" w:rsidRDefault="00E9142A" w:rsidP="00E9142A">
            <w:pPr>
              <w:rPr>
                <w:rFonts w:asciiTheme="minorHAnsi" w:hAnsiTheme="minorHAnsi" w:cstheme="minorHAnsi"/>
                <w:b/>
                <w:bCs/>
                <w:sz w:val="22"/>
                <w:szCs w:val="22"/>
              </w:rPr>
            </w:pPr>
          </w:p>
        </w:tc>
        <w:tc>
          <w:tcPr>
            <w:tcW w:w="457" w:type="dxa"/>
            <w:vMerge/>
            <w:tcBorders>
              <w:top w:val="nil"/>
              <w:left w:val="single" w:sz="4" w:space="0" w:color="BFBFBF"/>
              <w:bottom w:val="single" w:sz="4" w:space="0" w:color="BFBFBF"/>
              <w:right w:val="single" w:sz="4" w:space="0" w:color="BFBFBF"/>
            </w:tcBorders>
            <w:vAlign w:val="center"/>
            <w:hideMark/>
          </w:tcPr>
          <w:p w14:paraId="084B3D26" w14:textId="77777777" w:rsidR="00E9142A" w:rsidRPr="00E9142A" w:rsidRDefault="00E9142A" w:rsidP="00E9142A">
            <w:pPr>
              <w:rPr>
                <w:rFonts w:asciiTheme="minorHAnsi" w:hAnsiTheme="minorHAnsi" w:cstheme="minorHAnsi"/>
                <w:b/>
                <w:bCs/>
                <w:sz w:val="22"/>
                <w:szCs w:val="22"/>
              </w:rPr>
            </w:pPr>
          </w:p>
        </w:tc>
        <w:tc>
          <w:tcPr>
            <w:tcW w:w="713" w:type="dxa"/>
            <w:vMerge/>
            <w:tcBorders>
              <w:top w:val="nil"/>
              <w:left w:val="single" w:sz="4" w:space="0" w:color="BFBFBF"/>
              <w:bottom w:val="single" w:sz="4" w:space="0" w:color="BFBFBF"/>
              <w:right w:val="single" w:sz="4" w:space="0" w:color="BFBFBF"/>
            </w:tcBorders>
            <w:vAlign w:val="center"/>
            <w:hideMark/>
          </w:tcPr>
          <w:p w14:paraId="4975983F" w14:textId="77777777" w:rsidR="00E9142A" w:rsidRPr="00E9142A" w:rsidRDefault="00E9142A" w:rsidP="00E9142A">
            <w:pPr>
              <w:rPr>
                <w:rFonts w:asciiTheme="minorHAnsi" w:hAnsiTheme="minorHAnsi" w:cstheme="minorHAnsi"/>
                <w:b/>
                <w:bCs/>
                <w:sz w:val="22"/>
                <w:szCs w:val="22"/>
              </w:rPr>
            </w:pPr>
          </w:p>
        </w:tc>
        <w:tc>
          <w:tcPr>
            <w:tcW w:w="722" w:type="dxa"/>
            <w:vMerge/>
            <w:tcBorders>
              <w:top w:val="nil"/>
              <w:left w:val="single" w:sz="4" w:space="0" w:color="BFBFBF"/>
              <w:bottom w:val="single" w:sz="4" w:space="0" w:color="BFBFBF"/>
              <w:right w:val="single" w:sz="4" w:space="0" w:color="BFBFBF"/>
            </w:tcBorders>
            <w:vAlign w:val="center"/>
            <w:hideMark/>
          </w:tcPr>
          <w:p w14:paraId="3F5E80A1" w14:textId="77777777" w:rsidR="00E9142A" w:rsidRPr="00E9142A" w:rsidRDefault="00E9142A" w:rsidP="00E9142A">
            <w:pPr>
              <w:rPr>
                <w:rFonts w:asciiTheme="minorHAnsi" w:hAnsiTheme="minorHAnsi" w:cstheme="minorHAnsi"/>
                <w:b/>
                <w:bCs/>
                <w:sz w:val="22"/>
                <w:szCs w:val="22"/>
              </w:rPr>
            </w:pPr>
          </w:p>
        </w:tc>
        <w:tc>
          <w:tcPr>
            <w:tcW w:w="751" w:type="dxa"/>
            <w:vMerge/>
            <w:tcBorders>
              <w:top w:val="nil"/>
              <w:left w:val="single" w:sz="4" w:space="0" w:color="BFBFBF"/>
              <w:bottom w:val="single" w:sz="4" w:space="0" w:color="BFBFBF"/>
              <w:right w:val="single" w:sz="4" w:space="0" w:color="BFBFBF"/>
            </w:tcBorders>
            <w:vAlign w:val="center"/>
            <w:hideMark/>
          </w:tcPr>
          <w:p w14:paraId="27796EDD" w14:textId="77777777" w:rsidR="00E9142A" w:rsidRPr="00E9142A" w:rsidRDefault="00E9142A" w:rsidP="00E9142A">
            <w:pPr>
              <w:rPr>
                <w:rFonts w:asciiTheme="minorHAnsi" w:hAnsiTheme="minorHAnsi" w:cstheme="minorHAnsi"/>
                <w:b/>
                <w:bCs/>
                <w:sz w:val="22"/>
                <w:szCs w:val="22"/>
              </w:rPr>
            </w:pPr>
          </w:p>
        </w:tc>
        <w:tc>
          <w:tcPr>
            <w:tcW w:w="903" w:type="dxa"/>
            <w:vMerge/>
            <w:tcBorders>
              <w:top w:val="nil"/>
              <w:left w:val="single" w:sz="4" w:space="0" w:color="BFBFBF"/>
              <w:bottom w:val="single" w:sz="4" w:space="0" w:color="BFBFBF"/>
              <w:right w:val="single" w:sz="4" w:space="0" w:color="BFBFBF"/>
            </w:tcBorders>
            <w:vAlign w:val="center"/>
            <w:hideMark/>
          </w:tcPr>
          <w:p w14:paraId="789EEDF9" w14:textId="77777777" w:rsidR="00E9142A" w:rsidRPr="00E9142A" w:rsidRDefault="00E9142A" w:rsidP="00E9142A">
            <w:pPr>
              <w:rPr>
                <w:rFonts w:asciiTheme="minorHAnsi" w:hAnsiTheme="minorHAnsi" w:cstheme="minorHAnsi"/>
                <w:b/>
                <w:bCs/>
                <w:sz w:val="22"/>
                <w:szCs w:val="22"/>
              </w:rPr>
            </w:pPr>
          </w:p>
        </w:tc>
      </w:tr>
      <w:tr w:rsidR="00DD4A29" w:rsidRPr="00E9142A" w14:paraId="4E5DDFD7" w14:textId="77777777" w:rsidTr="00DD4A29">
        <w:trPr>
          <w:trHeight w:val="300"/>
        </w:trPr>
        <w:tc>
          <w:tcPr>
            <w:tcW w:w="1319" w:type="dxa"/>
            <w:tcBorders>
              <w:top w:val="nil"/>
              <w:left w:val="single" w:sz="4" w:space="0" w:color="BFBFBF"/>
              <w:bottom w:val="single" w:sz="4" w:space="0" w:color="BFBFBF"/>
              <w:right w:val="single" w:sz="4" w:space="0" w:color="BFBFBF"/>
            </w:tcBorders>
            <w:shd w:val="clear" w:color="auto" w:fill="auto"/>
            <w:noWrap/>
            <w:vAlign w:val="center"/>
            <w:hideMark/>
          </w:tcPr>
          <w:p w14:paraId="4DBE5038"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 xml:space="preserve">The New York Times </w:t>
            </w:r>
          </w:p>
        </w:tc>
        <w:tc>
          <w:tcPr>
            <w:tcW w:w="457"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191841D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20</w:t>
            </w:r>
          </w:p>
        </w:tc>
        <w:tc>
          <w:tcPr>
            <w:tcW w:w="457"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2A1E816"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37</w:t>
            </w:r>
          </w:p>
        </w:tc>
        <w:tc>
          <w:tcPr>
            <w:tcW w:w="828"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285162D2"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85.00%</w:t>
            </w:r>
          </w:p>
        </w:tc>
        <w:tc>
          <w:tcPr>
            <w:tcW w:w="457"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548C91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41</w:t>
            </w:r>
          </w:p>
        </w:tc>
        <w:tc>
          <w:tcPr>
            <w:tcW w:w="802"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64563C2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10.81%</w:t>
            </w:r>
          </w:p>
        </w:tc>
        <w:tc>
          <w:tcPr>
            <w:tcW w:w="810"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B4FBAF4"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105.00%</w:t>
            </w:r>
          </w:p>
        </w:tc>
        <w:tc>
          <w:tcPr>
            <w:tcW w:w="457"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1CC4015A"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32</w:t>
            </w:r>
          </w:p>
        </w:tc>
        <w:tc>
          <w:tcPr>
            <w:tcW w:w="802"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2674A3F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-21.95%</w:t>
            </w:r>
          </w:p>
        </w:tc>
        <w:tc>
          <w:tcPr>
            <w:tcW w:w="810"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63C27B57"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-13.51%</w:t>
            </w:r>
          </w:p>
        </w:tc>
        <w:tc>
          <w:tcPr>
            <w:tcW w:w="899"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37029F2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60.00%</w:t>
            </w:r>
          </w:p>
        </w:tc>
        <w:tc>
          <w:tcPr>
            <w:tcW w:w="457"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7AA19B19"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60</w:t>
            </w:r>
          </w:p>
        </w:tc>
        <w:tc>
          <w:tcPr>
            <w:tcW w:w="713"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4C803CC"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87.50%</w:t>
            </w:r>
          </w:p>
        </w:tc>
        <w:tc>
          <w:tcPr>
            <w:tcW w:w="722"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8466A6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46.34%</w:t>
            </w:r>
          </w:p>
        </w:tc>
        <w:tc>
          <w:tcPr>
            <w:tcW w:w="751"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306BA05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62.16%</w:t>
            </w:r>
          </w:p>
        </w:tc>
        <w:tc>
          <w:tcPr>
            <w:tcW w:w="903"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BF41888"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200.00%</w:t>
            </w:r>
          </w:p>
        </w:tc>
      </w:tr>
      <w:tr w:rsidR="00DD4A29" w:rsidRPr="00E9142A" w14:paraId="631F58C4" w14:textId="77777777" w:rsidTr="00DD4A29">
        <w:trPr>
          <w:trHeight w:val="300"/>
        </w:trPr>
        <w:tc>
          <w:tcPr>
            <w:tcW w:w="1319" w:type="dxa"/>
            <w:tcBorders>
              <w:top w:val="nil"/>
              <w:left w:val="single" w:sz="4" w:space="0" w:color="BFBFBF"/>
              <w:bottom w:val="single" w:sz="4" w:space="0" w:color="BFBFBF"/>
              <w:right w:val="single" w:sz="4" w:space="0" w:color="BFBFBF"/>
            </w:tcBorders>
            <w:shd w:val="clear" w:color="000000" w:fill="F2F2F2"/>
            <w:noWrap/>
            <w:vAlign w:val="center"/>
            <w:hideMark/>
          </w:tcPr>
          <w:p w14:paraId="02610B0F"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 xml:space="preserve">The Washington Post </w:t>
            </w:r>
          </w:p>
        </w:tc>
        <w:tc>
          <w:tcPr>
            <w:tcW w:w="457"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FF1EAA8"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22</w:t>
            </w:r>
          </w:p>
        </w:tc>
        <w:tc>
          <w:tcPr>
            <w:tcW w:w="457"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EC40F5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41</w:t>
            </w:r>
          </w:p>
        </w:tc>
        <w:tc>
          <w:tcPr>
            <w:tcW w:w="828"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228C709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86.36%</w:t>
            </w:r>
          </w:p>
        </w:tc>
        <w:tc>
          <w:tcPr>
            <w:tcW w:w="457"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00C731D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67</w:t>
            </w:r>
          </w:p>
        </w:tc>
        <w:tc>
          <w:tcPr>
            <w:tcW w:w="802"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74D08DD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63.41%</w:t>
            </w:r>
          </w:p>
        </w:tc>
        <w:tc>
          <w:tcPr>
            <w:tcW w:w="810"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7FDDCDB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204.55%</w:t>
            </w:r>
          </w:p>
        </w:tc>
        <w:tc>
          <w:tcPr>
            <w:tcW w:w="457"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7B2ABB3A"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60</w:t>
            </w:r>
          </w:p>
        </w:tc>
        <w:tc>
          <w:tcPr>
            <w:tcW w:w="802"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315D8BB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-10.45%</w:t>
            </w:r>
          </w:p>
        </w:tc>
        <w:tc>
          <w:tcPr>
            <w:tcW w:w="81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CC6D29C"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46.34%</w:t>
            </w:r>
          </w:p>
        </w:tc>
        <w:tc>
          <w:tcPr>
            <w:tcW w:w="899"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228A9BAA"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172.73%</w:t>
            </w:r>
          </w:p>
        </w:tc>
        <w:tc>
          <w:tcPr>
            <w:tcW w:w="457"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3A829F4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82</w:t>
            </w:r>
          </w:p>
        </w:tc>
        <w:tc>
          <w:tcPr>
            <w:tcW w:w="713"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40261EF2"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36.67%</w:t>
            </w:r>
          </w:p>
        </w:tc>
        <w:tc>
          <w:tcPr>
            <w:tcW w:w="722"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117DF8D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22.39%</w:t>
            </w:r>
          </w:p>
        </w:tc>
        <w:tc>
          <w:tcPr>
            <w:tcW w:w="751"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28BF27AB" w14:textId="41DED69C" w:rsidR="00E9142A" w:rsidRPr="00E9142A" w:rsidRDefault="00BB7151" w:rsidP="00BB7151">
            <w:pPr>
              <w:rPr>
                <w:rFonts w:asciiTheme="minorHAnsi" w:hAnsiTheme="minorHAnsi" w:cstheme="minorHAnsi"/>
                <w:sz w:val="22"/>
                <w:szCs w:val="22"/>
              </w:rPr>
            </w:pPr>
            <w:r>
              <w:rPr>
                <w:rFonts w:asciiTheme="minorHAnsi" w:hAnsiTheme="minorHAnsi" w:cstheme="minorHAnsi"/>
                <w:sz w:val="22"/>
                <w:szCs w:val="22"/>
              </w:rPr>
              <w:t>100</w:t>
            </w:r>
            <w:r w:rsidR="00E9142A" w:rsidRPr="00E9142A">
              <w:rPr>
                <w:rFonts w:asciiTheme="minorHAnsi" w:hAnsiTheme="minorHAnsi" w:cstheme="minorHAnsi"/>
                <w:sz w:val="22"/>
                <w:szCs w:val="22"/>
              </w:rPr>
              <w:t>%</w:t>
            </w:r>
          </w:p>
        </w:tc>
        <w:tc>
          <w:tcPr>
            <w:tcW w:w="903"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4861985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272.73%</w:t>
            </w:r>
          </w:p>
        </w:tc>
      </w:tr>
      <w:tr w:rsidR="00DD4A29" w:rsidRPr="00E9142A" w14:paraId="49966E75" w14:textId="77777777" w:rsidTr="00DD4A29">
        <w:trPr>
          <w:trHeight w:val="300"/>
        </w:trPr>
        <w:tc>
          <w:tcPr>
            <w:tcW w:w="1319" w:type="dxa"/>
            <w:tcBorders>
              <w:top w:val="nil"/>
              <w:left w:val="single" w:sz="4" w:space="0" w:color="BFBFBF"/>
              <w:bottom w:val="single" w:sz="4" w:space="0" w:color="BFBFBF"/>
              <w:right w:val="single" w:sz="4" w:space="0" w:color="BFBFBF"/>
            </w:tcBorders>
            <w:shd w:val="clear" w:color="auto" w:fill="auto"/>
            <w:noWrap/>
            <w:vAlign w:val="center"/>
            <w:hideMark/>
          </w:tcPr>
          <w:p w14:paraId="449D3264"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 xml:space="preserve">Miami Herald </w:t>
            </w:r>
          </w:p>
        </w:tc>
        <w:tc>
          <w:tcPr>
            <w:tcW w:w="457"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DA30257"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39</w:t>
            </w:r>
          </w:p>
        </w:tc>
        <w:tc>
          <w:tcPr>
            <w:tcW w:w="457"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19D9F8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54</w:t>
            </w:r>
          </w:p>
        </w:tc>
        <w:tc>
          <w:tcPr>
            <w:tcW w:w="828"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26FE6C77"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38.46%</w:t>
            </w:r>
          </w:p>
        </w:tc>
        <w:tc>
          <w:tcPr>
            <w:tcW w:w="457"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0993EA5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78</w:t>
            </w:r>
          </w:p>
        </w:tc>
        <w:tc>
          <w:tcPr>
            <w:tcW w:w="802"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0A912482"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44.44%</w:t>
            </w:r>
          </w:p>
        </w:tc>
        <w:tc>
          <w:tcPr>
            <w:tcW w:w="810"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7D324519"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100.00%</w:t>
            </w:r>
          </w:p>
        </w:tc>
        <w:tc>
          <w:tcPr>
            <w:tcW w:w="457"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0C91C0E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80</w:t>
            </w:r>
          </w:p>
        </w:tc>
        <w:tc>
          <w:tcPr>
            <w:tcW w:w="802"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EA30CDA"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2.56%</w:t>
            </w:r>
          </w:p>
        </w:tc>
        <w:tc>
          <w:tcPr>
            <w:tcW w:w="81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6030EF58"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48.15%</w:t>
            </w:r>
          </w:p>
        </w:tc>
        <w:tc>
          <w:tcPr>
            <w:tcW w:w="899"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505AEF3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105.13%</w:t>
            </w:r>
          </w:p>
        </w:tc>
        <w:tc>
          <w:tcPr>
            <w:tcW w:w="457"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B98E30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86</w:t>
            </w:r>
          </w:p>
        </w:tc>
        <w:tc>
          <w:tcPr>
            <w:tcW w:w="713"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34B7F8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7.50%</w:t>
            </w:r>
          </w:p>
        </w:tc>
        <w:tc>
          <w:tcPr>
            <w:tcW w:w="722"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2675586"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10.26%</w:t>
            </w:r>
          </w:p>
        </w:tc>
        <w:tc>
          <w:tcPr>
            <w:tcW w:w="751"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1148D178"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59.26%</w:t>
            </w:r>
          </w:p>
        </w:tc>
        <w:tc>
          <w:tcPr>
            <w:tcW w:w="903"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3198AFA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120.51%</w:t>
            </w:r>
          </w:p>
        </w:tc>
      </w:tr>
      <w:tr w:rsidR="00DD4A29" w:rsidRPr="00E9142A" w14:paraId="207685D8" w14:textId="77777777" w:rsidTr="00DD4A29">
        <w:trPr>
          <w:trHeight w:val="300"/>
        </w:trPr>
        <w:tc>
          <w:tcPr>
            <w:tcW w:w="1319" w:type="dxa"/>
            <w:tcBorders>
              <w:top w:val="nil"/>
              <w:left w:val="single" w:sz="4" w:space="0" w:color="BFBFBF"/>
              <w:bottom w:val="single" w:sz="4" w:space="0" w:color="BFBFBF"/>
              <w:right w:val="single" w:sz="4" w:space="0" w:color="BFBFBF"/>
            </w:tcBorders>
            <w:shd w:val="clear" w:color="000000" w:fill="F2F2F2"/>
            <w:noWrap/>
            <w:vAlign w:val="center"/>
            <w:hideMark/>
          </w:tcPr>
          <w:p w14:paraId="2B185679"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 xml:space="preserve">La Nación de Argentina </w:t>
            </w:r>
          </w:p>
        </w:tc>
        <w:tc>
          <w:tcPr>
            <w:tcW w:w="457"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FBA1CD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110</w:t>
            </w:r>
          </w:p>
        </w:tc>
        <w:tc>
          <w:tcPr>
            <w:tcW w:w="457"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01F28AB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185</w:t>
            </w:r>
          </w:p>
        </w:tc>
        <w:tc>
          <w:tcPr>
            <w:tcW w:w="828"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0BFE04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68.18%</w:t>
            </w:r>
          </w:p>
        </w:tc>
        <w:tc>
          <w:tcPr>
            <w:tcW w:w="457"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6C0ACE5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198</w:t>
            </w:r>
          </w:p>
        </w:tc>
        <w:tc>
          <w:tcPr>
            <w:tcW w:w="802"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7599ECD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7.03%</w:t>
            </w:r>
          </w:p>
        </w:tc>
        <w:tc>
          <w:tcPr>
            <w:tcW w:w="810"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2D1EDD47"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80.00%</w:t>
            </w:r>
          </w:p>
        </w:tc>
        <w:tc>
          <w:tcPr>
            <w:tcW w:w="457"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141BAE0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186</w:t>
            </w:r>
          </w:p>
        </w:tc>
        <w:tc>
          <w:tcPr>
            <w:tcW w:w="802"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04F130F2"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-6.06%</w:t>
            </w:r>
          </w:p>
        </w:tc>
        <w:tc>
          <w:tcPr>
            <w:tcW w:w="81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33EF6FE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0.54%</w:t>
            </w:r>
          </w:p>
        </w:tc>
        <w:tc>
          <w:tcPr>
            <w:tcW w:w="899"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03A5EA4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69.09%</w:t>
            </w:r>
          </w:p>
        </w:tc>
        <w:tc>
          <w:tcPr>
            <w:tcW w:w="457"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0F18B5E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300</w:t>
            </w:r>
          </w:p>
        </w:tc>
        <w:tc>
          <w:tcPr>
            <w:tcW w:w="713"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420817A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61.29%</w:t>
            </w:r>
          </w:p>
        </w:tc>
        <w:tc>
          <w:tcPr>
            <w:tcW w:w="722"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4B80DB67"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51.52%</w:t>
            </w:r>
          </w:p>
        </w:tc>
        <w:tc>
          <w:tcPr>
            <w:tcW w:w="751"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296DE7E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62.16%</w:t>
            </w:r>
          </w:p>
        </w:tc>
        <w:tc>
          <w:tcPr>
            <w:tcW w:w="903"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7866F29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172.73%</w:t>
            </w:r>
          </w:p>
        </w:tc>
      </w:tr>
      <w:tr w:rsidR="00DD4A29" w:rsidRPr="00E9142A" w14:paraId="322ECE3E" w14:textId="77777777" w:rsidTr="00DD4A29">
        <w:trPr>
          <w:trHeight w:val="300"/>
        </w:trPr>
        <w:tc>
          <w:tcPr>
            <w:tcW w:w="1319" w:type="dxa"/>
            <w:tcBorders>
              <w:top w:val="nil"/>
              <w:left w:val="single" w:sz="4" w:space="0" w:color="BFBFBF"/>
              <w:bottom w:val="single" w:sz="4" w:space="0" w:color="BFBFBF"/>
              <w:right w:val="single" w:sz="4" w:space="0" w:color="BFBFBF"/>
            </w:tcBorders>
            <w:shd w:val="clear" w:color="auto" w:fill="auto"/>
            <w:noWrap/>
            <w:vAlign w:val="center"/>
            <w:hideMark/>
          </w:tcPr>
          <w:p w14:paraId="7DF97F6A"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 xml:space="preserve">El Universal de México </w:t>
            </w:r>
          </w:p>
        </w:tc>
        <w:tc>
          <w:tcPr>
            <w:tcW w:w="457"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6799FE7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140</w:t>
            </w:r>
          </w:p>
        </w:tc>
        <w:tc>
          <w:tcPr>
            <w:tcW w:w="457"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19C3157C"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120</w:t>
            </w:r>
          </w:p>
        </w:tc>
        <w:tc>
          <w:tcPr>
            <w:tcW w:w="828"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6C1C071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-14.29%</w:t>
            </w:r>
          </w:p>
        </w:tc>
        <w:tc>
          <w:tcPr>
            <w:tcW w:w="457"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0A49F84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185</w:t>
            </w:r>
          </w:p>
        </w:tc>
        <w:tc>
          <w:tcPr>
            <w:tcW w:w="802"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2C637F9"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54.17%</w:t>
            </w:r>
          </w:p>
        </w:tc>
        <w:tc>
          <w:tcPr>
            <w:tcW w:w="810"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195E1B2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32.14%</w:t>
            </w:r>
          </w:p>
        </w:tc>
        <w:tc>
          <w:tcPr>
            <w:tcW w:w="457"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A4597B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193</w:t>
            </w:r>
          </w:p>
        </w:tc>
        <w:tc>
          <w:tcPr>
            <w:tcW w:w="802"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6ADB1A4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4.32%</w:t>
            </w:r>
          </w:p>
        </w:tc>
        <w:tc>
          <w:tcPr>
            <w:tcW w:w="81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728D0AB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60.83%</w:t>
            </w:r>
          </w:p>
        </w:tc>
        <w:tc>
          <w:tcPr>
            <w:tcW w:w="899"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7E0C302"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37.86%</w:t>
            </w:r>
          </w:p>
        </w:tc>
        <w:tc>
          <w:tcPr>
            <w:tcW w:w="457"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74A5E3F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300</w:t>
            </w:r>
          </w:p>
        </w:tc>
        <w:tc>
          <w:tcPr>
            <w:tcW w:w="713"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1B266194"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55.44%</w:t>
            </w:r>
          </w:p>
        </w:tc>
        <w:tc>
          <w:tcPr>
            <w:tcW w:w="722"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A7A3A1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62.16%</w:t>
            </w:r>
          </w:p>
        </w:tc>
        <w:tc>
          <w:tcPr>
            <w:tcW w:w="751"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E145216" w14:textId="05EF8222" w:rsidR="00E9142A" w:rsidRPr="00E9142A" w:rsidRDefault="00BB7151" w:rsidP="00BB7151">
            <w:pPr>
              <w:rPr>
                <w:rFonts w:asciiTheme="minorHAnsi" w:hAnsiTheme="minorHAnsi" w:cstheme="minorHAnsi"/>
                <w:sz w:val="22"/>
                <w:szCs w:val="22"/>
              </w:rPr>
            </w:pPr>
            <w:r>
              <w:rPr>
                <w:rFonts w:asciiTheme="minorHAnsi" w:hAnsiTheme="minorHAnsi" w:cstheme="minorHAnsi"/>
                <w:sz w:val="22"/>
                <w:szCs w:val="22"/>
              </w:rPr>
              <w:t>150</w:t>
            </w:r>
            <w:r w:rsidR="00E9142A" w:rsidRPr="00E9142A">
              <w:rPr>
                <w:rFonts w:asciiTheme="minorHAnsi" w:hAnsiTheme="minorHAnsi" w:cstheme="minorHAnsi"/>
                <w:sz w:val="22"/>
                <w:szCs w:val="22"/>
              </w:rPr>
              <w:t>%</w:t>
            </w:r>
          </w:p>
        </w:tc>
        <w:tc>
          <w:tcPr>
            <w:tcW w:w="903"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5C9DF0E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114.29%</w:t>
            </w:r>
          </w:p>
        </w:tc>
      </w:tr>
      <w:tr w:rsidR="00DD4A29" w:rsidRPr="00E9142A" w14:paraId="1B8B3FEF" w14:textId="77777777" w:rsidTr="00DD4A29">
        <w:trPr>
          <w:trHeight w:val="300"/>
        </w:trPr>
        <w:tc>
          <w:tcPr>
            <w:tcW w:w="1319" w:type="dxa"/>
            <w:tcBorders>
              <w:top w:val="nil"/>
              <w:left w:val="single" w:sz="4" w:space="0" w:color="BFBFBF"/>
              <w:bottom w:val="single" w:sz="4" w:space="0" w:color="BFBFBF"/>
              <w:right w:val="single" w:sz="4" w:space="0" w:color="BFBFBF"/>
            </w:tcBorders>
            <w:shd w:val="clear" w:color="000000" w:fill="F2F2F2"/>
            <w:noWrap/>
            <w:vAlign w:val="center"/>
            <w:hideMark/>
          </w:tcPr>
          <w:p w14:paraId="48AAE695"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 xml:space="preserve">El País de España </w:t>
            </w:r>
          </w:p>
        </w:tc>
        <w:tc>
          <w:tcPr>
            <w:tcW w:w="457"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F5CB599"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99</w:t>
            </w:r>
          </w:p>
        </w:tc>
        <w:tc>
          <w:tcPr>
            <w:tcW w:w="457"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02AF95C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170</w:t>
            </w:r>
          </w:p>
        </w:tc>
        <w:tc>
          <w:tcPr>
            <w:tcW w:w="828"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251111E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71.72%</w:t>
            </w:r>
          </w:p>
        </w:tc>
        <w:tc>
          <w:tcPr>
            <w:tcW w:w="457"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1AE80637"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180</w:t>
            </w:r>
          </w:p>
        </w:tc>
        <w:tc>
          <w:tcPr>
            <w:tcW w:w="802"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24320C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5.88%</w:t>
            </w:r>
          </w:p>
        </w:tc>
        <w:tc>
          <w:tcPr>
            <w:tcW w:w="810"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744E5AD8"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81.82%</w:t>
            </w:r>
          </w:p>
        </w:tc>
        <w:tc>
          <w:tcPr>
            <w:tcW w:w="457"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7D0012C4"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192</w:t>
            </w:r>
          </w:p>
        </w:tc>
        <w:tc>
          <w:tcPr>
            <w:tcW w:w="802"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06DCE49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6.67%</w:t>
            </w:r>
          </w:p>
        </w:tc>
        <w:tc>
          <w:tcPr>
            <w:tcW w:w="81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33B14C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12.94%</w:t>
            </w:r>
          </w:p>
        </w:tc>
        <w:tc>
          <w:tcPr>
            <w:tcW w:w="899"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C99FE6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93.94%</w:t>
            </w:r>
          </w:p>
        </w:tc>
        <w:tc>
          <w:tcPr>
            <w:tcW w:w="457"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AC1678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295</w:t>
            </w:r>
          </w:p>
        </w:tc>
        <w:tc>
          <w:tcPr>
            <w:tcW w:w="713"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18AE2D4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53.65%</w:t>
            </w:r>
          </w:p>
        </w:tc>
        <w:tc>
          <w:tcPr>
            <w:tcW w:w="722"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D0B678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63.89%</w:t>
            </w:r>
          </w:p>
        </w:tc>
        <w:tc>
          <w:tcPr>
            <w:tcW w:w="751"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98EF65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73.53%</w:t>
            </w:r>
          </w:p>
        </w:tc>
        <w:tc>
          <w:tcPr>
            <w:tcW w:w="903"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2C8C404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197.98%</w:t>
            </w:r>
          </w:p>
        </w:tc>
      </w:tr>
      <w:tr w:rsidR="00DD4A29" w:rsidRPr="00E9142A" w14:paraId="480AFEF4" w14:textId="77777777" w:rsidTr="00DD4A29">
        <w:trPr>
          <w:trHeight w:val="413"/>
        </w:trPr>
        <w:tc>
          <w:tcPr>
            <w:tcW w:w="1319" w:type="dxa"/>
            <w:tcBorders>
              <w:top w:val="nil"/>
              <w:left w:val="single" w:sz="4" w:space="0" w:color="BFBFBF"/>
              <w:bottom w:val="single" w:sz="4" w:space="0" w:color="BFBFBF"/>
              <w:right w:val="single" w:sz="4" w:space="0" w:color="BFBFBF"/>
            </w:tcBorders>
            <w:shd w:val="clear" w:color="000000" w:fill="C5D9F1"/>
            <w:noWrap/>
            <w:vAlign w:val="center"/>
            <w:hideMark/>
          </w:tcPr>
          <w:p w14:paraId="482080A0"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Total</w:t>
            </w:r>
          </w:p>
        </w:tc>
        <w:tc>
          <w:tcPr>
            <w:tcW w:w="457"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21F35AEF"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430</w:t>
            </w:r>
          </w:p>
        </w:tc>
        <w:tc>
          <w:tcPr>
            <w:tcW w:w="457"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0FF45061"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607</w:t>
            </w:r>
          </w:p>
        </w:tc>
        <w:tc>
          <w:tcPr>
            <w:tcW w:w="828"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2ABC4CA4"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41.16%</w:t>
            </w:r>
          </w:p>
        </w:tc>
        <w:tc>
          <w:tcPr>
            <w:tcW w:w="457"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14D4FA49"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749</w:t>
            </w:r>
          </w:p>
        </w:tc>
        <w:tc>
          <w:tcPr>
            <w:tcW w:w="802"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499279AB"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23.39%</w:t>
            </w:r>
          </w:p>
        </w:tc>
        <w:tc>
          <w:tcPr>
            <w:tcW w:w="810"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135262FA"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74.19%</w:t>
            </w:r>
          </w:p>
        </w:tc>
        <w:tc>
          <w:tcPr>
            <w:tcW w:w="457"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5AABB9BB"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743</w:t>
            </w:r>
          </w:p>
        </w:tc>
        <w:tc>
          <w:tcPr>
            <w:tcW w:w="802"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09011B85"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-0.80%</w:t>
            </w:r>
          </w:p>
        </w:tc>
        <w:tc>
          <w:tcPr>
            <w:tcW w:w="810"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0A8975F7"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22.41%</w:t>
            </w:r>
          </w:p>
        </w:tc>
        <w:tc>
          <w:tcPr>
            <w:tcW w:w="899"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567F447E"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72.79%</w:t>
            </w:r>
          </w:p>
        </w:tc>
        <w:tc>
          <w:tcPr>
            <w:tcW w:w="457"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6B7385B7"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1123</w:t>
            </w:r>
          </w:p>
        </w:tc>
        <w:tc>
          <w:tcPr>
            <w:tcW w:w="713"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49DDA58E"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51.14%</w:t>
            </w:r>
          </w:p>
        </w:tc>
        <w:tc>
          <w:tcPr>
            <w:tcW w:w="722"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57251DF6"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49.93%</w:t>
            </w:r>
          </w:p>
        </w:tc>
        <w:tc>
          <w:tcPr>
            <w:tcW w:w="751"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45FB5D5A"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85.01%</w:t>
            </w:r>
          </w:p>
        </w:tc>
        <w:tc>
          <w:tcPr>
            <w:tcW w:w="903"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5739309E" w14:textId="77777777" w:rsidR="00E9142A" w:rsidRPr="00E9142A" w:rsidRDefault="00E9142A" w:rsidP="00E9142A">
            <w:pPr>
              <w:rPr>
                <w:rFonts w:asciiTheme="minorHAnsi" w:hAnsiTheme="minorHAnsi" w:cstheme="minorHAnsi"/>
                <w:b/>
                <w:bCs/>
                <w:sz w:val="22"/>
                <w:szCs w:val="22"/>
              </w:rPr>
            </w:pPr>
            <w:r w:rsidRPr="00E9142A">
              <w:rPr>
                <w:rFonts w:asciiTheme="minorHAnsi" w:hAnsiTheme="minorHAnsi" w:cstheme="minorHAnsi"/>
                <w:b/>
                <w:bCs/>
                <w:sz w:val="22"/>
                <w:szCs w:val="22"/>
              </w:rPr>
              <w:t>161.16%</w:t>
            </w:r>
          </w:p>
        </w:tc>
      </w:tr>
    </w:tbl>
    <w:p w14:paraId="68E3C382" w14:textId="77777777" w:rsidR="00E9142A" w:rsidRPr="00E9142A" w:rsidRDefault="00E9142A" w:rsidP="00E9142A">
      <w:pPr>
        <w:rPr>
          <w:rFonts w:asciiTheme="minorHAnsi" w:hAnsiTheme="minorHAnsi" w:cstheme="minorHAnsi"/>
          <w:sz w:val="22"/>
          <w:szCs w:val="22"/>
          <w:lang w:val="es-ES"/>
        </w:rPr>
      </w:pPr>
    </w:p>
    <w:p w14:paraId="04D04F83" w14:textId="77777777" w:rsidR="00E9142A" w:rsidRPr="00E9142A" w:rsidRDefault="00E9142A" w:rsidP="00E9142A">
      <w:pPr>
        <w:numPr>
          <w:ilvl w:val="0"/>
          <w:numId w:val="120"/>
        </w:numPr>
        <w:rPr>
          <w:rFonts w:asciiTheme="minorHAnsi" w:hAnsiTheme="minorHAnsi" w:cstheme="minorHAnsi"/>
          <w:sz w:val="22"/>
          <w:szCs w:val="22"/>
        </w:rPr>
      </w:pPr>
      <w:r w:rsidRPr="00E9142A">
        <w:rPr>
          <w:rFonts w:asciiTheme="minorHAnsi" w:hAnsiTheme="minorHAnsi" w:cstheme="minorHAnsi"/>
          <w:sz w:val="22"/>
          <w:szCs w:val="22"/>
        </w:rPr>
        <w:t>Impacto de Página Web</w:t>
      </w:r>
    </w:p>
    <w:p w14:paraId="4686FCAD" w14:textId="77777777" w:rsidR="00E9142A" w:rsidRPr="00E9142A" w:rsidRDefault="00E9142A" w:rsidP="00E9142A">
      <w:pPr>
        <w:numPr>
          <w:ilvl w:val="1"/>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Los visitantes únicos se incrementaron un 21,80 por ciento</w:t>
      </w:r>
    </w:p>
    <w:p w14:paraId="43985981" w14:textId="77777777" w:rsidR="00E9142A" w:rsidRPr="00E9142A" w:rsidRDefault="00E9142A" w:rsidP="00E9142A">
      <w:pPr>
        <w:numPr>
          <w:ilvl w:val="1"/>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Las visitas a las páginas (pageviews) crecieron un 17,22 por ciento.</w:t>
      </w:r>
    </w:p>
    <w:p w14:paraId="46AE8FD7" w14:textId="77777777" w:rsidR="00E9142A" w:rsidRPr="00E9142A" w:rsidRDefault="00E9142A" w:rsidP="00E9142A">
      <w:pPr>
        <w:rPr>
          <w:rFonts w:asciiTheme="minorHAnsi" w:hAnsiTheme="minorHAnsi" w:cstheme="minorHAnsi"/>
          <w:sz w:val="22"/>
          <w:szCs w:val="22"/>
          <w:lang w:val="es-ES"/>
        </w:rPr>
      </w:pPr>
    </w:p>
    <w:p w14:paraId="31D10D1D" w14:textId="77777777" w:rsidR="00E9142A" w:rsidRPr="00E9142A" w:rsidRDefault="00E9142A" w:rsidP="00E9142A">
      <w:pPr>
        <w:numPr>
          <w:ilvl w:val="0"/>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Impacto en videos:</w:t>
      </w:r>
    </w:p>
    <w:p w14:paraId="3BF0DB7D" w14:textId="77777777" w:rsidR="00E9142A" w:rsidRPr="00E9142A" w:rsidRDefault="00E9142A" w:rsidP="00E9142A">
      <w:pPr>
        <w:numPr>
          <w:ilvl w:val="1"/>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Se produjeron 118 videonoticias en ambos idiomas, un 6,30 por ciento más que el año anterior</w:t>
      </w:r>
    </w:p>
    <w:p w14:paraId="22212EF7" w14:textId="77777777" w:rsidR="00E9142A" w:rsidRPr="00E9142A" w:rsidRDefault="00E9142A" w:rsidP="00E9142A">
      <w:pPr>
        <w:numPr>
          <w:ilvl w:val="1"/>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Se realizaron 183 transmisiones en directo (Webcast) de eventos de la OEA, un 15 por ciento más que el año anterior</w:t>
      </w:r>
    </w:p>
    <w:p w14:paraId="6E138A6D" w14:textId="77777777" w:rsidR="00E9142A" w:rsidRPr="00E9142A" w:rsidRDefault="00E9142A" w:rsidP="00E9142A">
      <w:pPr>
        <w:numPr>
          <w:ilvl w:val="1"/>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Se cortaron y difundieron 389 videos breves, un 170 por ciento más que el año anterior</w:t>
      </w:r>
    </w:p>
    <w:p w14:paraId="7EB2697C" w14:textId="77777777" w:rsidR="00E9142A" w:rsidRPr="00E9142A" w:rsidRDefault="00E9142A" w:rsidP="00E9142A">
      <w:pPr>
        <w:rPr>
          <w:rFonts w:asciiTheme="minorHAnsi" w:hAnsiTheme="minorHAnsi" w:cstheme="minorHAnsi"/>
          <w:sz w:val="22"/>
          <w:szCs w:val="22"/>
          <w:lang w:val="es-ES"/>
        </w:rPr>
      </w:pPr>
    </w:p>
    <w:p w14:paraId="1D85BDD9" w14:textId="77777777" w:rsidR="00E9142A" w:rsidRPr="00E9142A" w:rsidRDefault="00E9142A" w:rsidP="00E9142A">
      <w:pPr>
        <w:numPr>
          <w:ilvl w:val="0"/>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Impacto en comunicación corporativa:</w:t>
      </w:r>
    </w:p>
    <w:p w14:paraId="2ED0F4CA" w14:textId="77777777" w:rsidR="00E9142A" w:rsidRPr="00E9142A" w:rsidRDefault="00E9142A" w:rsidP="00E9142A">
      <w:pPr>
        <w:numPr>
          <w:ilvl w:val="1"/>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Se editaron 124 discursos/</w:t>
      </w:r>
      <w:r w:rsidRPr="00E9142A">
        <w:rPr>
          <w:rFonts w:asciiTheme="minorHAnsi" w:hAnsiTheme="minorHAnsi" w:cstheme="minorHAnsi"/>
          <w:i/>
          <w:sz w:val="22"/>
          <w:szCs w:val="22"/>
          <w:lang w:val="es-ES"/>
        </w:rPr>
        <w:t xml:space="preserve">talking points </w:t>
      </w:r>
      <w:r w:rsidRPr="00E9142A">
        <w:rPr>
          <w:rFonts w:asciiTheme="minorHAnsi" w:hAnsiTheme="minorHAnsi" w:cstheme="minorHAnsi"/>
          <w:sz w:val="22"/>
          <w:szCs w:val="22"/>
          <w:lang w:val="es-ES"/>
        </w:rPr>
        <w:t>y 48 entrevistas</w:t>
      </w:r>
    </w:p>
    <w:p w14:paraId="214BC3C0" w14:textId="77777777" w:rsidR="00E9142A" w:rsidRPr="00E9142A" w:rsidRDefault="00E9142A" w:rsidP="00E9142A">
      <w:pPr>
        <w:numPr>
          <w:ilvl w:val="1"/>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Se prepararon e implementaron 15 planes de comunicación para eventos y programas de la OEA</w:t>
      </w:r>
    </w:p>
    <w:p w14:paraId="72A15279" w14:textId="77777777" w:rsidR="00E9142A" w:rsidRPr="00E9142A" w:rsidRDefault="00E9142A" w:rsidP="00E9142A">
      <w:pPr>
        <w:numPr>
          <w:ilvl w:val="1"/>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Se prepararon materiales para 21 entrevistas de altos funcionarios de la Organización</w:t>
      </w:r>
    </w:p>
    <w:p w14:paraId="31E5CEDD" w14:textId="77777777" w:rsidR="00E9142A" w:rsidRPr="00E9142A" w:rsidRDefault="00E9142A" w:rsidP="00E9142A">
      <w:pPr>
        <w:rPr>
          <w:rFonts w:asciiTheme="minorHAnsi" w:hAnsiTheme="minorHAnsi" w:cstheme="minorHAnsi"/>
          <w:sz w:val="22"/>
          <w:szCs w:val="22"/>
          <w:lang w:val="es-ES"/>
        </w:rPr>
      </w:pPr>
    </w:p>
    <w:p w14:paraId="583DC522" w14:textId="77777777" w:rsidR="00E9142A" w:rsidRPr="00E9142A" w:rsidRDefault="00E9142A" w:rsidP="00E9142A">
      <w:pPr>
        <w:numPr>
          <w:ilvl w:val="0"/>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Impacto en producción fotográfica:</w:t>
      </w:r>
    </w:p>
    <w:p w14:paraId="54C082D1" w14:textId="77777777" w:rsidR="00E9142A" w:rsidRPr="00E9142A" w:rsidRDefault="00E9142A" w:rsidP="00E9142A">
      <w:pPr>
        <w:numPr>
          <w:ilvl w:val="1"/>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Se produjeron 394 galerías fotográficas sobre eventos y programas de la OEA</w:t>
      </w:r>
    </w:p>
    <w:p w14:paraId="7867611E" w14:textId="4FA82313" w:rsidR="00E9142A" w:rsidRDefault="00E9142A" w:rsidP="00E9142A">
      <w:pPr>
        <w:rPr>
          <w:rFonts w:asciiTheme="minorHAnsi" w:hAnsiTheme="minorHAnsi" w:cstheme="minorHAnsi"/>
          <w:sz w:val="22"/>
          <w:szCs w:val="22"/>
          <w:lang w:val="es-ES"/>
        </w:rPr>
      </w:pPr>
    </w:p>
    <w:p w14:paraId="005681A6" w14:textId="79A86BAB" w:rsidR="00DD4A29" w:rsidRDefault="00DD4A29" w:rsidP="00E9142A">
      <w:pPr>
        <w:rPr>
          <w:rFonts w:asciiTheme="minorHAnsi" w:hAnsiTheme="minorHAnsi" w:cstheme="minorHAnsi"/>
          <w:sz w:val="22"/>
          <w:szCs w:val="22"/>
          <w:lang w:val="es-ES"/>
        </w:rPr>
      </w:pPr>
    </w:p>
    <w:p w14:paraId="4D376E77" w14:textId="3A6F491F" w:rsidR="00DD4A29" w:rsidRDefault="00DD4A29" w:rsidP="00E9142A">
      <w:pPr>
        <w:rPr>
          <w:rFonts w:asciiTheme="minorHAnsi" w:hAnsiTheme="minorHAnsi" w:cstheme="minorHAnsi"/>
          <w:sz w:val="22"/>
          <w:szCs w:val="22"/>
          <w:lang w:val="es-ES"/>
        </w:rPr>
      </w:pPr>
    </w:p>
    <w:p w14:paraId="5A550AFE" w14:textId="77777777" w:rsidR="00BB7151" w:rsidRDefault="00BB7151" w:rsidP="00E9142A">
      <w:pPr>
        <w:rPr>
          <w:rFonts w:asciiTheme="minorHAnsi" w:hAnsiTheme="minorHAnsi" w:cstheme="minorHAnsi"/>
          <w:sz w:val="22"/>
          <w:szCs w:val="22"/>
          <w:lang w:val="es-ES"/>
        </w:rPr>
      </w:pPr>
    </w:p>
    <w:p w14:paraId="41C5B025" w14:textId="527642D2" w:rsidR="00DD4A29" w:rsidRDefault="00DD4A29" w:rsidP="00E9142A">
      <w:pPr>
        <w:rPr>
          <w:rFonts w:asciiTheme="minorHAnsi" w:hAnsiTheme="minorHAnsi" w:cstheme="minorHAnsi"/>
          <w:sz w:val="22"/>
          <w:szCs w:val="22"/>
          <w:lang w:val="es-ES"/>
        </w:rPr>
      </w:pPr>
    </w:p>
    <w:p w14:paraId="1DEE5F50" w14:textId="77777777" w:rsidR="00DD4A29" w:rsidRPr="00E9142A" w:rsidRDefault="00DD4A29" w:rsidP="00E9142A">
      <w:pPr>
        <w:rPr>
          <w:rFonts w:asciiTheme="minorHAnsi" w:hAnsiTheme="minorHAnsi" w:cstheme="minorHAnsi"/>
          <w:sz w:val="22"/>
          <w:szCs w:val="22"/>
          <w:lang w:val="es-ES"/>
        </w:rPr>
      </w:pPr>
    </w:p>
    <w:p w14:paraId="3105A9E5" w14:textId="77777777" w:rsidR="00E9142A" w:rsidRPr="00E9142A" w:rsidRDefault="00E9142A" w:rsidP="00E9142A">
      <w:pPr>
        <w:numPr>
          <w:ilvl w:val="0"/>
          <w:numId w:val="120"/>
        </w:numPr>
        <w:rPr>
          <w:rFonts w:asciiTheme="minorHAnsi" w:hAnsiTheme="minorHAnsi" w:cstheme="minorHAnsi"/>
          <w:sz w:val="22"/>
          <w:szCs w:val="22"/>
          <w:lang w:val="es-ES"/>
        </w:rPr>
      </w:pPr>
      <w:r w:rsidRPr="00E9142A">
        <w:rPr>
          <w:rFonts w:asciiTheme="minorHAnsi" w:hAnsiTheme="minorHAnsi" w:cstheme="minorHAnsi"/>
          <w:sz w:val="22"/>
          <w:szCs w:val="22"/>
          <w:lang w:val="es-ES"/>
        </w:rPr>
        <w:t>Impacto en redes sociales:</w:t>
      </w: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3068AED0" w14:textId="77777777" w:rsidTr="00E74BA0">
        <w:trPr>
          <w:trHeight w:val="600"/>
          <w:jc w:val="center"/>
        </w:trPr>
        <w:tc>
          <w:tcPr>
            <w:tcW w:w="2420" w:type="dxa"/>
            <w:shd w:val="clear" w:color="auto" w:fill="1DA1F2"/>
            <w:tcMar>
              <w:top w:w="0" w:type="dxa"/>
              <w:left w:w="108" w:type="dxa"/>
              <w:bottom w:w="0" w:type="dxa"/>
              <w:right w:w="108" w:type="dxa"/>
            </w:tcMar>
            <w:vAlign w:val="bottom"/>
            <w:hideMark/>
          </w:tcPr>
          <w:p w14:paraId="4153828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Twitter @OEA_oficial</w:t>
            </w:r>
          </w:p>
        </w:tc>
        <w:tc>
          <w:tcPr>
            <w:tcW w:w="2160" w:type="dxa"/>
            <w:shd w:val="clear" w:color="auto" w:fill="1DA1F2"/>
            <w:tcMar>
              <w:top w:w="0" w:type="dxa"/>
              <w:left w:w="108" w:type="dxa"/>
              <w:bottom w:w="0" w:type="dxa"/>
              <w:right w:w="108" w:type="dxa"/>
            </w:tcMar>
            <w:vAlign w:val="bottom"/>
            <w:hideMark/>
          </w:tcPr>
          <w:p w14:paraId="3BC3EBD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2018</w:t>
            </w:r>
          </w:p>
        </w:tc>
        <w:tc>
          <w:tcPr>
            <w:tcW w:w="2430" w:type="dxa"/>
            <w:shd w:val="clear" w:color="auto" w:fill="1DA1F2"/>
            <w:tcMar>
              <w:top w:w="0" w:type="dxa"/>
              <w:left w:w="108" w:type="dxa"/>
              <w:bottom w:w="0" w:type="dxa"/>
              <w:right w:w="108" w:type="dxa"/>
            </w:tcMar>
            <w:vAlign w:val="bottom"/>
            <w:hideMark/>
          </w:tcPr>
          <w:p w14:paraId="663C16D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2019</w:t>
            </w:r>
          </w:p>
        </w:tc>
        <w:tc>
          <w:tcPr>
            <w:tcW w:w="1990" w:type="dxa"/>
            <w:shd w:val="clear" w:color="auto" w:fill="1DA1F2"/>
            <w:tcMar>
              <w:top w:w="0" w:type="dxa"/>
              <w:left w:w="108" w:type="dxa"/>
              <w:bottom w:w="0" w:type="dxa"/>
              <w:right w:w="108" w:type="dxa"/>
            </w:tcMar>
            <w:vAlign w:val="bottom"/>
            <w:hideMark/>
          </w:tcPr>
          <w:p w14:paraId="2A44E74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Cambio 2018-2019</w:t>
            </w:r>
          </w:p>
        </w:tc>
      </w:tr>
      <w:tr w:rsidR="00E9142A" w:rsidRPr="00E9142A" w14:paraId="793CA301" w14:textId="77777777" w:rsidTr="00E74BA0">
        <w:trPr>
          <w:trHeight w:hRule="exact" w:val="403"/>
          <w:jc w:val="center"/>
        </w:trPr>
        <w:tc>
          <w:tcPr>
            <w:tcW w:w="2420" w:type="dxa"/>
            <w:noWrap/>
            <w:tcMar>
              <w:top w:w="58" w:type="dxa"/>
              <w:left w:w="115" w:type="dxa"/>
              <w:bottom w:w="0" w:type="dxa"/>
              <w:right w:w="115" w:type="dxa"/>
            </w:tcMar>
            <w:vAlign w:val="center"/>
            <w:hideMark/>
          </w:tcPr>
          <w:p w14:paraId="3B072141" w14:textId="77777777" w:rsidR="00E9142A" w:rsidRPr="00E9142A" w:rsidRDefault="00E9142A" w:rsidP="00E9142A">
            <w:pPr>
              <w:rPr>
                <w:rFonts w:asciiTheme="minorHAnsi" w:hAnsiTheme="minorHAnsi" w:cstheme="minorHAnsi"/>
                <w:b/>
                <w:sz w:val="22"/>
                <w:szCs w:val="22"/>
              </w:rPr>
            </w:pPr>
            <w:r w:rsidRPr="00E9142A">
              <w:rPr>
                <w:rFonts w:asciiTheme="minorHAnsi" w:hAnsiTheme="minorHAnsi" w:cstheme="minorHAnsi"/>
                <w:b/>
                <w:sz w:val="22"/>
                <w:szCs w:val="22"/>
              </w:rPr>
              <w:t>New followers</w:t>
            </w:r>
          </w:p>
        </w:tc>
        <w:tc>
          <w:tcPr>
            <w:tcW w:w="2160" w:type="dxa"/>
            <w:noWrap/>
            <w:tcMar>
              <w:top w:w="58" w:type="dxa"/>
              <w:left w:w="115" w:type="dxa"/>
              <w:bottom w:w="0" w:type="dxa"/>
              <w:right w:w="115" w:type="dxa"/>
            </w:tcMar>
            <w:vAlign w:val="center"/>
            <w:hideMark/>
          </w:tcPr>
          <w:p w14:paraId="1B937D3A"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147995</w:t>
            </w:r>
          </w:p>
        </w:tc>
        <w:tc>
          <w:tcPr>
            <w:tcW w:w="2430" w:type="dxa"/>
            <w:noWrap/>
            <w:tcMar>
              <w:top w:w="58" w:type="dxa"/>
              <w:left w:w="115" w:type="dxa"/>
              <w:bottom w:w="0" w:type="dxa"/>
              <w:right w:w="115" w:type="dxa"/>
            </w:tcMar>
            <w:vAlign w:val="center"/>
            <w:hideMark/>
          </w:tcPr>
          <w:p w14:paraId="0437DFE8"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223565</w:t>
            </w:r>
          </w:p>
        </w:tc>
        <w:tc>
          <w:tcPr>
            <w:tcW w:w="1990" w:type="dxa"/>
            <w:noWrap/>
            <w:tcMar>
              <w:top w:w="58" w:type="dxa"/>
              <w:left w:w="115" w:type="dxa"/>
              <w:bottom w:w="0" w:type="dxa"/>
              <w:right w:w="115" w:type="dxa"/>
            </w:tcMar>
            <w:vAlign w:val="center"/>
            <w:hideMark/>
          </w:tcPr>
          <w:p w14:paraId="6E9585D8"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51%</w:t>
            </w:r>
          </w:p>
        </w:tc>
      </w:tr>
      <w:tr w:rsidR="00E9142A" w:rsidRPr="00E9142A" w14:paraId="03867ABD" w14:textId="77777777" w:rsidTr="00E74BA0">
        <w:trPr>
          <w:trHeight w:hRule="exact" w:val="403"/>
          <w:jc w:val="center"/>
        </w:trPr>
        <w:tc>
          <w:tcPr>
            <w:tcW w:w="2420" w:type="dxa"/>
            <w:noWrap/>
            <w:tcMar>
              <w:top w:w="58" w:type="dxa"/>
              <w:left w:w="115" w:type="dxa"/>
              <w:bottom w:w="0" w:type="dxa"/>
              <w:right w:w="115" w:type="dxa"/>
            </w:tcMar>
            <w:vAlign w:val="center"/>
            <w:hideMark/>
          </w:tcPr>
          <w:p w14:paraId="2646612A" w14:textId="77777777" w:rsidR="00E9142A" w:rsidRPr="00E9142A" w:rsidRDefault="00E9142A" w:rsidP="00E9142A">
            <w:pPr>
              <w:rPr>
                <w:rFonts w:asciiTheme="minorHAnsi" w:hAnsiTheme="minorHAnsi" w:cstheme="minorHAnsi"/>
                <w:b/>
                <w:sz w:val="22"/>
                <w:szCs w:val="22"/>
              </w:rPr>
            </w:pPr>
            <w:r w:rsidRPr="00E9142A">
              <w:rPr>
                <w:rFonts w:asciiTheme="minorHAnsi" w:hAnsiTheme="minorHAnsi" w:cstheme="minorHAnsi"/>
                <w:b/>
                <w:sz w:val="22"/>
                <w:szCs w:val="22"/>
              </w:rPr>
              <w:t>Likes</w:t>
            </w:r>
          </w:p>
        </w:tc>
        <w:tc>
          <w:tcPr>
            <w:tcW w:w="2160" w:type="dxa"/>
            <w:noWrap/>
            <w:tcMar>
              <w:top w:w="58" w:type="dxa"/>
              <w:left w:w="115" w:type="dxa"/>
              <w:bottom w:w="0" w:type="dxa"/>
              <w:right w:w="115" w:type="dxa"/>
            </w:tcMar>
            <w:vAlign w:val="center"/>
            <w:hideMark/>
          </w:tcPr>
          <w:p w14:paraId="750A4F36"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56042</w:t>
            </w:r>
          </w:p>
        </w:tc>
        <w:tc>
          <w:tcPr>
            <w:tcW w:w="2430" w:type="dxa"/>
            <w:noWrap/>
            <w:tcMar>
              <w:top w:w="58" w:type="dxa"/>
              <w:left w:w="115" w:type="dxa"/>
              <w:bottom w:w="0" w:type="dxa"/>
              <w:right w:w="115" w:type="dxa"/>
            </w:tcMar>
            <w:vAlign w:val="center"/>
            <w:hideMark/>
          </w:tcPr>
          <w:p w14:paraId="278DCB59"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251400</w:t>
            </w:r>
          </w:p>
        </w:tc>
        <w:tc>
          <w:tcPr>
            <w:tcW w:w="1990" w:type="dxa"/>
            <w:noWrap/>
            <w:tcMar>
              <w:top w:w="58" w:type="dxa"/>
              <w:left w:w="115" w:type="dxa"/>
              <w:bottom w:w="0" w:type="dxa"/>
              <w:right w:w="115" w:type="dxa"/>
            </w:tcMar>
            <w:vAlign w:val="center"/>
            <w:hideMark/>
          </w:tcPr>
          <w:p w14:paraId="05BECB36"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349%</w:t>
            </w:r>
          </w:p>
        </w:tc>
      </w:tr>
      <w:tr w:rsidR="00E9142A" w:rsidRPr="00E9142A" w14:paraId="68BFD967" w14:textId="77777777" w:rsidTr="00E74BA0">
        <w:trPr>
          <w:trHeight w:hRule="exact" w:val="403"/>
          <w:jc w:val="center"/>
        </w:trPr>
        <w:tc>
          <w:tcPr>
            <w:tcW w:w="2420" w:type="dxa"/>
            <w:noWrap/>
            <w:tcMar>
              <w:top w:w="58" w:type="dxa"/>
              <w:left w:w="115" w:type="dxa"/>
              <w:bottom w:w="0" w:type="dxa"/>
              <w:right w:w="115" w:type="dxa"/>
            </w:tcMar>
            <w:vAlign w:val="center"/>
            <w:hideMark/>
          </w:tcPr>
          <w:p w14:paraId="591F46E7" w14:textId="77777777" w:rsidR="00E9142A" w:rsidRPr="00E9142A" w:rsidRDefault="00E9142A" w:rsidP="00E9142A">
            <w:pPr>
              <w:rPr>
                <w:rFonts w:asciiTheme="minorHAnsi" w:hAnsiTheme="minorHAnsi" w:cstheme="minorHAnsi"/>
                <w:b/>
                <w:sz w:val="22"/>
                <w:szCs w:val="22"/>
              </w:rPr>
            </w:pPr>
            <w:r w:rsidRPr="00E9142A">
              <w:rPr>
                <w:rFonts w:asciiTheme="minorHAnsi" w:hAnsiTheme="minorHAnsi" w:cstheme="minorHAnsi"/>
                <w:b/>
                <w:sz w:val="22"/>
                <w:szCs w:val="22"/>
              </w:rPr>
              <w:t>Impresiones</w:t>
            </w:r>
          </w:p>
        </w:tc>
        <w:tc>
          <w:tcPr>
            <w:tcW w:w="2160" w:type="dxa"/>
            <w:noWrap/>
            <w:tcMar>
              <w:top w:w="58" w:type="dxa"/>
              <w:left w:w="115" w:type="dxa"/>
              <w:bottom w:w="0" w:type="dxa"/>
              <w:right w:w="115" w:type="dxa"/>
            </w:tcMar>
            <w:vAlign w:val="center"/>
            <w:hideMark/>
          </w:tcPr>
          <w:p w14:paraId="1FEFE622"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19494000</w:t>
            </w:r>
          </w:p>
        </w:tc>
        <w:tc>
          <w:tcPr>
            <w:tcW w:w="2430" w:type="dxa"/>
            <w:noWrap/>
            <w:tcMar>
              <w:top w:w="58" w:type="dxa"/>
              <w:left w:w="115" w:type="dxa"/>
              <w:bottom w:w="0" w:type="dxa"/>
              <w:right w:w="115" w:type="dxa"/>
            </w:tcMar>
            <w:vAlign w:val="center"/>
            <w:hideMark/>
          </w:tcPr>
          <w:p w14:paraId="515C748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50534000</w:t>
            </w:r>
          </w:p>
        </w:tc>
        <w:tc>
          <w:tcPr>
            <w:tcW w:w="1990" w:type="dxa"/>
            <w:noWrap/>
            <w:tcMar>
              <w:top w:w="58" w:type="dxa"/>
              <w:left w:w="115" w:type="dxa"/>
              <w:bottom w:w="0" w:type="dxa"/>
              <w:right w:w="115" w:type="dxa"/>
            </w:tcMar>
            <w:vAlign w:val="center"/>
            <w:hideMark/>
          </w:tcPr>
          <w:p w14:paraId="62EE3DA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159%</w:t>
            </w:r>
          </w:p>
        </w:tc>
      </w:tr>
    </w:tbl>
    <w:p w14:paraId="230424ED" w14:textId="77777777" w:rsidR="00E9142A" w:rsidRPr="00E9142A" w:rsidRDefault="00E9142A" w:rsidP="00E9142A">
      <w:pPr>
        <w:rPr>
          <w:rFonts w:asciiTheme="minorHAnsi" w:hAnsiTheme="minorHAnsi" w:cstheme="minorHAnsi"/>
          <w:sz w:val="22"/>
          <w:szCs w:val="22"/>
          <w:lang w:val="uz-Cyrl-UZ"/>
        </w:rPr>
      </w:pP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295A86B6" w14:textId="77777777" w:rsidTr="00E74BA0">
        <w:trPr>
          <w:trHeight w:val="600"/>
          <w:jc w:val="center"/>
        </w:trPr>
        <w:tc>
          <w:tcPr>
            <w:tcW w:w="2420" w:type="dxa"/>
            <w:shd w:val="clear" w:color="auto" w:fill="1DA1F2"/>
            <w:tcMar>
              <w:top w:w="0" w:type="dxa"/>
              <w:left w:w="108" w:type="dxa"/>
              <w:bottom w:w="0" w:type="dxa"/>
              <w:right w:w="108" w:type="dxa"/>
            </w:tcMar>
            <w:vAlign w:val="bottom"/>
            <w:hideMark/>
          </w:tcPr>
          <w:p w14:paraId="7109702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Twitter @OAS_official</w:t>
            </w:r>
          </w:p>
        </w:tc>
        <w:tc>
          <w:tcPr>
            <w:tcW w:w="2160" w:type="dxa"/>
            <w:shd w:val="clear" w:color="auto" w:fill="1DA1F2"/>
            <w:tcMar>
              <w:top w:w="0" w:type="dxa"/>
              <w:left w:w="108" w:type="dxa"/>
              <w:bottom w:w="0" w:type="dxa"/>
              <w:right w:w="108" w:type="dxa"/>
            </w:tcMar>
            <w:vAlign w:val="bottom"/>
            <w:hideMark/>
          </w:tcPr>
          <w:p w14:paraId="121FD8F7"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2018</w:t>
            </w:r>
          </w:p>
        </w:tc>
        <w:tc>
          <w:tcPr>
            <w:tcW w:w="2430" w:type="dxa"/>
            <w:shd w:val="clear" w:color="auto" w:fill="1DA1F2"/>
            <w:tcMar>
              <w:top w:w="0" w:type="dxa"/>
              <w:left w:w="108" w:type="dxa"/>
              <w:bottom w:w="0" w:type="dxa"/>
              <w:right w:w="108" w:type="dxa"/>
            </w:tcMar>
            <w:vAlign w:val="bottom"/>
            <w:hideMark/>
          </w:tcPr>
          <w:p w14:paraId="6AD3451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2019</w:t>
            </w:r>
          </w:p>
        </w:tc>
        <w:tc>
          <w:tcPr>
            <w:tcW w:w="1990" w:type="dxa"/>
            <w:shd w:val="clear" w:color="auto" w:fill="1DA1F2"/>
            <w:tcMar>
              <w:top w:w="0" w:type="dxa"/>
              <w:left w:w="108" w:type="dxa"/>
              <w:bottom w:w="0" w:type="dxa"/>
              <w:right w:w="108" w:type="dxa"/>
            </w:tcMar>
            <w:vAlign w:val="bottom"/>
            <w:hideMark/>
          </w:tcPr>
          <w:p w14:paraId="460E302A"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Cambio 2018-2019</w:t>
            </w:r>
          </w:p>
        </w:tc>
      </w:tr>
      <w:tr w:rsidR="00E9142A" w:rsidRPr="00E9142A" w14:paraId="0F022B31" w14:textId="77777777" w:rsidTr="00E74BA0">
        <w:trPr>
          <w:trHeight w:hRule="exact" w:val="403"/>
          <w:jc w:val="center"/>
        </w:trPr>
        <w:tc>
          <w:tcPr>
            <w:tcW w:w="2420" w:type="dxa"/>
            <w:noWrap/>
            <w:tcMar>
              <w:top w:w="58" w:type="dxa"/>
              <w:left w:w="115" w:type="dxa"/>
              <w:bottom w:w="0" w:type="dxa"/>
              <w:right w:w="115" w:type="dxa"/>
            </w:tcMar>
            <w:vAlign w:val="bottom"/>
            <w:hideMark/>
          </w:tcPr>
          <w:p w14:paraId="10EECA96" w14:textId="77777777" w:rsidR="00E9142A" w:rsidRPr="00E9142A" w:rsidRDefault="00E9142A" w:rsidP="00E9142A">
            <w:pPr>
              <w:rPr>
                <w:rFonts w:asciiTheme="minorHAnsi" w:hAnsiTheme="minorHAnsi" w:cstheme="minorHAnsi"/>
                <w:b/>
                <w:sz w:val="22"/>
                <w:szCs w:val="22"/>
              </w:rPr>
            </w:pPr>
            <w:r w:rsidRPr="00E9142A">
              <w:rPr>
                <w:rFonts w:asciiTheme="minorHAnsi" w:hAnsiTheme="minorHAnsi" w:cstheme="minorHAnsi"/>
                <w:b/>
                <w:sz w:val="22"/>
                <w:szCs w:val="22"/>
              </w:rPr>
              <w:t>New followers</w:t>
            </w:r>
          </w:p>
        </w:tc>
        <w:tc>
          <w:tcPr>
            <w:tcW w:w="2160" w:type="dxa"/>
            <w:noWrap/>
            <w:tcMar>
              <w:top w:w="58" w:type="dxa"/>
              <w:left w:w="115" w:type="dxa"/>
              <w:bottom w:w="0" w:type="dxa"/>
              <w:right w:w="115" w:type="dxa"/>
            </w:tcMar>
            <w:vAlign w:val="bottom"/>
            <w:hideMark/>
          </w:tcPr>
          <w:p w14:paraId="33DEA77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7815</w:t>
            </w:r>
          </w:p>
        </w:tc>
        <w:tc>
          <w:tcPr>
            <w:tcW w:w="2430" w:type="dxa"/>
            <w:noWrap/>
            <w:tcMar>
              <w:top w:w="58" w:type="dxa"/>
              <w:left w:w="115" w:type="dxa"/>
              <w:bottom w:w="0" w:type="dxa"/>
              <w:right w:w="115" w:type="dxa"/>
            </w:tcMar>
            <w:vAlign w:val="bottom"/>
            <w:hideMark/>
          </w:tcPr>
          <w:p w14:paraId="7FCC8627"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13987</w:t>
            </w:r>
          </w:p>
        </w:tc>
        <w:tc>
          <w:tcPr>
            <w:tcW w:w="1990" w:type="dxa"/>
            <w:noWrap/>
            <w:tcMar>
              <w:top w:w="58" w:type="dxa"/>
              <w:left w:w="115" w:type="dxa"/>
              <w:bottom w:w="0" w:type="dxa"/>
              <w:right w:w="115" w:type="dxa"/>
            </w:tcMar>
            <w:vAlign w:val="bottom"/>
            <w:hideMark/>
          </w:tcPr>
          <w:p w14:paraId="64439042"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79%</w:t>
            </w:r>
          </w:p>
        </w:tc>
      </w:tr>
      <w:tr w:rsidR="00E9142A" w:rsidRPr="00E9142A" w14:paraId="160CAEE5" w14:textId="77777777" w:rsidTr="00E74BA0">
        <w:trPr>
          <w:trHeight w:hRule="exact" w:val="403"/>
          <w:jc w:val="center"/>
        </w:trPr>
        <w:tc>
          <w:tcPr>
            <w:tcW w:w="2420" w:type="dxa"/>
            <w:noWrap/>
            <w:tcMar>
              <w:top w:w="58" w:type="dxa"/>
              <w:left w:w="115" w:type="dxa"/>
              <w:bottom w:w="0" w:type="dxa"/>
              <w:right w:w="115" w:type="dxa"/>
            </w:tcMar>
            <w:vAlign w:val="bottom"/>
            <w:hideMark/>
          </w:tcPr>
          <w:p w14:paraId="613FA9E6" w14:textId="77777777" w:rsidR="00E9142A" w:rsidRPr="00E9142A" w:rsidRDefault="00E9142A" w:rsidP="00E9142A">
            <w:pPr>
              <w:rPr>
                <w:rFonts w:asciiTheme="minorHAnsi" w:hAnsiTheme="minorHAnsi" w:cstheme="minorHAnsi"/>
                <w:b/>
                <w:sz w:val="22"/>
                <w:szCs w:val="22"/>
              </w:rPr>
            </w:pPr>
            <w:r w:rsidRPr="00E9142A">
              <w:rPr>
                <w:rFonts w:asciiTheme="minorHAnsi" w:hAnsiTheme="minorHAnsi" w:cstheme="minorHAnsi"/>
                <w:b/>
                <w:sz w:val="22"/>
                <w:szCs w:val="22"/>
              </w:rPr>
              <w:t>Likes</w:t>
            </w:r>
          </w:p>
        </w:tc>
        <w:tc>
          <w:tcPr>
            <w:tcW w:w="2160" w:type="dxa"/>
            <w:noWrap/>
            <w:tcMar>
              <w:top w:w="58" w:type="dxa"/>
              <w:left w:w="115" w:type="dxa"/>
              <w:bottom w:w="0" w:type="dxa"/>
              <w:right w:w="115" w:type="dxa"/>
            </w:tcMar>
            <w:vAlign w:val="bottom"/>
            <w:hideMark/>
          </w:tcPr>
          <w:p w14:paraId="6265D81C"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7870</w:t>
            </w:r>
          </w:p>
        </w:tc>
        <w:tc>
          <w:tcPr>
            <w:tcW w:w="2430" w:type="dxa"/>
            <w:noWrap/>
            <w:tcMar>
              <w:top w:w="58" w:type="dxa"/>
              <w:left w:w="115" w:type="dxa"/>
              <w:bottom w:w="0" w:type="dxa"/>
              <w:right w:w="115" w:type="dxa"/>
            </w:tcMar>
            <w:vAlign w:val="bottom"/>
            <w:hideMark/>
          </w:tcPr>
          <w:p w14:paraId="7820982A"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18179</w:t>
            </w:r>
          </w:p>
        </w:tc>
        <w:tc>
          <w:tcPr>
            <w:tcW w:w="1990" w:type="dxa"/>
            <w:noWrap/>
            <w:tcMar>
              <w:top w:w="58" w:type="dxa"/>
              <w:left w:w="115" w:type="dxa"/>
              <w:bottom w:w="0" w:type="dxa"/>
              <w:right w:w="115" w:type="dxa"/>
            </w:tcMar>
            <w:vAlign w:val="bottom"/>
            <w:hideMark/>
          </w:tcPr>
          <w:p w14:paraId="157A75FA"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131%</w:t>
            </w:r>
          </w:p>
        </w:tc>
      </w:tr>
      <w:tr w:rsidR="00E9142A" w:rsidRPr="00E9142A" w14:paraId="50002FA2" w14:textId="77777777" w:rsidTr="00E74BA0">
        <w:trPr>
          <w:trHeight w:hRule="exact" w:val="403"/>
          <w:jc w:val="center"/>
        </w:trPr>
        <w:tc>
          <w:tcPr>
            <w:tcW w:w="2420" w:type="dxa"/>
            <w:noWrap/>
            <w:tcMar>
              <w:top w:w="58" w:type="dxa"/>
              <w:left w:w="115" w:type="dxa"/>
              <w:bottom w:w="0" w:type="dxa"/>
              <w:right w:w="115" w:type="dxa"/>
            </w:tcMar>
            <w:vAlign w:val="bottom"/>
            <w:hideMark/>
          </w:tcPr>
          <w:p w14:paraId="7F9E4E12" w14:textId="77777777" w:rsidR="00E9142A" w:rsidRPr="00E9142A" w:rsidRDefault="00E9142A" w:rsidP="00E9142A">
            <w:pPr>
              <w:rPr>
                <w:rFonts w:asciiTheme="minorHAnsi" w:hAnsiTheme="minorHAnsi" w:cstheme="minorHAnsi"/>
                <w:b/>
                <w:sz w:val="22"/>
                <w:szCs w:val="22"/>
              </w:rPr>
            </w:pPr>
            <w:r w:rsidRPr="00E9142A">
              <w:rPr>
                <w:rFonts w:asciiTheme="minorHAnsi" w:hAnsiTheme="minorHAnsi" w:cstheme="minorHAnsi"/>
                <w:b/>
                <w:sz w:val="22"/>
                <w:szCs w:val="22"/>
              </w:rPr>
              <w:t>Impresiones</w:t>
            </w:r>
          </w:p>
        </w:tc>
        <w:tc>
          <w:tcPr>
            <w:tcW w:w="2160" w:type="dxa"/>
            <w:noWrap/>
            <w:tcMar>
              <w:top w:w="58" w:type="dxa"/>
              <w:left w:w="115" w:type="dxa"/>
              <w:bottom w:w="0" w:type="dxa"/>
              <w:right w:w="115" w:type="dxa"/>
            </w:tcMar>
            <w:vAlign w:val="bottom"/>
            <w:hideMark/>
          </w:tcPr>
          <w:p w14:paraId="7726024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2887000</w:t>
            </w:r>
          </w:p>
        </w:tc>
        <w:tc>
          <w:tcPr>
            <w:tcW w:w="2430" w:type="dxa"/>
            <w:noWrap/>
            <w:tcMar>
              <w:top w:w="58" w:type="dxa"/>
              <w:left w:w="115" w:type="dxa"/>
              <w:bottom w:w="0" w:type="dxa"/>
              <w:right w:w="115" w:type="dxa"/>
            </w:tcMar>
            <w:vAlign w:val="bottom"/>
            <w:hideMark/>
          </w:tcPr>
          <w:p w14:paraId="0832FDE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6656000</w:t>
            </w:r>
          </w:p>
        </w:tc>
        <w:tc>
          <w:tcPr>
            <w:tcW w:w="1990" w:type="dxa"/>
            <w:noWrap/>
            <w:tcMar>
              <w:top w:w="58" w:type="dxa"/>
              <w:left w:w="115" w:type="dxa"/>
              <w:bottom w:w="0" w:type="dxa"/>
              <w:right w:w="115" w:type="dxa"/>
            </w:tcMar>
            <w:vAlign w:val="bottom"/>
            <w:hideMark/>
          </w:tcPr>
          <w:p w14:paraId="2742FD67"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131%</w:t>
            </w:r>
          </w:p>
        </w:tc>
      </w:tr>
    </w:tbl>
    <w:p w14:paraId="3230442D" w14:textId="77777777" w:rsidR="00E9142A" w:rsidRPr="00E9142A" w:rsidRDefault="00E9142A" w:rsidP="00E9142A">
      <w:pPr>
        <w:rPr>
          <w:rFonts w:asciiTheme="minorHAnsi" w:hAnsiTheme="minorHAnsi" w:cstheme="minorHAnsi"/>
          <w:sz w:val="22"/>
          <w:szCs w:val="22"/>
          <w:lang w:val="uz-Cyrl-UZ"/>
        </w:rPr>
      </w:pP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06DA877A" w14:textId="77777777" w:rsidTr="00E74BA0">
        <w:trPr>
          <w:trHeight w:val="600"/>
          <w:jc w:val="center"/>
        </w:trPr>
        <w:tc>
          <w:tcPr>
            <w:tcW w:w="2420" w:type="dxa"/>
            <w:shd w:val="clear" w:color="auto" w:fill="3B5998"/>
            <w:tcMar>
              <w:top w:w="0" w:type="dxa"/>
              <w:left w:w="108" w:type="dxa"/>
              <w:bottom w:w="0" w:type="dxa"/>
              <w:right w:w="108" w:type="dxa"/>
            </w:tcMar>
            <w:vAlign w:val="bottom"/>
            <w:hideMark/>
          </w:tcPr>
          <w:p w14:paraId="00B44286"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Facebook @OEAoficial</w:t>
            </w:r>
          </w:p>
        </w:tc>
        <w:tc>
          <w:tcPr>
            <w:tcW w:w="2160" w:type="dxa"/>
            <w:shd w:val="clear" w:color="auto" w:fill="3B5998"/>
            <w:tcMar>
              <w:top w:w="0" w:type="dxa"/>
              <w:left w:w="108" w:type="dxa"/>
              <w:bottom w:w="0" w:type="dxa"/>
              <w:right w:w="108" w:type="dxa"/>
            </w:tcMar>
            <w:vAlign w:val="bottom"/>
            <w:hideMark/>
          </w:tcPr>
          <w:p w14:paraId="1E68CFC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2018</w:t>
            </w:r>
          </w:p>
        </w:tc>
        <w:tc>
          <w:tcPr>
            <w:tcW w:w="2430" w:type="dxa"/>
            <w:shd w:val="clear" w:color="auto" w:fill="3B5998"/>
            <w:tcMar>
              <w:top w:w="0" w:type="dxa"/>
              <w:left w:w="108" w:type="dxa"/>
              <w:bottom w:w="0" w:type="dxa"/>
              <w:right w:w="108" w:type="dxa"/>
            </w:tcMar>
            <w:vAlign w:val="bottom"/>
            <w:hideMark/>
          </w:tcPr>
          <w:p w14:paraId="35F872A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2019</w:t>
            </w:r>
          </w:p>
        </w:tc>
        <w:tc>
          <w:tcPr>
            <w:tcW w:w="1990" w:type="dxa"/>
            <w:shd w:val="clear" w:color="auto" w:fill="3B5998"/>
            <w:tcMar>
              <w:top w:w="0" w:type="dxa"/>
              <w:left w:w="108" w:type="dxa"/>
              <w:bottom w:w="0" w:type="dxa"/>
              <w:right w:w="108" w:type="dxa"/>
            </w:tcMar>
            <w:vAlign w:val="bottom"/>
            <w:hideMark/>
          </w:tcPr>
          <w:p w14:paraId="1753D9E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Cambio 2018-2019</w:t>
            </w:r>
          </w:p>
        </w:tc>
      </w:tr>
      <w:tr w:rsidR="00E9142A" w:rsidRPr="00E9142A" w14:paraId="0CD937D2" w14:textId="77777777" w:rsidTr="00E74BA0">
        <w:trPr>
          <w:trHeight w:hRule="exact" w:val="403"/>
          <w:jc w:val="center"/>
        </w:trPr>
        <w:tc>
          <w:tcPr>
            <w:tcW w:w="2420" w:type="dxa"/>
            <w:noWrap/>
            <w:tcMar>
              <w:top w:w="58" w:type="dxa"/>
              <w:left w:w="115" w:type="dxa"/>
              <w:bottom w:w="0" w:type="dxa"/>
              <w:right w:w="115" w:type="dxa"/>
            </w:tcMar>
            <w:vAlign w:val="bottom"/>
            <w:hideMark/>
          </w:tcPr>
          <w:p w14:paraId="088BF4A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Likes</w:t>
            </w:r>
          </w:p>
        </w:tc>
        <w:tc>
          <w:tcPr>
            <w:tcW w:w="2160" w:type="dxa"/>
            <w:noWrap/>
            <w:tcMar>
              <w:top w:w="58" w:type="dxa"/>
              <w:left w:w="115" w:type="dxa"/>
              <w:bottom w:w="0" w:type="dxa"/>
              <w:right w:w="115" w:type="dxa"/>
            </w:tcMar>
            <w:vAlign w:val="bottom"/>
            <w:hideMark/>
          </w:tcPr>
          <w:p w14:paraId="7C35F11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86815</w:t>
            </w:r>
          </w:p>
        </w:tc>
        <w:tc>
          <w:tcPr>
            <w:tcW w:w="2430" w:type="dxa"/>
            <w:noWrap/>
            <w:tcMar>
              <w:top w:w="58" w:type="dxa"/>
              <w:left w:w="115" w:type="dxa"/>
              <w:bottom w:w="0" w:type="dxa"/>
              <w:right w:w="115" w:type="dxa"/>
            </w:tcMar>
            <w:vAlign w:val="bottom"/>
            <w:hideMark/>
          </w:tcPr>
          <w:p w14:paraId="3C6E658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80436</w:t>
            </w:r>
          </w:p>
        </w:tc>
        <w:tc>
          <w:tcPr>
            <w:tcW w:w="1990" w:type="dxa"/>
            <w:noWrap/>
            <w:tcMar>
              <w:top w:w="58" w:type="dxa"/>
              <w:left w:w="115" w:type="dxa"/>
              <w:bottom w:w="0" w:type="dxa"/>
              <w:right w:w="115" w:type="dxa"/>
            </w:tcMar>
            <w:vAlign w:val="bottom"/>
            <w:hideMark/>
          </w:tcPr>
          <w:p w14:paraId="7238EC96"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-7%</w:t>
            </w:r>
          </w:p>
        </w:tc>
      </w:tr>
      <w:tr w:rsidR="00E9142A" w:rsidRPr="00E9142A" w14:paraId="70D9EA20" w14:textId="77777777" w:rsidTr="00E74BA0">
        <w:trPr>
          <w:trHeight w:hRule="exact" w:val="403"/>
          <w:jc w:val="center"/>
        </w:trPr>
        <w:tc>
          <w:tcPr>
            <w:tcW w:w="2420" w:type="dxa"/>
            <w:noWrap/>
            <w:tcMar>
              <w:top w:w="58" w:type="dxa"/>
              <w:left w:w="115" w:type="dxa"/>
              <w:bottom w:w="0" w:type="dxa"/>
              <w:right w:w="115" w:type="dxa"/>
            </w:tcMar>
            <w:vAlign w:val="bottom"/>
            <w:hideMark/>
          </w:tcPr>
          <w:p w14:paraId="043F3A8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Reach</w:t>
            </w:r>
          </w:p>
        </w:tc>
        <w:tc>
          <w:tcPr>
            <w:tcW w:w="2160" w:type="dxa"/>
            <w:noWrap/>
            <w:tcMar>
              <w:top w:w="58" w:type="dxa"/>
              <w:left w:w="115" w:type="dxa"/>
              <w:bottom w:w="0" w:type="dxa"/>
              <w:right w:w="115" w:type="dxa"/>
            </w:tcMar>
            <w:vAlign w:val="bottom"/>
            <w:hideMark/>
          </w:tcPr>
          <w:p w14:paraId="08B5DCB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19221000</w:t>
            </w:r>
          </w:p>
        </w:tc>
        <w:tc>
          <w:tcPr>
            <w:tcW w:w="2430" w:type="dxa"/>
            <w:noWrap/>
            <w:tcMar>
              <w:top w:w="58" w:type="dxa"/>
              <w:left w:w="115" w:type="dxa"/>
              <w:bottom w:w="0" w:type="dxa"/>
              <w:right w:w="115" w:type="dxa"/>
            </w:tcMar>
            <w:vAlign w:val="bottom"/>
            <w:hideMark/>
          </w:tcPr>
          <w:p w14:paraId="43E1E3E6"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21423862</w:t>
            </w:r>
          </w:p>
        </w:tc>
        <w:tc>
          <w:tcPr>
            <w:tcW w:w="1990" w:type="dxa"/>
            <w:noWrap/>
            <w:tcMar>
              <w:top w:w="58" w:type="dxa"/>
              <w:left w:w="115" w:type="dxa"/>
              <w:bottom w:w="0" w:type="dxa"/>
              <w:right w:w="115" w:type="dxa"/>
            </w:tcMar>
            <w:vAlign w:val="bottom"/>
            <w:hideMark/>
          </w:tcPr>
          <w:p w14:paraId="4BF0D2F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11%</w:t>
            </w:r>
          </w:p>
        </w:tc>
      </w:tr>
    </w:tbl>
    <w:p w14:paraId="72F7C7C1" w14:textId="77777777" w:rsidR="00E9142A" w:rsidRPr="00E9142A" w:rsidRDefault="00E9142A" w:rsidP="00E9142A">
      <w:pPr>
        <w:rPr>
          <w:rFonts w:asciiTheme="minorHAnsi" w:hAnsiTheme="minorHAnsi" w:cstheme="minorHAnsi"/>
          <w:sz w:val="22"/>
          <w:szCs w:val="22"/>
          <w:lang w:val="uz-Cyrl-UZ"/>
        </w:rPr>
      </w:pP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2A3805CA" w14:textId="77777777" w:rsidTr="00E74BA0">
        <w:trPr>
          <w:trHeight w:val="600"/>
          <w:jc w:val="center"/>
        </w:trPr>
        <w:tc>
          <w:tcPr>
            <w:tcW w:w="2420" w:type="dxa"/>
            <w:shd w:val="clear" w:color="auto" w:fill="3B5998"/>
            <w:tcMar>
              <w:top w:w="0" w:type="dxa"/>
              <w:left w:w="108" w:type="dxa"/>
              <w:bottom w:w="0" w:type="dxa"/>
              <w:right w:w="108" w:type="dxa"/>
            </w:tcMar>
            <w:vAlign w:val="bottom"/>
            <w:hideMark/>
          </w:tcPr>
          <w:p w14:paraId="26B73A5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Facebook @OASofficial</w:t>
            </w:r>
          </w:p>
        </w:tc>
        <w:tc>
          <w:tcPr>
            <w:tcW w:w="2160" w:type="dxa"/>
            <w:shd w:val="clear" w:color="auto" w:fill="3B5998"/>
            <w:tcMar>
              <w:top w:w="0" w:type="dxa"/>
              <w:left w:w="108" w:type="dxa"/>
              <w:bottom w:w="0" w:type="dxa"/>
              <w:right w:w="108" w:type="dxa"/>
            </w:tcMar>
            <w:vAlign w:val="bottom"/>
            <w:hideMark/>
          </w:tcPr>
          <w:p w14:paraId="5E44EAF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2018</w:t>
            </w:r>
          </w:p>
        </w:tc>
        <w:tc>
          <w:tcPr>
            <w:tcW w:w="2430" w:type="dxa"/>
            <w:shd w:val="clear" w:color="auto" w:fill="3B5998"/>
            <w:tcMar>
              <w:top w:w="0" w:type="dxa"/>
              <w:left w:w="108" w:type="dxa"/>
              <w:bottom w:w="0" w:type="dxa"/>
              <w:right w:w="108" w:type="dxa"/>
            </w:tcMar>
            <w:vAlign w:val="bottom"/>
            <w:hideMark/>
          </w:tcPr>
          <w:p w14:paraId="14F833F9"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2019</w:t>
            </w:r>
          </w:p>
        </w:tc>
        <w:tc>
          <w:tcPr>
            <w:tcW w:w="1990" w:type="dxa"/>
            <w:shd w:val="clear" w:color="auto" w:fill="3B5998"/>
            <w:tcMar>
              <w:top w:w="0" w:type="dxa"/>
              <w:left w:w="108" w:type="dxa"/>
              <w:bottom w:w="0" w:type="dxa"/>
              <w:right w:w="108" w:type="dxa"/>
            </w:tcMar>
            <w:vAlign w:val="bottom"/>
            <w:hideMark/>
          </w:tcPr>
          <w:p w14:paraId="10EE8A3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Cambio 2018-2019</w:t>
            </w:r>
          </w:p>
        </w:tc>
      </w:tr>
      <w:tr w:rsidR="00E9142A" w:rsidRPr="00E9142A" w14:paraId="775C480A" w14:textId="77777777" w:rsidTr="00E74BA0">
        <w:trPr>
          <w:trHeight w:hRule="exact" w:val="403"/>
          <w:jc w:val="center"/>
        </w:trPr>
        <w:tc>
          <w:tcPr>
            <w:tcW w:w="2420" w:type="dxa"/>
            <w:noWrap/>
            <w:tcMar>
              <w:top w:w="58" w:type="dxa"/>
              <w:left w:w="115" w:type="dxa"/>
              <w:bottom w:w="0" w:type="dxa"/>
              <w:right w:w="115" w:type="dxa"/>
            </w:tcMar>
            <w:vAlign w:val="bottom"/>
            <w:hideMark/>
          </w:tcPr>
          <w:p w14:paraId="4242F29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Likes</w:t>
            </w:r>
          </w:p>
        </w:tc>
        <w:tc>
          <w:tcPr>
            <w:tcW w:w="2160" w:type="dxa"/>
            <w:noWrap/>
            <w:tcMar>
              <w:top w:w="58" w:type="dxa"/>
              <w:left w:w="115" w:type="dxa"/>
              <w:bottom w:w="0" w:type="dxa"/>
              <w:right w:w="115" w:type="dxa"/>
            </w:tcMar>
            <w:vAlign w:val="bottom"/>
            <w:hideMark/>
          </w:tcPr>
          <w:p w14:paraId="1D62883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6399</w:t>
            </w:r>
          </w:p>
        </w:tc>
        <w:tc>
          <w:tcPr>
            <w:tcW w:w="2430" w:type="dxa"/>
            <w:noWrap/>
            <w:tcMar>
              <w:top w:w="58" w:type="dxa"/>
              <w:left w:w="115" w:type="dxa"/>
              <w:bottom w:w="0" w:type="dxa"/>
              <w:right w:w="115" w:type="dxa"/>
            </w:tcMar>
            <w:vAlign w:val="bottom"/>
            <w:hideMark/>
          </w:tcPr>
          <w:p w14:paraId="68117B2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9387</w:t>
            </w:r>
          </w:p>
        </w:tc>
        <w:tc>
          <w:tcPr>
            <w:tcW w:w="1990" w:type="dxa"/>
            <w:noWrap/>
            <w:tcMar>
              <w:top w:w="58" w:type="dxa"/>
              <w:left w:w="115" w:type="dxa"/>
              <w:bottom w:w="0" w:type="dxa"/>
              <w:right w:w="115" w:type="dxa"/>
            </w:tcMar>
            <w:vAlign w:val="bottom"/>
            <w:hideMark/>
          </w:tcPr>
          <w:p w14:paraId="01AD7B35"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47%</w:t>
            </w:r>
          </w:p>
        </w:tc>
      </w:tr>
      <w:tr w:rsidR="00E9142A" w:rsidRPr="00E9142A" w14:paraId="68EC862C" w14:textId="77777777" w:rsidTr="00E74BA0">
        <w:trPr>
          <w:trHeight w:hRule="exact" w:val="403"/>
          <w:jc w:val="center"/>
        </w:trPr>
        <w:tc>
          <w:tcPr>
            <w:tcW w:w="2420" w:type="dxa"/>
            <w:noWrap/>
            <w:tcMar>
              <w:top w:w="58" w:type="dxa"/>
              <w:left w:w="115" w:type="dxa"/>
              <w:bottom w:w="0" w:type="dxa"/>
              <w:right w:w="115" w:type="dxa"/>
            </w:tcMar>
            <w:vAlign w:val="bottom"/>
            <w:hideMark/>
          </w:tcPr>
          <w:p w14:paraId="2A4492C9"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Reach</w:t>
            </w:r>
          </w:p>
        </w:tc>
        <w:tc>
          <w:tcPr>
            <w:tcW w:w="2160" w:type="dxa"/>
            <w:noWrap/>
            <w:tcMar>
              <w:top w:w="58" w:type="dxa"/>
              <w:left w:w="115" w:type="dxa"/>
              <w:bottom w:w="0" w:type="dxa"/>
              <w:right w:w="115" w:type="dxa"/>
            </w:tcMar>
            <w:vAlign w:val="bottom"/>
            <w:hideMark/>
          </w:tcPr>
          <w:p w14:paraId="23BFE9D6"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619420</w:t>
            </w:r>
          </w:p>
        </w:tc>
        <w:tc>
          <w:tcPr>
            <w:tcW w:w="2430" w:type="dxa"/>
            <w:noWrap/>
            <w:tcMar>
              <w:top w:w="58" w:type="dxa"/>
              <w:left w:w="115" w:type="dxa"/>
              <w:bottom w:w="0" w:type="dxa"/>
              <w:right w:w="115" w:type="dxa"/>
            </w:tcMar>
            <w:vAlign w:val="bottom"/>
            <w:hideMark/>
          </w:tcPr>
          <w:p w14:paraId="147A6EC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565264</w:t>
            </w:r>
          </w:p>
        </w:tc>
        <w:tc>
          <w:tcPr>
            <w:tcW w:w="1990" w:type="dxa"/>
            <w:noWrap/>
            <w:tcMar>
              <w:top w:w="58" w:type="dxa"/>
              <w:left w:w="115" w:type="dxa"/>
              <w:bottom w:w="0" w:type="dxa"/>
              <w:right w:w="115" w:type="dxa"/>
            </w:tcMar>
            <w:vAlign w:val="bottom"/>
            <w:hideMark/>
          </w:tcPr>
          <w:p w14:paraId="37F9102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-9%</w:t>
            </w:r>
          </w:p>
        </w:tc>
      </w:tr>
    </w:tbl>
    <w:p w14:paraId="54E42B10" w14:textId="77777777" w:rsidR="00E9142A" w:rsidRPr="00E9142A" w:rsidRDefault="00E9142A" w:rsidP="00E9142A">
      <w:pPr>
        <w:rPr>
          <w:rFonts w:asciiTheme="minorHAnsi" w:hAnsiTheme="minorHAnsi" w:cstheme="minorHAnsi"/>
          <w:sz w:val="22"/>
          <w:szCs w:val="22"/>
          <w:lang w:val="uz-Cyrl-UZ"/>
        </w:rPr>
      </w:pP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1C419350" w14:textId="77777777" w:rsidTr="00E74BA0">
        <w:trPr>
          <w:trHeight w:val="600"/>
          <w:jc w:val="center"/>
        </w:trPr>
        <w:tc>
          <w:tcPr>
            <w:tcW w:w="24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FFFFFF" w:themeColor="background1"/>
            </w:tcBorders>
            <w:shd w:val="clear" w:color="auto" w:fill="595959" w:themeFill="text1" w:themeFillTint="A6"/>
            <w:noWrap/>
            <w:tcMar>
              <w:top w:w="0" w:type="dxa"/>
              <w:left w:w="108" w:type="dxa"/>
              <w:bottom w:w="0" w:type="dxa"/>
              <w:right w:w="108" w:type="dxa"/>
            </w:tcMar>
            <w:vAlign w:val="bottom"/>
            <w:hideMark/>
          </w:tcPr>
          <w:p w14:paraId="5054DFE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Mailchimp</w:t>
            </w:r>
          </w:p>
        </w:tc>
        <w:tc>
          <w:tcPr>
            <w:tcW w:w="2160"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595959" w:themeFill="text1" w:themeFillTint="A6"/>
            <w:noWrap/>
            <w:tcMar>
              <w:top w:w="0" w:type="dxa"/>
              <w:left w:w="108" w:type="dxa"/>
              <w:bottom w:w="0" w:type="dxa"/>
              <w:right w:w="108" w:type="dxa"/>
            </w:tcMar>
            <w:vAlign w:val="bottom"/>
            <w:hideMark/>
          </w:tcPr>
          <w:p w14:paraId="631F5C24"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2018</w:t>
            </w:r>
          </w:p>
        </w:tc>
        <w:tc>
          <w:tcPr>
            <w:tcW w:w="2430"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595959" w:themeFill="text1" w:themeFillTint="A6"/>
            <w:noWrap/>
            <w:tcMar>
              <w:top w:w="0" w:type="dxa"/>
              <w:left w:w="108" w:type="dxa"/>
              <w:bottom w:w="0" w:type="dxa"/>
              <w:right w:w="108" w:type="dxa"/>
            </w:tcMar>
            <w:vAlign w:val="bottom"/>
            <w:hideMark/>
          </w:tcPr>
          <w:p w14:paraId="451EB123"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2019</w:t>
            </w:r>
          </w:p>
        </w:tc>
        <w:tc>
          <w:tcPr>
            <w:tcW w:w="1990"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BFBFBF" w:themeColor="background1" w:themeShade="BF"/>
            </w:tcBorders>
            <w:shd w:val="clear" w:color="auto" w:fill="595959" w:themeFill="text1" w:themeFillTint="A6"/>
            <w:tcMar>
              <w:top w:w="0" w:type="dxa"/>
              <w:left w:w="108" w:type="dxa"/>
              <w:bottom w:w="0" w:type="dxa"/>
              <w:right w:w="108" w:type="dxa"/>
            </w:tcMar>
            <w:vAlign w:val="bottom"/>
            <w:hideMark/>
          </w:tcPr>
          <w:p w14:paraId="457E604F"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Cambio 2018-2019</w:t>
            </w:r>
          </w:p>
        </w:tc>
      </w:tr>
      <w:tr w:rsidR="00E9142A" w:rsidRPr="00E9142A" w14:paraId="6AC7C84C" w14:textId="77777777" w:rsidTr="00E74BA0">
        <w:trPr>
          <w:trHeight w:hRule="exact" w:val="403"/>
          <w:jc w:val="center"/>
        </w:trPr>
        <w:tc>
          <w:tcPr>
            <w:tcW w:w="2420" w:type="dxa"/>
            <w:tcBorders>
              <w:top w:val="single" w:sz="8" w:space="0" w:color="BFBFBF" w:themeColor="background1" w:themeShade="BF"/>
            </w:tcBorders>
            <w:noWrap/>
            <w:tcMar>
              <w:top w:w="58" w:type="dxa"/>
              <w:left w:w="115" w:type="dxa"/>
              <w:bottom w:w="0" w:type="dxa"/>
              <w:right w:w="115" w:type="dxa"/>
            </w:tcMar>
            <w:vAlign w:val="bottom"/>
            <w:hideMark/>
          </w:tcPr>
          <w:p w14:paraId="1ABD2B06"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Open Rate</w:t>
            </w:r>
          </w:p>
        </w:tc>
        <w:tc>
          <w:tcPr>
            <w:tcW w:w="2160" w:type="dxa"/>
            <w:tcBorders>
              <w:top w:val="single" w:sz="8" w:space="0" w:color="BFBFBF" w:themeColor="background1" w:themeShade="BF"/>
            </w:tcBorders>
            <w:noWrap/>
            <w:tcMar>
              <w:top w:w="58" w:type="dxa"/>
              <w:left w:w="115" w:type="dxa"/>
              <w:bottom w:w="0" w:type="dxa"/>
              <w:right w:w="115" w:type="dxa"/>
            </w:tcMar>
            <w:vAlign w:val="bottom"/>
            <w:hideMark/>
          </w:tcPr>
          <w:p w14:paraId="6628392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12.7</w:t>
            </w:r>
          </w:p>
        </w:tc>
        <w:tc>
          <w:tcPr>
            <w:tcW w:w="2430" w:type="dxa"/>
            <w:tcBorders>
              <w:top w:val="single" w:sz="8" w:space="0" w:color="BFBFBF" w:themeColor="background1" w:themeShade="BF"/>
            </w:tcBorders>
            <w:noWrap/>
            <w:tcMar>
              <w:top w:w="58" w:type="dxa"/>
              <w:left w:w="115" w:type="dxa"/>
              <w:bottom w:w="0" w:type="dxa"/>
              <w:right w:w="115" w:type="dxa"/>
            </w:tcMar>
            <w:vAlign w:val="bottom"/>
            <w:hideMark/>
          </w:tcPr>
          <w:p w14:paraId="302675CD"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11.94</w:t>
            </w:r>
          </w:p>
        </w:tc>
        <w:tc>
          <w:tcPr>
            <w:tcW w:w="1990" w:type="dxa"/>
            <w:tcBorders>
              <w:top w:val="single" w:sz="8" w:space="0" w:color="BFBFBF" w:themeColor="background1" w:themeShade="BF"/>
            </w:tcBorders>
            <w:noWrap/>
            <w:tcMar>
              <w:top w:w="58" w:type="dxa"/>
              <w:left w:w="115" w:type="dxa"/>
              <w:bottom w:w="0" w:type="dxa"/>
              <w:right w:w="115" w:type="dxa"/>
            </w:tcMar>
            <w:vAlign w:val="bottom"/>
            <w:hideMark/>
          </w:tcPr>
          <w:p w14:paraId="4E81F604"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-6%</w:t>
            </w:r>
          </w:p>
        </w:tc>
      </w:tr>
      <w:tr w:rsidR="00E9142A" w:rsidRPr="00E9142A" w14:paraId="58AF0F12" w14:textId="77777777" w:rsidTr="00E74BA0">
        <w:trPr>
          <w:trHeight w:hRule="exact" w:val="403"/>
          <w:jc w:val="center"/>
        </w:trPr>
        <w:tc>
          <w:tcPr>
            <w:tcW w:w="2420" w:type="dxa"/>
            <w:noWrap/>
            <w:tcMar>
              <w:top w:w="58" w:type="dxa"/>
              <w:left w:w="115" w:type="dxa"/>
              <w:bottom w:w="0" w:type="dxa"/>
              <w:right w:w="115" w:type="dxa"/>
            </w:tcMar>
            <w:vAlign w:val="bottom"/>
            <w:hideMark/>
          </w:tcPr>
          <w:p w14:paraId="0D5C0B71"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Click Rate</w:t>
            </w:r>
          </w:p>
        </w:tc>
        <w:tc>
          <w:tcPr>
            <w:tcW w:w="2160" w:type="dxa"/>
            <w:noWrap/>
            <w:tcMar>
              <w:top w:w="58" w:type="dxa"/>
              <w:left w:w="115" w:type="dxa"/>
              <w:bottom w:w="0" w:type="dxa"/>
              <w:right w:w="115" w:type="dxa"/>
            </w:tcMar>
            <w:vAlign w:val="bottom"/>
            <w:hideMark/>
          </w:tcPr>
          <w:p w14:paraId="1F2F9D08"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0.49</w:t>
            </w:r>
          </w:p>
        </w:tc>
        <w:tc>
          <w:tcPr>
            <w:tcW w:w="2430" w:type="dxa"/>
            <w:noWrap/>
            <w:tcMar>
              <w:top w:w="58" w:type="dxa"/>
              <w:left w:w="115" w:type="dxa"/>
              <w:bottom w:w="0" w:type="dxa"/>
              <w:right w:w="115" w:type="dxa"/>
            </w:tcMar>
            <w:vAlign w:val="bottom"/>
            <w:hideMark/>
          </w:tcPr>
          <w:p w14:paraId="00A8117B"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0.46</w:t>
            </w:r>
          </w:p>
        </w:tc>
        <w:tc>
          <w:tcPr>
            <w:tcW w:w="1990" w:type="dxa"/>
            <w:noWrap/>
            <w:tcMar>
              <w:top w:w="58" w:type="dxa"/>
              <w:left w:w="115" w:type="dxa"/>
              <w:bottom w:w="0" w:type="dxa"/>
              <w:right w:w="115" w:type="dxa"/>
            </w:tcMar>
            <w:vAlign w:val="bottom"/>
            <w:hideMark/>
          </w:tcPr>
          <w:p w14:paraId="4AB3396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b/>
                <w:bCs/>
                <w:sz w:val="22"/>
                <w:szCs w:val="22"/>
              </w:rPr>
              <w:t>-6%</w:t>
            </w:r>
          </w:p>
        </w:tc>
      </w:tr>
    </w:tbl>
    <w:p w14:paraId="4EE2103D" w14:textId="77777777" w:rsidR="00E9142A" w:rsidRPr="00E9142A" w:rsidRDefault="00E9142A" w:rsidP="00E9142A">
      <w:pPr>
        <w:rPr>
          <w:rFonts w:asciiTheme="minorHAnsi" w:hAnsiTheme="minorHAnsi" w:cstheme="minorHAnsi"/>
          <w:sz w:val="22"/>
          <w:szCs w:val="22"/>
          <w:lang w:val="pt-BR"/>
        </w:rPr>
      </w:pPr>
      <w:r w:rsidRPr="00E9142A">
        <w:rPr>
          <w:rFonts w:asciiTheme="minorHAnsi" w:hAnsiTheme="minorHAnsi" w:cstheme="minorHAnsi"/>
          <w:sz w:val="22"/>
          <w:szCs w:val="22"/>
          <w:lang w:val="uz-Cyrl-UZ"/>
        </w:rPr>
        <w:t> </w:t>
      </w:r>
    </w:p>
    <w:p w14:paraId="5195C0D0" w14:textId="77777777" w:rsidR="00E9142A" w:rsidRPr="00E9142A" w:rsidRDefault="00E9142A" w:rsidP="00E9142A">
      <w:pPr>
        <w:rPr>
          <w:rFonts w:asciiTheme="minorHAnsi" w:hAnsiTheme="minorHAnsi" w:cstheme="minorHAnsi"/>
          <w:sz w:val="22"/>
          <w:szCs w:val="22"/>
          <w:lang w:val="pt-BR"/>
        </w:rPr>
      </w:pPr>
      <w:r w:rsidRPr="00E9142A">
        <w:rPr>
          <w:rFonts w:asciiTheme="minorHAnsi" w:hAnsiTheme="minorHAnsi" w:cstheme="minorHAnsi"/>
          <w:sz w:val="22"/>
          <w:szCs w:val="22"/>
          <w:lang w:val="pt-BR"/>
        </w:rPr>
        <w:t xml:space="preserve">Links: </w:t>
      </w:r>
    </w:p>
    <w:p w14:paraId="7912BE6E" w14:textId="77777777" w:rsidR="00E9142A" w:rsidRPr="00E9142A" w:rsidRDefault="00E9142A" w:rsidP="00E9142A">
      <w:pPr>
        <w:rPr>
          <w:rFonts w:asciiTheme="minorHAnsi" w:hAnsiTheme="minorHAnsi" w:cstheme="minorHAnsi"/>
          <w:sz w:val="22"/>
          <w:szCs w:val="22"/>
          <w:lang w:val="pt-BR"/>
        </w:rPr>
      </w:pPr>
      <w:r w:rsidRPr="00E9142A">
        <w:rPr>
          <w:rFonts w:asciiTheme="minorHAnsi" w:hAnsiTheme="minorHAnsi" w:cstheme="minorHAnsi"/>
          <w:sz w:val="22"/>
          <w:szCs w:val="22"/>
          <w:lang w:val="pt-BR"/>
        </w:rPr>
        <w:t xml:space="preserve">Página web: </w:t>
      </w:r>
      <w:hyperlink r:id="rId176" w:history="1">
        <w:r w:rsidRPr="00E9142A">
          <w:rPr>
            <w:rStyle w:val="Hyperlink"/>
            <w:rFonts w:asciiTheme="minorHAnsi" w:hAnsiTheme="minorHAnsi" w:cstheme="minorHAnsi"/>
            <w:sz w:val="22"/>
            <w:szCs w:val="22"/>
            <w:lang w:val="pt-BR"/>
          </w:rPr>
          <w:t>http://www.oas.org/es/default.asp</w:t>
        </w:r>
      </w:hyperlink>
    </w:p>
    <w:p w14:paraId="5F207E1E"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 xml:space="preserve">Twitter: </w:t>
      </w:r>
      <w:hyperlink r:id="rId177" w:history="1">
        <w:r w:rsidRPr="00E9142A">
          <w:rPr>
            <w:rStyle w:val="Hyperlink"/>
            <w:rFonts w:asciiTheme="minorHAnsi" w:hAnsiTheme="minorHAnsi" w:cstheme="minorHAnsi"/>
            <w:sz w:val="22"/>
            <w:szCs w:val="22"/>
          </w:rPr>
          <w:t>https://twitter.com/oea_oficial</w:t>
        </w:r>
      </w:hyperlink>
      <w:r w:rsidRPr="00E9142A">
        <w:rPr>
          <w:rFonts w:asciiTheme="minorHAnsi" w:hAnsiTheme="minorHAnsi" w:cstheme="minorHAnsi"/>
          <w:sz w:val="22"/>
          <w:szCs w:val="22"/>
        </w:rPr>
        <w:t xml:space="preserve"> </w:t>
      </w:r>
    </w:p>
    <w:p w14:paraId="7C931DFC"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 xml:space="preserve">Facebook: </w:t>
      </w:r>
      <w:hyperlink r:id="rId178" w:history="1">
        <w:r w:rsidRPr="00E9142A">
          <w:rPr>
            <w:rStyle w:val="Hyperlink"/>
            <w:rFonts w:asciiTheme="minorHAnsi" w:hAnsiTheme="minorHAnsi" w:cstheme="minorHAnsi"/>
            <w:sz w:val="22"/>
            <w:szCs w:val="22"/>
          </w:rPr>
          <w:t>https://www.facebook.com/OEAoficial/</w:t>
        </w:r>
      </w:hyperlink>
      <w:r w:rsidRPr="00E9142A">
        <w:rPr>
          <w:rFonts w:asciiTheme="minorHAnsi" w:hAnsiTheme="minorHAnsi" w:cstheme="minorHAnsi"/>
          <w:sz w:val="22"/>
          <w:szCs w:val="22"/>
        </w:rPr>
        <w:t xml:space="preserve"> </w:t>
      </w:r>
    </w:p>
    <w:p w14:paraId="32F24BA0" w14:textId="77777777" w:rsidR="00E9142A" w:rsidRPr="00E9142A" w:rsidRDefault="00E9142A" w:rsidP="00E9142A">
      <w:pPr>
        <w:rPr>
          <w:rFonts w:asciiTheme="minorHAnsi" w:hAnsiTheme="minorHAnsi" w:cstheme="minorHAnsi"/>
          <w:sz w:val="22"/>
          <w:szCs w:val="22"/>
        </w:rPr>
      </w:pPr>
      <w:r w:rsidRPr="00E9142A">
        <w:rPr>
          <w:rFonts w:asciiTheme="minorHAnsi" w:hAnsiTheme="minorHAnsi" w:cstheme="minorHAnsi"/>
          <w:sz w:val="22"/>
          <w:szCs w:val="22"/>
        </w:rPr>
        <w:t xml:space="preserve">Flickr: </w:t>
      </w:r>
      <w:hyperlink r:id="rId179" w:history="1">
        <w:r w:rsidRPr="00E9142A">
          <w:rPr>
            <w:rStyle w:val="Hyperlink"/>
            <w:rFonts w:asciiTheme="minorHAnsi" w:hAnsiTheme="minorHAnsi" w:cstheme="minorHAnsi"/>
            <w:sz w:val="22"/>
            <w:szCs w:val="22"/>
          </w:rPr>
          <w:t>https://www.flickr.com/photos/oasoea/</w:t>
        </w:r>
      </w:hyperlink>
    </w:p>
    <w:p w14:paraId="144C155D" w14:textId="77777777" w:rsidR="00E9142A" w:rsidRPr="00E9142A" w:rsidRDefault="00E9142A" w:rsidP="00E9142A">
      <w:pPr>
        <w:rPr>
          <w:rFonts w:asciiTheme="minorHAnsi" w:hAnsiTheme="minorHAnsi" w:cstheme="minorHAnsi"/>
          <w:sz w:val="22"/>
          <w:szCs w:val="22"/>
          <w:lang w:val="pt-BR"/>
        </w:rPr>
      </w:pPr>
      <w:r w:rsidRPr="00E9142A">
        <w:rPr>
          <w:rFonts w:asciiTheme="minorHAnsi" w:hAnsiTheme="minorHAnsi" w:cstheme="minorHAnsi"/>
          <w:sz w:val="22"/>
          <w:szCs w:val="22"/>
          <w:lang w:val="pt-BR"/>
        </w:rPr>
        <w:t xml:space="preserve">Vimeo: </w:t>
      </w:r>
      <w:hyperlink r:id="rId180" w:history="1">
        <w:r w:rsidRPr="00E9142A">
          <w:rPr>
            <w:rStyle w:val="Hyperlink"/>
            <w:rFonts w:asciiTheme="minorHAnsi" w:hAnsiTheme="minorHAnsi" w:cstheme="minorHAnsi"/>
            <w:sz w:val="22"/>
            <w:szCs w:val="22"/>
            <w:lang w:val="pt-BR"/>
          </w:rPr>
          <w:t>https://vimeo.com/channels/oasvideonews</w:t>
        </w:r>
      </w:hyperlink>
    </w:p>
    <w:p w14:paraId="45DC5B44" w14:textId="77777777" w:rsidR="00E9142A" w:rsidRPr="00E9142A" w:rsidRDefault="00E9142A" w:rsidP="00E9142A">
      <w:pPr>
        <w:rPr>
          <w:rFonts w:asciiTheme="minorHAnsi" w:hAnsiTheme="minorHAnsi" w:cstheme="minorHAnsi"/>
          <w:sz w:val="22"/>
          <w:szCs w:val="22"/>
          <w:lang w:val="pt-BR"/>
        </w:rPr>
      </w:pPr>
      <w:r w:rsidRPr="00E9142A">
        <w:rPr>
          <w:rFonts w:asciiTheme="minorHAnsi" w:hAnsiTheme="minorHAnsi" w:cstheme="minorHAnsi"/>
          <w:sz w:val="22"/>
          <w:szCs w:val="22"/>
          <w:lang w:val="pt-BR"/>
        </w:rPr>
        <w:t xml:space="preserve">YouTube: </w:t>
      </w:r>
      <w:hyperlink r:id="rId181" w:history="1">
        <w:r w:rsidRPr="00E9142A">
          <w:rPr>
            <w:rStyle w:val="Hyperlink"/>
            <w:rFonts w:asciiTheme="minorHAnsi" w:hAnsiTheme="minorHAnsi" w:cstheme="minorHAnsi"/>
            <w:sz w:val="22"/>
            <w:szCs w:val="22"/>
            <w:lang w:val="pt-BR"/>
          </w:rPr>
          <w:t>https://www.youtube.com/user/OASVideos</w:t>
        </w:r>
      </w:hyperlink>
    </w:p>
    <w:p w14:paraId="31A6084F" w14:textId="77777777" w:rsidR="00E9142A" w:rsidRPr="00E9142A" w:rsidRDefault="00E9142A" w:rsidP="00E9142A">
      <w:pPr>
        <w:rPr>
          <w:rFonts w:asciiTheme="minorHAnsi" w:hAnsiTheme="minorHAnsi" w:cstheme="minorHAnsi"/>
          <w:sz w:val="22"/>
          <w:szCs w:val="22"/>
          <w:lang w:val="pt-BR"/>
        </w:rPr>
      </w:pPr>
      <w:r w:rsidRPr="00E9142A">
        <w:rPr>
          <w:rFonts w:asciiTheme="minorHAnsi" w:hAnsiTheme="minorHAnsi" w:cstheme="minorHAnsi"/>
          <w:sz w:val="22"/>
          <w:szCs w:val="22"/>
          <w:lang w:val="pt-BR"/>
        </w:rPr>
        <w:t xml:space="preserve">Comunicados de prensa: </w:t>
      </w:r>
      <w:hyperlink r:id="rId182" w:history="1">
        <w:r w:rsidRPr="00E9142A">
          <w:rPr>
            <w:rStyle w:val="Hyperlink"/>
            <w:rFonts w:asciiTheme="minorHAnsi" w:hAnsiTheme="minorHAnsi" w:cstheme="minorHAnsi"/>
            <w:sz w:val="22"/>
            <w:szCs w:val="22"/>
            <w:lang w:val="pt-BR"/>
          </w:rPr>
          <w:t>http://www.oas.org/es/centro_noticias/comunicados_prensa.asp</w:t>
        </w:r>
      </w:hyperlink>
    </w:p>
    <w:p w14:paraId="499998EA" w14:textId="77777777" w:rsidR="00E9142A" w:rsidRPr="00E9142A" w:rsidRDefault="00E9142A" w:rsidP="00E9142A">
      <w:pPr>
        <w:rPr>
          <w:rFonts w:asciiTheme="minorHAnsi" w:hAnsiTheme="minorHAnsi" w:cstheme="minorHAnsi"/>
          <w:sz w:val="22"/>
          <w:szCs w:val="22"/>
          <w:lang w:val="pt-BR"/>
        </w:rPr>
      </w:pPr>
      <w:r w:rsidRPr="00E9142A">
        <w:rPr>
          <w:rFonts w:asciiTheme="minorHAnsi" w:hAnsiTheme="minorHAnsi" w:cstheme="minorHAnsi"/>
          <w:sz w:val="22"/>
          <w:szCs w:val="22"/>
          <w:lang w:val="pt-BR"/>
        </w:rPr>
        <w:t xml:space="preserve">Discursos: </w:t>
      </w:r>
      <w:hyperlink r:id="rId183" w:history="1">
        <w:r w:rsidRPr="00E9142A">
          <w:rPr>
            <w:rStyle w:val="Hyperlink"/>
            <w:rFonts w:asciiTheme="minorHAnsi" w:hAnsiTheme="minorHAnsi" w:cstheme="minorHAnsi"/>
            <w:sz w:val="22"/>
            <w:szCs w:val="22"/>
            <w:lang w:val="pt-BR"/>
          </w:rPr>
          <w:t>http://www.oas.org/es/centro_noticias/discursos.asp</w:t>
        </w:r>
      </w:hyperlink>
    </w:p>
    <w:p w14:paraId="248C1729" w14:textId="77777777" w:rsidR="00E9142A" w:rsidRPr="00E9142A" w:rsidRDefault="00E9142A" w:rsidP="00E9142A">
      <w:pPr>
        <w:rPr>
          <w:rFonts w:asciiTheme="minorHAnsi" w:hAnsiTheme="minorHAnsi" w:cstheme="minorHAnsi"/>
          <w:sz w:val="22"/>
          <w:szCs w:val="22"/>
          <w:lang w:val="pt-BR"/>
        </w:rPr>
      </w:pPr>
    </w:p>
    <w:p w14:paraId="014D65CA" w14:textId="77777777" w:rsidR="002C1B1F" w:rsidRPr="00EB718B" w:rsidRDefault="002C1B1F" w:rsidP="0037172C">
      <w:pPr>
        <w:rPr>
          <w:rFonts w:asciiTheme="minorHAnsi" w:hAnsiTheme="minorHAnsi" w:cstheme="minorHAnsi"/>
          <w:sz w:val="22"/>
          <w:szCs w:val="22"/>
          <w:lang w:val="pt-BR"/>
        </w:rPr>
      </w:pPr>
    </w:p>
    <w:p w14:paraId="1146ADFC" w14:textId="5294C0A9" w:rsidR="008646CD" w:rsidRPr="00B62815" w:rsidRDefault="008646CD" w:rsidP="00CE4125">
      <w:pPr>
        <w:pStyle w:val="ListParagraph"/>
        <w:ind w:left="0"/>
        <w:contextualSpacing/>
        <w:rPr>
          <w:rFonts w:asciiTheme="minorHAnsi" w:hAnsiTheme="minorHAnsi" w:cstheme="minorHAnsi"/>
          <w:b/>
          <w:sz w:val="22"/>
          <w:szCs w:val="22"/>
          <w:lang w:val="pt-BR"/>
        </w:rPr>
      </w:pPr>
    </w:p>
    <w:p w14:paraId="5F8D477B" w14:textId="77777777" w:rsidR="00986536" w:rsidRPr="00B62815" w:rsidRDefault="00986536" w:rsidP="0037172C">
      <w:pPr>
        <w:shd w:val="clear" w:color="auto" w:fill="E36C0A"/>
        <w:spacing w:after="60"/>
        <w:outlineLvl w:val="0"/>
        <w:rPr>
          <w:rFonts w:asciiTheme="minorHAnsi" w:eastAsia="Calibri" w:hAnsiTheme="minorHAnsi" w:cstheme="minorHAnsi"/>
          <w:b/>
          <w:color w:val="FFFFFF"/>
          <w:sz w:val="22"/>
          <w:szCs w:val="22"/>
          <w:lang w:val="es-ES"/>
        </w:rPr>
      </w:pPr>
      <w:bookmarkStart w:id="89" w:name="_Toc482358046"/>
      <w:bookmarkStart w:id="90" w:name="_Toc511207694"/>
      <w:bookmarkStart w:id="91" w:name="_Toc511814145"/>
      <w:bookmarkStart w:id="92" w:name="_Toc513122727"/>
      <w:bookmarkStart w:id="93" w:name="_Toc39675860"/>
      <w:bookmarkStart w:id="94" w:name="_Toc40191083"/>
      <w:r w:rsidRPr="00B62815">
        <w:rPr>
          <w:rFonts w:asciiTheme="minorHAnsi" w:eastAsia="Calibri" w:hAnsiTheme="minorHAnsi" w:cstheme="minorHAnsi"/>
          <w:b/>
          <w:color w:val="FFFFFF"/>
          <w:sz w:val="22"/>
          <w:szCs w:val="22"/>
          <w:lang w:val="es-ES"/>
        </w:rPr>
        <w:t>3. ENTIDADES Y ORGANISMOS AUTONOMOS</w:t>
      </w:r>
      <w:bookmarkEnd w:id="89"/>
      <w:bookmarkEnd w:id="90"/>
      <w:bookmarkEnd w:id="91"/>
      <w:bookmarkEnd w:id="92"/>
      <w:bookmarkEnd w:id="93"/>
      <w:bookmarkEnd w:id="94"/>
    </w:p>
    <w:p w14:paraId="49FC2219" w14:textId="77777777" w:rsidR="008646CD" w:rsidRPr="00B62815" w:rsidRDefault="008646CD" w:rsidP="00D5464C">
      <w:pPr>
        <w:pStyle w:val="ListParagraph"/>
        <w:spacing w:after="200" w:line="276" w:lineRule="auto"/>
        <w:ind w:left="0"/>
        <w:contextualSpacing/>
        <w:rPr>
          <w:rFonts w:asciiTheme="minorHAnsi" w:hAnsiTheme="minorHAnsi" w:cstheme="minorHAnsi"/>
          <w:b/>
          <w:sz w:val="22"/>
          <w:szCs w:val="22"/>
          <w:lang w:val="es-ES"/>
        </w:rPr>
      </w:pPr>
    </w:p>
    <w:p w14:paraId="68B4E428" w14:textId="77777777" w:rsidR="00AD19FE" w:rsidRPr="00B62815" w:rsidRDefault="00D2474B" w:rsidP="0037172C">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95" w:name="_Toc39675861"/>
      <w:bookmarkStart w:id="96" w:name="_Toc40191084"/>
      <w:r w:rsidRPr="00B62815">
        <w:rPr>
          <w:rFonts w:asciiTheme="minorHAnsi" w:hAnsiTheme="minorHAnsi" w:cstheme="minorHAnsi"/>
          <w:b/>
          <w:color w:val="1F497D"/>
          <w:sz w:val="22"/>
          <w:szCs w:val="22"/>
          <w:lang w:val="es-ES"/>
        </w:rPr>
        <w:t>3.1</w:t>
      </w:r>
      <w:r w:rsidRPr="00B62815">
        <w:rPr>
          <w:rFonts w:asciiTheme="minorHAnsi" w:hAnsiTheme="minorHAnsi" w:cstheme="minorHAnsi"/>
          <w:b/>
          <w:color w:val="1F497D"/>
          <w:sz w:val="22"/>
          <w:szCs w:val="22"/>
          <w:lang w:val="es-ES"/>
        </w:rPr>
        <w:tab/>
        <w:t>SECRETARÍA DE LA CORTE INTERAMERICANA DE DERECHOS HUMANOS</w:t>
      </w:r>
      <w:bookmarkEnd w:id="95"/>
      <w:bookmarkEnd w:id="96"/>
    </w:p>
    <w:p w14:paraId="7EA1D2E1" w14:textId="77777777" w:rsidR="009645FD" w:rsidRPr="00B62815" w:rsidRDefault="009645FD" w:rsidP="00213B92">
      <w:pPr>
        <w:pStyle w:val="ListParagraph"/>
        <w:spacing w:line="276" w:lineRule="auto"/>
        <w:ind w:left="0"/>
        <w:contextualSpacing/>
        <w:rPr>
          <w:rFonts w:asciiTheme="minorHAnsi" w:hAnsiTheme="minorHAnsi" w:cstheme="minorHAnsi"/>
          <w:sz w:val="22"/>
          <w:szCs w:val="22"/>
          <w:lang w:val="es-ES"/>
        </w:rPr>
      </w:pPr>
    </w:p>
    <w:p w14:paraId="212407B6" w14:textId="77777777" w:rsidR="00213B92" w:rsidRPr="00B62815" w:rsidRDefault="00213B92" w:rsidP="00213B92">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La Corte Interamericana de Derechos Humanos es un órgano convencional formalmente establecido el 3 de septiembre de 1979 como consecuencia de haber entrado en vigor la Convención Americana sobre Derechos Humanos el 18 de julio de 1978. Su Estatuto dispone que sea una “institución judicial autónoma”, cuyo objetivo es aplicar e interpretar la Convención Americana. Tiene su sede en San José, Costa Rica, y está integrada por siete jueces nacionales de los Estados miembros de la Organización de Estados Americanos. </w:t>
      </w:r>
    </w:p>
    <w:p w14:paraId="7E48A243" w14:textId="77777777" w:rsidR="00213B92" w:rsidRPr="00B62815" w:rsidRDefault="00213B92" w:rsidP="00213B92">
      <w:pPr>
        <w:jc w:val="both"/>
        <w:rPr>
          <w:rFonts w:asciiTheme="minorHAnsi" w:hAnsiTheme="minorHAnsi" w:cstheme="minorHAnsi"/>
          <w:sz w:val="22"/>
          <w:szCs w:val="22"/>
          <w:lang w:val="es-ES"/>
        </w:rPr>
      </w:pPr>
    </w:p>
    <w:p w14:paraId="4385D9AD" w14:textId="77777777" w:rsidR="00213B92" w:rsidRPr="00B62815" w:rsidRDefault="00213B92" w:rsidP="00213B92">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Durante 2019 la composición de la Corte fue la siguiente: </w:t>
      </w:r>
      <w:r w:rsidRPr="00B62815">
        <w:rPr>
          <w:rFonts w:asciiTheme="minorHAnsi" w:hAnsiTheme="minorHAnsi" w:cstheme="minorHAnsi"/>
          <w:sz w:val="22"/>
          <w:szCs w:val="22"/>
          <w:lang w:val="es-CR"/>
        </w:rPr>
        <w:t>Eduardo Ferrer Mac-Gregor Poisot (México), Presidente; Eduardo Vio Grossi (Chile), Vicepresidente; Humberto Antonio Sierra Porto (Colombia); Elizabeth Odio Benito (Costa Rica); Eugenio Raúl Zaffaroni (Argentina); Patricio Pazmiño Freire (Ecuador), y; Ricardo Pérez Manrique (Uruguay)</w:t>
      </w:r>
      <w:r w:rsidRPr="00B62815">
        <w:rPr>
          <w:rFonts w:asciiTheme="minorHAnsi" w:hAnsiTheme="minorHAnsi" w:cstheme="minorHAnsi"/>
          <w:sz w:val="22"/>
          <w:szCs w:val="22"/>
          <w:lang w:val="es-ES"/>
        </w:rPr>
        <w:t xml:space="preserve">. Los jueces son asistidos en el ejercicio de sus funciones por la Secretaría del Tribunal. El Secretario de la Corte es Pablo Saavedra Alessandri (Chile). </w:t>
      </w:r>
    </w:p>
    <w:p w14:paraId="00FCAD13" w14:textId="77777777" w:rsidR="00213B92" w:rsidRPr="00B62815" w:rsidRDefault="00213B92" w:rsidP="00213B92">
      <w:pPr>
        <w:jc w:val="both"/>
        <w:rPr>
          <w:rFonts w:asciiTheme="minorHAnsi" w:hAnsiTheme="minorHAnsi" w:cstheme="minorHAnsi"/>
          <w:sz w:val="22"/>
          <w:szCs w:val="22"/>
          <w:lang w:val="es-ES"/>
        </w:rPr>
      </w:pPr>
    </w:p>
    <w:p w14:paraId="7888629A" w14:textId="77777777" w:rsidR="00213B92" w:rsidRPr="00B62815" w:rsidRDefault="00213B92" w:rsidP="00213B92">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El 22 de noviembre de 2019 se eligió como Presidenta a la Jueza Elizabeth Odio Benito y Vicepresidente al Juez Patricio Pazmiño Freire. Iniciaron su mandato el 1 de enero de 2020 y lo culminarán el 13 de diciembre de 2021.</w:t>
      </w:r>
    </w:p>
    <w:p w14:paraId="233BB0B3" w14:textId="77777777" w:rsidR="00213B92" w:rsidRPr="00B62815" w:rsidRDefault="00213B92" w:rsidP="00213B92">
      <w:pPr>
        <w:jc w:val="both"/>
        <w:rPr>
          <w:rFonts w:asciiTheme="minorHAnsi" w:hAnsiTheme="minorHAnsi" w:cstheme="minorHAnsi"/>
          <w:b/>
          <w:sz w:val="22"/>
          <w:szCs w:val="22"/>
          <w:lang w:val="es-ES"/>
        </w:rPr>
      </w:pPr>
    </w:p>
    <w:p w14:paraId="43F680B2" w14:textId="77777777" w:rsidR="00213B92" w:rsidRPr="00B62815" w:rsidRDefault="00213B92" w:rsidP="00E67635">
      <w:pPr>
        <w:pStyle w:val="ListParagraph"/>
        <w:numPr>
          <w:ilvl w:val="0"/>
          <w:numId w:val="82"/>
        </w:numPr>
        <w:contextualSpacing/>
        <w:jc w:val="both"/>
        <w:rPr>
          <w:rFonts w:asciiTheme="minorHAnsi" w:hAnsiTheme="minorHAnsi" w:cstheme="minorHAnsi"/>
          <w:b/>
          <w:sz w:val="22"/>
          <w:szCs w:val="22"/>
          <w:lang w:val="es-ES"/>
        </w:rPr>
      </w:pPr>
      <w:r w:rsidRPr="00B62815">
        <w:rPr>
          <w:rFonts w:asciiTheme="minorHAnsi" w:eastAsia="Times New Roman" w:hAnsiTheme="minorHAnsi" w:cstheme="minorHAnsi"/>
          <w:b/>
          <w:color w:val="000000"/>
          <w:sz w:val="22"/>
          <w:szCs w:val="22"/>
          <w:lang w:val="es-ES_tradnl"/>
        </w:rPr>
        <w:t>Principales actividades y logros alcanzados durante el año 2020.</w:t>
      </w:r>
    </w:p>
    <w:p w14:paraId="62B3F2F2" w14:textId="77777777" w:rsidR="00213B92" w:rsidRPr="00B62815" w:rsidRDefault="00213B92" w:rsidP="00213B92">
      <w:pPr>
        <w:pStyle w:val="ListParagraph"/>
        <w:jc w:val="both"/>
        <w:rPr>
          <w:rFonts w:asciiTheme="minorHAnsi" w:hAnsiTheme="minorHAnsi" w:cstheme="minorHAnsi"/>
          <w:b/>
          <w:sz w:val="22"/>
          <w:szCs w:val="22"/>
          <w:lang w:val="es-ES"/>
        </w:rPr>
      </w:pPr>
    </w:p>
    <w:p w14:paraId="2C7C164A" w14:textId="77777777" w:rsidR="00213B92" w:rsidRPr="00B62815" w:rsidRDefault="00213B92" w:rsidP="00213B92">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Durante el 2019 la Corte celebró cuatro períodos ordinarios de sesiones en San José, Costa Rica y tres períodos extraordinarios de sesiones, celebrados en las ciudades de Montevideo, Uruguay; Buenos Aires, Argentina; Barranquilla y Bogotá, Colombia. Se realizaron dieciocho audiencias públicas sobre casos contenciosos</w:t>
      </w:r>
      <w:r w:rsidRPr="00B62815">
        <w:rPr>
          <w:rStyle w:val="FootnoteReference"/>
          <w:rFonts w:asciiTheme="minorHAnsi" w:hAnsiTheme="minorHAnsi" w:cstheme="minorHAnsi"/>
          <w:sz w:val="22"/>
          <w:szCs w:val="22"/>
          <w:lang w:val="es-ES"/>
        </w:rPr>
        <w:footnoteReference w:id="2"/>
      </w:r>
      <w:r w:rsidRPr="00B62815">
        <w:rPr>
          <w:rFonts w:asciiTheme="minorHAnsi" w:hAnsiTheme="minorHAnsi" w:cstheme="minorHAnsi"/>
          <w:sz w:val="22"/>
          <w:szCs w:val="22"/>
          <w:lang w:val="es-ES"/>
        </w:rPr>
        <w:t>, tres audiencias públicas de supervisión de cumplimiento de sentencia</w:t>
      </w:r>
      <w:r w:rsidRPr="00B62815">
        <w:rPr>
          <w:rStyle w:val="FootnoteReference"/>
          <w:rFonts w:asciiTheme="minorHAnsi" w:hAnsiTheme="minorHAnsi" w:cstheme="minorHAnsi"/>
          <w:sz w:val="22"/>
          <w:szCs w:val="22"/>
          <w:lang w:val="es-ES"/>
        </w:rPr>
        <w:footnoteReference w:id="3"/>
      </w:r>
      <w:r w:rsidRPr="00B62815">
        <w:rPr>
          <w:rFonts w:asciiTheme="minorHAnsi" w:hAnsiTheme="minorHAnsi" w:cstheme="minorHAnsi"/>
          <w:sz w:val="22"/>
          <w:szCs w:val="22"/>
          <w:lang w:val="es-ES"/>
        </w:rPr>
        <w:t xml:space="preserve"> y trece audiencias privadas de supervisión de cumplimiento de sentencia</w:t>
      </w:r>
      <w:r w:rsidRPr="00B62815">
        <w:rPr>
          <w:rStyle w:val="FootnoteReference"/>
          <w:rFonts w:asciiTheme="minorHAnsi" w:hAnsiTheme="minorHAnsi" w:cstheme="minorHAnsi"/>
          <w:sz w:val="22"/>
          <w:szCs w:val="22"/>
          <w:lang w:val="es-ES"/>
        </w:rPr>
        <w:footnoteReference w:id="4"/>
      </w:r>
      <w:r w:rsidRPr="00B62815">
        <w:rPr>
          <w:rFonts w:asciiTheme="minorHAnsi" w:hAnsiTheme="minorHAnsi" w:cstheme="minorHAnsi"/>
          <w:sz w:val="22"/>
          <w:szCs w:val="22"/>
          <w:lang w:val="es-ES"/>
        </w:rPr>
        <w:t>.</w:t>
      </w:r>
    </w:p>
    <w:p w14:paraId="2F6FEFB2" w14:textId="77777777" w:rsidR="00213B92" w:rsidRPr="00B62815" w:rsidRDefault="00213B92" w:rsidP="00213B92">
      <w:pPr>
        <w:jc w:val="both"/>
        <w:rPr>
          <w:rFonts w:asciiTheme="minorHAnsi" w:hAnsiTheme="minorHAnsi" w:cstheme="minorHAnsi"/>
          <w:sz w:val="22"/>
          <w:szCs w:val="22"/>
          <w:lang w:val="es-ES"/>
        </w:rPr>
      </w:pPr>
    </w:p>
    <w:p w14:paraId="744B5F32" w14:textId="77777777" w:rsidR="00213B92" w:rsidRPr="00B62815" w:rsidRDefault="00213B92" w:rsidP="00213B92">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Durante este año la Corte emitió veinticinco sentencias: veintiún sentencias resolviendo excepciones preliminares y/o fondo, reparaciones y costas en casos contenciosos</w:t>
      </w:r>
      <w:r w:rsidRPr="00B62815">
        <w:rPr>
          <w:rStyle w:val="FootnoteReference"/>
          <w:rFonts w:asciiTheme="minorHAnsi" w:hAnsiTheme="minorHAnsi" w:cstheme="minorHAnsi"/>
          <w:sz w:val="22"/>
          <w:szCs w:val="22"/>
          <w:lang w:val="es-ES"/>
        </w:rPr>
        <w:footnoteReference w:id="5"/>
      </w:r>
      <w:r w:rsidRPr="00B62815">
        <w:rPr>
          <w:rFonts w:asciiTheme="minorHAnsi" w:hAnsiTheme="minorHAnsi" w:cstheme="minorHAnsi"/>
          <w:sz w:val="22"/>
          <w:szCs w:val="22"/>
          <w:lang w:val="es-ES"/>
        </w:rPr>
        <w:t xml:space="preserve"> y cuatro sentencias de interpretación</w:t>
      </w:r>
      <w:r w:rsidRPr="00B62815">
        <w:rPr>
          <w:rStyle w:val="FootnoteReference"/>
          <w:rFonts w:asciiTheme="minorHAnsi" w:hAnsiTheme="minorHAnsi" w:cstheme="minorHAnsi"/>
          <w:sz w:val="22"/>
          <w:szCs w:val="22"/>
          <w:lang w:val="es-ES"/>
        </w:rPr>
        <w:footnoteReference w:id="6"/>
      </w:r>
      <w:r w:rsidRPr="00B62815">
        <w:rPr>
          <w:rFonts w:asciiTheme="minorHAnsi" w:hAnsiTheme="minorHAnsi" w:cstheme="minorHAnsi"/>
          <w:sz w:val="22"/>
          <w:szCs w:val="22"/>
          <w:lang w:val="es-ES"/>
        </w:rPr>
        <w:t>. El Tribunal dictó cincuenta y cuatro resoluciones de supervisión de cumplimiento de sentencia y diecinueve sobre medidas provisionales. Actualmente la Corte tiene bajo su supervisión veinticinco medidas provisionales que se encuentran vigentes. Por último, se sometieron a conocimiento de la Corte treinta y dos nuevos casos contenciosos</w:t>
      </w:r>
      <w:r w:rsidRPr="00B62815">
        <w:rPr>
          <w:rStyle w:val="FootnoteReference"/>
          <w:rFonts w:asciiTheme="minorHAnsi" w:hAnsiTheme="minorHAnsi" w:cstheme="minorHAnsi"/>
          <w:sz w:val="22"/>
          <w:szCs w:val="22"/>
          <w:lang w:val="es-ES"/>
        </w:rPr>
        <w:footnoteReference w:id="7"/>
      </w:r>
      <w:r w:rsidRPr="00B62815">
        <w:rPr>
          <w:rFonts w:asciiTheme="minorHAnsi" w:hAnsiTheme="minorHAnsi" w:cstheme="minorHAnsi"/>
          <w:sz w:val="22"/>
          <w:szCs w:val="22"/>
          <w:lang w:val="es-ES"/>
        </w:rPr>
        <w:t xml:space="preserve"> y cuatro solicitudes de Opinión Consultiva</w:t>
      </w:r>
      <w:r w:rsidRPr="00B62815">
        <w:rPr>
          <w:rStyle w:val="FootnoteReference"/>
          <w:rFonts w:asciiTheme="minorHAnsi" w:hAnsiTheme="minorHAnsi" w:cstheme="minorHAnsi"/>
          <w:sz w:val="22"/>
          <w:szCs w:val="22"/>
          <w:lang w:val="es-ES"/>
        </w:rPr>
        <w:footnoteReference w:id="8"/>
      </w:r>
      <w:r w:rsidRPr="00B62815">
        <w:rPr>
          <w:rFonts w:asciiTheme="minorHAnsi" w:hAnsiTheme="minorHAnsi" w:cstheme="minorHAnsi"/>
          <w:sz w:val="22"/>
          <w:szCs w:val="22"/>
          <w:lang w:val="es-ES"/>
        </w:rPr>
        <w:t>.</w:t>
      </w:r>
    </w:p>
    <w:p w14:paraId="0A8FF1B6" w14:textId="77777777" w:rsidR="00213B92" w:rsidRPr="00B62815" w:rsidRDefault="00213B92" w:rsidP="00213B92">
      <w:pPr>
        <w:jc w:val="both"/>
        <w:rPr>
          <w:rFonts w:asciiTheme="minorHAnsi" w:hAnsiTheme="minorHAnsi" w:cstheme="minorHAnsi"/>
          <w:sz w:val="22"/>
          <w:szCs w:val="22"/>
          <w:lang w:val="es-ES"/>
        </w:rPr>
      </w:pPr>
    </w:p>
    <w:p w14:paraId="4F388000" w14:textId="77777777" w:rsidR="00213B92" w:rsidRPr="00B62815" w:rsidRDefault="00213B92" w:rsidP="00E67635">
      <w:pPr>
        <w:pStyle w:val="ListParagraph"/>
        <w:numPr>
          <w:ilvl w:val="0"/>
          <w:numId w:val="82"/>
        </w:numPr>
        <w:contextualSpacing/>
        <w:jc w:val="both"/>
        <w:rPr>
          <w:rFonts w:asciiTheme="minorHAnsi" w:hAnsiTheme="minorHAnsi" w:cstheme="minorHAnsi"/>
          <w:b/>
          <w:sz w:val="22"/>
          <w:szCs w:val="22"/>
          <w:lang w:val="es-ES"/>
        </w:rPr>
      </w:pPr>
      <w:r w:rsidRPr="00B62815">
        <w:rPr>
          <w:rFonts w:asciiTheme="minorHAnsi" w:eastAsia="Times New Roman" w:hAnsiTheme="minorHAnsi" w:cstheme="minorHAnsi"/>
          <w:b/>
          <w:color w:val="000000"/>
          <w:sz w:val="22"/>
          <w:szCs w:val="22"/>
          <w:lang w:val="es-ES_tradnl"/>
        </w:rPr>
        <w:t>Relaciones y formas de cooperación desarrolladas con otros organismos interamericanos, de otras regiones o de carácter mundial, para la ejecución de actividades</w:t>
      </w:r>
    </w:p>
    <w:p w14:paraId="45935245" w14:textId="77777777" w:rsidR="00213B92" w:rsidRPr="00B62815" w:rsidRDefault="00213B92" w:rsidP="00213B92">
      <w:pPr>
        <w:pStyle w:val="ListParagraph"/>
        <w:jc w:val="both"/>
        <w:rPr>
          <w:rFonts w:asciiTheme="minorHAnsi" w:hAnsiTheme="minorHAnsi" w:cstheme="minorHAnsi"/>
          <w:b/>
          <w:sz w:val="22"/>
          <w:szCs w:val="22"/>
          <w:lang w:val="es-ES"/>
        </w:rPr>
      </w:pPr>
    </w:p>
    <w:p w14:paraId="3FC80BD7" w14:textId="77777777" w:rsidR="00213B92" w:rsidRPr="00B62815" w:rsidRDefault="00213B92" w:rsidP="00213B92">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La Corte mantiene excelentes relaciones de diálogo con los tribunales regionales de protección de los derechos humanos del mundo. En 2019 se realizó en Kampala, Uganda el Foro de Internacional de Derechos Humanos que reunió a la Corte Africana de Derechos Humanos y de los Pueblos, al Tribunal Europeo de Derechos Humanos y la Corte IDH. Producto del encuentro se firmó la Declaración de Kampala la cual, junto a la Declaración de San José de 2018, consolida los espacios de intercambio entre los tribunales. </w:t>
      </w:r>
    </w:p>
    <w:p w14:paraId="787B0AB9" w14:textId="77777777" w:rsidR="00213B92" w:rsidRPr="00B62815" w:rsidRDefault="00213B92" w:rsidP="00213B92">
      <w:pPr>
        <w:jc w:val="both"/>
        <w:rPr>
          <w:rFonts w:asciiTheme="minorHAnsi" w:hAnsiTheme="minorHAnsi" w:cstheme="minorHAnsi"/>
          <w:sz w:val="22"/>
          <w:szCs w:val="22"/>
          <w:lang w:val="es-ES"/>
        </w:rPr>
      </w:pPr>
    </w:p>
    <w:p w14:paraId="23575052" w14:textId="77777777" w:rsidR="00213B92" w:rsidRPr="00B62815" w:rsidRDefault="00213B92" w:rsidP="00213B92">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Asimismo, el Tribunal interactúa constantemente con la Comisión Interamericana en el marco de sus respectivas competencias y mandatos, así como realiza anualmente el Foro del Sistema Interamericano de Derechos Humanos con el fin de dialogar entre ambos órganos, así como con las instituciones y la sociedad civil respecto de los retos presentes y futuros del Sistema. El 2019 se realizó la tercera edición del Foro en Quito, Ecuador. </w:t>
      </w:r>
    </w:p>
    <w:p w14:paraId="67B13008" w14:textId="77777777" w:rsidR="00213B92" w:rsidRPr="00B62815" w:rsidRDefault="00213B92" w:rsidP="00213B92">
      <w:pPr>
        <w:jc w:val="both"/>
        <w:rPr>
          <w:rFonts w:asciiTheme="minorHAnsi" w:hAnsiTheme="minorHAnsi" w:cstheme="minorHAnsi"/>
          <w:sz w:val="22"/>
          <w:szCs w:val="22"/>
          <w:lang w:val="es-ES"/>
        </w:rPr>
      </w:pPr>
    </w:p>
    <w:p w14:paraId="138C7F5F" w14:textId="77777777" w:rsidR="00213B92" w:rsidRPr="00B62815" w:rsidRDefault="00213B92" w:rsidP="00213B92">
      <w:pPr>
        <w:jc w:val="both"/>
        <w:rPr>
          <w:rFonts w:asciiTheme="minorHAnsi" w:hAnsiTheme="minorHAnsi" w:cstheme="minorHAnsi"/>
          <w:sz w:val="22"/>
          <w:szCs w:val="22"/>
          <w:lang w:val="es-CR"/>
        </w:rPr>
      </w:pPr>
      <w:r w:rsidRPr="00B62815">
        <w:rPr>
          <w:rFonts w:asciiTheme="minorHAnsi" w:hAnsiTheme="minorHAnsi" w:cstheme="minorHAnsi"/>
          <w:sz w:val="22"/>
          <w:szCs w:val="22"/>
          <w:lang w:val="es-ES"/>
        </w:rPr>
        <w:t xml:space="preserve">En cuanto al diálogo con Naciones Unidas, la Corte recibió la visita de la Alta Comisionada </w:t>
      </w:r>
      <w:r w:rsidRPr="00B62815">
        <w:rPr>
          <w:rFonts w:asciiTheme="minorHAnsi" w:hAnsiTheme="minorHAnsi" w:cstheme="minorHAnsi"/>
          <w:sz w:val="22"/>
          <w:szCs w:val="22"/>
          <w:lang w:val="es-CR"/>
        </w:rPr>
        <w:t xml:space="preserve">Unidas para los Derechos Humanos, Sra. Michelle Bachelet; el Secretario General Adjunto de las Naciones Unidas para los Derechos Humanos, Sr. Andrew Gilmour, así como la Secretaría Ejecutiva de la Comisión Económica para América Latina y el Caribe (CEPAL), Sra. Alicia Bárcena. Durante dichas reuniones, respectivamente, se dialogó sobre los espacios de cooperación y convergencia entre el sistema universal e interamericano, así como sobre los retos que enfrenta el mundo en materia de derechos humanos. Por otro lado, se realizó una reunión con la Directora de la UNESCO, Sra. Audrey Azoulay y se firmó un convenio de cooperación con el fin de difundir la jurisprudencia de la Corte en materia de libertad de expresión y protección a periodistas. </w:t>
      </w:r>
    </w:p>
    <w:p w14:paraId="0FFF1889" w14:textId="77777777" w:rsidR="00213B92" w:rsidRPr="00B62815" w:rsidRDefault="00213B92" w:rsidP="00213B92">
      <w:pPr>
        <w:jc w:val="both"/>
        <w:rPr>
          <w:rFonts w:asciiTheme="minorHAnsi" w:hAnsiTheme="minorHAnsi" w:cstheme="minorHAnsi"/>
          <w:sz w:val="22"/>
          <w:szCs w:val="22"/>
          <w:lang w:val="es-CR"/>
        </w:rPr>
      </w:pPr>
    </w:p>
    <w:p w14:paraId="485CFC03" w14:textId="77777777" w:rsidR="00213B92" w:rsidRPr="00B62815" w:rsidRDefault="00213B92" w:rsidP="00213B92">
      <w:pPr>
        <w:jc w:val="both"/>
        <w:rPr>
          <w:rFonts w:asciiTheme="minorHAnsi" w:hAnsiTheme="minorHAnsi" w:cstheme="minorHAnsi"/>
          <w:sz w:val="22"/>
          <w:szCs w:val="22"/>
          <w:lang w:val="es-CR"/>
        </w:rPr>
      </w:pPr>
      <w:r w:rsidRPr="00B62815">
        <w:rPr>
          <w:rFonts w:asciiTheme="minorHAnsi" w:hAnsiTheme="minorHAnsi" w:cstheme="minorHAnsi"/>
          <w:sz w:val="22"/>
          <w:szCs w:val="22"/>
          <w:lang w:val="es-CR"/>
        </w:rPr>
        <w:t xml:space="preserve">Igualmente, en 2019 se realizó el primer encuentro entre la Corte y el Comité Europeo de Derechos Sociales. </w:t>
      </w:r>
    </w:p>
    <w:p w14:paraId="323CDA6E" w14:textId="77777777" w:rsidR="00213B92" w:rsidRPr="00B62815" w:rsidRDefault="00213B92" w:rsidP="00213B92">
      <w:pPr>
        <w:jc w:val="both"/>
        <w:rPr>
          <w:rFonts w:asciiTheme="minorHAnsi" w:hAnsiTheme="minorHAnsi" w:cstheme="minorHAnsi"/>
          <w:sz w:val="22"/>
          <w:szCs w:val="22"/>
          <w:lang w:val="es-ES"/>
        </w:rPr>
      </w:pPr>
    </w:p>
    <w:p w14:paraId="6394718B" w14:textId="77777777" w:rsidR="00213B92" w:rsidRPr="00B62815" w:rsidRDefault="00213B92" w:rsidP="00213B92">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El Tribunal ha participado en 2019 de más de 50 actividades de capacitación y difusión de los instrumentos internacionales de derechos humanos. Igualmente, durante el 2019 la Corte Interamericana ha firmado veintiún convenios de cooperación con diferentes tribunales nacionales, ministerios, defensorías del pueblo, universidades y centro de derechos humanos. Estos acuerdos tienen especial significado para la articulación estratégica del trabajo a nivel interno e interamericano que garantiza, de forma más extensa e integral, la defensa de los derechos humanos de las personas de América. </w:t>
      </w:r>
    </w:p>
    <w:p w14:paraId="50D4DB8E" w14:textId="77777777" w:rsidR="002A0606" w:rsidRPr="00B62815" w:rsidRDefault="002A0606" w:rsidP="00754D75">
      <w:pPr>
        <w:pStyle w:val="ListParagraph"/>
        <w:ind w:left="360"/>
        <w:jc w:val="both"/>
        <w:rPr>
          <w:rFonts w:asciiTheme="minorHAnsi" w:hAnsiTheme="minorHAnsi" w:cstheme="minorHAnsi"/>
          <w:sz w:val="22"/>
          <w:szCs w:val="22"/>
          <w:lang w:val="es-ES"/>
        </w:rPr>
      </w:pPr>
    </w:p>
    <w:p w14:paraId="10F7AC4F" w14:textId="77777777" w:rsidR="002A0606" w:rsidRPr="00B62815" w:rsidRDefault="002A0606" w:rsidP="00754D75">
      <w:pPr>
        <w:pStyle w:val="ListParagraph"/>
        <w:ind w:left="360"/>
        <w:jc w:val="both"/>
        <w:rPr>
          <w:rFonts w:asciiTheme="minorHAnsi" w:hAnsiTheme="minorHAnsi" w:cstheme="minorHAnsi"/>
          <w:sz w:val="22"/>
          <w:szCs w:val="22"/>
          <w:lang w:val="es-US"/>
        </w:rPr>
      </w:pPr>
    </w:p>
    <w:p w14:paraId="0899FE63" w14:textId="77777777" w:rsidR="00AD19FE" w:rsidRPr="00B62815" w:rsidRDefault="00D2474B" w:rsidP="0037172C">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97" w:name="_Toc39675862"/>
      <w:bookmarkStart w:id="98" w:name="_Toc40191085"/>
      <w:r w:rsidRPr="00B62815">
        <w:rPr>
          <w:rFonts w:asciiTheme="minorHAnsi" w:hAnsiTheme="minorHAnsi" w:cstheme="minorHAnsi"/>
          <w:b/>
          <w:color w:val="1F497D"/>
          <w:sz w:val="22"/>
          <w:szCs w:val="22"/>
          <w:lang w:val="es-ES"/>
        </w:rPr>
        <w:t>3.2</w:t>
      </w:r>
      <w:r w:rsidRPr="00B62815">
        <w:rPr>
          <w:rFonts w:asciiTheme="minorHAnsi" w:hAnsiTheme="minorHAnsi" w:cstheme="minorHAnsi"/>
          <w:b/>
          <w:color w:val="1F497D"/>
          <w:sz w:val="22"/>
          <w:szCs w:val="22"/>
          <w:lang w:val="es-ES"/>
        </w:rPr>
        <w:tab/>
        <w:t>SECRETARÍA EJECUTIVA DE LA COMISIÓN INTERAMERICANA DE DERECHOS HUMANOS (CIDH)</w:t>
      </w:r>
      <w:bookmarkEnd w:id="97"/>
      <w:bookmarkEnd w:id="98"/>
    </w:p>
    <w:p w14:paraId="16C0CB79" w14:textId="77777777" w:rsidR="00213B92" w:rsidRPr="00B62815" w:rsidRDefault="00213B92" w:rsidP="00213B92">
      <w:pPr>
        <w:shd w:val="clear" w:color="auto" w:fill="FFFFFF"/>
        <w:ind w:right="144"/>
        <w:jc w:val="both"/>
        <w:rPr>
          <w:rFonts w:asciiTheme="minorHAnsi" w:eastAsia="Calibri" w:hAnsiTheme="minorHAnsi" w:cstheme="minorHAnsi"/>
          <w:color w:val="333333"/>
          <w:sz w:val="22"/>
          <w:szCs w:val="22"/>
          <w:lang w:val="es-AR"/>
        </w:rPr>
      </w:pPr>
      <w:r w:rsidRPr="00B62815">
        <w:rPr>
          <w:rFonts w:asciiTheme="minorHAnsi" w:eastAsia="Calibri" w:hAnsiTheme="minorHAnsi" w:cstheme="minorHAnsi"/>
          <w:color w:val="333333"/>
          <w:sz w:val="22"/>
          <w:szCs w:val="22"/>
          <w:lang w:val="es-AR"/>
        </w:rPr>
        <w:t>Durante 2019, año de celebración del 60 aniversario de creación de la CIDH, se produjeron avances en la superación del atraso procesal, un aumento en el número de Informes de Fondo e Informes de Admisibilidad aprobados, y de peticiones nuevas notificadas, una reducción en el tiempo de evaluación de las solicitudes de medidas cautelares recibidas, y el envío de un número histórico de casos y solicitudes de Opiniones Consultivas a la Corte Interamericana de Derechos Humanos. También se fortaleció el trabajo de monitoreo, permitiendo responder de manera efectiva e inmediata a situaciones de derechos humanos que tuvieron lugar en diferentes países, como Ecuador, Chile, Bolivia y Haití. En estas respuestas, se destaca la creación del </w:t>
      </w:r>
      <w:hyperlink r:id="rId184" w:tgtFrame="_blank" w:history="1">
        <w:r w:rsidRPr="00B62815">
          <w:rPr>
            <w:rFonts w:asciiTheme="minorHAnsi" w:eastAsia="Calibri" w:hAnsiTheme="minorHAnsi" w:cstheme="minorHAnsi"/>
            <w:color w:val="333333"/>
            <w:sz w:val="22"/>
            <w:szCs w:val="22"/>
            <w:lang w:val="es-AR"/>
          </w:rPr>
          <w:t>Grupo Interdisciplinario de Expertos y Expertas Independientes (GIEI)</w:t>
        </w:r>
      </w:hyperlink>
      <w:r w:rsidRPr="00B62815">
        <w:rPr>
          <w:rFonts w:asciiTheme="minorHAnsi" w:eastAsia="Calibri" w:hAnsiTheme="minorHAnsi" w:cstheme="minorHAnsi"/>
          <w:color w:val="333333"/>
          <w:sz w:val="22"/>
          <w:szCs w:val="22"/>
          <w:lang w:val="es-AR"/>
        </w:rPr>
        <w:t xml:space="preserve"> en Bolivia. También se reforzaron los mecanismos de seguimiento de recomendaciones existentes y se crearon nuevos, respecto de Venezuela y Honduras. Asimismo, aumentó la presencia pública de la CIDH en la región, con la realización de 2 visitas in loco a El Salvador y Haití, visitas de trabajo a 18 países y 3 períodos de sesiones fuera de la sede. También se publicaron 10 informes temáticos, 1 informe de país y 2 resoluciones de declaraciones de principios. Se firmaron 11 acuerdos de cooperación interinstitucional. Se realizaron actividades de capacitación y promoción, que alcanzaron a más de 6500 personas. La CIDH participó por primera vez en el Segmento de Alto Nivel de las sesiones del Consejo de Derechos Humanos de Naciones Unidas, en Ginebra. También se fortaleció la cooperación con organismos internacionales y regionales de derechos humanos. Adicionalmente, se lanzó el Canal CIDH, se realizaron campañas de difusión de estándares, se puso en marcha la Central de Atención a Usuarios y se creó el Observatorio de Impacto de la CIDH, entre otros logros significativos. </w:t>
      </w:r>
    </w:p>
    <w:p w14:paraId="7D4A9A93" w14:textId="77777777" w:rsidR="00213B92" w:rsidRPr="00B62815" w:rsidRDefault="00213B92" w:rsidP="00213B92">
      <w:pPr>
        <w:ind w:left="720"/>
        <w:contextualSpacing/>
        <w:jc w:val="both"/>
        <w:rPr>
          <w:rFonts w:asciiTheme="minorHAnsi" w:eastAsia="Calibri" w:hAnsiTheme="minorHAnsi" w:cstheme="minorHAnsi"/>
          <w:sz w:val="22"/>
          <w:szCs w:val="22"/>
          <w:lang w:val="es-AR"/>
        </w:rPr>
      </w:pPr>
    </w:p>
    <w:p w14:paraId="3218ED64"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b/>
          <w:sz w:val="22"/>
          <w:szCs w:val="22"/>
          <w:lang w:val="es-AR"/>
        </w:rPr>
        <w:t>Peticiones y casos</w:t>
      </w:r>
      <w:r w:rsidRPr="00B62815">
        <w:rPr>
          <w:rFonts w:asciiTheme="minorHAnsi" w:eastAsia="Calibri" w:hAnsiTheme="minorHAnsi" w:cstheme="minorHAnsi"/>
          <w:sz w:val="22"/>
          <w:szCs w:val="22"/>
          <w:lang w:val="es-AR"/>
        </w:rPr>
        <w:t>: incremento en la aprobación de informes de admisibilidad y fondo (215), y aumento en la evaluación de peticiones en estudio inicial (6750); evaluación en tiempo real de las solicitudes de Medidas Cautelares recibidas (1158), otorgamiento de 64 nuevas medidas y ampliación de 10 medidas vigentes; suscripción de 14 nuevos acuerdos de solución amistosa y avances en la implementación de 111 medidas de reparación.</w:t>
      </w:r>
    </w:p>
    <w:p w14:paraId="0157F611" w14:textId="77777777" w:rsidR="00213B92" w:rsidRPr="00B62815" w:rsidRDefault="00213B92" w:rsidP="00213B92">
      <w:pPr>
        <w:shd w:val="clear" w:color="auto" w:fill="FFFFFF"/>
        <w:spacing w:after="160" w:line="259" w:lineRule="auto"/>
        <w:ind w:right="144"/>
        <w:contextualSpacing/>
        <w:jc w:val="both"/>
        <w:rPr>
          <w:rFonts w:asciiTheme="minorHAnsi" w:eastAsia="Calibri" w:hAnsiTheme="minorHAnsi" w:cstheme="minorHAnsi"/>
          <w:sz w:val="22"/>
          <w:szCs w:val="22"/>
          <w:lang w:val="es-AR"/>
        </w:rPr>
      </w:pPr>
    </w:p>
    <w:p w14:paraId="26878A66"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b/>
          <w:sz w:val="22"/>
          <w:szCs w:val="22"/>
          <w:lang w:val="es-AR" w:eastAsia="es-ES_tradnl"/>
        </w:rPr>
        <w:t>Monitoreo</w:t>
      </w:r>
      <w:r w:rsidRPr="00B62815">
        <w:rPr>
          <w:rFonts w:asciiTheme="minorHAnsi" w:eastAsia="Times New Roman" w:hAnsiTheme="minorHAnsi" w:cstheme="minorHAnsi"/>
          <w:sz w:val="22"/>
          <w:szCs w:val="22"/>
          <w:lang w:val="es-AR" w:eastAsia="es-ES_tradnl"/>
        </w:rPr>
        <w:t xml:space="preserve">: elaboración y aprobación de 10 informes temáticos y 1 informe de país; publicación de 221 comunicados de prensa de monitoreo; instalación de </w:t>
      </w:r>
      <w:r w:rsidRPr="00B62815">
        <w:rPr>
          <w:rFonts w:asciiTheme="minorHAnsi" w:eastAsia="Calibri" w:hAnsiTheme="minorHAnsi" w:cstheme="minorHAnsi"/>
          <w:sz w:val="22"/>
          <w:szCs w:val="22"/>
          <w:lang w:val="es-ES"/>
        </w:rPr>
        <w:t>Salas de Coordinación y Respuesta Oportuna e Integrada (</w:t>
      </w:r>
      <w:r w:rsidRPr="00B62815">
        <w:rPr>
          <w:rFonts w:asciiTheme="minorHAnsi" w:eastAsia="Times New Roman" w:hAnsiTheme="minorHAnsi" w:cstheme="minorHAnsi"/>
          <w:sz w:val="22"/>
          <w:szCs w:val="22"/>
          <w:lang w:val="es-AR" w:eastAsia="es-ES_tradnl"/>
        </w:rPr>
        <w:t>SACROIs) respecto de Haití, Ecuador, Chile y Bolivia, y mantenimiento de SACROIs en relación con Brasil, Guatemala, Honduras, Nicaragua y Venezuela; realización de visitas in loco a El Salvador y Haití.</w:t>
      </w:r>
    </w:p>
    <w:p w14:paraId="38D52294" w14:textId="77777777" w:rsidR="00213B92" w:rsidRPr="00B62815" w:rsidRDefault="00213B92" w:rsidP="00213B92">
      <w:pPr>
        <w:shd w:val="clear" w:color="auto" w:fill="FFFFFF"/>
        <w:spacing w:after="160" w:line="259" w:lineRule="auto"/>
        <w:ind w:right="144"/>
        <w:contextualSpacing/>
        <w:jc w:val="both"/>
        <w:rPr>
          <w:rFonts w:asciiTheme="minorHAnsi" w:eastAsia="Times New Roman" w:hAnsiTheme="minorHAnsi" w:cstheme="minorHAnsi"/>
          <w:sz w:val="22"/>
          <w:szCs w:val="22"/>
          <w:lang w:val="es-AR" w:eastAsia="es-ES_tradnl"/>
        </w:rPr>
      </w:pPr>
    </w:p>
    <w:p w14:paraId="639C5D98"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b/>
          <w:sz w:val="22"/>
          <w:szCs w:val="22"/>
          <w:lang w:val="es-AR" w:eastAsia="es-ES_tradnl"/>
        </w:rPr>
        <w:t>Presencia pública en la región</w:t>
      </w:r>
      <w:r w:rsidRPr="00B62815">
        <w:rPr>
          <w:rFonts w:asciiTheme="minorHAnsi" w:eastAsia="Times New Roman" w:hAnsiTheme="minorHAnsi" w:cstheme="minorHAnsi"/>
          <w:sz w:val="22"/>
          <w:szCs w:val="22"/>
          <w:lang w:val="es-AR" w:eastAsia="es-ES_tradnl"/>
        </w:rPr>
        <w:t>: organización de 3 Períodos de Sesiones fuera de la sede (en Bolivia, Jamaica y Ecuador); realización de 22 visitas de trabajo a 18 países; publicación de dos resoluciones (</w:t>
      </w:r>
      <w:hyperlink r:id="rId185" w:history="1">
        <w:r w:rsidRPr="00B62815">
          <w:rPr>
            <w:rFonts w:asciiTheme="minorHAnsi" w:eastAsia="Calibri" w:hAnsiTheme="minorHAnsi" w:cstheme="minorHAnsi"/>
            <w:sz w:val="22"/>
            <w:szCs w:val="22"/>
            <w:lang w:val="es-AR" w:eastAsia="es-ES_tradnl"/>
          </w:rPr>
          <w:t>principios sobre políticas públicas de memoria en las Américas</w:t>
        </w:r>
      </w:hyperlink>
      <w:r w:rsidRPr="00B62815">
        <w:rPr>
          <w:rFonts w:asciiTheme="minorHAnsi" w:eastAsia="Times New Roman" w:hAnsiTheme="minorHAnsi" w:cstheme="minorHAnsi"/>
          <w:sz w:val="22"/>
          <w:szCs w:val="22"/>
          <w:lang w:val="es-AR" w:eastAsia="es-ES_tradnl"/>
        </w:rPr>
        <w:t xml:space="preserve"> y </w:t>
      </w:r>
      <w:hyperlink r:id="rId186" w:history="1">
        <w:r w:rsidRPr="00B62815">
          <w:rPr>
            <w:rFonts w:asciiTheme="minorHAnsi" w:eastAsia="Calibri" w:hAnsiTheme="minorHAnsi" w:cstheme="minorHAnsi"/>
            <w:sz w:val="22"/>
            <w:szCs w:val="22"/>
            <w:lang w:val="es-AR" w:eastAsia="es-ES_tradnl"/>
          </w:rPr>
          <w:t xml:space="preserve"> sobre los derechos humanos de todas las personas migrantes, refugiadas, apátridas y víctimas de la trata de personas</w:t>
        </w:r>
      </w:hyperlink>
      <w:r w:rsidRPr="00B62815">
        <w:rPr>
          <w:rFonts w:asciiTheme="minorHAnsi" w:eastAsia="Times New Roman" w:hAnsiTheme="minorHAnsi" w:cstheme="minorHAnsi"/>
          <w:sz w:val="22"/>
          <w:szCs w:val="22"/>
          <w:lang w:val="es-AR" w:eastAsia="es-ES_tradnl"/>
        </w:rPr>
        <w:t>); acercamiento con el Caribe (realización de un período de sesiones, una consulta pública y visitas a 6 países caribeños).</w:t>
      </w:r>
    </w:p>
    <w:p w14:paraId="00BF7FDE" w14:textId="77777777" w:rsidR="00213B92" w:rsidRPr="00B62815" w:rsidRDefault="00213B92" w:rsidP="00213B92">
      <w:pPr>
        <w:shd w:val="clear" w:color="auto" w:fill="FFFFFF"/>
        <w:spacing w:after="160" w:line="259" w:lineRule="auto"/>
        <w:ind w:right="144"/>
        <w:contextualSpacing/>
        <w:jc w:val="both"/>
        <w:rPr>
          <w:rFonts w:asciiTheme="minorHAnsi" w:eastAsia="Times New Roman" w:hAnsiTheme="minorHAnsi" w:cstheme="minorHAnsi"/>
          <w:sz w:val="22"/>
          <w:szCs w:val="22"/>
          <w:lang w:val="es-AR" w:eastAsia="es-ES_tradnl"/>
        </w:rPr>
      </w:pPr>
    </w:p>
    <w:p w14:paraId="4D990D7D"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b/>
          <w:sz w:val="22"/>
          <w:szCs w:val="22"/>
          <w:lang w:val="es-AR" w:eastAsia="es-ES_tradnl"/>
        </w:rPr>
        <w:t>Seguimiento de recomendaciones</w:t>
      </w:r>
      <w:r w:rsidRPr="00B62815">
        <w:rPr>
          <w:rFonts w:asciiTheme="minorHAnsi" w:eastAsia="Times New Roman" w:hAnsiTheme="minorHAnsi" w:cstheme="minorHAnsi"/>
          <w:sz w:val="22"/>
          <w:szCs w:val="22"/>
          <w:lang w:val="es-AR" w:eastAsia="es-ES_tradnl"/>
        </w:rPr>
        <w:t xml:space="preserve">: fortalecimiento de mecanismos especiales existentes —asunto Ayotzinapa (MESA), Nicaragua (MESENI) y República Dominicana— y creación de nuevos mecanismos (Venezuela, MESEVE y Honduras, MESAT); aprobación y publicación de </w:t>
      </w:r>
      <w:hyperlink r:id="rId187" w:history="1">
        <w:r w:rsidRPr="00B62815">
          <w:rPr>
            <w:rFonts w:asciiTheme="minorHAnsi" w:eastAsia="Calibri" w:hAnsiTheme="minorHAnsi" w:cstheme="minorHAnsi"/>
            <w:sz w:val="22"/>
            <w:szCs w:val="22"/>
            <w:lang w:val="es-AR"/>
          </w:rPr>
          <w:t>Directrices Generales de Seguimiento de Recomendaciones y Decisiones</w:t>
        </w:r>
      </w:hyperlink>
      <w:r w:rsidRPr="00B62815">
        <w:rPr>
          <w:rFonts w:asciiTheme="minorHAnsi" w:eastAsia="Times New Roman" w:hAnsiTheme="minorHAnsi" w:cstheme="minorHAnsi"/>
          <w:sz w:val="22"/>
          <w:szCs w:val="22"/>
          <w:lang w:val="es-AR" w:eastAsia="es-ES_tradnl"/>
        </w:rPr>
        <w:t>.</w:t>
      </w:r>
    </w:p>
    <w:p w14:paraId="03A743D7" w14:textId="77777777" w:rsidR="00213B92" w:rsidRPr="00B62815" w:rsidRDefault="00213B92" w:rsidP="00213B92">
      <w:pPr>
        <w:shd w:val="clear" w:color="auto" w:fill="FFFFFF"/>
        <w:spacing w:after="160" w:line="259" w:lineRule="auto"/>
        <w:ind w:right="144"/>
        <w:contextualSpacing/>
        <w:jc w:val="both"/>
        <w:rPr>
          <w:rFonts w:asciiTheme="minorHAnsi" w:eastAsia="Times New Roman" w:hAnsiTheme="minorHAnsi" w:cstheme="minorHAnsi"/>
          <w:sz w:val="22"/>
          <w:szCs w:val="22"/>
          <w:lang w:val="es-AR" w:eastAsia="es-ES_tradnl"/>
        </w:rPr>
      </w:pPr>
    </w:p>
    <w:p w14:paraId="42E23C5D"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b/>
          <w:sz w:val="22"/>
          <w:szCs w:val="22"/>
          <w:lang w:val="es-AR" w:eastAsia="es-ES_tradnl"/>
        </w:rPr>
        <w:t>Promoción y capacitación</w:t>
      </w:r>
      <w:r w:rsidRPr="00B62815">
        <w:rPr>
          <w:rFonts w:asciiTheme="minorHAnsi" w:eastAsia="Times New Roman" w:hAnsiTheme="minorHAnsi" w:cstheme="minorHAnsi"/>
          <w:sz w:val="22"/>
          <w:szCs w:val="22"/>
          <w:lang w:val="es-AR" w:eastAsia="es-ES_tradnl"/>
        </w:rPr>
        <w:t>: realización de 67 eventos de capacitación y 254 actividades de promoción en 23 países, alcanzando a 6254 personas, además de 15 capacitaciones destinadas a 257 personas de la sociedad civil de Nicaragua; visitas promocionales a Argentina y Chile con motivo del 60 aniversario de la CIDH.</w:t>
      </w:r>
    </w:p>
    <w:p w14:paraId="7C328A88" w14:textId="77777777" w:rsidR="00213B92" w:rsidRPr="00B62815" w:rsidRDefault="00213B92" w:rsidP="00213B92">
      <w:pPr>
        <w:shd w:val="clear" w:color="auto" w:fill="FFFFFF"/>
        <w:spacing w:after="160" w:line="259" w:lineRule="auto"/>
        <w:ind w:right="144"/>
        <w:contextualSpacing/>
        <w:jc w:val="both"/>
        <w:rPr>
          <w:rFonts w:asciiTheme="minorHAnsi" w:eastAsia="Times New Roman" w:hAnsiTheme="minorHAnsi" w:cstheme="minorHAnsi"/>
          <w:sz w:val="22"/>
          <w:szCs w:val="22"/>
          <w:lang w:val="es-AR" w:eastAsia="es-ES_tradnl"/>
        </w:rPr>
      </w:pPr>
    </w:p>
    <w:p w14:paraId="39F97FF0"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b/>
          <w:sz w:val="22"/>
          <w:szCs w:val="22"/>
          <w:lang w:val="es-AR" w:eastAsia="es-ES_tradnl"/>
        </w:rPr>
        <w:t>Cooperación técnica</w:t>
      </w:r>
      <w:r w:rsidRPr="00B62815">
        <w:rPr>
          <w:rFonts w:asciiTheme="minorHAnsi" w:eastAsia="Times New Roman" w:hAnsiTheme="minorHAnsi" w:cstheme="minorHAnsi"/>
          <w:sz w:val="22"/>
          <w:szCs w:val="22"/>
          <w:lang w:val="es-AR" w:eastAsia="es-ES_tradnl"/>
        </w:rPr>
        <w:t>: firma de 11 nuevos convenios; adhesión de 5 Instituciones Nacionales de Derechos Humanos a la Declaración de Compromiso en materia de cooperación técnica de la CIDH.</w:t>
      </w:r>
    </w:p>
    <w:p w14:paraId="33ADEFD5" w14:textId="77777777" w:rsidR="00213B92" w:rsidRPr="00B62815" w:rsidRDefault="00213B92" w:rsidP="00213B92">
      <w:pPr>
        <w:shd w:val="clear" w:color="auto" w:fill="FFFFFF"/>
        <w:spacing w:after="160" w:line="259" w:lineRule="auto"/>
        <w:ind w:right="144"/>
        <w:contextualSpacing/>
        <w:jc w:val="both"/>
        <w:rPr>
          <w:rFonts w:asciiTheme="minorHAnsi" w:eastAsia="Times New Roman" w:hAnsiTheme="minorHAnsi" w:cstheme="minorHAnsi"/>
          <w:sz w:val="22"/>
          <w:szCs w:val="22"/>
          <w:lang w:val="es-AR" w:eastAsia="es-ES_tradnl"/>
        </w:rPr>
      </w:pPr>
    </w:p>
    <w:p w14:paraId="32D68975"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b/>
          <w:sz w:val="22"/>
          <w:szCs w:val="22"/>
          <w:lang w:val="es-AR" w:eastAsia="es-ES_tradnl"/>
        </w:rPr>
        <w:t>Participación social</w:t>
      </w:r>
      <w:r w:rsidRPr="00B62815">
        <w:rPr>
          <w:rFonts w:asciiTheme="minorHAnsi" w:eastAsia="Times New Roman" w:hAnsiTheme="minorHAnsi" w:cstheme="minorHAnsi"/>
          <w:sz w:val="22"/>
          <w:szCs w:val="22"/>
          <w:lang w:val="es-AR" w:eastAsia="es-ES_tradnl"/>
        </w:rPr>
        <w:t>: participación de Estados de la región y 330 organizaciones de la sociedad civil en 109 audiencias en los cuatro Períodos de Sesiones; 16 reuniones de revisión de portafolios; consultas públicas sobre Memoria, Verdad y Justicia, inclusión de las personas LGBTI en los ámbitos económico, social y cultural en el Caribe, seguridad ciudadana, corrupción y derechos humanos, y situación de los derechos de los pueblos de la Panamazonía.</w:t>
      </w:r>
    </w:p>
    <w:p w14:paraId="6B64277E" w14:textId="77777777" w:rsidR="00213B92" w:rsidRPr="00B62815" w:rsidRDefault="00213B92" w:rsidP="00213B92">
      <w:pPr>
        <w:shd w:val="clear" w:color="auto" w:fill="FFFFFF"/>
        <w:spacing w:after="160" w:line="259" w:lineRule="auto"/>
        <w:ind w:right="144"/>
        <w:contextualSpacing/>
        <w:jc w:val="both"/>
        <w:rPr>
          <w:rFonts w:asciiTheme="minorHAnsi" w:eastAsia="Times New Roman" w:hAnsiTheme="minorHAnsi" w:cstheme="minorHAnsi"/>
          <w:sz w:val="22"/>
          <w:szCs w:val="22"/>
          <w:lang w:val="es-AR" w:eastAsia="es-ES_tradnl"/>
        </w:rPr>
      </w:pPr>
    </w:p>
    <w:p w14:paraId="7C4BEC61"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b/>
          <w:sz w:val="22"/>
          <w:szCs w:val="22"/>
          <w:lang w:val="es-AR" w:eastAsia="es-ES_tradnl"/>
        </w:rPr>
        <w:t xml:space="preserve">Comunicación: </w:t>
      </w:r>
      <w:r w:rsidRPr="00B62815">
        <w:rPr>
          <w:rFonts w:asciiTheme="minorHAnsi" w:eastAsia="Times New Roman" w:hAnsiTheme="minorHAnsi" w:cstheme="minorHAnsi"/>
          <w:sz w:val="22"/>
          <w:szCs w:val="22"/>
          <w:lang w:val="es-AR" w:eastAsia="es-ES_tradnl"/>
        </w:rPr>
        <w:t>lanzamiento del </w:t>
      </w:r>
      <w:hyperlink r:id="rId188" w:tgtFrame="_blank" w:history="1">
        <w:r w:rsidRPr="00B62815">
          <w:rPr>
            <w:rFonts w:asciiTheme="minorHAnsi" w:eastAsia="Times New Roman" w:hAnsiTheme="minorHAnsi" w:cstheme="minorHAnsi"/>
            <w:sz w:val="22"/>
            <w:szCs w:val="22"/>
            <w:lang w:val="es-AR" w:eastAsia="es-ES_tradnl"/>
          </w:rPr>
          <w:t>Canal CIDH</w:t>
        </w:r>
      </w:hyperlink>
      <w:r w:rsidRPr="00B62815">
        <w:rPr>
          <w:rFonts w:asciiTheme="minorHAnsi" w:eastAsia="Times New Roman" w:hAnsiTheme="minorHAnsi" w:cstheme="minorHAnsi"/>
          <w:sz w:val="22"/>
          <w:szCs w:val="22"/>
          <w:lang w:val="es-AR" w:eastAsia="es-ES_tradnl"/>
        </w:rPr>
        <w:t>, sitio web con producciones multimedia sobre las actividades de la CIDH; realización de 9 campañas de difusión de estándares</w:t>
      </w:r>
    </w:p>
    <w:p w14:paraId="07B83CC1" w14:textId="77777777" w:rsidR="00213B92" w:rsidRPr="00B62815" w:rsidRDefault="00213B92" w:rsidP="00213B92">
      <w:pPr>
        <w:shd w:val="clear" w:color="auto" w:fill="FFFFFF"/>
        <w:ind w:left="360" w:right="144"/>
        <w:contextualSpacing/>
        <w:jc w:val="both"/>
        <w:rPr>
          <w:rFonts w:asciiTheme="minorHAnsi" w:eastAsia="Times New Roman" w:hAnsiTheme="minorHAnsi" w:cstheme="minorHAnsi"/>
          <w:sz w:val="22"/>
          <w:szCs w:val="22"/>
          <w:lang w:val="es-AR" w:eastAsia="es-ES_tradnl"/>
        </w:rPr>
      </w:pPr>
    </w:p>
    <w:p w14:paraId="41FF60CD"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sz w:val="22"/>
          <w:szCs w:val="22"/>
          <w:lang w:val="es-AR" w:eastAsia="es-ES_tradnl"/>
        </w:rPr>
        <w:t xml:space="preserve">Informe anual de implementación del Plan Estratégico de la CIDH 2017-2021: </w:t>
      </w:r>
      <w:hyperlink r:id="rId189" w:history="1">
        <w:r w:rsidRPr="00B62815">
          <w:rPr>
            <w:rFonts w:asciiTheme="minorHAnsi" w:eastAsia="Calibri" w:hAnsiTheme="minorHAnsi" w:cstheme="minorHAnsi"/>
            <w:sz w:val="22"/>
            <w:szCs w:val="22"/>
            <w:u w:val="single"/>
            <w:lang w:val="es-US"/>
          </w:rPr>
          <w:t>http://www.oas.org/es/cidh/prensa/comunicados/2020/033A.pdf</w:t>
        </w:r>
      </w:hyperlink>
      <w:r w:rsidRPr="00B62815">
        <w:rPr>
          <w:rFonts w:asciiTheme="minorHAnsi" w:eastAsia="Times New Roman" w:hAnsiTheme="minorHAnsi" w:cstheme="minorHAnsi"/>
          <w:sz w:val="22"/>
          <w:szCs w:val="22"/>
          <w:lang w:val="es-AR" w:eastAsia="es-ES_tradnl"/>
        </w:rPr>
        <w:t xml:space="preserve"> </w:t>
      </w:r>
    </w:p>
    <w:p w14:paraId="7D316426"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Calibri" w:hAnsiTheme="minorHAnsi" w:cstheme="minorHAnsi"/>
          <w:sz w:val="22"/>
          <w:szCs w:val="22"/>
          <w:u w:val="single"/>
          <w:lang w:val="es-US"/>
        </w:rPr>
      </w:pPr>
      <w:r w:rsidRPr="00B62815">
        <w:rPr>
          <w:rFonts w:asciiTheme="minorHAnsi" w:eastAsia="Times New Roman" w:hAnsiTheme="minorHAnsi" w:cstheme="minorHAnsi"/>
          <w:sz w:val="22"/>
          <w:szCs w:val="22"/>
          <w:lang w:val="es-AR" w:eastAsia="es-ES_tradnl"/>
        </w:rPr>
        <w:t xml:space="preserve">Informes sobre casos: </w:t>
      </w:r>
      <w:hyperlink r:id="rId190" w:history="1">
        <w:r w:rsidRPr="00B62815">
          <w:rPr>
            <w:rFonts w:asciiTheme="minorHAnsi" w:eastAsia="Calibri" w:hAnsiTheme="minorHAnsi" w:cstheme="minorHAnsi"/>
            <w:sz w:val="22"/>
            <w:szCs w:val="22"/>
            <w:u w:val="single"/>
            <w:lang w:val="es-US"/>
          </w:rPr>
          <w:t>http://www.oas.org/es/cidh/decisiones/casos.asp</w:t>
        </w:r>
      </w:hyperlink>
    </w:p>
    <w:p w14:paraId="6ADBF12D"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Calibri" w:hAnsiTheme="minorHAnsi" w:cstheme="minorHAnsi"/>
          <w:sz w:val="22"/>
          <w:szCs w:val="22"/>
          <w:u w:val="single"/>
          <w:lang w:val="es-US"/>
        </w:rPr>
      </w:pPr>
      <w:r w:rsidRPr="00B62815">
        <w:rPr>
          <w:rFonts w:asciiTheme="minorHAnsi" w:eastAsia="Times New Roman" w:hAnsiTheme="minorHAnsi" w:cstheme="minorHAnsi"/>
          <w:sz w:val="22"/>
          <w:szCs w:val="22"/>
          <w:lang w:val="es-AR" w:eastAsia="es-ES_tradnl"/>
        </w:rPr>
        <w:t xml:space="preserve">Informes temáticos: </w:t>
      </w:r>
      <w:hyperlink r:id="rId191" w:history="1">
        <w:r w:rsidRPr="00B62815">
          <w:rPr>
            <w:rFonts w:asciiTheme="minorHAnsi" w:eastAsia="Calibri" w:hAnsiTheme="minorHAnsi" w:cstheme="minorHAnsi"/>
            <w:sz w:val="22"/>
            <w:szCs w:val="22"/>
            <w:u w:val="single"/>
            <w:lang w:val="es-US"/>
          </w:rPr>
          <w:t>http://www.oas.org/es/cidh/informes/tematicos.asp</w:t>
        </w:r>
      </w:hyperlink>
    </w:p>
    <w:p w14:paraId="12C0306E"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sz w:val="22"/>
          <w:szCs w:val="22"/>
          <w:lang w:val="es-AR" w:eastAsia="es-ES_tradnl"/>
        </w:rPr>
        <w:t xml:space="preserve">Informes de país: </w:t>
      </w:r>
      <w:hyperlink r:id="rId192" w:history="1">
        <w:r w:rsidRPr="00B62815">
          <w:rPr>
            <w:rFonts w:asciiTheme="minorHAnsi" w:eastAsia="Calibri" w:hAnsiTheme="minorHAnsi" w:cstheme="minorHAnsi"/>
            <w:sz w:val="22"/>
            <w:szCs w:val="22"/>
            <w:u w:val="single"/>
            <w:lang w:val="es-US"/>
          </w:rPr>
          <w:t>http://www.oas.org/es/cidh/informes/pais.asp</w:t>
        </w:r>
      </w:hyperlink>
    </w:p>
    <w:p w14:paraId="720EA0C8"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sz w:val="22"/>
          <w:szCs w:val="22"/>
          <w:lang w:val="es-AR" w:eastAsia="es-ES_tradnl"/>
        </w:rPr>
        <w:t xml:space="preserve">Períodos de sesiones celebrados: </w:t>
      </w:r>
      <w:hyperlink r:id="rId193" w:history="1">
        <w:r w:rsidRPr="00B62815">
          <w:rPr>
            <w:rFonts w:asciiTheme="minorHAnsi" w:eastAsia="Calibri" w:hAnsiTheme="minorHAnsi" w:cstheme="minorHAnsi"/>
            <w:sz w:val="22"/>
            <w:szCs w:val="22"/>
            <w:u w:val="single"/>
            <w:lang w:val="es-US"/>
          </w:rPr>
          <w:t>http://www.oas.org/es/cidh/actividades/sesiones.asp</w:t>
        </w:r>
      </w:hyperlink>
    </w:p>
    <w:p w14:paraId="363B1B08"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sz w:val="22"/>
          <w:szCs w:val="22"/>
          <w:lang w:val="es-AR" w:eastAsia="es-ES_tradnl"/>
        </w:rPr>
        <w:t xml:space="preserve">Resoluciones: </w:t>
      </w:r>
      <w:hyperlink r:id="rId194" w:history="1">
        <w:r w:rsidRPr="00B62815">
          <w:rPr>
            <w:rFonts w:asciiTheme="minorHAnsi" w:eastAsia="Calibri" w:hAnsiTheme="minorHAnsi" w:cstheme="minorHAnsi"/>
            <w:sz w:val="22"/>
            <w:szCs w:val="22"/>
            <w:u w:val="single"/>
            <w:lang w:val="es-US"/>
          </w:rPr>
          <w:t>http://www.oas.org/es/cidh/decisiones/resoluciones.asp</w:t>
        </w:r>
      </w:hyperlink>
    </w:p>
    <w:p w14:paraId="1488DDD9"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es-AR" w:eastAsia="es-ES_tradnl"/>
        </w:rPr>
      </w:pPr>
      <w:r w:rsidRPr="00B62815">
        <w:rPr>
          <w:rFonts w:asciiTheme="minorHAnsi" w:eastAsia="Times New Roman" w:hAnsiTheme="minorHAnsi" w:cstheme="minorHAnsi"/>
          <w:sz w:val="22"/>
          <w:szCs w:val="22"/>
          <w:lang w:val="es-AR" w:eastAsia="es-ES_tradnl"/>
        </w:rPr>
        <w:t>Twitter CIDH:</w:t>
      </w:r>
    </w:p>
    <w:p w14:paraId="61B37C70" w14:textId="77777777" w:rsidR="00213B92" w:rsidRPr="00B62815" w:rsidRDefault="00573283" w:rsidP="00213B92">
      <w:pPr>
        <w:shd w:val="clear" w:color="auto" w:fill="FFFFFF"/>
        <w:ind w:right="144"/>
        <w:jc w:val="both"/>
        <w:rPr>
          <w:rFonts w:asciiTheme="minorHAnsi" w:eastAsia="Times New Roman" w:hAnsiTheme="minorHAnsi" w:cstheme="minorHAnsi"/>
          <w:sz w:val="22"/>
          <w:szCs w:val="22"/>
          <w:lang w:val="es-AR" w:eastAsia="es-ES_tradnl"/>
        </w:rPr>
      </w:pPr>
      <w:hyperlink r:id="rId195" w:history="1">
        <w:r w:rsidR="00213B92" w:rsidRPr="00B62815">
          <w:rPr>
            <w:rFonts w:asciiTheme="minorHAnsi" w:eastAsia="Calibri" w:hAnsiTheme="minorHAnsi" w:cstheme="minorHAnsi"/>
            <w:sz w:val="22"/>
            <w:szCs w:val="22"/>
            <w:u w:val="single"/>
            <w:lang w:val="es-AR"/>
          </w:rPr>
          <w:t>https://twitter.com/CIDH?ref_src=twsrc%5Egoogle%7Ctwcamp%5Eserp%7Ctwgr%5Eauthor</w:t>
        </w:r>
      </w:hyperlink>
    </w:p>
    <w:p w14:paraId="3DB9ADC7" w14:textId="77777777" w:rsidR="00213B92" w:rsidRPr="00673757"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val="pt-BR" w:eastAsia="es-ES_tradnl"/>
        </w:rPr>
      </w:pPr>
      <w:r w:rsidRPr="00673757">
        <w:rPr>
          <w:rFonts w:asciiTheme="minorHAnsi" w:eastAsia="Times New Roman" w:hAnsiTheme="minorHAnsi" w:cstheme="minorHAnsi"/>
          <w:sz w:val="22"/>
          <w:szCs w:val="22"/>
          <w:lang w:val="pt-BR" w:eastAsia="es-ES_tradnl"/>
        </w:rPr>
        <w:t xml:space="preserve">Canal CIDH: </w:t>
      </w:r>
      <w:hyperlink r:id="rId196" w:history="1">
        <w:r w:rsidRPr="00673757">
          <w:rPr>
            <w:rFonts w:asciiTheme="minorHAnsi" w:eastAsia="Calibri" w:hAnsiTheme="minorHAnsi" w:cstheme="minorHAnsi"/>
            <w:sz w:val="22"/>
            <w:szCs w:val="22"/>
            <w:u w:val="single"/>
            <w:lang w:val="pt-BR"/>
          </w:rPr>
          <w:t>https://www.canalcidh.org/</w:t>
        </w:r>
      </w:hyperlink>
    </w:p>
    <w:p w14:paraId="174C8403" w14:textId="77777777" w:rsidR="00213B92" w:rsidRPr="00B62815" w:rsidRDefault="00213B92" w:rsidP="00E67635">
      <w:pPr>
        <w:numPr>
          <w:ilvl w:val="0"/>
          <w:numId w:val="83"/>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lang w:eastAsia="es-ES_tradnl"/>
        </w:rPr>
      </w:pPr>
      <w:r w:rsidRPr="00B62815">
        <w:rPr>
          <w:rFonts w:asciiTheme="minorHAnsi" w:eastAsia="Calibri" w:hAnsiTheme="minorHAnsi" w:cstheme="minorHAnsi"/>
          <w:sz w:val="22"/>
          <w:szCs w:val="22"/>
        </w:rPr>
        <w:t xml:space="preserve">Flickr CIDH: </w:t>
      </w:r>
      <w:hyperlink r:id="rId197" w:history="1">
        <w:r w:rsidRPr="00B62815">
          <w:rPr>
            <w:rFonts w:asciiTheme="minorHAnsi" w:eastAsia="Calibri" w:hAnsiTheme="minorHAnsi" w:cstheme="minorHAnsi"/>
            <w:sz w:val="22"/>
            <w:szCs w:val="22"/>
            <w:u w:val="single"/>
          </w:rPr>
          <w:t>https://www.flickr.com/photos/cidh/albums</w:t>
        </w:r>
      </w:hyperlink>
    </w:p>
    <w:p w14:paraId="6D711CF6" w14:textId="77777777" w:rsidR="00213B92" w:rsidRPr="00B62815" w:rsidRDefault="00213B92" w:rsidP="00213B92">
      <w:pPr>
        <w:shd w:val="clear" w:color="auto" w:fill="FFFFFF"/>
        <w:ind w:left="360" w:right="144"/>
        <w:contextualSpacing/>
        <w:jc w:val="both"/>
        <w:rPr>
          <w:rFonts w:asciiTheme="minorHAnsi" w:eastAsia="Times New Roman" w:hAnsiTheme="minorHAnsi" w:cstheme="minorHAnsi"/>
          <w:sz w:val="22"/>
          <w:szCs w:val="22"/>
          <w:lang w:eastAsia="es-ES_tradnl"/>
        </w:rPr>
      </w:pPr>
    </w:p>
    <w:p w14:paraId="2770FA36" w14:textId="77777777" w:rsidR="00213B92" w:rsidRPr="00B62815" w:rsidRDefault="00213B92" w:rsidP="00213B92">
      <w:pPr>
        <w:ind w:left="720"/>
        <w:contextualSpacing/>
        <w:jc w:val="both"/>
        <w:rPr>
          <w:rFonts w:asciiTheme="minorHAnsi" w:eastAsia="Calibri" w:hAnsiTheme="minorHAnsi" w:cstheme="minorHAnsi"/>
          <w:b/>
          <w:sz w:val="22"/>
          <w:szCs w:val="22"/>
        </w:rPr>
      </w:pPr>
    </w:p>
    <w:p w14:paraId="343BB260" w14:textId="77777777" w:rsidR="00213B92" w:rsidRPr="00B62815" w:rsidRDefault="00213B92" w:rsidP="00824167">
      <w:pPr>
        <w:spacing w:after="160" w:line="259" w:lineRule="auto"/>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 xml:space="preserve">Visita promocional a Argentina, en conmemoración del 40 aniversario de la visita de la CIDH (septiembre de 2019) </w:t>
      </w:r>
    </w:p>
    <w:p w14:paraId="7136CEA9" w14:textId="77777777" w:rsidR="00824167" w:rsidRPr="00B62815" w:rsidRDefault="00824167" w:rsidP="00824167">
      <w:pPr>
        <w:spacing w:after="160" w:line="259" w:lineRule="auto"/>
        <w:contextualSpacing/>
        <w:jc w:val="both"/>
        <w:rPr>
          <w:rFonts w:asciiTheme="minorHAnsi" w:eastAsia="Calibri" w:hAnsiTheme="minorHAnsi" w:cstheme="minorHAnsi"/>
          <w:sz w:val="22"/>
          <w:szCs w:val="22"/>
          <w:lang w:val="es-AR"/>
        </w:rPr>
      </w:pPr>
    </w:p>
    <w:p w14:paraId="5EA315AA" w14:textId="77777777" w:rsidR="00213B92" w:rsidRPr="00B62815" w:rsidRDefault="001C2CF3" w:rsidP="00213B92">
      <w:pPr>
        <w:ind w:left="720"/>
        <w:contextualSpacing/>
        <w:jc w:val="center"/>
        <w:rPr>
          <w:rFonts w:asciiTheme="minorHAnsi" w:eastAsia="Times New Roman" w:hAnsiTheme="minorHAnsi" w:cstheme="minorHAnsi"/>
          <w:snapToGrid w:val="0"/>
          <w:color w:val="000000"/>
          <w:w w:val="0"/>
          <w:sz w:val="22"/>
          <w:szCs w:val="22"/>
          <w:u w:color="000000"/>
          <w:bdr w:val="none" w:sz="0" w:space="0" w:color="000000"/>
          <w:shd w:val="clear" w:color="000000" w:fill="000000"/>
          <w:lang w:val="x-none" w:eastAsia="x-none" w:bidi="x-none"/>
        </w:rPr>
      </w:pPr>
      <w:r w:rsidRPr="00B62815">
        <w:rPr>
          <w:rFonts w:asciiTheme="minorHAnsi" w:eastAsia="Calibri" w:hAnsiTheme="minorHAnsi" w:cstheme="minorHAnsi"/>
          <w:b/>
          <w:noProof/>
          <w:sz w:val="22"/>
          <w:szCs w:val="22"/>
        </w:rPr>
        <w:drawing>
          <wp:inline distT="0" distB="0" distL="0" distR="0" wp14:anchorId="41B2421D" wp14:editId="6E9F275A">
            <wp:extent cx="2973070" cy="1978025"/>
            <wp:effectExtent l="0" t="0" r="0" b="0"/>
            <wp:docPr id="24" name="Picture 1" descr="C:\Users\LVaccotti\Documents\Gabinete SE\Informe SG AG 2020\48713101367_ee98dbb1f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accotti\Documents\Gabinete SE\Informe SG AG 2020\48713101367_ee98dbb1f3_o.jpg"/>
                    <pic:cNvPicPr>
                      <a:picLocks noChangeAspect="1" noChangeArrowheads="1"/>
                    </pic:cNvPicPr>
                  </pic:nvPicPr>
                  <pic:blipFill>
                    <a:blip r:embed="rId198">
                      <a:extLst>
                        <a:ext uri="{28A0092B-C50C-407E-A947-70E740481C1C}">
                          <a14:useLocalDpi xmlns:a14="http://schemas.microsoft.com/office/drawing/2010/main"/>
                        </a:ext>
                      </a:extLst>
                    </a:blip>
                    <a:srcRect/>
                    <a:stretch>
                      <a:fillRect/>
                    </a:stretch>
                  </pic:blipFill>
                  <pic:spPr bwMode="auto">
                    <a:xfrm>
                      <a:off x="0" y="0"/>
                      <a:ext cx="2973070" cy="1978025"/>
                    </a:xfrm>
                    <a:prstGeom prst="rect">
                      <a:avLst/>
                    </a:prstGeom>
                    <a:noFill/>
                    <a:ln>
                      <a:noFill/>
                    </a:ln>
                  </pic:spPr>
                </pic:pic>
              </a:graphicData>
            </a:graphic>
          </wp:inline>
        </w:drawing>
      </w:r>
    </w:p>
    <w:p w14:paraId="318306BB" w14:textId="77777777" w:rsidR="00213B92" w:rsidRPr="00B62815" w:rsidRDefault="00213B92" w:rsidP="00213B92">
      <w:pPr>
        <w:ind w:left="720"/>
        <w:contextualSpacing/>
        <w:jc w:val="both"/>
        <w:rPr>
          <w:rFonts w:asciiTheme="minorHAnsi" w:eastAsia="Times New Roman" w:hAnsiTheme="minorHAnsi" w:cstheme="minorHAnsi"/>
          <w:snapToGrid w:val="0"/>
          <w:color w:val="000000"/>
          <w:w w:val="0"/>
          <w:sz w:val="22"/>
          <w:szCs w:val="22"/>
          <w:u w:color="000000"/>
          <w:bdr w:val="none" w:sz="0" w:space="0" w:color="000000"/>
          <w:shd w:val="clear" w:color="000000" w:fill="000000"/>
          <w:lang w:val="x-none" w:eastAsia="x-none" w:bidi="x-none"/>
        </w:rPr>
      </w:pPr>
    </w:p>
    <w:p w14:paraId="0AA603F6" w14:textId="77777777" w:rsidR="00213B92" w:rsidRPr="00B62815" w:rsidRDefault="00213B92" w:rsidP="00213B92">
      <w:pPr>
        <w:ind w:left="720"/>
        <w:contextualSpacing/>
        <w:jc w:val="both"/>
        <w:rPr>
          <w:rFonts w:asciiTheme="minorHAnsi" w:eastAsia="Calibri" w:hAnsiTheme="minorHAnsi" w:cstheme="minorHAnsi"/>
          <w:b/>
          <w:sz w:val="22"/>
          <w:szCs w:val="22"/>
          <w:lang w:val="es-AR"/>
        </w:rPr>
      </w:pPr>
    </w:p>
    <w:p w14:paraId="1DF2A78C" w14:textId="77777777" w:rsidR="00213B92" w:rsidRPr="00B62815" w:rsidRDefault="00213B92" w:rsidP="00824167">
      <w:pPr>
        <w:spacing w:after="160" w:line="259" w:lineRule="auto"/>
        <w:contextualSpacing/>
        <w:jc w:val="both"/>
        <w:rPr>
          <w:rFonts w:asciiTheme="minorHAnsi" w:eastAsia="Calibri" w:hAnsiTheme="minorHAnsi" w:cstheme="minorHAnsi"/>
          <w:sz w:val="22"/>
          <w:szCs w:val="22"/>
          <w:lang w:val="es-AR"/>
        </w:rPr>
      </w:pPr>
      <w:r w:rsidRPr="00B62815">
        <w:rPr>
          <w:rFonts w:asciiTheme="minorHAnsi" w:eastAsia="Calibri" w:hAnsiTheme="minorHAnsi" w:cstheme="minorHAnsi"/>
          <w:sz w:val="22"/>
          <w:szCs w:val="22"/>
          <w:lang w:val="es-AR"/>
        </w:rPr>
        <w:t xml:space="preserve">Visita </w:t>
      </w:r>
      <w:r w:rsidRPr="00B62815">
        <w:rPr>
          <w:rFonts w:asciiTheme="minorHAnsi" w:eastAsia="Calibri" w:hAnsiTheme="minorHAnsi" w:cstheme="minorHAnsi"/>
          <w:i/>
          <w:sz w:val="22"/>
          <w:szCs w:val="22"/>
          <w:lang w:val="es-AR"/>
        </w:rPr>
        <w:t>in loco</w:t>
      </w:r>
      <w:r w:rsidRPr="00B62815">
        <w:rPr>
          <w:rFonts w:asciiTheme="minorHAnsi" w:eastAsia="Calibri" w:hAnsiTheme="minorHAnsi" w:cstheme="minorHAnsi"/>
          <w:sz w:val="22"/>
          <w:szCs w:val="22"/>
          <w:lang w:val="es-AR"/>
        </w:rPr>
        <w:t xml:space="preserve"> a El Salvador (diciembre de 2019)</w:t>
      </w:r>
    </w:p>
    <w:p w14:paraId="01125BA9" w14:textId="77777777" w:rsidR="009645FD" w:rsidRPr="00B62815" w:rsidRDefault="001C2CF3" w:rsidP="00824167">
      <w:pPr>
        <w:pStyle w:val="ListParagraph"/>
        <w:spacing w:after="200" w:line="276" w:lineRule="auto"/>
        <w:ind w:left="0"/>
        <w:contextualSpacing/>
        <w:jc w:val="center"/>
        <w:rPr>
          <w:rStyle w:val="Hyperlink"/>
          <w:rFonts w:asciiTheme="minorHAnsi" w:hAnsiTheme="minorHAnsi" w:cstheme="minorHAnsi"/>
          <w:sz w:val="22"/>
          <w:szCs w:val="22"/>
          <w:lang w:val="es-AR"/>
        </w:rPr>
      </w:pPr>
      <w:r w:rsidRPr="00B62815">
        <w:rPr>
          <w:rFonts w:asciiTheme="minorHAnsi" w:hAnsiTheme="minorHAnsi" w:cstheme="minorHAnsi"/>
          <w:b/>
          <w:noProof/>
          <w:sz w:val="22"/>
          <w:szCs w:val="22"/>
        </w:rPr>
        <w:drawing>
          <wp:inline distT="0" distB="0" distL="0" distR="0" wp14:anchorId="6AB59936" wp14:editId="53C38DA6">
            <wp:extent cx="3340100" cy="2239645"/>
            <wp:effectExtent l="0" t="0" r="0" b="0"/>
            <wp:docPr id="25" name="Picture 2" descr="C:\Users\LVaccotti\Documents\Gabinete SE\Informe SG AG 2020\49217809117_cf4e66a4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accotti\Documents\Gabinete SE\Informe SG AG 2020\49217809117_cf4e66a427_o.jpg"/>
                    <pic:cNvPicPr>
                      <a:picLocks noChangeAspect="1" noChangeArrowheads="1"/>
                    </pic:cNvPicPr>
                  </pic:nvPicPr>
                  <pic:blipFill>
                    <a:blip r:embed="rId199">
                      <a:extLst>
                        <a:ext uri="{28A0092B-C50C-407E-A947-70E740481C1C}">
                          <a14:useLocalDpi xmlns:a14="http://schemas.microsoft.com/office/drawing/2010/main"/>
                        </a:ext>
                      </a:extLst>
                    </a:blip>
                    <a:srcRect/>
                    <a:stretch>
                      <a:fillRect/>
                    </a:stretch>
                  </pic:blipFill>
                  <pic:spPr bwMode="auto">
                    <a:xfrm>
                      <a:off x="0" y="0"/>
                      <a:ext cx="3340100" cy="2239645"/>
                    </a:xfrm>
                    <a:prstGeom prst="rect">
                      <a:avLst/>
                    </a:prstGeom>
                    <a:noFill/>
                    <a:ln>
                      <a:noFill/>
                    </a:ln>
                  </pic:spPr>
                </pic:pic>
              </a:graphicData>
            </a:graphic>
          </wp:inline>
        </w:drawing>
      </w:r>
    </w:p>
    <w:p w14:paraId="385325E8" w14:textId="77777777" w:rsidR="009645FD" w:rsidRPr="00B62815" w:rsidRDefault="009645FD" w:rsidP="009645FD">
      <w:pPr>
        <w:pStyle w:val="ListParagraph"/>
        <w:spacing w:after="200" w:line="276" w:lineRule="auto"/>
        <w:ind w:left="0"/>
        <w:contextualSpacing/>
        <w:rPr>
          <w:rStyle w:val="Hyperlink"/>
          <w:rFonts w:asciiTheme="minorHAnsi" w:hAnsiTheme="minorHAnsi" w:cstheme="minorHAnsi"/>
          <w:sz w:val="22"/>
          <w:szCs w:val="22"/>
          <w:lang w:val="pt-BR"/>
        </w:rPr>
      </w:pPr>
    </w:p>
    <w:p w14:paraId="68E20202" w14:textId="236A5CCC" w:rsidR="00017000" w:rsidRDefault="00BB7151" w:rsidP="009645FD">
      <w:pPr>
        <w:pStyle w:val="ListParagraph"/>
        <w:spacing w:after="200" w:line="276" w:lineRule="auto"/>
        <w:ind w:left="0"/>
        <w:contextualSpacing/>
        <w:rPr>
          <w:rStyle w:val="Hyperlink"/>
          <w:rFonts w:asciiTheme="minorHAnsi" w:hAnsiTheme="minorHAnsi" w:cstheme="minorHAnsi"/>
          <w:sz w:val="22"/>
          <w:szCs w:val="22"/>
          <w:lang w:val="pt-BR"/>
        </w:rPr>
      </w:pPr>
      <w:r>
        <w:rPr>
          <w:rStyle w:val="Hyperlink"/>
          <w:rFonts w:asciiTheme="minorHAnsi" w:hAnsiTheme="minorHAnsi" w:cstheme="minorHAnsi"/>
          <w:sz w:val="22"/>
          <w:szCs w:val="22"/>
          <w:lang w:val="pt-BR"/>
        </w:rPr>
        <w:br/>
      </w:r>
    </w:p>
    <w:p w14:paraId="4276D52D" w14:textId="77777777" w:rsidR="00BB7151" w:rsidRPr="00B62815" w:rsidRDefault="00BB7151" w:rsidP="009645FD">
      <w:pPr>
        <w:pStyle w:val="ListParagraph"/>
        <w:spacing w:after="200" w:line="276" w:lineRule="auto"/>
        <w:ind w:left="0"/>
        <w:contextualSpacing/>
        <w:rPr>
          <w:rStyle w:val="Hyperlink"/>
          <w:rFonts w:asciiTheme="minorHAnsi" w:hAnsiTheme="minorHAnsi" w:cstheme="minorHAnsi"/>
          <w:sz w:val="22"/>
          <w:szCs w:val="22"/>
          <w:lang w:val="pt-BR"/>
        </w:rPr>
      </w:pPr>
    </w:p>
    <w:p w14:paraId="4173EC08" w14:textId="77777777" w:rsidR="00AD19FE" w:rsidRPr="00B62815" w:rsidRDefault="00D2474B"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99" w:name="_Toc39675863"/>
      <w:bookmarkStart w:id="100" w:name="_Toc40191086"/>
      <w:r w:rsidRPr="00B62815">
        <w:rPr>
          <w:rFonts w:asciiTheme="minorHAnsi" w:hAnsiTheme="minorHAnsi" w:cstheme="minorHAnsi"/>
          <w:b/>
          <w:color w:val="1F497D"/>
          <w:sz w:val="22"/>
          <w:szCs w:val="22"/>
          <w:lang w:val="es-ES"/>
        </w:rPr>
        <w:t>3.3</w:t>
      </w:r>
      <w:r w:rsidRPr="00B62815">
        <w:rPr>
          <w:rFonts w:asciiTheme="minorHAnsi" w:hAnsiTheme="minorHAnsi" w:cstheme="minorHAnsi"/>
          <w:b/>
          <w:color w:val="1F497D"/>
          <w:sz w:val="22"/>
          <w:szCs w:val="22"/>
          <w:lang w:val="es-ES"/>
        </w:rPr>
        <w:tab/>
        <w:t>SECRETARÍA DEL TRIBUNAL ADMINISTRATIVO</w:t>
      </w:r>
      <w:bookmarkEnd w:id="99"/>
      <w:bookmarkEnd w:id="100"/>
    </w:p>
    <w:p w14:paraId="1732B890" w14:textId="77777777" w:rsidR="00824167" w:rsidRPr="00B62815" w:rsidRDefault="00824167" w:rsidP="00824167">
      <w:pPr>
        <w:tabs>
          <w:tab w:val="left" w:pos="0"/>
        </w:tabs>
        <w:ind w:right="-86"/>
        <w:jc w:val="both"/>
        <w:rPr>
          <w:rFonts w:asciiTheme="minorHAnsi" w:eastAsia="Calibri" w:hAnsiTheme="minorHAnsi" w:cstheme="minorHAnsi"/>
          <w:color w:val="000000"/>
          <w:sz w:val="22"/>
          <w:szCs w:val="22"/>
          <w:lang w:val="es-ES_tradnl"/>
        </w:rPr>
      </w:pPr>
      <w:r w:rsidRPr="00B62815">
        <w:rPr>
          <w:rFonts w:asciiTheme="minorHAnsi" w:eastAsia="Calibri" w:hAnsiTheme="minorHAnsi" w:cstheme="minorHAnsi"/>
          <w:color w:val="000000"/>
          <w:sz w:val="22"/>
          <w:szCs w:val="22"/>
          <w:lang w:val="es-ES_tradnl"/>
        </w:rPr>
        <w:t xml:space="preserve">El Tribunal Administrativo de la OEA es un órgano autónomo creado por la Asamblea General mediante su Resolución </w:t>
      </w:r>
      <w:r w:rsidRPr="00B62815">
        <w:rPr>
          <w:rFonts w:asciiTheme="minorHAnsi" w:eastAsia="Calibri" w:hAnsiTheme="minorHAnsi" w:cstheme="minorHAnsi"/>
          <w:color w:val="000000"/>
          <w:sz w:val="22"/>
          <w:szCs w:val="22"/>
          <w:lang w:val="es-CO"/>
        </w:rPr>
        <w:t xml:space="preserve">AG/RES.35 de 1971, </w:t>
      </w:r>
      <w:r w:rsidRPr="00B62815">
        <w:rPr>
          <w:rFonts w:asciiTheme="minorHAnsi" w:eastAsia="Calibri" w:hAnsiTheme="minorHAnsi" w:cstheme="minorHAnsi"/>
          <w:color w:val="000000"/>
          <w:sz w:val="22"/>
          <w:szCs w:val="22"/>
          <w:lang w:val="es-ES_tradnl"/>
        </w:rPr>
        <w:t>con la finalidad de conocer las controversias suscitadas entre la Secretaría General y sus funcionarios por alegado incumplimiento de las condiciones contractuales de estos últimos, o infracción de las Normas Generales para el Funcionamiento de la Secretaría General y demás disposiciones aplicables.</w:t>
      </w:r>
      <w:r w:rsidRPr="00B62815">
        <w:rPr>
          <w:rFonts w:asciiTheme="minorHAnsi" w:eastAsia="Calibri" w:hAnsiTheme="minorHAnsi" w:cstheme="minorHAnsi"/>
          <w:color w:val="000000"/>
          <w:sz w:val="22"/>
          <w:szCs w:val="22"/>
          <w:lang w:val="es-CO"/>
        </w:rPr>
        <w:t xml:space="preserve"> Durante el año 2019 el Tribunal Administrativo estuvo conformado</w:t>
      </w:r>
      <w:r w:rsidRPr="00B62815">
        <w:rPr>
          <w:rFonts w:asciiTheme="minorHAnsi" w:eastAsia="Calibri" w:hAnsiTheme="minorHAnsi" w:cstheme="minorHAnsi"/>
          <w:iCs/>
          <w:color w:val="000000"/>
          <w:sz w:val="22"/>
          <w:szCs w:val="22"/>
          <w:lang w:val="es-CO"/>
        </w:rPr>
        <w:t xml:space="preserve"> por los Jueces Wilson Vallejo, Presidente (Ecuador); Magali Rojas (Perú), Vicepresidenta; Michel Bastarache (Canadá); Homero Bibiloni (Argentina); T. Michael Peay (Estados Unidos), e Israel Campero (Bolivia).</w:t>
      </w:r>
      <w:r w:rsidRPr="00B62815">
        <w:rPr>
          <w:rFonts w:asciiTheme="minorHAnsi" w:eastAsia="Calibri" w:hAnsiTheme="minorHAnsi" w:cstheme="minorHAnsi"/>
          <w:color w:val="000000"/>
          <w:sz w:val="22"/>
          <w:szCs w:val="22"/>
          <w:lang w:val="es-ES_tradnl"/>
        </w:rPr>
        <w:t xml:space="preserve"> </w:t>
      </w:r>
    </w:p>
    <w:p w14:paraId="0FDF34FF"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color w:val="000000"/>
          <w:sz w:val="22"/>
          <w:szCs w:val="22"/>
          <w:lang w:val="es-ES"/>
        </w:rPr>
      </w:pPr>
    </w:p>
    <w:p w14:paraId="0100D576"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color w:val="000000"/>
          <w:sz w:val="22"/>
          <w:szCs w:val="22"/>
          <w:lang w:val="es-ES"/>
        </w:rPr>
      </w:pPr>
      <w:r w:rsidRPr="00B62815">
        <w:rPr>
          <w:rFonts w:asciiTheme="minorHAnsi" w:eastAsia="Times New Roman" w:hAnsiTheme="minorHAnsi" w:cstheme="minorHAnsi"/>
          <w:color w:val="000000"/>
          <w:sz w:val="22"/>
          <w:szCs w:val="22"/>
          <w:lang w:val="es-ES"/>
        </w:rPr>
        <w:t>Durante el año 2019 el Tribunal Administrativo decidió 2 casos, a saber:</w:t>
      </w:r>
    </w:p>
    <w:p w14:paraId="1809B389"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color w:val="000000"/>
          <w:sz w:val="22"/>
          <w:szCs w:val="22"/>
          <w:lang w:val="es-ES"/>
        </w:rPr>
      </w:pPr>
    </w:p>
    <w:p w14:paraId="473953EE" w14:textId="77777777" w:rsidR="00824167" w:rsidRPr="00B62815" w:rsidRDefault="00824167" w:rsidP="00E67635">
      <w:pPr>
        <w:widowControl w:val="0"/>
        <w:numPr>
          <w:ilvl w:val="0"/>
          <w:numId w:val="8"/>
        </w:numPr>
        <w:tabs>
          <w:tab w:val="left" w:pos="360"/>
          <w:tab w:val="left" w:pos="1440"/>
          <w:tab w:val="left" w:pos="2160"/>
          <w:tab w:val="left" w:pos="2880"/>
          <w:tab w:val="left" w:pos="3600"/>
          <w:tab w:val="left" w:pos="4320"/>
          <w:tab w:val="left" w:pos="5760"/>
          <w:tab w:val="left" w:pos="6480"/>
          <w:tab w:val="left" w:pos="7200"/>
          <w:tab w:val="left" w:pos="7920"/>
        </w:tabs>
        <w:ind w:left="360"/>
        <w:jc w:val="both"/>
        <w:rPr>
          <w:rFonts w:asciiTheme="minorHAnsi" w:eastAsia="Times New Roman" w:hAnsiTheme="minorHAnsi" w:cstheme="minorHAnsi"/>
          <w:sz w:val="22"/>
          <w:szCs w:val="22"/>
          <w:lang w:val="es-419"/>
        </w:rPr>
      </w:pPr>
      <w:r w:rsidRPr="00B62815">
        <w:rPr>
          <w:rFonts w:asciiTheme="minorHAnsi" w:eastAsia="Times New Roman" w:hAnsiTheme="minorHAnsi" w:cstheme="minorHAnsi"/>
          <w:sz w:val="22"/>
          <w:szCs w:val="22"/>
          <w:lang w:val="es-CO"/>
        </w:rPr>
        <w:t>Recurso 305, “</w:t>
      </w:r>
      <w:r w:rsidRPr="00B62815">
        <w:rPr>
          <w:rFonts w:asciiTheme="minorHAnsi" w:eastAsia="Times New Roman" w:hAnsiTheme="minorHAnsi" w:cstheme="minorHAnsi"/>
          <w:i/>
          <w:sz w:val="22"/>
          <w:szCs w:val="22"/>
          <w:lang w:val="es-CO"/>
        </w:rPr>
        <w:t xml:space="preserve">Paola Cárdenas vs. Secretario General” </w:t>
      </w:r>
      <w:r w:rsidRPr="00B62815">
        <w:rPr>
          <w:rFonts w:asciiTheme="minorHAnsi" w:eastAsia="Times New Roman" w:hAnsiTheme="minorHAnsi" w:cstheme="minorHAnsi"/>
          <w:sz w:val="22"/>
          <w:szCs w:val="22"/>
          <w:lang w:val="es-CO"/>
        </w:rPr>
        <w:t>presentado el 11 de julio de 2018</w:t>
      </w:r>
      <w:r w:rsidRPr="00B62815">
        <w:rPr>
          <w:rFonts w:asciiTheme="minorHAnsi" w:eastAsia="Times New Roman" w:hAnsiTheme="minorHAnsi" w:cstheme="minorHAnsi"/>
          <w:i/>
          <w:sz w:val="22"/>
          <w:szCs w:val="22"/>
          <w:lang w:val="es-CO"/>
        </w:rPr>
        <w:t xml:space="preserve">, </w:t>
      </w:r>
      <w:r w:rsidRPr="00B62815">
        <w:rPr>
          <w:rFonts w:asciiTheme="minorHAnsi" w:eastAsia="Times New Roman" w:hAnsiTheme="minorHAnsi" w:cstheme="minorHAnsi"/>
          <w:sz w:val="22"/>
          <w:szCs w:val="22"/>
          <w:lang w:val="es-CO"/>
        </w:rPr>
        <w:t xml:space="preserve">referido al nivel de clasificación del puesto ocupado por la recurrente. </w:t>
      </w:r>
      <w:r w:rsidRPr="00B62815">
        <w:rPr>
          <w:rFonts w:asciiTheme="minorHAnsi" w:eastAsia="Times New Roman" w:hAnsiTheme="minorHAnsi" w:cstheme="minorHAnsi"/>
          <w:sz w:val="22"/>
          <w:szCs w:val="22"/>
          <w:lang w:val="es-ES"/>
        </w:rPr>
        <w:t>El 20 de junio de 2019 el Tribunal adoptó la Sentencia 166 mediante la cual declaró inadmisible la demanda y ordenó a las partes reanudar, implementar y completar el proceso administrativo interno consistente en la realización de una nueva auditoría del puesto ocupado por la recurrente, dentro de los 60 días siguientes a la fecha de notificación de aquella.</w:t>
      </w:r>
    </w:p>
    <w:p w14:paraId="7D55A989" w14:textId="77777777" w:rsidR="00824167" w:rsidRPr="00B62815" w:rsidRDefault="00824167" w:rsidP="00824167">
      <w:pPr>
        <w:widowControl w:val="0"/>
        <w:tabs>
          <w:tab w:val="left" w:pos="1440"/>
          <w:tab w:val="left" w:pos="2160"/>
          <w:tab w:val="left" w:pos="2880"/>
          <w:tab w:val="left" w:pos="3600"/>
          <w:tab w:val="left" w:pos="4320"/>
          <w:tab w:val="left" w:pos="5760"/>
          <w:tab w:val="left" w:pos="6480"/>
          <w:tab w:val="left" w:pos="7200"/>
          <w:tab w:val="left" w:pos="7920"/>
        </w:tabs>
        <w:ind w:left="360"/>
        <w:jc w:val="both"/>
        <w:rPr>
          <w:rFonts w:asciiTheme="minorHAnsi" w:eastAsia="Times New Roman" w:hAnsiTheme="minorHAnsi" w:cstheme="minorHAnsi"/>
          <w:sz w:val="22"/>
          <w:szCs w:val="22"/>
          <w:lang w:val="es-419"/>
        </w:rPr>
      </w:pPr>
    </w:p>
    <w:p w14:paraId="5A55EDA5" w14:textId="77777777" w:rsidR="00824167" w:rsidRPr="00B62815" w:rsidRDefault="00824167" w:rsidP="00E67635">
      <w:pPr>
        <w:widowControl w:val="0"/>
        <w:numPr>
          <w:ilvl w:val="0"/>
          <w:numId w:val="8"/>
        </w:numPr>
        <w:tabs>
          <w:tab w:val="left" w:pos="360"/>
          <w:tab w:val="left" w:pos="2880"/>
          <w:tab w:val="left" w:pos="3600"/>
          <w:tab w:val="left" w:pos="4320"/>
          <w:tab w:val="left" w:pos="5760"/>
          <w:tab w:val="left" w:pos="6480"/>
          <w:tab w:val="left" w:pos="7200"/>
          <w:tab w:val="left" w:pos="7920"/>
        </w:tabs>
        <w:ind w:left="360"/>
        <w:jc w:val="both"/>
        <w:rPr>
          <w:rFonts w:asciiTheme="minorHAnsi" w:eastAsia="Times New Roman" w:hAnsiTheme="minorHAnsi" w:cstheme="minorHAnsi"/>
          <w:sz w:val="22"/>
          <w:szCs w:val="22"/>
          <w:lang w:val="es-419"/>
        </w:rPr>
      </w:pPr>
      <w:r w:rsidRPr="00B62815">
        <w:rPr>
          <w:rFonts w:asciiTheme="minorHAnsi" w:eastAsia="Times New Roman" w:hAnsiTheme="minorHAnsi" w:cstheme="minorHAnsi"/>
          <w:sz w:val="22"/>
          <w:szCs w:val="22"/>
          <w:lang w:val="es-CO"/>
        </w:rPr>
        <w:t xml:space="preserve">Recurso 306 </w:t>
      </w:r>
      <w:r w:rsidRPr="00B62815">
        <w:rPr>
          <w:rFonts w:asciiTheme="minorHAnsi" w:eastAsia="Times New Roman" w:hAnsiTheme="minorHAnsi" w:cstheme="minorHAnsi"/>
          <w:i/>
          <w:sz w:val="22"/>
          <w:szCs w:val="22"/>
          <w:lang w:val="es-CO"/>
        </w:rPr>
        <w:t xml:space="preserve">“Richard Huber vs. Secretario General” </w:t>
      </w:r>
      <w:r w:rsidRPr="00B62815">
        <w:rPr>
          <w:rFonts w:asciiTheme="minorHAnsi" w:eastAsia="Times New Roman" w:hAnsiTheme="minorHAnsi" w:cstheme="minorHAnsi"/>
          <w:sz w:val="22"/>
          <w:szCs w:val="22"/>
          <w:lang w:val="es-CO"/>
        </w:rPr>
        <w:t xml:space="preserve">presentado el 7 de diciembre de 2018, relacionado a garantías del debido proceso. </w:t>
      </w:r>
      <w:r w:rsidRPr="00B62815">
        <w:rPr>
          <w:rFonts w:asciiTheme="minorHAnsi" w:eastAsia="Times New Roman" w:hAnsiTheme="minorHAnsi" w:cstheme="minorHAnsi"/>
          <w:sz w:val="22"/>
          <w:szCs w:val="22"/>
          <w:lang w:val="es-ES"/>
        </w:rPr>
        <w:t>El 5 de diciembre de 2019 el Tribunal emitió la Sentencia 167 concluyendo que el recurrente no presentó de manera adecuada sus reclamaciones en las etapas administrativas previas, lo que impedía al Tribunal conocer y resolver el fondo de sus alegaciones.</w:t>
      </w:r>
    </w:p>
    <w:p w14:paraId="2D8ABCF7"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color w:val="000000"/>
          <w:sz w:val="22"/>
          <w:szCs w:val="22"/>
          <w:lang w:val="es-419"/>
        </w:rPr>
      </w:pPr>
    </w:p>
    <w:p w14:paraId="3E802A65"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sz w:val="22"/>
          <w:szCs w:val="22"/>
          <w:lang w:val="es-ES_tradnl"/>
        </w:rPr>
      </w:pPr>
      <w:r w:rsidRPr="00B62815">
        <w:rPr>
          <w:rFonts w:asciiTheme="minorHAnsi" w:eastAsia="Times New Roman" w:hAnsiTheme="minorHAnsi" w:cstheme="minorHAnsi"/>
          <w:sz w:val="22"/>
          <w:szCs w:val="22"/>
          <w:lang w:val="es-ES"/>
        </w:rPr>
        <w:t xml:space="preserve">El Tribunal Administrativo celebró su primer período extraordinario de sesiones del 9 al 11 de abril de 2019 </w:t>
      </w:r>
      <w:r w:rsidRPr="00B62815">
        <w:rPr>
          <w:rFonts w:asciiTheme="minorHAnsi" w:eastAsia="Times New Roman" w:hAnsiTheme="minorHAnsi" w:cstheme="minorHAnsi"/>
          <w:sz w:val="22"/>
          <w:szCs w:val="22"/>
          <w:lang w:val="es-CO"/>
        </w:rPr>
        <w:t xml:space="preserve">en Washington D.C. </w:t>
      </w:r>
      <w:r w:rsidRPr="00B62815">
        <w:rPr>
          <w:rFonts w:asciiTheme="minorHAnsi" w:eastAsia="Times New Roman" w:hAnsiTheme="minorHAnsi" w:cstheme="minorHAnsi"/>
          <w:sz w:val="22"/>
          <w:szCs w:val="22"/>
          <w:lang w:val="es-ES"/>
        </w:rPr>
        <w:t xml:space="preserve">para sostener audiencias en el marco de los procesos incidentales sobre admisibilidad que fueron abiertos para los Recursos 305 y 306. Posteriormente, del 26 al 28 de agosto de 2019, este órgano celebró su sexagésimo noveno período ordinario para </w:t>
      </w:r>
      <w:r w:rsidRPr="00B62815">
        <w:rPr>
          <w:rFonts w:asciiTheme="minorHAnsi" w:eastAsia="Times New Roman" w:hAnsiTheme="minorHAnsi" w:cstheme="minorHAnsi"/>
          <w:sz w:val="22"/>
          <w:szCs w:val="22"/>
          <w:lang w:val="es-ES_tradnl"/>
        </w:rPr>
        <w:t xml:space="preserve">considerar los documentos presentados por las partes en el marco del Recurso 306 e iniciar la deliberación del caso.  En el marco de tales períodos de sesiones los miembros del Tribunal sostuvieron reuniones con el Comité de Personal en las que se dialogó </w:t>
      </w:r>
      <w:r w:rsidRPr="00B62815">
        <w:rPr>
          <w:rFonts w:asciiTheme="minorHAnsi" w:eastAsia="Times New Roman" w:hAnsiTheme="minorHAnsi" w:cstheme="minorHAnsi"/>
          <w:sz w:val="22"/>
          <w:szCs w:val="22"/>
          <w:lang w:val="es-ES"/>
        </w:rPr>
        <w:t xml:space="preserve">sobre la importancia de dar a conocer al personal los distintos mecanismos existentes en la organización para la solución de controversias; la base de datos de jurisprudencia actualmente en desarrollo, y las necesidades de funcionamiento del Tribunal, entre otros temas. </w:t>
      </w:r>
    </w:p>
    <w:p w14:paraId="55E7364A"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sz w:val="22"/>
          <w:szCs w:val="22"/>
          <w:lang w:val="es-ES_tradnl"/>
        </w:rPr>
      </w:pPr>
    </w:p>
    <w:p w14:paraId="221A874E" w14:textId="622D93F9"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sz w:val="22"/>
          <w:szCs w:val="22"/>
          <w:lang w:val="es-ES_tradnl"/>
        </w:rPr>
      </w:pPr>
      <w:r w:rsidRPr="00B62815">
        <w:rPr>
          <w:rFonts w:asciiTheme="minorHAnsi" w:eastAsia="Times New Roman" w:hAnsiTheme="minorHAnsi" w:cstheme="minorHAnsi"/>
          <w:sz w:val="22"/>
          <w:szCs w:val="22"/>
          <w:lang w:val="es-ES_tradnl"/>
        </w:rPr>
        <w:t>El Tribunal Administrativo asistió a las sesiones de la Comisión de Asuntos Administrativos y Presupuestarios del Consejo Permanente de la OEA en dos oportunidades: e</w:t>
      </w:r>
      <w:r w:rsidRPr="00B62815">
        <w:rPr>
          <w:rFonts w:asciiTheme="minorHAnsi" w:eastAsia="Times New Roman" w:hAnsiTheme="minorHAnsi" w:cstheme="minorHAnsi"/>
          <w:sz w:val="22"/>
          <w:szCs w:val="22"/>
          <w:lang w:val="es-CO"/>
        </w:rPr>
        <w:t xml:space="preserve">l 9 de abril de 2019 para presentar, a través de su Presidente Juez Wilson Vallejo, sus </w:t>
      </w:r>
      <w:r w:rsidRPr="00B62815">
        <w:rPr>
          <w:rFonts w:asciiTheme="minorHAnsi" w:eastAsia="Times New Roman" w:hAnsiTheme="minorHAnsi" w:cstheme="minorHAnsi"/>
          <w:sz w:val="22"/>
          <w:szCs w:val="22"/>
          <w:lang w:val="es-ES"/>
        </w:rPr>
        <w:t xml:space="preserve">comentarios </w:t>
      </w:r>
      <w:r w:rsidR="00665873">
        <w:rPr>
          <w:rFonts w:asciiTheme="minorHAnsi" w:eastAsia="Times New Roman" w:hAnsiTheme="minorHAnsi" w:cstheme="minorHAnsi"/>
          <w:sz w:val="22"/>
          <w:szCs w:val="22"/>
          <w:lang w:val="es-ES"/>
        </w:rPr>
        <w:t xml:space="preserve">con </w:t>
      </w:r>
      <w:r w:rsidRPr="00B62815">
        <w:rPr>
          <w:rFonts w:asciiTheme="minorHAnsi" w:eastAsia="Times New Roman" w:hAnsiTheme="minorHAnsi" w:cstheme="minorHAnsi"/>
          <w:sz w:val="22"/>
          <w:szCs w:val="22"/>
          <w:lang w:val="es-ES"/>
        </w:rPr>
        <w:t xml:space="preserve">relación a la propuesta de programa presupuesto que estaba siendo negociada para el año 2020, y el 16 de abril de 2019 para presentar, a través del Juez T. Michael Peay, su informe anual correspondiente al año 2018. </w:t>
      </w:r>
      <w:r w:rsidRPr="00B62815">
        <w:rPr>
          <w:rFonts w:asciiTheme="minorHAnsi" w:eastAsia="Times New Roman" w:hAnsiTheme="minorHAnsi" w:cstheme="minorHAnsi"/>
          <w:sz w:val="22"/>
          <w:szCs w:val="22"/>
          <w:lang w:val="es-ES_tradnl"/>
        </w:rPr>
        <w:t xml:space="preserve"> Asimismo, </w:t>
      </w:r>
      <w:r w:rsidRPr="00B62815">
        <w:rPr>
          <w:rFonts w:asciiTheme="minorHAnsi" w:eastAsia="Times New Roman" w:hAnsiTheme="minorHAnsi" w:cstheme="minorHAnsi"/>
          <w:sz w:val="22"/>
          <w:szCs w:val="22"/>
          <w:lang w:val="es-ES"/>
        </w:rPr>
        <w:t>en fechas 12 de abril y 26 de julio de 2019 el Tribunal fue recibido por el Secretario General, Luis Almagro, para discutir asuntos administrativos y presupuestarios.</w:t>
      </w:r>
    </w:p>
    <w:p w14:paraId="6EC58DAE"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sz w:val="22"/>
          <w:szCs w:val="22"/>
          <w:lang w:val="es-ES_tradnl"/>
        </w:rPr>
      </w:pPr>
      <w:r w:rsidRPr="00B62815">
        <w:rPr>
          <w:rFonts w:asciiTheme="minorHAnsi" w:eastAsia="Times New Roman" w:hAnsiTheme="minorHAnsi" w:cstheme="minorHAnsi"/>
          <w:sz w:val="22"/>
          <w:szCs w:val="22"/>
          <w:lang w:val="es-ES_tradnl"/>
        </w:rPr>
        <w:t xml:space="preserve"> </w:t>
      </w:r>
    </w:p>
    <w:p w14:paraId="2BD93DF4"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color w:val="000000"/>
          <w:sz w:val="22"/>
          <w:szCs w:val="22"/>
          <w:lang w:val="es-ES"/>
        </w:rPr>
      </w:pPr>
      <w:r w:rsidRPr="00B62815">
        <w:rPr>
          <w:rFonts w:asciiTheme="minorHAnsi" w:eastAsia="Times New Roman" w:hAnsiTheme="minorHAnsi" w:cstheme="minorHAnsi"/>
          <w:color w:val="000000"/>
          <w:sz w:val="22"/>
          <w:szCs w:val="22"/>
          <w:lang w:val="es-ES"/>
        </w:rPr>
        <w:t xml:space="preserve">El Tribunal Administrativo impulsó asimismo otras actividades orientadas a la prevención de conflictos y al fortalecimiento de sus relaciones de cooperación internas y externas, entre las que se destacan las siguientes: </w:t>
      </w:r>
    </w:p>
    <w:p w14:paraId="482A894A"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hanging="360"/>
        <w:jc w:val="both"/>
        <w:rPr>
          <w:rFonts w:asciiTheme="minorHAnsi" w:eastAsia="Times New Roman" w:hAnsiTheme="minorHAnsi" w:cstheme="minorHAnsi"/>
          <w:color w:val="000000"/>
          <w:sz w:val="22"/>
          <w:szCs w:val="22"/>
          <w:lang w:val="es-ES"/>
        </w:rPr>
      </w:pPr>
    </w:p>
    <w:p w14:paraId="4880E651" w14:textId="286633F6" w:rsidR="00824167" w:rsidRPr="00665873" w:rsidRDefault="00824167" w:rsidP="00665873">
      <w:pPr>
        <w:widowControl w:val="0"/>
        <w:numPr>
          <w:ilvl w:val="0"/>
          <w:numId w:val="9"/>
        </w:numPr>
        <w:tabs>
          <w:tab w:val="left" w:pos="360"/>
          <w:tab w:val="left" w:pos="720"/>
          <w:tab w:val="left" w:pos="108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color w:val="000000"/>
          <w:sz w:val="22"/>
          <w:szCs w:val="22"/>
          <w:lang w:val="es-ES"/>
        </w:rPr>
        <w:t>Participación en p</w:t>
      </w:r>
      <w:r w:rsidRPr="00B62815">
        <w:rPr>
          <w:rFonts w:asciiTheme="minorHAnsi" w:eastAsia="Times New Roman" w:hAnsiTheme="minorHAnsi" w:cstheme="minorHAnsi"/>
          <w:sz w:val="22"/>
          <w:szCs w:val="22"/>
          <w:lang w:val="es-ES"/>
        </w:rPr>
        <w:t>anel sobre discriminación, acoso y entorno laboral hostil. E</w:t>
      </w:r>
      <w:r w:rsidRPr="00B62815">
        <w:rPr>
          <w:rFonts w:asciiTheme="minorHAnsi" w:eastAsia="Times New Roman" w:hAnsiTheme="minorHAnsi" w:cstheme="minorHAnsi"/>
          <w:sz w:val="22"/>
          <w:szCs w:val="22"/>
          <w:lang w:val="es-VE"/>
        </w:rPr>
        <w:t xml:space="preserve">ste evento fue </w:t>
      </w:r>
      <w:r w:rsidRPr="00B62815">
        <w:rPr>
          <w:rFonts w:asciiTheme="minorHAnsi" w:eastAsia="Times New Roman" w:hAnsiTheme="minorHAnsi" w:cstheme="minorHAnsi"/>
          <w:sz w:val="22"/>
          <w:szCs w:val="22"/>
          <w:lang w:val="es-419"/>
        </w:rPr>
        <w:t xml:space="preserve">patrocinado por la Sociedad Americana de Derecho Internacional y </w:t>
      </w:r>
      <w:r w:rsidRPr="00B62815">
        <w:rPr>
          <w:rFonts w:asciiTheme="minorHAnsi" w:eastAsia="Times New Roman" w:hAnsiTheme="minorHAnsi" w:cstheme="minorHAnsi"/>
          <w:sz w:val="22"/>
          <w:szCs w:val="22"/>
          <w:lang w:val="es-VE"/>
        </w:rPr>
        <w:t xml:space="preserve">reunió </w:t>
      </w:r>
      <w:r w:rsidRPr="00B62815">
        <w:rPr>
          <w:rFonts w:asciiTheme="minorHAnsi" w:eastAsia="Times New Roman" w:hAnsiTheme="minorHAnsi" w:cstheme="minorHAnsi"/>
          <w:sz w:val="22"/>
          <w:szCs w:val="22"/>
          <w:lang w:val="es-419"/>
        </w:rPr>
        <w:t>a los Secretarios de los Tribunales Administrativos del Banco Mundial, Fondo Monetario Internacional, Banco Interamericano de Desarrollo</w:t>
      </w:r>
      <w:r w:rsidRPr="00B62815">
        <w:rPr>
          <w:rFonts w:asciiTheme="minorHAnsi" w:eastAsia="Times New Roman" w:hAnsiTheme="minorHAnsi" w:cstheme="minorHAnsi"/>
          <w:sz w:val="22"/>
          <w:szCs w:val="22"/>
          <w:lang w:val="es-VE"/>
        </w:rPr>
        <w:t xml:space="preserve"> y OEA, quienes</w:t>
      </w:r>
      <w:r w:rsidRPr="00B62815">
        <w:rPr>
          <w:rFonts w:asciiTheme="minorHAnsi" w:eastAsia="Times New Roman" w:hAnsiTheme="minorHAnsi" w:cstheme="minorHAnsi"/>
          <w:sz w:val="22"/>
          <w:szCs w:val="22"/>
          <w:lang w:val="es-419"/>
        </w:rPr>
        <w:t xml:space="preserve"> compartieron </w:t>
      </w:r>
      <w:r w:rsidRPr="00B62815">
        <w:rPr>
          <w:rFonts w:asciiTheme="minorHAnsi" w:eastAsia="Times New Roman" w:hAnsiTheme="minorHAnsi" w:cstheme="minorHAnsi"/>
          <w:sz w:val="22"/>
          <w:szCs w:val="22"/>
          <w:lang w:val="es-ES"/>
        </w:rPr>
        <w:t xml:space="preserve">jurisprudencia relevante sobre discriminación, acoso y entorno laboral hostil </w:t>
      </w:r>
      <w:r w:rsidRPr="00B62815">
        <w:rPr>
          <w:rFonts w:asciiTheme="minorHAnsi" w:eastAsia="Times New Roman" w:hAnsiTheme="minorHAnsi" w:cstheme="minorHAnsi"/>
          <w:sz w:val="22"/>
          <w:szCs w:val="22"/>
          <w:lang w:val="es-VE"/>
        </w:rPr>
        <w:t>(mayo 2019).</w:t>
      </w:r>
    </w:p>
    <w:p w14:paraId="1410996E" w14:textId="77777777" w:rsidR="005229AA" w:rsidRPr="00B62815" w:rsidRDefault="005229AA" w:rsidP="00824167">
      <w:pPr>
        <w:widowControl w:val="0"/>
        <w:tabs>
          <w:tab w:val="left" w:pos="360"/>
          <w:tab w:val="left" w:pos="720"/>
          <w:tab w:val="left" w:pos="1080"/>
          <w:tab w:val="left" w:pos="2160"/>
          <w:tab w:val="left" w:pos="2880"/>
          <w:tab w:val="left" w:pos="3600"/>
          <w:tab w:val="left" w:pos="4320"/>
          <w:tab w:val="left" w:pos="5760"/>
          <w:tab w:val="left" w:pos="6480"/>
          <w:tab w:val="left" w:pos="7200"/>
          <w:tab w:val="left" w:pos="7920"/>
        </w:tabs>
        <w:ind w:left="720"/>
        <w:jc w:val="both"/>
        <w:rPr>
          <w:rFonts w:asciiTheme="minorHAnsi" w:eastAsia="Times New Roman" w:hAnsiTheme="minorHAnsi" w:cstheme="minorHAnsi"/>
          <w:sz w:val="22"/>
          <w:szCs w:val="22"/>
          <w:lang w:val="es-ES"/>
        </w:rPr>
      </w:pPr>
    </w:p>
    <w:p w14:paraId="5BDAC8EE" w14:textId="77777777" w:rsidR="00824167" w:rsidRPr="00B62815" w:rsidRDefault="00824167" w:rsidP="00E67635">
      <w:pPr>
        <w:widowControl w:val="0"/>
        <w:numPr>
          <w:ilvl w:val="0"/>
          <w:numId w:val="9"/>
        </w:numPr>
        <w:tabs>
          <w:tab w:val="left" w:pos="360"/>
          <w:tab w:val="left" w:pos="720"/>
          <w:tab w:val="left" w:pos="108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sz w:val="22"/>
          <w:szCs w:val="22"/>
          <w:lang w:val="es-419"/>
        </w:rPr>
      </w:pPr>
      <w:r w:rsidRPr="00B62815">
        <w:rPr>
          <w:rFonts w:asciiTheme="minorHAnsi" w:eastAsia="Times New Roman" w:hAnsiTheme="minorHAnsi" w:cstheme="minorHAnsi"/>
          <w:color w:val="000000"/>
          <w:sz w:val="22"/>
          <w:szCs w:val="22"/>
          <w:lang w:val="es-ES"/>
        </w:rPr>
        <w:t xml:space="preserve">Reunión con la Ombudsperson de la OEA para dialogar sobre </w:t>
      </w:r>
      <w:r w:rsidRPr="00B62815">
        <w:rPr>
          <w:rFonts w:asciiTheme="minorHAnsi" w:eastAsia="Times New Roman" w:hAnsiTheme="minorHAnsi" w:cstheme="minorHAnsi"/>
          <w:sz w:val="22"/>
          <w:szCs w:val="22"/>
          <w:lang w:val="es-419"/>
        </w:rPr>
        <w:t>política de acoso laboral, alternativas para facilitar la comprensión sobre el sistema de administración de justicia, opciones de presupuesto independiente, entre otros temas (diciembre 2019</w:t>
      </w:r>
      <w:r w:rsidRPr="00B62815">
        <w:rPr>
          <w:rFonts w:asciiTheme="minorHAnsi" w:eastAsia="Times New Roman" w:hAnsiTheme="minorHAnsi" w:cstheme="minorHAnsi"/>
          <w:sz w:val="22"/>
          <w:szCs w:val="22"/>
          <w:lang w:val="es-VE"/>
        </w:rPr>
        <w:t>).</w:t>
      </w:r>
    </w:p>
    <w:p w14:paraId="735B4699" w14:textId="77777777" w:rsidR="00824167" w:rsidRPr="00B62815" w:rsidRDefault="00824167" w:rsidP="00824167">
      <w:pPr>
        <w:widowControl w:val="0"/>
        <w:tabs>
          <w:tab w:val="left" w:pos="360"/>
          <w:tab w:val="left" w:pos="720"/>
          <w:tab w:val="left" w:pos="1080"/>
          <w:tab w:val="left" w:pos="2160"/>
          <w:tab w:val="left" w:pos="2880"/>
          <w:tab w:val="left" w:pos="3600"/>
          <w:tab w:val="left" w:pos="4320"/>
          <w:tab w:val="left" w:pos="5760"/>
          <w:tab w:val="left" w:pos="6480"/>
          <w:tab w:val="left" w:pos="7200"/>
          <w:tab w:val="left" w:pos="7920"/>
        </w:tabs>
        <w:ind w:left="720"/>
        <w:jc w:val="both"/>
        <w:rPr>
          <w:rFonts w:asciiTheme="minorHAnsi" w:eastAsia="Times New Roman" w:hAnsiTheme="minorHAnsi" w:cstheme="minorHAnsi"/>
          <w:sz w:val="22"/>
          <w:szCs w:val="22"/>
          <w:lang w:val="es-ES"/>
        </w:rPr>
      </w:pPr>
    </w:p>
    <w:p w14:paraId="0FB04A41"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color w:val="000000"/>
          <w:sz w:val="22"/>
          <w:szCs w:val="22"/>
          <w:lang w:val="es-ES"/>
        </w:rPr>
      </w:pPr>
      <w:r w:rsidRPr="00B62815">
        <w:rPr>
          <w:rFonts w:asciiTheme="minorHAnsi" w:eastAsia="Times New Roman" w:hAnsiTheme="minorHAnsi" w:cstheme="minorHAnsi"/>
          <w:color w:val="000000"/>
          <w:sz w:val="22"/>
          <w:szCs w:val="22"/>
          <w:lang w:val="es-ES"/>
        </w:rPr>
        <w:t>Durante el año 2019 se continuaron asimismo las tareas para el desarrollo de la plataforma que alojará el nuevo motor de búsqueda de decisiones del Tribunal.</w:t>
      </w:r>
    </w:p>
    <w:p w14:paraId="791D5E07"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color w:val="000000"/>
          <w:sz w:val="22"/>
          <w:szCs w:val="22"/>
          <w:lang w:val="es-ES"/>
        </w:rPr>
      </w:pPr>
    </w:p>
    <w:p w14:paraId="76AD1825"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color w:val="000000"/>
          <w:sz w:val="22"/>
          <w:szCs w:val="22"/>
          <w:lang w:val="es-ES"/>
        </w:rPr>
      </w:pPr>
    </w:p>
    <w:p w14:paraId="698428F8" w14:textId="77777777" w:rsidR="00824167" w:rsidRPr="00B62815" w:rsidRDefault="001C2CF3"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center"/>
        <w:rPr>
          <w:rFonts w:asciiTheme="minorHAnsi" w:eastAsia="Times New Roman" w:hAnsiTheme="minorHAnsi" w:cstheme="minorHAnsi"/>
          <w:sz w:val="22"/>
          <w:szCs w:val="22"/>
          <w:lang w:val="es-ES"/>
        </w:rPr>
      </w:pPr>
      <w:r w:rsidRPr="00B62815">
        <w:rPr>
          <w:rFonts w:asciiTheme="minorHAnsi" w:eastAsia="Times New Roman" w:hAnsiTheme="minorHAnsi" w:cstheme="minorHAnsi"/>
          <w:noProof/>
          <w:sz w:val="22"/>
          <w:szCs w:val="22"/>
        </w:rPr>
        <w:drawing>
          <wp:inline distT="0" distB="0" distL="0" distR="0" wp14:anchorId="101DFBC4" wp14:editId="6950353D">
            <wp:extent cx="4783455" cy="3464560"/>
            <wp:effectExtent l="0" t="0" r="0" b="0"/>
            <wp:docPr id="26" name="Picture 26" descr="Foto Tribu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 Tribunal"/>
                    <pic:cNvPicPr>
                      <a:picLocks noChangeAspect="1" noChangeArrowheads="1"/>
                    </pic:cNvPicPr>
                  </pic:nvPicPr>
                  <pic:blipFill>
                    <a:blip r:embed="rId200">
                      <a:extLst>
                        <a:ext uri="{28A0092B-C50C-407E-A947-70E740481C1C}">
                          <a14:useLocalDpi xmlns:a14="http://schemas.microsoft.com/office/drawing/2010/main"/>
                        </a:ext>
                      </a:extLst>
                    </a:blip>
                    <a:srcRect/>
                    <a:stretch>
                      <a:fillRect/>
                    </a:stretch>
                  </pic:blipFill>
                  <pic:spPr bwMode="auto">
                    <a:xfrm>
                      <a:off x="0" y="0"/>
                      <a:ext cx="4783455" cy="3464560"/>
                    </a:xfrm>
                    <a:prstGeom prst="rect">
                      <a:avLst/>
                    </a:prstGeom>
                    <a:noFill/>
                    <a:ln>
                      <a:noFill/>
                    </a:ln>
                  </pic:spPr>
                </pic:pic>
              </a:graphicData>
            </a:graphic>
          </wp:inline>
        </w:drawing>
      </w:r>
    </w:p>
    <w:p w14:paraId="0E2490BB" w14:textId="77777777" w:rsidR="00824167" w:rsidRPr="00B62815" w:rsidRDefault="00824167" w:rsidP="00824167">
      <w:pPr>
        <w:widowControl w:val="0"/>
        <w:tabs>
          <w:tab w:val="left" w:pos="720"/>
          <w:tab w:val="left" w:pos="1440"/>
          <w:tab w:val="left" w:pos="2160"/>
          <w:tab w:val="left" w:pos="2880"/>
          <w:tab w:val="left" w:pos="3600"/>
          <w:tab w:val="left" w:pos="4320"/>
          <w:tab w:val="left" w:pos="5760"/>
          <w:tab w:val="left" w:pos="6480"/>
          <w:tab w:val="left" w:pos="7200"/>
          <w:tab w:val="left" w:pos="7920"/>
        </w:tabs>
        <w:jc w:val="center"/>
        <w:rPr>
          <w:rFonts w:asciiTheme="minorHAnsi" w:eastAsia="Times New Roman" w:hAnsiTheme="minorHAnsi" w:cstheme="minorHAnsi"/>
          <w:sz w:val="22"/>
          <w:szCs w:val="22"/>
          <w:lang w:val="es-ES"/>
        </w:rPr>
      </w:pPr>
    </w:p>
    <w:p w14:paraId="2BD11939" w14:textId="77777777" w:rsidR="006058FF" w:rsidRPr="00B62815" w:rsidRDefault="006058FF" w:rsidP="00D5464C">
      <w:pPr>
        <w:pStyle w:val="ListParagraph"/>
        <w:spacing w:after="200" w:line="276" w:lineRule="auto"/>
        <w:ind w:left="0"/>
        <w:contextualSpacing/>
        <w:rPr>
          <w:rFonts w:asciiTheme="minorHAnsi" w:hAnsiTheme="minorHAnsi" w:cstheme="minorHAnsi"/>
          <w:sz w:val="22"/>
          <w:szCs w:val="22"/>
          <w:lang w:val="es-ES"/>
        </w:rPr>
      </w:pPr>
    </w:p>
    <w:p w14:paraId="0FC15788" w14:textId="77777777" w:rsidR="00AD19FE" w:rsidRPr="00B62815" w:rsidRDefault="00D2474B" w:rsidP="0037172C">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01" w:name="_Toc39675864"/>
      <w:bookmarkStart w:id="102" w:name="_Toc40191087"/>
      <w:r w:rsidRPr="00B62815">
        <w:rPr>
          <w:rFonts w:asciiTheme="minorHAnsi" w:hAnsiTheme="minorHAnsi" w:cstheme="minorHAnsi"/>
          <w:b/>
          <w:color w:val="1F497D"/>
          <w:sz w:val="22"/>
          <w:szCs w:val="22"/>
          <w:lang w:val="es-ES"/>
        </w:rPr>
        <w:t>3.4</w:t>
      </w:r>
      <w:r w:rsidRPr="00B62815">
        <w:rPr>
          <w:rFonts w:asciiTheme="minorHAnsi" w:hAnsiTheme="minorHAnsi" w:cstheme="minorHAnsi"/>
          <w:b/>
          <w:color w:val="1F497D"/>
          <w:sz w:val="22"/>
          <w:szCs w:val="22"/>
          <w:lang w:val="es-ES"/>
        </w:rPr>
        <w:tab/>
        <w:t>INSTITUTO INTERAMERICANO DEL NIÑO, LA NIÑA Y ADOLESCENTES</w:t>
      </w:r>
      <w:bookmarkEnd w:id="101"/>
      <w:bookmarkEnd w:id="102"/>
    </w:p>
    <w:p w14:paraId="0747BC40" w14:textId="77777777" w:rsidR="00A406FE" w:rsidRPr="00B62815" w:rsidRDefault="00A406FE" w:rsidP="00A406FE">
      <w:pPr>
        <w:jc w:val="both"/>
        <w:rPr>
          <w:rFonts w:asciiTheme="minorHAnsi" w:hAnsiTheme="minorHAnsi" w:cstheme="minorHAnsi"/>
          <w:sz w:val="22"/>
          <w:szCs w:val="22"/>
          <w:lang w:val="es-ES"/>
        </w:rPr>
      </w:pPr>
      <w:bookmarkStart w:id="103" w:name="_Hlk32399425"/>
      <w:r w:rsidRPr="00B62815">
        <w:rPr>
          <w:rFonts w:asciiTheme="minorHAnsi" w:hAnsiTheme="minorHAnsi" w:cstheme="minorHAnsi"/>
          <w:sz w:val="22"/>
          <w:szCs w:val="22"/>
          <w:lang w:val="es-ES"/>
        </w:rPr>
        <w:t>El 2019 fue un año de transición entre el Plan de Acción 2015-2019 y la elaboración del nuevo Plan 2019-2023, aprobado en la 94º Reunión del Consejo Directivo</w:t>
      </w:r>
      <w:r w:rsidRPr="00B62815">
        <w:rPr>
          <w:rStyle w:val="FootnoteReference"/>
          <w:rFonts w:asciiTheme="minorHAnsi" w:hAnsiTheme="minorHAnsi" w:cstheme="minorHAnsi"/>
          <w:sz w:val="22"/>
          <w:szCs w:val="22"/>
          <w:lang w:val="es-ES"/>
        </w:rPr>
        <w:footnoteReference w:id="9"/>
      </w:r>
      <w:r w:rsidRPr="00B62815">
        <w:rPr>
          <w:rFonts w:asciiTheme="minorHAnsi" w:hAnsiTheme="minorHAnsi" w:cstheme="minorHAnsi"/>
          <w:sz w:val="22"/>
          <w:szCs w:val="22"/>
          <w:lang w:val="es-ES"/>
        </w:rPr>
        <w:t>. Para su elaboración se consultó a Estados, Sociedad Civil y organizaciones de niños, niñas y adolescentes.</w:t>
      </w:r>
    </w:p>
    <w:p w14:paraId="660D8D6F" w14:textId="77777777" w:rsidR="00A406FE" w:rsidRPr="00B62815" w:rsidRDefault="00A406FE" w:rsidP="00A406FE">
      <w:pPr>
        <w:jc w:val="both"/>
        <w:rPr>
          <w:rFonts w:asciiTheme="minorHAnsi" w:hAnsiTheme="minorHAnsi" w:cstheme="minorHAnsi"/>
          <w:sz w:val="22"/>
          <w:szCs w:val="22"/>
          <w:lang w:val="es-ES"/>
        </w:rPr>
      </w:pPr>
    </w:p>
    <w:p w14:paraId="30F7BF48" w14:textId="77777777" w:rsidR="00A406FE" w:rsidRPr="00B62815" w:rsidRDefault="00A406FE" w:rsidP="00A406FE">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logros alcanzados</w:t>
      </w:r>
    </w:p>
    <w:p w14:paraId="2B71EC79" w14:textId="77777777" w:rsidR="00A406FE" w:rsidRPr="00B62815" w:rsidRDefault="00A406FE" w:rsidP="00A406FE">
      <w:pPr>
        <w:jc w:val="both"/>
        <w:rPr>
          <w:rFonts w:asciiTheme="minorHAnsi" w:hAnsiTheme="minorHAnsi" w:cstheme="minorHAnsi"/>
          <w:sz w:val="22"/>
          <w:szCs w:val="22"/>
          <w:lang w:val="es-ES"/>
        </w:rPr>
      </w:pPr>
    </w:p>
    <w:p w14:paraId="4C89A417" w14:textId="77777777" w:rsidR="00A406FE" w:rsidRPr="00B62815" w:rsidRDefault="00A406FE" w:rsidP="00E67635">
      <w:pPr>
        <w:pStyle w:val="ListParagraph"/>
        <w:numPr>
          <w:ilvl w:val="0"/>
          <w:numId w:val="3"/>
        </w:numPr>
        <w:contextualSpacing/>
        <w:jc w:val="both"/>
        <w:rPr>
          <w:rFonts w:asciiTheme="minorHAnsi" w:eastAsia="Calibri" w:hAnsiTheme="minorHAnsi" w:cstheme="minorHAnsi"/>
          <w:sz w:val="22"/>
          <w:szCs w:val="22"/>
          <w:lang w:val="es-ES"/>
        </w:rPr>
      </w:pPr>
      <w:r w:rsidRPr="00B62815">
        <w:rPr>
          <w:rFonts w:asciiTheme="minorHAnsi" w:hAnsiTheme="minorHAnsi" w:cstheme="minorHAnsi"/>
          <w:sz w:val="22"/>
          <w:szCs w:val="22"/>
          <w:lang w:val="es-ES"/>
        </w:rPr>
        <w:t xml:space="preserve">Colombia: XXII Congreso Panamericano de niños niñas y adolescente, III Foro de Sociedad Civil y el III Foro de niños niñas y adolescentes. En este marco, </w:t>
      </w:r>
      <w:r w:rsidRPr="00B62815">
        <w:rPr>
          <w:rFonts w:asciiTheme="minorHAnsi" w:eastAsia="+mn-ea" w:hAnsiTheme="minorHAnsi" w:cstheme="minorHAnsi"/>
          <w:color w:val="000000"/>
          <w:kern w:val="24"/>
          <w:sz w:val="22"/>
          <w:szCs w:val="22"/>
          <w:lang w:val="es-ES"/>
        </w:rPr>
        <w:t>III Foro de la Sociedad Civil.</w:t>
      </w:r>
    </w:p>
    <w:p w14:paraId="5768E0CB" w14:textId="77777777" w:rsidR="00A406FE" w:rsidRPr="00B62815" w:rsidRDefault="00A406FE" w:rsidP="00E67635">
      <w:pPr>
        <w:pStyle w:val="ListParagraph"/>
        <w:numPr>
          <w:ilvl w:val="0"/>
          <w:numId w:val="84"/>
        </w:numPr>
        <w:contextualSpacing/>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Organismo referente en políticas de niñez y adolescencia en la región: </w:t>
      </w:r>
    </w:p>
    <w:p w14:paraId="6D84AECD" w14:textId="77777777" w:rsidR="00A406FE" w:rsidRPr="00B62815" w:rsidRDefault="00A406FE" w:rsidP="00E67635">
      <w:pPr>
        <w:pStyle w:val="ListParagraph"/>
        <w:numPr>
          <w:ilvl w:val="1"/>
          <w:numId w:val="84"/>
        </w:numPr>
        <w:contextualSpacing/>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Comité de los DDNN.</w:t>
      </w:r>
    </w:p>
    <w:p w14:paraId="1632CD43" w14:textId="77777777" w:rsidR="00A406FE" w:rsidRPr="00B62815" w:rsidRDefault="00A406FE" w:rsidP="00E67635">
      <w:pPr>
        <w:pStyle w:val="ListParagraph"/>
        <w:numPr>
          <w:ilvl w:val="1"/>
          <w:numId w:val="84"/>
        </w:numPr>
        <w:contextualSpacing/>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Oficina de la Representante Especial de ONU sobre violencia contra los niños.</w:t>
      </w:r>
    </w:p>
    <w:p w14:paraId="35F92E46" w14:textId="77777777" w:rsidR="00A406FE" w:rsidRPr="00B62815" w:rsidRDefault="00A406FE" w:rsidP="00E67635">
      <w:pPr>
        <w:pStyle w:val="ListParagraph"/>
        <w:numPr>
          <w:ilvl w:val="1"/>
          <w:numId w:val="84"/>
        </w:numPr>
        <w:contextualSpacing/>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Asistencia técnica a la Comisión Niñ@Sur.</w:t>
      </w:r>
    </w:p>
    <w:p w14:paraId="33711058" w14:textId="77777777" w:rsidR="00A406FE" w:rsidRPr="00B62815" w:rsidRDefault="00A406FE" w:rsidP="00E67635">
      <w:pPr>
        <w:pStyle w:val="ListParagraph"/>
        <w:numPr>
          <w:ilvl w:val="1"/>
          <w:numId w:val="84"/>
        </w:numPr>
        <w:contextualSpacing/>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Acuerdo con SICA.</w:t>
      </w:r>
    </w:p>
    <w:p w14:paraId="138CBC70" w14:textId="77777777" w:rsidR="00A406FE" w:rsidRPr="00B62815" w:rsidRDefault="00A406FE" w:rsidP="00E67635">
      <w:pPr>
        <w:pStyle w:val="ListParagraph"/>
        <w:numPr>
          <w:ilvl w:val="0"/>
          <w:numId w:val="3"/>
        </w:numPr>
        <w:contextualSpacing/>
        <w:jc w:val="both"/>
        <w:rPr>
          <w:rFonts w:asciiTheme="minorHAnsi" w:eastAsia="Calibri" w:hAnsiTheme="minorHAnsi" w:cstheme="minorHAnsi"/>
          <w:sz w:val="22"/>
          <w:szCs w:val="22"/>
          <w:lang w:val="es-ES"/>
        </w:rPr>
      </w:pPr>
      <w:r w:rsidRPr="00B62815">
        <w:rPr>
          <w:rFonts w:asciiTheme="minorHAnsi" w:eastAsia="+mn-ea" w:hAnsiTheme="minorHAnsi" w:cstheme="minorHAnsi"/>
          <w:color w:val="000000"/>
          <w:kern w:val="24"/>
          <w:sz w:val="22"/>
          <w:szCs w:val="22"/>
          <w:lang w:val="es-ES"/>
        </w:rPr>
        <w:t xml:space="preserve">Asumimos la Secretaría del Movimiento Mundial por la Infancia de América Latina. </w:t>
      </w:r>
    </w:p>
    <w:p w14:paraId="1925DE92" w14:textId="77777777" w:rsidR="00A406FE" w:rsidRPr="00B62815" w:rsidRDefault="00A406FE" w:rsidP="00E67635">
      <w:pPr>
        <w:pStyle w:val="ListParagraph"/>
        <w:numPr>
          <w:ilvl w:val="0"/>
          <w:numId w:val="3"/>
        </w:numPr>
        <w:contextualSpacing/>
        <w:rPr>
          <w:rFonts w:asciiTheme="minorHAnsi" w:hAnsiTheme="minorHAnsi" w:cstheme="minorHAnsi"/>
          <w:sz w:val="22"/>
          <w:szCs w:val="22"/>
          <w:lang w:val="es-ES"/>
        </w:rPr>
      </w:pPr>
      <w:r w:rsidRPr="00B62815">
        <w:rPr>
          <w:rFonts w:asciiTheme="minorHAnsi" w:eastAsia="+mn-ea" w:hAnsiTheme="minorHAnsi" w:cstheme="minorHAnsi"/>
          <w:bCs/>
          <w:iCs/>
          <w:sz w:val="22"/>
          <w:szCs w:val="22"/>
          <w:lang w:val="es-UY"/>
        </w:rPr>
        <w:t>9 de junio “Dia de la Niñez y la adolescencia de las Américas”</w:t>
      </w:r>
      <w:r w:rsidRPr="00B62815">
        <w:rPr>
          <w:rFonts w:asciiTheme="minorHAnsi" w:eastAsia="+mn-ea" w:hAnsiTheme="minorHAnsi" w:cstheme="minorHAnsi"/>
          <w:color w:val="000000"/>
          <w:kern w:val="24"/>
          <w:sz w:val="22"/>
          <w:szCs w:val="22"/>
          <w:lang w:val="es-UY"/>
        </w:rPr>
        <w:t xml:space="preserve"> </w:t>
      </w:r>
      <w:r w:rsidRPr="00B62815">
        <w:rPr>
          <w:rFonts w:asciiTheme="minorHAnsi" w:eastAsia="+mn-ea" w:hAnsiTheme="minorHAnsi" w:cstheme="minorHAnsi"/>
          <w:bCs/>
          <w:iCs/>
          <w:sz w:val="22"/>
          <w:szCs w:val="22"/>
          <w:lang w:val="es-UY"/>
        </w:rPr>
        <w:t xml:space="preserve">celebrado en: Chile, Colombia, Ecuador, El Salvador, México, Panamá, Paraguay, Perú y Uruguay. </w:t>
      </w:r>
    </w:p>
    <w:p w14:paraId="5CD83E43" w14:textId="77777777" w:rsidR="00A406FE" w:rsidRPr="00B62815" w:rsidRDefault="00A406FE" w:rsidP="00E67635">
      <w:pPr>
        <w:pStyle w:val="ListParagraph"/>
        <w:numPr>
          <w:ilvl w:val="1"/>
          <w:numId w:val="3"/>
        </w:numPr>
        <w:contextualSpacing/>
        <w:rPr>
          <w:rFonts w:asciiTheme="minorHAnsi" w:hAnsiTheme="minorHAnsi" w:cstheme="minorHAnsi"/>
          <w:sz w:val="22"/>
          <w:szCs w:val="22"/>
          <w:lang w:val="es-ES"/>
        </w:rPr>
      </w:pPr>
      <w:r w:rsidRPr="00B62815">
        <w:rPr>
          <w:rFonts w:asciiTheme="minorHAnsi" w:eastAsia="+mn-ea" w:hAnsiTheme="minorHAnsi" w:cstheme="minorHAnsi"/>
          <w:bCs/>
          <w:iCs/>
          <w:sz w:val="22"/>
          <w:szCs w:val="22"/>
          <w:lang w:val="es-UY"/>
        </w:rPr>
        <w:t>P</w:t>
      </w:r>
      <w:r w:rsidRPr="00B62815">
        <w:rPr>
          <w:rFonts w:asciiTheme="minorHAnsi" w:eastAsia="+mn-ea" w:hAnsiTheme="minorHAnsi" w:cstheme="minorHAnsi"/>
          <w:sz w:val="22"/>
          <w:szCs w:val="22"/>
          <w:lang w:val="es-UY"/>
        </w:rPr>
        <w:t xml:space="preserve">roclama </w:t>
      </w:r>
      <w:r w:rsidRPr="00B62815">
        <w:rPr>
          <w:rFonts w:asciiTheme="minorHAnsi" w:eastAsia="+mn-ea" w:hAnsiTheme="minorHAnsi" w:cstheme="minorHAnsi"/>
          <w:bCs/>
          <w:sz w:val="22"/>
          <w:szCs w:val="22"/>
          <w:lang w:val="es-UY"/>
        </w:rPr>
        <w:t>“No son favores son Derechos”</w:t>
      </w:r>
      <w:r w:rsidRPr="00B62815">
        <w:rPr>
          <w:rFonts w:asciiTheme="minorHAnsi" w:eastAsia="+mn-ea" w:hAnsiTheme="minorHAnsi" w:cstheme="minorHAnsi"/>
          <w:sz w:val="22"/>
          <w:szCs w:val="22"/>
          <w:lang w:val="es-UY"/>
        </w:rPr>
        <w:t xml:space="preserve"> – redactada por la Red CORIA.</w:t>
      </w:r>
    </w:p>
    <w:p w14:paraId="6ED96528" w14:textId="77777777" w:rsidR="00A406FE" w:rsidRPr="00B62815" w:rsidRDefault="00A406FE" w:rsidP="00E67635">
      <w:pPr>
        <w:pStyle w:val="ListParagraph"/>
        <w:numPr>
          <w:ilvl w:val="0"/>
          <w:numId w:val="3"/>
        </w:numPr>
        <w:contextualSpacing/>
        <w:rPr>
          <w:rFonts w:asciiTheme="minorHAnsi" w:hAnsiTheme="minorHAnsi" w:cstheme="minorHAnsi"/>
          <w:sz w:val="22"/>
          <w:szCs w:val="22"/>
          <w:lang w:val="es-ES"/>
        </w:rPr>
      </w:pPr>
      <w:r w:rsidRPr="00B62815">
        <w:rPr>
          <w:rFonts w:asciiTheme="minorHAnsi" w:eastAsia="+mn-ea" w:hAnsiTheme="minorHAnsi" w:cstheme="minorHAnsi"/>
          <w:kern w:val="24"/>
          <w:sz w:val="22"/>
          <w:szCs w:val="22"/>
          <w:lang w:val="es-UY"/>
        </w:rPr>
        <w:t>Ecuador: impulsar una Convención Interamericana para la erradicación de la violencia hacia niños, niñas y adolescentes.</w:t>
      </w:r>
    </w:p>
    <w:p w14:paraId="250AA10D" w14:textId="77777777" w:rsidR="00A406FE" w:rsidRPr="00B62815" w:rsidRDefault="00A406FE" w:rsidP="00E67635">
      <w:pPr>
        <w:numPr>
          <w:ilvl w:val="0"/>
          <w:numId w:val="3"/>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319 personas capacitadas cubriendo todos los Estados del Sistema Interamericano.</w:t>
      </w:r>
    </w:p>
    <w:p w14:paraId="23D12A65" w14:textId="77777777" w:rsidR="00A406FE" w:rsidRPr="00B62815" w:rsidRDefault="00A406FE" w:rsidP="00E67635">
      <w:pPr>
        <w:numPr>
          <w:ilvl w:val="0"/>
          <w:numId w:val="3"/>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Instalación de Centros de Formación sobre políticas de niñez</w:t>
      </w:r>
    </w:p>
    <w:p w14:paraId="2A5420C9" w14:textId="77777777" w:rsidR="00A406FE" w:rsidRPr="00B62815" w:rsidRDefault="00A406FE" w:rsidP="00E67635">
      <w:pPr>
        <w:numPr>
          <w:ilvl w:val="0"/>
          <w:numId w:val="3"/>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Paraguay, Guatemala y Costa Rica.</w:t>
      </w:r>
    </w:p>
    <w:p w14:paraId="787A8C6B" w14:textId="77777777" w:rsidR="00A406FE" w:rsidRPr="00B62815" w:rsidRDefault="00A406FE" w:rsidP="00E67635">
      <w:pPr>
        <w:numPr>
          <w:ilvl w:val="0"/>
          <w:numId w:val="3"/>
        </w:numPr>
        <w:jc w:val="both"/>
        <w:rPr>
          <w:rFonts w:asciiTheme="minorHAnsi" w:hAnsiTheme="minorHAnsi" w:cstheme="minorHAnsi"/>
          <w:sz w:val="22"/>
          <w:szCs w:val="22"/>
          <w:lang w:val="es-ES"/>
        </w:rPr>
      </w:pPr>
      <w:r w:rsidRPr="00B62815">
        <w:rPr>
          <w:rFonts w:asciiTheme="minorHAnsi" w:eastAsia="+mn-ea" w:hAnsiTheme="minorHAnsi" w:cstheme="minorHAnsi"/>
          <w:color w:val="000000"/>
          <w:kern w:val="24"/>
          <w:sz w:val="22"/>
          <w:szCs w:val="22"/>
          <w:lang w:val="es-UY"/>
        </w:rPr>
        <w:t xml:space="preserve">1er Encuentro subregional sobre cuidados alternativos: Costa Rica, Guatemala, Nicaragua, Honduras, Panamá, México, República Dominicana, Haití, Brasil. </w:t>
      </w:r>
    </w:p>
    <w:p w14:paraId="1069D711" w14:textId="77777777" w:rsidR="00A406FE" w:rsidRPr="00B62815" w:rsidRDefault="00A406FE" w:rsidP="00E67635">
      <w:pPr>
        <w:numPr>
          <w:ilvl w:val="0"/>
          <w:numId w:val="3"/>
        </w:numPr>
        <w:jc w:val="both"/>
        <w:rPr>
          <w:rFonts w:asciiTheme="minorHAnsi" w:hAnsiTheme="minorHAnsi" w:cstheme="minorHAnsi"/>
          <w:sz w:val="22"/>
          <w:szCs w:val="22"/>
          <w:lang w:val="es-ES"/>
        </w:rPr>
      </w:pPr>
      <w:r w:rsidRPr="00B62815">
        <w:rPr>
          <w:rFonts w:asciiTheme="minorHAnsi" w:eastAsia="+mn-ea" w:hAnsiTheme="minorHAnsi" w:cstheme="minorHAnsi"/>
          <w:color w:val="000000"/>
          <w:kern w:val="24"/>
          <w:sz w:val="22"/>
          <w:szCs w:val="22"/>
          <w:lang w:val="es-ES"/>
        </w:rPr>
        <w:t xml:space="preserve">Curso semi-presencial violencia realizado conjuntamente con </w:t>
      </w:r>
      <w:r w:rsidRPr="00B62815">
        <w:rPr>
          <w:rFonts w:asciiTheme="minorHAnsi" w:hAnsiTheme="minorHAnsi" w:cstheme="minorHAnsi"/>
          <w:sz w:val="22"/>
          <w:szCs w:val="22"/>
          <w:lang w:val="es-UY"/>
        </w:rPr>
        <w:t xml:space="preserve">Chile, Ecuador, El Salvador, Guatemala, Honduras, México y Paraguay alcanzando a 188 personas. </w:t>
      </w:r>
    </w:p>
    <w:p w14:paraId="476C53C2" w14:textId="77777777" w:rsidR="00A406FE" w:rsidRPr="00B62815" w:rsidRDefault="00A406FE" w:rsidP="00E67635">
      <w:pPr>
        <w:numPr>
          <w:ilvl w:val="0"/>
          <w:numId w:val="3"/>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Acuerdo con la Plataforma NNAPES: Orientación técnica para la protección de derechos de niños y niñas con padres privados de libertad.</w:t>
      </w:r>
    </w:p>
    <w:p w14:paraId="21D6163D" w14:textId="77777777" w:rsidR="00A406FE" w:rsidRPr="00B62815" w:rsidRDefault="00A406FE" w:rsidP="00E67635">
      <w:pPr>
        <w:pStyle w:val="ListParagraph"/>
        <w:numPr>
          <w:ilvl w:val="0"/>
          <w:numId w:val="3"/>
        </w:numPr>
        <w:contextualSpacing/>
        <w:jc w:val="both"/>
        <w:rPr>
          <w:rFonts w:asciiTheme="minorHAnsi" w:eastAsia="+mn-ea" w:hAnsiTheme="minorHAnsi" w:cstheme="minorHAnsi"/>
          <w:color w:val="000000"/>
          <w:kern w:val="24"/>
          <w:sz w:val="22"/>
          <w:szCs w:val="22"/>
          <w:lang w:val="es-ES"/>
        </w:rPr>
      </w:pPr>
      <w:r w:rsidRPr="00B62815">
        <w:rPr>
          <w:rFonts w:asciiTheme="minorHAnsi" w:eastAsia="+mn-ea" w:hAnsiTheme="minorHAnsi" w:cstheme="minorHAnsi"/>
          <w:color w:val="000000"/>
          <w:kern w:val="24"/>
          <w:sz w:val="22"/>
          <w:szCs w:val="22"/>
          <w:lang w:val="es-ES"/>
        </w:rPr>
        <w:t xml:space="preserve">ESNNA: </w:t>
      </w:r>
    </w:p>
    <w:p w14:paraId="2D1FF70E" w14:textId="77777777" w:rsidR="00A406FE" w:rsidRPr="00B62815" w:rsidRDefault="00A406FE" w:rsidP="00E67635">
      <w:pPr>
        <w:pStyle w:val="ListParagraph"/>
        <w:numPr>
          <w:ilvl w:val="1"/>
          <w:numId w:val="3"/>
        </w:numPr>
        <w:contextualSpacing/>
        <w:jc w:val="both"/>
        <w:rPr>
          <w:rFonts w:asciiTheme="minorHAnsi" w:eastAsia="+mn-ea" w:hAnsiTheme="minorHAnsi" w:cstheme="minorHAnsi"/>
          <w:color w:val="000000"/>
          <w:kern w:val="24"/>
          <w:sz w:val="22"/>
          <w:szCs w:val="22"/>
          <w:lang w:val="es-ES"/>
        </w:rPr>
      </w:pPr>
      <w:r w:rsidRPr="00B62815">
        <w:rPr>
          <w:rFonts w:asciiTheme="minorHAnsi" w:eastAsia="+mn-ea" w:hAnsiTheme="minorHAnsi" w:cstheme="minorHAnsi"/>
          <w:color w:val="000000"/>
          <w:kern w:val="24"/>
          <w:sz w:val="22"/>
          <w:szCs w:val="22"/>
          <w:lang w:val="es-UY"/>
        </w:rPr>
        <w:t xml:space="preserve">Grupo de Acción Regional de las Américas. </w:t>
      </w:r>
    </w:p>
    <w:p w14:paraId="3E55A635" w14:textId="77777777" w:rsidR="00A406FE" w:rsidRPr="00B62815" w:rsidRDefault="00A406FE" w:rsidP="00E67635">
      <w:pPr>
        <w:pStyle w:val="ListParagraph"/>
        <w:numPr>
          <w:ilvl w:val="1"/>
          <w:numId w:val="3"/>
        </w:numPr>
        <w:contextualSpacing/>
        <w:jc w:val="both"/>
        <w:rPr>
          <w:rFonts w:asciiTheme="minorHAnsi" w:eastAsia="+mn-ea" w:hAnsiTheme="minorHAnsi" w:cstheme="minorHAnsi"/>
          <w:color w:val="000000"/>
          <w:kern w:val="24"/>
          <w:sz w:val="22"/>
          <w:szCs w:val="22"/>
          <w:lang w:val="es-ES"/>
        </w:rPr>
      </w:pPr>
      <w:r w:rsidRPr="00B62815">
        <w:rPr>
          <w:rFonts w:asciiTheme="minorHAnsi" w:eastAsia="+mn-ea" w:hAnsiTheme="minorHAnsi" w:cstheme="minorHAnsi"/>
          <w:color w:val="000000"/>
          <w:kern w:val="24"/>
          <w:sz w:val="22"/>
          <w:szCs w:val="22"/>
          <w:lang w:val="es-UY"/>
        </w:rPr>
        <w:t xml:space="preserve">Curso semi-presencial conjuntamente con Chile, Ecuador, El Salvador, Guatemala, México, Panamá, Paraguay y Uruguay alcanzando a 198 personas. </w:t>
      </w:r>
    </w:p>
    <w:p w14:paraId="76D61C16" w14:textId="77777777" w:rsidR="00A406FE" w:rsidRPr="00B62815" w:rsidRDefault="00A406FE" w:rsidP="00E67635">
      <w:pPr>
        <w:pStyle w:val="ListParagraph"/>
        <w:numPr>
          <w:ilvl w:val="1"/>
          <w:numId w:val="3"/>
        </w:numPr>
        <w:contextualSpacing/>
        <w:jc w:val="both"/>
        <w:rPr>
          <w:rFonts w:asciiTheme="minorHAnsi" w:eastAsia="+mn-ea" w:hAnsiTheme="minorHAnsi" w:cstheme="minorHAnsi"/>
          <w:color w:val="000000"/>
          <w:kern w:val="24"/>
          <w:sz w:val="22"/>
          <w:szCs w:val="22"/>
          <w:lang w:val="es-ES"/>
        </w:rPr>
      </w:pPr>
      <w:r w:rsidRPr="00B62815">
        <w:rPr>
          <w:rFonts w:asciiTheme="minorHAnsi" w:eastAsia="+mn-ea" w:hAnsiTheme="minorHAnsi" w:cstheme="minorHAnsi"/>
          <w:color w:val="000000"/>
          <w:kern w:val="24"/>
          <w:sz w:val="22"/>
          <w:szCs w:val="22"/>
          <w:lang w:val="es-UY"/>
        </w:rPr>
        <w:t xml:space="preserve">IV Encuentro subregional: </w:t>
      </w:r>
      <w:r w:rsidRPr="00B62815">
        <w:rPr>
          <w:rFonts w:asciiTheme="minorHAnsi" w:eastAsia="+mn-ea" w:hAnsiTheme="minorHAnsi" w:cstheme="minorHAnsi"/>
          <w:i/>
          <w:iCs/>
          <w:color w:val="000000"/>
          <w:kern w:val="24"/>
          <w:sz w:val="22"/>
          <w:szCs w:val="22"/>
          <w:lang w:val="es-UY"/>
        </w:rPr>
        <w:t xml:space="preserve">Intercambio de experiencias sobre </w:t>
      </w:r>
      <w:r w:rsidRPr="00B62815">
        <w:rPr>
          <w:rFonts w:asciiTheme="minorHAnsi" w:eastAsia="+mn-ea" w:hAnsiTheme="minorHAnsi" w:cstheme="minorHAnsi"/>
          <w:bCs/>
          <w:i/>
          <w:iCs/>
          <w:color w:val="000000"/>
          <w:kern w:val="24"/>
          <w:sz w:val="22"/>
          <w:szCs w:val="22"/>
          <w:lang w:val="es-UY"/>
        </w:rPr>
        <w:t>explotación sexual de niñas, niños y adolescentes en Internet en Viajes y Turismo</w:t>
      </w:r>
      <w:r w:rsidRPr="00B62815">
        <w:rPr>
          <w:rFonts w:asciiTheme="minorHAnsi" w:eastAsia="+mn-ea" w:hAnsiTheme="minorHAnsi" w:cstheme="minorHAnsi"/>
          <w:color w:val="000000"/>
          <w:kern w:val="24"/>
          <w:sz w:val="22"/>
          <w:szCs w:val="22"/>
          <w:lang w:val="es-UY"/>
        </w:rPr>
        <w:t xml:space="preserve"> Subregión Sur. Brasil, Bolivia, Chile Ecuador, Paraguay y Uruguay. </w:t>
      </w:r>
    </w:p>
    <w:p w14:paraId="0F007A39" w14:textId="77777777" w:rsidR="00A406FE" w:rsidRPr="00B62815" w:rsidRDefault="00A406FE" w:rsidP="00E67635">
      <w:pPr>
        <w:pStyle w:val="ListParagraph"/>
        <w:numPr>
          <w:ilvl w:val="1"/>
          <w:numId w:val="3"/>
        </w:numPr>
        <w:contextualSpacing/>
        <w:jc w:val="both"/>
        <w:rPr>
          <w:rFonts w:asciiTheme="minorHAnsi" w:eastAsia="+mn-ea" w:hAnsiTheme="minorHAnsi" w:cstheme="minorHAnsi"/>
          <w:color w:val="000000"/>
          <w:kern w:val="24"/>
          <w:sz w:val="22"/>
          <w:szCs w:val="22"/>
          <w:lang w:val="es-ES"/>
        </w:rPr>
      </w:pPr>
      <w:r w:rsidRPr="00B62815">
        <w:rPr>
          <w:rFonts w:asciiTheme="minorHAnsi" w:eastAsia="+mn-ea" w:hAnsiTheme="minorHAnsi" w:cstheme="minorHAnsi"/>
          <w:color w:val="000000"/>
          <w:kern w:val="24"/>
          <w:sz w:val="22"/>
          <w:szCs w:val="22"/>
          <w:lang w:val="es-UY"/>
        </w:rPr>
        <w:t>Acuerdo de asistencia técnica con Panamá (COPREDES</w:t>
      </w:r>
      <w:r w:rsidRPr="00B62815">
        <w:rPr>
          <w:rFonts w:asciiTheme="minorHAnsi" w:eastAsia="Calibri" w:hAnsiTheme="minorHAnsi" w:cstheme="minorHAnsi"/>
          <w:color w:val="000000"/>
          <w:kern w:val="24"/>
          <w:sz w:val="22"/>
          <w:szCs w:val="22"/>
          <w:lang w:val="es-ES"/>
        </w:rPr>
        <w:t>).</w:t>
      </w:r>
    </w:p>
    <w:p w14:paraId="205D847F" w14:textId="77777777" w:rsidR="00A406FE" w:rsidRPr="00B62815" w:rsidRDefault="00A406FE" w:rsidP="00E67635">
      <w:pPr>
        <w:pStyle w:val="ListParagraph"/>
        <w:numPr>
          <w:ilvl w:val="0"/>
          <w:numId w:val="3"/>
        </w:numPr>
        <w:contextualSpacing/>
        <w:rPr>
          <w:rFonts w:asciiTheme="minorHAnsi" w:eastAsia="+mn-ea" w:hAnsiTheme="minorHAnsi" w:cstheme="minorHAnsi"/>
          <w:color w:val="000000"/>
          <w:kern w:val="24"/>
          <w:sz w:val="22"/>
          <w:szCs w:val="22"/>
          <w:lang w:val="es-ES"/>
        </w:rPr>
      </w:pPr>
      <w:r w:rsidRPr="00B62815">
        <w:rPr>
          <w:rFonts w:asciiTheme="minorHAnsi" w:eastAsia="+mn-ea" w:hAnsiTheme="minorHAnsi" w:cstheme="minorHAnsi"/>
          <w:color w:val="000000"/>
          <w:kern w:val="24"/>
          <w:sz w:val="22"/>
          <w:szCs w:val="22"/>
          <w:lang w:val="es-ES"/>
        </w:rPr>
        <w:t>SINNA</w:t>
      </w:r>
      <w:r w:rsidRPr="00B62815">
        <w:rPr>
          <w:rFonts w:asciiTheme="minorHAnsi" w:eastAsia="+mn-ea" w:hAnsiTheme="minorHAnsi" w:cstheme="minorHAnsi"/>
          <w:bCs/>
          <w:iCs/>
          <w:color w:val="000000"/>
          <w:kern w:val="24"/>
          <w:sz w:val="22"/>
          <w:szCs w:val="22"/>
          <w:lang w:val="es-ES"/>
        </w:rPr>
        <w:t>:</w:t>
      </w:r>
      <w:r w:rsidRPr="00B62815">
        <w:rPr>
          <w:rFonts w:asciiTheme="minorHAnsi" w:eastAsia="+mn-ea" w:hAnsiTheme="minorHAnsi" w:cstheme="minorHAnsi"/>
          <w:color w:val="000000"/>
          <w:kern w:val="24"/>
          <w:sz w:val="22"/>
          <w:szCs w:val="22"/>
          <w:lang w:val="es-UY"/>
        </w:rPr>
        <w:t xml:space="preserve"> </w:t>
      </w:r>
      <w:r w:rsidRPr="00B62815">
        <w:rPr>
          <w:rFonts w:asciiTheme="minorHAnsi" w:eastAsia="+mn-ea" w:hAnsiTheme="minorHAnsi" w:cstheme="minorHAnsi"/>
          <w:bCs/>
          <w:iCs/>
          <w:color w:val="000000"/>
          <w:kern w:val="24"/>
          <w:sz w:val="22"/>
          <w:szCs w:val="22"/>
          <w:lang w:val="es-UY"/>
        </w:rPr>
        <w:t xml:space="preserve">Encuentro de Coordinación Internacional de las Autoridades Centrales Sudamérica: </w:t>
      </w:r>
      <w:r w:rsidRPr="00B62815">
        <w:rPr>
          <w:rFonts w:asciiTheme="minorHAnsi" w:eastAsia="+mn-ea" w:hAnsiTheme="minorHAnsi" w:cstheme="minorHAnsi"/>
          <w:color w:val="000000"/>
          <w:kern w:val="24"/>
          <w:sz w:val="22"/>
          <w:szCs w:val="22"/>
          <w:lang w:val="es-UY"/>
        </w:rPr>
        <w:t>Argentina, Bolivia, Chile, Colombia, Ecuador, Paraguay, Perú.</w:t>
      </w:r>
    </w:p>
    <w:p w14:paraId="3EB0C0EC" w14:textId="77777777" w:rsidR="00A406FE" w:rsidRPr="00B62815" w:rsidRDefault="00A406FE" w:rsidP="00E67635">
      <w:pPr>
        <w:pStyle w:val="ListParagraph"/>
        <w:numPr>
          <w:ilvl w:val="1"/>
          <w:numId w:val="3"/>
        </w:numPr>
        <w:contextualSpacing/>
        <w:rPr>
          <w:rFonts w:asciiTheme="minorHAnsi" w:eastAsia="+mn-ea" w:hAnsiTheme="minorHAnsi" w:cstheme="minorHAnsi"/>
          <w:color w:val="000000"/>
          <w:kern w:val="24"/>
          <w:sz w:val="22"/>
          <w:szCs w:val="22"/>
          <w:lang w:val="es-ES"/>
        </w:rPr>
      </w:pPr>
      <w:r w:rsidRPr="00B62815">
        <w:rPr>
          <w:rFonts w:asciiTheme="minorHAnsi" w:eastAsia="+mn-ea" w:hAnsiTheme="minorHAnsi" w:cstheme="minorHAnsi"/>
          <w:color w:val="000000"/>
          <w:kern w:val="24"/>
          <w:sz w:val="22"/>
          <w:szCs w:val="22"/>
          <w:lang w:val="es-EC"/>
        </w:rPr>
        <w:t>Encuentro Subregional de Autoridades Centrales de Centro América, México y República Dominicana.</w:t>
      </w:r>
    </w:p>
    <w:p w14:paraId="1DE5EDD6" w14:textId="77777777" w:rsidR="00A406FE" w:rsidRPr="00B62815" w:rsidRDefault="00A406FE" w:rsidP="00E67635">
      <w:pPr>
        <w:pStyle w:val="ListParagraph"/>
        <w:numPr>
          <w:ilvl w:val="0"/>
          <w:numId w:val="3"/>
        </w:numPr>
        <w:contextualSpacing/>
        <w:jc w:val="both"/>
        <w:rPr>
          <w:rFonts w:asciiTheme="minorHAnsi" w:hAnsiTheme="minorHAnsi" w:cstheme="minorHAnsi"/>
          <w:sz w:val="22"/>
          <w:szCs w:val="22"/>
          <w:lang w:val="es-ES"/>
        </w:rPr>
      </w:pPr>
      <w:r w:rsidRPr="00B62815">
        <w:rPr>
          <w:rFonts w:asciiTheme="minorHAnsi" w:eastAsia="+mn-ea" w:hAnsiTheme="minorHAnsi" w:cstheme="minorHAnsi"/>
          <w:color w:val="000000"/>
          <w:kern w:val="24"/>
          <w:sz w:val="22"/>
          <w:szCs w:val="22"/>
          <w:lang w:val="es-EC"/>
        </w:rPr>
        <w:t>Acuerdo con Fundación Horizonte Ciudadano: Migraciones y primera infancia.</w:t>
      </w:r>
    </w:p>
    <w:p w14:paraId="18E1E4E4" w14:textId="77777777" w:rsidR="00A406FE" w:rsidRPr="00B62815" w:rsidRDefault="00A406FE" w:rsidP="00E67635">
      <w:pPr>
        <w:pStyle w:val="ListParagraph"/>
        <w:numPr>
          <w:ilvl w:val="0"/>
          <w:numId w:val="3"/>
        </w:numPr>
        <w:contextualSpacing/>
        <w:jc w:val="both"/>
        <w:rPr>
          <w:rFonts w:asciiTheme="minorHAnsi" w:hAnsiTheme="minorHAnsi" w:cstheme="minorHAnsi"/>
          <w:sz w:val="22"/>
          <w:szCs w:val="22"/>
          <w:lang w:val="es-ES"/>
        </w:rPr>
      </w:pPr>
      <w:r w:rsidRPr="00B62815">
        <w:rPr>
          <w:rFonts w:asciiTheme="minorHAnsi" w:eastAsia="+mn-ea" w:hAnsiTheme="minorHAnsi" w:cstheme="minorHAnsi"/>
          <w:kern w:val="24"/>
          <w:sz w:val="22"/>
          <w:szCs w:val="22"/>
          <w:lang w:val="es-ES"/>
        </w:rPr>
        <w:t>Derecho a la Participación. Asistencia técnica: Argentina, Brasil, Chile, Colombia, Costa Rica, El Salvador, Ecuador; Honduras, México, Panamá; Paraguay; Perú, República Dominicana y Uruguay.</w:t>
      </w:r>
    </w:p>
    <w:p w14:paraId="2D16B082" w14:textId="77777777" w:rsidR="00A406FE" w:rsidRPr="00B62815" w:rsidRDefault="00A406FE" w:rsidP="00E67635">
      <w:pPr>
        <w:pStyle w:val="ListParagraph"/>
        <w:numPr>
          <w:ilvl w:val="1"/>
          <w:numId w:val="3"/>
        </w:numPr>
        <w:contextualSpacing/>
        <w:jc w:val="both"/>
        <w:rPr>
          <w:rFonts w:asciiTheme="minorHAnsi" w:hAnsiTheme="minorHAnsi" w:cstheme="minorHAnsi"/>
          <w:sz w:val="22"/>
          <w:szCs w:val="22"/>
          <w:lang w:val="es-ES"/>
        </w:rPr>
      </w:pPr>
      <w:r w:rsidRPr="00B62815">
        <w:rPr>
          <w:rFonts w:asciiTheme="minorHAnsi" w:eastAsia="+mn-ea" w:hAnsiTheme="minorHAnsi" w:cstheme="minorHAnsi"/>
          <w:kern w:val="24"/>
          <w:sz w:val="22"/>
          <w:szCs w:val="22"/>
          <w:lang w:val="es-ES"/>
        </w:rPr>
        <w:t xml:space="preserve">421 niños, niñas y adolescentes involucrados en actividades. </w:t>
      </w:r>
    </w:p>
    <w:p w14:paraId="5A7E2F1C" w14:textId="77777777" w:rsidR="00A406FE" w:rsidRPr="00B62815" w:rsidRDefault="00A406FE" w:rsidP="00E67635">
      <w:pPr>
        <w:pStyle w:val="ListParagraph"/>
        <w:numPr>
          <w:ilvl w:val="1"/>
          <w:numId w:val="3"/>
        </w:numPr>
        <w:contextualSpacing/>
        <w:jc w:val="both"/>
        <w:rPr>
          <w:rFonts w:asciiTheme="minorHAnsi" w:hAnsiTheme="minorHAnsi" w:cstheme="minorHAnsi"/>
          <w:sz w:val="22"/>
          <w:szCs w:val="22"/>
          <w:lang w:val="es-ES"/>
        </w:rPr>
      </w:pPr>
      <w:r w:rsidRPr="00B62815">
        <w:rPr>
          <w:rFonts w:asciiTheme="minorHAnsi" w:eastAsia="+mn-ea" w:hAnsiTheme="minorHAnsi" w:cstheme="minorHAnsi"/>
          <w:kern w:val="24"/>
          <w:sz w:val="22"/>
          <w:szCs w:val="22"/>
          <w:lang w:val="es-ES"/>
        </w:rPr>
        <w:t>Paraguay: 125 operadores de instituciones públicas capacitados.</w:t>
      </w:r>
    </w:p>
    <w:p w14:paraId="35E234BE" w14:textId="77777777" w:rsidR="00A406FE" w:rsidRPr="00B62815" w:rsidRDefault="00A406FE" w:rsidP="00E67635">
      <w:pPr>
        <w:pStyle w:val="ListParagraph"/>
        <w:numPr>
          <w:ilvl w:val="1"/>
          <w:numId w:val="3"/>
        </w:numPr>
        <w:contextualSpacing/>
        <w:jc w:val="both"/>
        <w:rPr>
          <w:rFonts w:asciiTheme="minorHAnsi" w:hAnsiTheme="minorHAnsi" w:cstheme="minorHAnsi"/>
          <w:sz w:val="22"/>
          <w:szCs w:val="22"/>
          <w:lang w:val="es-ES"/>
        </w:rPr>
      </w:pPr>
      <w:r w:rsidRPr="00B62815">
        <w:rPr>
          <w:rFonts w:asciiTheme="minorHAnsi" w:eastAsia="+mn-ea" w:hAnsiTheme="minorHAnsi" w:cstheme="minorHAnsi"/>
          <w:kern w:val="24"/>
          <w:sz w:val="22"/>
          <w:szCs w:val="22"/>
          <w:lang w:val="es-UY"/>
        </w:rPr>
        <w:t>Promoción del uso seguro de Internet a través de la RIAMUSI</w:t>
      </w:r>
      <w:r w:rsidRPr="00B62815">
        <w:rPr>
          <w:rStyle w:val="FootnoteReference"/>
          <w:rFonts w:asciiTheme="minorHAnsi" w:eastAsia="+mn-ea" w:hAnsiTheme="minorHAnsi" w:cstheme="minorHAnsi"/>
          <w:kern w:val="24"/>
          <w:sz w:val="22"/>
          <w:szCs w:val="22"/>
          <w:lang w:val="es-UY"/>
        </w:rPr>
        <w:footnoteReference w:id="10"/>
      </w:r>
      <w:r w:rsidRPr="00B62815">
        <w:rPr>
          <w:rFonts w:asciiTheme="minorHAnsi" w:eastAsia="+mn-ea" w:hAnsiTheme="minorHAnsi" w:cstheme="minorHAnsi"/>
          <w:kern w:val="24"/>
          <w:sz w:val="22"/>
          <w:szCs w:val="22"/>
          <w:lang w:val="es-UY"/>
        </w:rPr>
        <w:t>.</w:t>
      </w:r>
    </w:p>
    <w:p w14:paraId="420E2242" w14:textId="77777777" w:rsidR="00A406FE" w:rsidRPr="00B62815" w:rsidRDefault="00A406FE" w:rsidP="00E67635">
      <w:pPr>
        <w:numPr>
          <w:ilvl w:val="0"/>
          <w:numId w:val="2"/>
        </w:num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Se continuo con fuerte presencia del IIN en redes sociales.</w:t>
      </w:r>
    </w:p>
    <w:bookmarkEnd w:id="103"/>
    <w:p w14:paraId="33451186" w14:textId="77777777" w:rsidR="00A406FE" w:rsidRPr="00B62815" w:rsidRDefault="00A406FE" w:rsidP="00A406FE">
      <w:pPr>
        <w:jc w:val="both"/>
        <w:rPr>
          <w:rFonts w:asciiTheme="minorHAnsi" w:hAnsiTheme="minorHAnsi" w:cstheme="minorHAnsi"/>
          <w:sz w:val="22"/>
          <w:szCs w:val="22"/>
          <w:lang w:val="es-ES"/>
        </w:rPr>
      </w:pPr>
    </w:p>
    <w:p w14:paraId="7BBE0975" w14:textId="77777777" w:rsidR="00A406FE" w:rsidRPr="00B62815" w:rsidRDefault="00A406FE" w:rsidP="00A406FE">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Links de interés: </w:t>
      </w:r>
    </w:p>
    <w:p w14:paraId="447DCE28" w14:textId="77777777" w:rsidR="00A406FE" w:rsidRPr="00B62815" w:rsidRDefault="00A406FE" w:rsidP="00E67635">
      <w:pPr>
        <w:numPr>
          <w:ilvl w:val="0"/>
          <w:numId w:val="85"/>
        </w:numPr>
        <w:jc w:val="both"/>
        <w:rPr>
          <w:rFonts w:asciiTheme="minorHAnsi" w:eastAsia="+mn-ea" w:hAnsiTheme="minorHAnsi" w:cstheme="minorHAnsi"/>
          <w:color w:val="000000"/>
          <w:kern w:val="24"/>
          <w:sz w:val="22"/>
          <w:szCs w:val="22"/>
          <w:lang w:val="es-US"/>
        </w:rPr>
      </w:pPr>
      <w:r w:rsidRPr="00B62815">
        <w:rPr>
          <w:rFonts w:asciiTheme="minorHAnsi" w:eastAsia="+mn-ea" w:hAnsiTheme="minorHAnsi" w:cstheme="minorHAnsi"/>
          <w:color w:val="000000"/>
          <w:kern w:val="24"/>
          <w:sz w:val="22"/>
          <w:szCs w:val="22"/>
          <w:lang w:val="es-US"/>
        </w:rPr>
        <w:t xml:space="preserve">Web del IIN-OEA - </w:t>
      </w:r>
      <w:hyperlink r:id="rId201" w:history="1">
        <w:r w:rsidRPr="00B62815">
          <w:rPr>
            <w:rStyle w:val="Hyperlink"/>
            <w:rFonts w:asciiTheme="minorHAnsi" w:eastAsia="+mn-ea" w:hAnsiTheme="minorHAnsi" w:cstheme="minorHAnsi"/>
            <w:kern w:val="24"/>
            <w:sz w:val="22"/>
            <w:szCs w:val="22"/>
            <w:lang w:val="es-US"/>
          </w:rPr>
          <w:t>http://www.iin.oea.org/</w:t>
        </w:r>
      </w:hyperlink>
    </w:p>
    <w:p w14:paraId="295AA9BA" w14:textId="77777777" w:rsidR="00A406FE" w:rsidRPr="00B62815" w:rsidRDefault="00A406FE" w:rsidP="00E67635">
      <w:pPr>
        <w:numPr>
          <w:ilvl w:val="0"/>
          <w:numId w:val="85"/>
        </w:numPr>
        <w:jc w:val="both"/>
        <w:rPr>
          <w:rFonts w:asciiTheme="minorHAnsi" w:hAnsiTheme="minorHAnsi" w:cstheme="minorHAnsi"/>
          <w:color w:val="FF0000"/>
          <w:sz w:val="22"/>
          <w:szCs w:val="22"/>
          <w:lang w:val="es-ES"/>
        </w:rPr>
      </w:pPr>
      <w:r w:rsidRPr="00B62815">
        <w:rPr>
          <w:rFonts w:asciiTheme="minorHAnsi" w:eastAsia="+mn-ea" w:hAnsiTheme="minorHAnsi" w:cstheme="minorHAnsi"/>
          <w:color w:val="000000"/>
          <w:kern w:val="24"/>
          <w:sz w:val="22"/>
          <w:szCs w:val="22"/>
          <w:lang w:val="es-US"/>
        </w:rPr>
        <w:t xml:space="preserve">Boletines IINfancia -  </w:t>
      </w:r>
      <w:hyperlink r:id="rId202" w:history="1">
        <w:r w:rsidRPr="00B62815">
          <w:rPr>
            <w:rStyle w:val="Hyperlink"/>
            <w:rFonts w:asciiTheme="minorHAnsi" w:eastAsia="+mn-ea" w:hAnsiTheme="minorHAnsi" w:cstheme="minorHAnsi"/>
            <w:kern w:val="24"/>
            <w:sz w:val="22"/>
            <w:szCs w:val="22"/>
            <w:lang w:val="es-US"/>
          </w:rPr>
          <w:t>http://www.iin.oea.org/boletines.html</w:t>
        </w:r>
      </w:hyperlink>
      <w:r w:rsidRPr="00B62815">
        <w:rPr>
          <w:rFonts w:asciiTheme="minorHAnsi" w:eastAsia="+mn-ea" w:hAnsiTheme="minorHAnsi" w:cstheme="minorHAnsi"/>
          <w:color w:val="000000"/>
          <w:kern w:val="24"/>
          <w:sz w:val="22"/>
          <w:szCs w:val="22"/>
          <w:lang w:val="es-ES"/>
        </w:rPr>
        <w:t xml:space="preserve">Programa Interamericano de Cooperación para Prevenir y Reparar Casos de Sustracción Internacional de Menores por uno de sus Padres - </w:t>
      </w:r>
      <w:hyperlink r:id="rId203" w:history="1">
        <w:r w:rsidRPr="00B62815">
          <w:rPr>
            <w:rStyle w:val="Hyperlink"/>
            <w:rFonts w:asciiTheme="minorHAnsi" w:eastAsia="+mn-ea" w:hAnsiTheme="minorHAnsi" w:cstheme="minorHAnsi"/>
            <w:kern w:val="24"/>
            <w:sz w:val="22"/>
            <w:szCs w:val="22"/>
            <w:lang w:val="es-ES"/>
          </w:rPr>
          <w:t>http://sinna.org/</w:t>
        </w:r>
      </w:hyperlink>
    </w:p>
    <w:p w14:paraId="162E0C34" w14:textId="77777777" w:rsidR="00A406FE" w:rsidRPr="00B62815" w:rsidRDefault="00A406FE" w:rsidP="00E67635">
      <w:pPr>
        <w:numPr>
          <w:ilvl w:val="0"/>
          <w:numId w:val="85"/>
        </w:numPr>
        <w:jc w:val="both"/>
        <w:rPr>
          <w:rFonts w:asciiTheme="minorHAnsi" w:hAnsiTheme="minorHAnsi" w:cstheme="minorHAnsi"/>
          <w:color w:val="FF0000"/>
          <w:sz w:val="22"/>
          <w:szCs w:val="22"/>
          <w:lang w:val="es-ES"/>
        </w:rPr>
      </w:pPr>
      <w:r w:rsidRPr="00B62815">
        <w:rPr>
          <w:rFonts w:asciiTheme="minorHAnsi" w:hAnsiTheme="minorHAnsi" w:cstheme="minorHAnsi"/>
          <w:sz w:val="22"/>
          <w:szCs w:val="22"/>
          <w:lang w:val="es-US"/>
        </w:rPr>
        <w:t xml:space="preserve">NNAPES: </w:t>
      </w:r>
      <w:r w:rsidRPr="00B62815">
        <w:rPr>
          <w:rFonts w:asciiTheme="minorHAnsi" w:hAnsiTheme="minorHAnsi" w:cstheme="minorHAnsi"/>
          <w:sz w:val="22"/>
          <w:szCs w:val="22"/>
          <w:lang w:val="es-ES"/>
        </w:rPr>
        <w:t xml:space="preserve">Orientación técnica para la protección de derechos de niños y niñas con padres privados de libertad: </w:t>
      </w:r>
      <w:hyperlink r:id="rId204" w:history="1">
        <w:r w:rsidRPr="00B62815">
          <w:rPr>
            <w:rStyle w:val="Hyperlink"/>
            <w:rFonts w:asciiTheme="minorHAnsi" w:hAnsiTheme="minorHAnsi" w:cstheme="minorHAnsi"/>
            <w:sz w:val="22"/>
            <w:szCs w:val="22"/>
            <w:lang w:val="es-US"/>
          </w:rPr>
          <w:t>http://www.nnapes.org/docs/OTIIN-NAPPES-Version-Final.pdf</w:t>
        </w:r>
      </w:hyperlink>
      <w:r w:rsidRPr="00B62815">
        <w:rPr>
          <w:rFonts w:asciiTheme="minorHAnsi" w:hAnsiTheme="minorHAnsi" w:cstheme="minorHAnsi"/>
          <w:sz w:val="22"/>
          <w:szCs w:val="22"/>
          <w:lang w:val="es-US"/>
        </w:rPr>
        <w:t xml:space="preserve"> </w:t>
      </w:r>
    </w:p>
    <w:p w14:paraId="7F96F33D" w14:textId="77777777" w:rsidR="00A406FE" w:rsidRPr="00B62815" w:rsidRDefault="00A406FE" w:rsidP="00E67635">
      <w:pPr>
        <w:numPr>
          <w:ilvl w:val="0"/>
          <w:numId w:val="85"/>
        </w:numPr>
        <w:jc w:val="both"/>
        <w:rPr>
          <w:rFonts w:asciiTheme="minorHAnsi" w:eastAsia="+mn-ea" w:hAnsiTheme="minorHAnsi" w:cstheme="minorHAnsi"/>
          <w:color w:val="000000"/>
          <w:kern w:val="24"/>
          <w:sz w:val="22"/>
          <w:szCs w:val="22"/>
          <w:lang w:val="es-ES"/>
        </w:rPr>
      </w:pPr>
      <w:r w:rsidRPr="00B62815">
        <w:rPr>
          <w:rFonts w:asciiTheme="minorHAnsi" w:eastAsia="+mn-ea" w:hAnsiTheme="minorHAnsi" w:cstheme="minorHAnsi"/>
          <w:color w:val="000000"/>
          <w:kern w:val="24"/>
          <w:sz w:val="22"/>
          <w:szCs w:val="22"/>
          <w:lang w:val="es-ES"/>
        </w:rPr>
        <w:t xml:space="preserve">Programa de Cooperación Interamericano para la Prevención y Erradicación de la Explotación Sexual, Tráfico y Trata de Niños, Niñas y Adolescentes. </w:t>
      </w:r>
      <w:hyperlink r:id="rId205" w:history="1">
        <w:r w:rsidRPr="00B62815">
          <w:rPr>
            <w:rStyle w:val="Hyperlink"/>
            <w:rFonts w:asciiTheme="minorHAnsi" w:eastAsia="+mn-ea" w:hAnsiTheme="minorHAnsi" w:cstheme="minorHAnsi"/>
            <w:kern w:val="24"/>
            <w:sz w:val="22"/>
            <w:szCs w:val="22"/>
            <w:lang w:val="pt-BR"/>
          </w:rPr>
          <w:t>http://www.annaobserva.org/</w:t>
        </w:r>
      </w:hyperlink>
    </w:p>
    <w:p w14:paraId="5CFE6EE2" w14:textId="77777777" w:rsidR="00A406FE" w:rsidRPr="00B62815" w:rsidRDefault="00A406FE" w:rsidP="00E67635">
      <w:pPr>
        <w:numPr>
          <w:ilvl w:val="0"/>
          <w:numId w:val="85"/>
        </w:numPr>
        <w:jc w:val="both"/>
        <w:rPr>
          <w:rFonts w:asciiTheme="minorHAnsi" w:eastAsia="+mn-ea" w:hAnsiTheme="minorHAnsi" w:cstheme="minorHAnsi"/>
          <w:color w:val="000000"/>
          <w:kern w:val="24"/>
          <w:sz w:val="22"/>
          <w:szCs w:val="22"/>
          <w:lang w:val="es-ES"/>
        </w:rPr>
      </w:pPr>
      <w:r w:rsidRPr="00B62815">
        <w:rPr>
          <w:rFonts w:asciiTheme="minorHAnsi" w:eastAsia="+mn-ea" w:hAnsiTheme="minorHAnsi" w:cstheme="minorHAnsi"/>
          <w:color w:val="000000"/>
          <w:kern w:val="24"/>
          <w:sz w:val="22"/>
          <w:szCs w:val="22"/>
          <w:lang w:val="es-ES"/>
        </w:rPr>
        <w:t xml:space="preserve">Programa Interamericano de Cooperación para Prevenir y Reparar Casos de Sustracción Internacional de Menores por uno de sus Padres: </w:t>
      </w:r>
      <w:hyperlink r:id="rId206" w:history="1">
        <w:r w:rsidRPr="00B62815">
          <w:rPr>
            <w:rStyle w:val="Hyperlink"/>
            <w:rFonts w:asciiTheme="minorHAnsi" w:hAnsiTheme="minorHAnsi" w:cstheme="minorHAnsi"/>
            <w:sz w:val="22"/>
            <w:szCs w:val="22"/>
            <w:lang w:val="es-US"/>
          </w:rPr>
          <w:t>http://sinna.org/</w:t>
        </w:r>
      </w:hyperlink>
      <w:r w:rsidRPr="00B62815">
        <w:rPr>
          <w:rFonts w:asciiTheme="minorHAnsi" w:hAnsiTheme="minorHAnsi" w:cstheme="minorHAnsi"/>
          <w:sz w:val="22"/>
          <w:szCs w:val="22"/>
          <w:lang w:val="es-US"/>
        </w:rPr>
        <w:t xml:space="preserve"> </w:t>
      </w:r>
    </w:p>
    <w:p w14:paraId="27F0BA88" w14:textId="77777777" w:rsidR="00A406FE" w:rsidRPr="00B62815" w:rsidRDefault="00A406FE" w:rsidP="00E67635">
      <w:pPr>
        <w:numPr>
          <w:ilvl w:val="0"/>
          <w:numId w:val="85"/>
        </w:numPr>
        <w:rPr>
          <w:rStyle w:val="Hyperlink"/>
          <w:rFonts w:asciiTheme="minorHAnsi" w:eastAsia="+mn-ea" w:hAnsiTheme="minorHAnsi" w:cstheme="minorHAnsi"/>
          <w:color w:val="000000"/>
          <w:kern w:val="24"/>
          <w:sz w:val="22"/>
          <w:szCs w:val="22"/>
          <w:u w:val="none"/>
          <w:lang w:val="es-ES"/>
        </w:rPr>
      </w:pPr>
      <w:r w:rsidRPr="00B62815">
        <w:rPr>
          <w:rFonts w:asciiTheme="minorHAnsi" w:eastAsia="+mn-ea" w:hAnsiTheme="minorHAnsi" w:cstheme="minorHAnsi"/>
          <w:color w:val="000000"/>
          <w:kern w:val="24"/>
          <w:sz w:val="22"/>
          <w:szCs w:val="22"/>
          <w:lang w:val="es-ES"/>
        </w:rPr>
        <w:t xml:space="preserve">Nuestra Voz a Colores – espacio para la promoción de la participación de niños, niñas y adolescentes. </w:t>
      </w:r>
      <w:hyperlink r:id="rId207" w:history="1">
        <w:r w:rsidRPr="00B62815">
          <w:rPr>
            <w:rStyle w:val="Hyperlink"/>
            <w:rFonts w:asciiTheme="minorHAnsi" w:eastAsia="+mn-ea" w:hAnsiTheme="minorHAnsi" w:cstheme="minorHAnsi"/>
            <w:kern w:val="24"/>
            <w:sz w:val="22"/>
            <w:szCs w:val="22"/>
            <w:lang w:val="es-ES"/>
          </w:rPr>
          <w:t>www.nuestravozacoloresiinoea.org</w:t>
        </w:r>
      </w:hyperlink>
    </w:p>
    <w:p w14:paraId="189D2D7C" w14:textId="41DBD308" w:rsidR="0014077C" w:rsidRPr="00B62815" w:rsidRDefault="0014077C" w:rsidP="00677AE9">
      <w:pPr>
        <w:ind w:left="720"/>
        <w:rPr>
          <w:rStyle w:val="Hyperlink"/>
          <w:rFonts w:asciiTheme="minorHAnsi" w:eastAsia="+mn-ea" w:hAnsiTheme="minorHAnsi" w:cstheme="minorHAnsi"/>
          <w:kern w:val="24"/>
          <w:sz w:val="22"/>
          <w:szCs w:val="22"/>
          <w:lang w:val="es-ES"/>
        </w:rPr>
      </w:pPr>
    </w:p>
    <w:p w14:paraId="293BB53F" w14:textId="77777777" w:rsidR="0014077C" w:rsidRPr="00B62815" w:rsidRDefault="0014077C" w:rsidP="00677AE9">
      <w:pPr>
        <w:ind w:left="720"/>
        <w:rPr>
          <w:rStyle w:val="Hyperlink"/>
          <w:rFonts w:asciiTheme="minorHAnsi" w:eastAsia="+mn-ea" w:hAnsiTheme="minorHAnsi" w:cstheme="minorHAnsi"/>
          <w:kern w:val="24"/>
          <w:sz w:val="22"/>
          <w:szCs w:val="22"/>
          <w:lang w:val="es-ES"/>
        </w:rPr>
      </w:pPr>
    </w:p>
    <w:p w14:paraId="797C8B5E" w14:textId="77777777" w:rsidR="00AD19FE" w:rsidRPr="00B62815" w:rsidRDefault="00D2474B" w:rsidP="0037172C">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04" w:name="_Toc39675865"/>
      <w:bookmarkStart w:id="105" w:name="_Toc40191088"/>
      <w:r w:rsidRPr="00B62815">
        <w:rPr>
          <w:rFonts w:asciiTheme="minorHAnsi" w:hAnsiTheme="minorHAnsi" w:cstheme="minorHAnsi"/>
          <w:b/>
          <w:color w:val="1F497D"/>
          <w:sz w:val="22"/>
          <w:szCs w:val="22"/>
          <w:lang w:val="es-ES"/>
        </w:rPr>
        <w:t>3.5</w:t>
      </w:r>
      <w:r w:rsidRPr="00B62815">
        <w:rPr>
          <w:rFonts w:asciiTheme="minorHAnsi" w:hAnsiTheme="minorHAnsi" w:cstheme="minorHAnsi"/>
          <w:b/>
          <w:color w:val="1F497D"/>
          <w:sz w:val="22"/>
          <w:szCs w:val="22"/>
          <w:lang w:val="es-ES"/>
        </w:rPr>
        <w:tab/>
        <w:t>SECRETARÍA EJECUTIVA DE LA COMISIÓN INTERAMERICANA DE MUJERES (CIM)</w:t>
      </w:r>
      <w:bookmarkEnd w:id="104"/>
      <w:bookmarkEnd w:id="105"/>
    </w:p>
    <w:p w14:paraId="39FB9D72" w14:textId="4FB3E004" w:rsidR="002B6D89" w:rsidRPr="00B62815" w:rsidRDefault="002B6D89" w:rsidP="002B6D89">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En 2019 la Comisión Interamericana de Mujeres (CIM) de la OEA celebró su 38ª Asamblea de Delegadas en la República Dominicana, que adoptó la Declaración de Santo Domingo sobre la Igualdad y la Autonomía en el Ejercicio de los Derechos Políticos de las Mujeres para el Fortalecimiento de la Democracia,</w:t>
      </w:r>
      <w:r w:rsidR="00D97F75">
        <w:rPr>
          <w:rStyle w:val="FootnoteReference"/>
          <w:rFonts w:asciiTheme="minorHAnsi" w:eastAsia="Batang" w:hAnsiTheme="minorHAnsi" w:cstheme="minorHAnsi"/>
          <w:snapToGrid w:val="0"/>
          <w:sz w:val="22"/>
          <w:szCs w:val="22"/>
          <w:lang w:val="es-ES"/>
        </w:rPr>
        <w:footnoteReference w:id="11"/>
      </w:r>
      <w:r w:rsidRPr="00B62815">
        <w:rPr>
          <w:rFonts w:asciiTheme="minorHAnsi" w:eastAsia="Batang" w:hAnsiTheme="minorHAnsi" w:cstheme="minorHAnsi"/>
          <w:snapToGrid w:val="0"/>
          <w:sz w:val="22"/>
          <w:szCs w:val="22"/>
          <w:lang w:val="es-ES"/>
        </w:rPr>
        <w:t xml:space="preserve"> destacando la paridad como medida de justicia que incorpora tres dimensiones: (i) participación igualitaria de mujeres y hombres (50/50) en los cargos de toma de decisión en los sectores público y privado, desde el plano internacional al plano local (ii) ejercicio del poder en condiciones de igualdad, esto es, libres de discriminación y violencia basada en el género y/o en el sexo; y (iii) la incorporación de la agenda de derechos de las mujeres y la igualdad de género. En 2019, la CIM inició un proceso de fortalecimiento del diálogo con organizaciones de la sociedad civil feministas y de mujeres. Asimismo, en 2019 la CIM logró posicionarse en una serie de temas aceleradores para los derechos de las mujeres y la igualdad de género en las Américas en el marco de sus principales líneas de trabajo: </w:t>
      </w:r>
    </w:p>
    <w:p w14:paraId="04D3E17B" w14:textId="77777777" w:rsidR="002B6D89" w:rsidRPr="00B62815" w:rsidRDefault="002B6D89" w:rsidP="002B6D89">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 xml:space="preserve">  </w:t>
      </w:r>
    </w:p>
    <w:p w14:paraId="4F7DCE99" w14:textId="77777777" w:rsidR="002B6D89" w:rsidRPr="00B62815" w:rsidRDefault="002B6D89" w:rsidP="00E67635">
      <w:pPr>
        <w:widowControl w:val="0"/>
        <w:numPr>
          <w:ilvl w:val="0"/>
          <w:numId w:val="15"/>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b/>
          <w:snapToGrid w:val="0"/>
          <w:sz w:val="22"/>
          <w:szCs w:val="22"/>
          <w:lang w:val="es-ES"/>
        </w:rPr>
      </w:pPr>
      <w:r w:rsidRPr="00B62815">
        <w:rPr>
          <w:rFonts w:asciiTheme="minorHAnsi" w:eastAsia="Batang" w:hAnsiTheme="minorHAnsi" w:cstheme="minorHAnsi"/>
          <w:b/>
          <w:snapToGrid w:val="0"/>
          <w:sz w:val="22"/>
          <w:szCs w:val="22"/>
          <w:lang w:val="es-ES"/>
        </w:rPr>
        <w:t>Derechos políticos de las mujeres para el fortalecimiento de la democracia</w:t>
      </w:r>
    </w:p>
    <w:p w14:paraId="286BB626" w14:textId="2715CF46" w:rsidR="002B6D89" w:rsidRPr="00B62815" w:rsidRDefault="002B6D89" w:rsidP="00E67635">
      <w:pPr>
        <w:widowControl w:val="0"/>
        <w:numPr>
          <w:ilvl w:val="0"/>
          <w:numId w:val="87"/>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Capacitación de 200 mujeres oficialmente registradas en 4 ediciones del Curso para Candidatas Electorales en Panamá, Bolivia, Colombia, y Costa Rica, en coordinación con la Escuela de Gobierno de la OEA;</w:t>
      </w:r>
      <w:r w:rsidR="00D97F75">
        <w:rPr>
          <w:rStyle w:val="FootnoteReference"/>
          <w:rFonts w:asciiTheme="minorHAnsi" w:eastAsia="Batang" w:hAnsiTheme="minorHAnsi" w:cstheme="minorHAnsi"/>
          <w:snapToGrid w:val="0"/>
          <w:sz w:val="22"/>
          <w:szCs w:val="22"/>
          <w:lang w:val="es-ES"/>
        </w:rPr>
        <w:footnoteReference w:id="12"/>
      </w:r>
    </w:p>
    <w:p w14:paraId="47379F3B" w14:textId="77777777" w:rsidR="002B6D89" w:rsidRPr="00B62815" w:rsidRDefault="002B6D89" w:rsidP="00E67635">
      <w:pPr>
        <w:widowControl w:val="0"/>
        <w:numPr>
          <w:ilvl w:val="0"/>
          <w:numId w:val="87"/>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 xml:space="preserve">Publicación del Protocolo modelo para partidos políticos: Prevenir, atender, sancionar y erradicar la violencia contra las mujeres en la vida política; y capacitación de más de 150 integrantes de partidos políticos y personal funcionario en El Salvador, Ecuador y República Dominicana. </w:t>
      </w:r>
    </w:p>
    <w:p w14:paraId="3BE46297" w14:textId="77777777" w:rsidR="002B6D89" w:rsidRPr="00B62815" w:rsidRDefault="002B6D89" w:rsidP="00E67635">
      <w:pPr>
        <w:widowControl w:val="0"/>
        <w:numPr>
          <w:ilvl w:val="0"/>
          <w:numId w:val="87"/>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Capacitación de más de 40 representantes de instituciones y tribunales electorales y otras instancias clave en el primer Curso Interamericano sobre “Gobernanza Electoral con Perspectiva de Género” implementado en República Dominicana.</w:t>
      </w:r>
    </w:p>
    <w:p w14:paraId="43A7119F" w14:textId="77777777" w:rsidR="002B6D89" w:rsidRPr="00B62815" w:rsidRDefault="002B6D89" w:rsidP="00E67635">
      <w:pPr>
        <w:widowControl w:val="0"/>
        <w:numPr>
          <w:ilvl w:val="0"/>
          <w:numId w:val="87"/>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Posicionamiento político del liderazgo de las mujeres en múltiples foros y acuerdos a través de la labor del Task Force Interamericano sobre Liderazgo de las Mujeres.</w:t>
      </w:r>
    </w:p>
    <w:p w14:paraId="7B5BE7A3" w14:textId="77777777" w:rsidR="002B6D89" w:rsidRPr="00B62815" w:rsidRDefault="002B6D89" w:rsidP="00E67635">
      <w:pPr>
        <w:widowControl w:val="0"/>
        <w:numPr>
          <w:ilvl w:val="0"/>
          <w:numId w:val="87"/>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Participación de 13 organizaciones de Estados Unidos, Colombia, Guatemala, México, Panamá, Paraguay y Perú en el Think Tank “La capacitación a mujeres políticas a examen: Qué hacemos, qué sabemos, qué funciona.”</w:t>
      </w:r>
    </w:p>
    <w:p w14:paraId="0FD2411E" w14:textId="77777777" w:rsidR="002B6D89" w:rsidRPr="00B62815" w:rsidRDefault="002B6D89" w:rsidP="002B6D89">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jc w:val="both"/>
        <w:rPr>
          <w:rFonts w:asciiTheme="minorHAnsi" w:eastAsia="Batang" w:hAnsiTheme="minorHAnsi" w:cstheme="minorHAnsi"/>
          <w:b/>
          <w:snapToGrid w:val="0"/>
          <w:sz w:val="22"/>
          <w:szCs w:val="22"/>
          <w:lang w:val="es-ES"/>
        </w:rPr>
      </w:pPr>
    </w:p>
    <w:p w14:paraId="1018DAC4" w14:textId="77777777" w:rsidR="002B6D89" w:rsidRPr="00B62815" w:rsidRDefault="002B6D89" w:rsidP="00E67635">
      <w:pPr>
        <w:widowControl w:val="0"/>
        <w:numPr>
          <w:ilvl w:val="0"/>
          <w:numId w:val="15"/>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b/>
          <w:snapToGrid w:val="0"/>
          <w:sz w:val="22"/>
          <w:szCs w:val="22"/>
          <w:lang w:val="es-ES"/>
        </w:rPr>
      </w:pPr>
      <w:r w:rsidRPr="00B62815">
        <w:rPr>
          <w:rFonts w:asciiTheme="minorHAnsi" w:eastAsia="Batang" w:hAnsiTheme="minorHAnsi" w:cstheme="minorHAnsi"/>
          <w:b/>
          <w:snapToGrid w:val="0"/>
          <w:sz w:val="22"/>
          <w:szCs w:val="22"/>
          <w:lang w:val="es-ES"/>
        </w:rPr>
        <w:t>Derechos económicos de las mujeres para el desarrollo integral</w:t>
      </w:r>
    </w:p>
    <w:p w14:paraId="248D53E4" w14:textId="73E43AFB" w:rsidR="002B6D89" w:rsidRPr="00B62815" w:rsidRDefault="002B6D89" w:rsidP="00E67635">
      <w:pPr>
        <w:widowControl w:val="0"/>
        <w:numPr>
          <w:ilvl w:val="0"/>
          <w:numId w:val="88"/>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Posicionamiento conceptual y político de: (i) la necesidad de fortalecer el marco jurídico interamericano en torno a los derechos económicos de las mujeres; y (ii) la importancia de re</w:t>
      </w:r>
      <w:r w:rsidR="00665873">
        <w:rPr>
          <w:rFonts w:asciiTheme="minorHAnsi" w:eastAsia="Batang" w:hAnsiTheme="minorHAnsi" w:cstheme="minorHAnsi"/>
          <w:snapToGrid w:val="0"/>
          <w:sz w:val="22"/>
          <w:szCs w:val="22"/>
          <w:lang w:val="es-ES"/>
        </w:rPr>
        <w:t>-</w:t>
      </w:r>
      <w:r w:rsidRPr="00B62815">
        <w:rPr>
          <w:rFonts w:asciiTheme="minorHAnsi" w:eastAsia="Batang" w:hAnsiTheme="minorHAnsi" w:cstheme="minorHAnsi"/>
          <w:snapToGrid w:val="0"/>
          <w:sz w:val="22"/>
          <w:szCs w:val="22"/>
          <w:lang w:val="es-ES"/>
        </w:rPr>
        <w:t>conceptualizar el trabajo para visibilizar el trabajo no remunerado y de cuidado en el ámbito doméstico y fomentar la corresponsabilidad social del cuidado entre mujeres, hombres, el Estado y el sector privado.</w:t>
      </w:r>
    </w:p>
    <w:p w14:paraId="5CD81EA1" w14:textId="77777777" w:rsidR="002B6D89" w:rsidRPr="00B62815" w:rsidRDefault="002B6D89" w:rsidP="002B6D89">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jc w:val="both"/>
        <w:rPr>
          <w:rFonts w:asciiTheme="minorHAnsi" w:eastAsia="Batang" w:hAnsiTheme="minorHAnsi" w:cstheme="minorHAnsi"/>
          <w:b/>
          <w:snapToGrid w:val="0"/>
          <w:sz w:val="22"/>
          <w:szCs w:val="22"/>
          <w:lang w:val="es-ES"/>
        </w:rPr>
      </w:pPr>
    </w:p>
    <w:p w14:paraId="6A1BE74B" w14:textId="77777777" w:rsidR="002B6D89" w:rsidRPr="00B62815" w:rsidRDefault="002B6D89" w:rsidP="00E67635">
      <w:pPr>
        <w:widowControl w:val="0"/>
        <w:numPr>
          <w:ilvl w:val="0"/>
          <w:numId w:val="15"/>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b/>
          <w:snapToGrid w:val="0"/>
          <w:sz w:val="22"/>
          <w:szCs w:val="22"/>
          <w:lang w:val="es-ES"/>
        </w:rPr>
      </w:pPr>
      <w:r w:rsidRPr="00B62815">
        <w:rPr>
          <w:rFonts w:asciiTheme="minorHAnsi" w:eastAsia="Batang" w:hAnsiTheme="minorHAnsi" w:cstheme="minorHAnsi"/>
          <w:b/>
          <w:snapToGrid w:val="0"/>
          <w:sz w:val="22"/>
          <w:szCs w:val="22"/>
          <w:lang w:val="es-ES"/>
        </w:rPr>
        <w:t>Institucionalización del enfoque de igualdad de género y derechos humanos en el trabajo de la OEA:</w:t>
      </w:r>
      <w:r w:rsidRPr="00B62815">
        <w:rPr>
          <w:rFonts w:asciiTheme="minorHAnsi" w:eastAsia="Batang" w:hAnsiTheme="minorHAnsi" w:cstheme="minorHAnsi"/>
          <w:snapToGrid w:val="0"/>
          <w:sz w:val="22"/>
          <w:szCs w:val="22"/>
          <w:vertAlign w:val="superscript"/>
          <w:lang w:val="es-ES"/>
        </w:rPr>
        <w:t xml:space="preserve"> </w:t>
      </w:r>
    </w:p>
    <w:p w14:paraId="4B851C29" w14:textId="7279A0F7" w:rsidR="002B6D89" w:rsidRPr="00B62815" w:rsidRDefault="002B6D89" w:rsidP="00E67635">
      <w:pPr>
        <w:widowControl w:val="0"/>
        <w:numPr>
          <w:ilvl w:val="0"/>
          <w:numId w:val="86"/>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Capacitación de personal del Ministerio de Industria y Comercio, liderado por el Ministerio de la Mujer, para la implementación de la Transferencia Metodológica para la Implementación de Diagnósticos Participativos de Género en la República Dominicana;</w:t>
      </w:r>
      <w:r w:rsidRPr="00B62815">
        <w:rPr>
          <w:rFonts w:asciiTheme="minorHAnsi" w:eastAsia="Batang" w:hAnsiTheme="minorHAnsi" w:cstheme="minorHAnsi"/>
          <w:snapToGrid w:val="0"/>
          <w:sz w:val="22"/>
          <w:szCs w:val="22"/>
          <w:vertAlign w:val="superscript"/>
          <w:lang w:val="es-ES"/>
        </w:rPr>
        <w:t xml:space="preserve"> </w:t>
      </w:r>
      <w:r w:rsidR="00D97F75">
        <w:rPr>
          <w:rStyle w:val="FootnoteReference"/>
          <w:rFonts w:asciiTheme="minorHAnsi" w:eastAsia="Batang" w:hAnsiTheme="minorHAnsi" w:cstheme="minorHAnsi"/>
          <w:snapToGrid w:val="0"/>
          <w:sz w:val="22"/>
          <w:szCs w:val="22"/>
          <w:lang w:val="es-ES"/>
        </w:rPr>
        <w:footnoteReference w:id="13"/>
      </w:r>
    </w:p>
    <w:p w14:paraId="4C962AA8" w14:textId="34FF7EFB" w:rsidR="002B6D89" w:rsidRPr="00B62815" w:rsidRDefault="002B6D89" w:rsidP="00E67635">
      <w:pPr>
        <w:widowControl w:val="0"/>
        <w:numPr>
          <w:ilvl w:val="0"/>
          <w:numId w:val="86"/>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Capacitación de más de 100 personas durante las 17ª y 18ª ediciones del curso virtual “Enfoque de Derechos y de Igualdad de Género en Políticas, Programas y Proyectos;”</w:t>
      </w:r>
      <w:r w:rsidR="00D97F75">
        <w:rPr>
          <w:rStyle w:val="FootnoteReference"/>
          <w:rFonts w:asciiTheme="minorHAnsi" w:eastAsia="Batang" w:hAnsiTheme="minorHAnsi" w:cstheme="minorHAnsi"/>
          <w:snapToGrid w:val="0"/>
          <w:sz w:val="22"/>
          <w:szCs w:val="22"/>
          <w:lang w:val="es-ES"/>
        </w:rPr>
        <w:footnoteReference w:id="14"/>
      </w:r>
    </w:p>
    <w:p w14:paraId="37EF6019" w14:textId="703C2986" w:rsidR="002B6D89" w:rsidRPr="00B62815" w:rsidRDefault="002B6D89" w:rsidP="00E67635">
      <w:pPr>
        <w:widowControl w:val="0"/>
        <w:numPr>
          <w:ilvl w:val="0"/>
          <w:numId w:val="86"/>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Capacitación de más de 100 personas durante las 8ª y 9ª ediciones del curso virtual “Planificación Estratégica con Enfoque de Género;”</w:t>
      </w:r>
      <w:r w:rsidR="00D97F75">
        <w:rPr>
          <w:rStyle w:val="FootnoteReference"/>
          <w:rFonts w:asciiTheme="minorHAnsi" w:eastAsia="Batang" w:hAnsiTheme="minorHAnsi" w:cstheme="minorHAnsi"/>
          <w:snapToGrid w:val="0"/>
          <w:sz w:val="22"/>
          <w:szCs w:val="22"/>
          <w:lang w:val="es-ES"/>
        </w:rPr>
        <w:footnoteReference w:id="15"/>
      </w:r>
    </w:p>
    <w:p w14:paraId="75467C97" w14:textId="3D46B975" w:rsidR="002B6D89" w:rsidRPr="00B62815" w:rsidRDefault="002B6D89" w:rsidP="00E67635">
      <w:pPr>
        <w:widowControl w:val="0"/>
        <w:numPr>
          <w:ilvl w:val="0"/>
          <w:numId w:val="86"/>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Capacitación de 20 personas durante la 5ª edición del Diploma de Comunicación, Género y Derechos Humanos;</w:t>
      </w:r>
      <w:r w:rsidR="00D97F75">
        <w:rPr>
          <w:rStyle w:val="FootnoteReference"/>
          <w:rFonts w:asciiTheme="minorHAnsi" w:eastAsia="Batang" w:hAnsiTheme="minorHAnsi" w:cstheme="minorHAnsi"/>
          <w:snapToGrid w:val="0"/>
          <w:sz w:val="22"/>
          <w:szCs w:val="22"/>
          <w:lang w:val="es-ES"/>
        </w:rPr>
        <w:footnoteReference w:id="16"/>
      </w:r>
    </w:p>
    <w:p w14:paraId="2C26A112" w14:textId="2B9D567D" w:rsidR="002B6D89" w:rsidRPr="00B62815" w:rsidRDefault="002B6D89" w:rsidP="00E67635">
      <w:pPr>
        <w:widowControl w:val="0"/>
        <w:numPr>
          <w:ilvl w:val="0"/>
          <w:numId w:val="86"/>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Capacitación de más de 300 miembros del personal de la OEA en el Curso Virtual Masivo Abierto (MOOC) sobre la Política Institucional de Igualdad de Género, Diversidad y Derechos Humanos de la Secretaría General y el Plan de Acción para su implementación,</w:t>
      </w:r>
      <w:r w:rsidR="00D97F75">
        <w:rPr>
          <w:rStyle w:val="FootnoteReference"/>
          <w:rFonts w:asciiTheme="minorHAnsi" w:eastAsia="Batang" w:hAnsiTheme="minorHAnsi" w:cstheme="minorHAnsi"/>
          <w:snapToGrid w:val="0"/>
          <w:sz w:val="22"/>
          <w:szCs w:val="22"/>
          <w:lang w:val="es-ES"/>
        </w:rPr>
        <w:footnoteReference w:id="17"/>
      </w:r>
      <w:r w:rsidRPr="00B62815">
        <w:rPr>
          <w:rFonts w:asciiTheme="minorHAnsi" w:eastAsia="Batang" w:hAnsiTheme="minorHAnsi" w:cstheme="minorHAnsi"/>
          <w:snapToGrid w:val="0"/>
          <w:sz w:val="22"/>
          <w:szCs w:val="22"/>
          <w:lang w:val="es-ES"/>
        </w:rPr>
        <w:t xml:space="preserve"> dirigido al personal de la SG/OEA;</w:t>
      </w:r>
    </w:p>
    <w:p w14:paraId="60FDFEE3" w14:textId="77777777" w:rsidR="002B6D89" w:rsidRPr="00B62815" w:rsidRDefault="002B6D89" w:rsidP="00E67635">
      <w:pPr>
        <w:widowControl w:val="0"/>
        <w:numPr>
          <w:ilvl w:val="0"/>
          <w:numId w:val="86"/>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Elaboración de la Guía de Comunicación Inclusiva de la OEA.</w:t>
      </w:r>
    </w:p>
    <w:p w14:paraId="0B283205" w14:textId="77777777" w:rsidR="002B6D89" w:rsidRPr="00B62815" w:rsidRDefault="002B6D89" w:rsidP="002B6D89">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p>
    <w:p w14:paraId="20139E58" w14:textId="77777777" w:rsidR="002B6D89" w:rsidRPr="00B62815" w:rsidRDefault="002B6D89" w:rsidP="00E67635">
      <w:pPr>
        <w:widowControl w:val="0"/>
        <w:numPr>
          <w:ilvl w:val="0"/>
          <w:numId w:val="15"/>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b/>
          <w:snapToGrid w:val="0"/>
          <w:sz w:val="22"/>
          <w:szCs w:val="22"/>
          <w:lang w:val="es-ES"/>
        </w:rPr>
      </w:pPr>
      <w:r w:rsidRPr="00B62815">
        <w:rPr>
          <w:rFonts w:asciiTheme="minorHAnsi" w:eastAsia="Batang" w:hAnsiTheme="minorHAnsi" w:cstheme="minorHAnsi"/>
          <w:b/>
          <w:snapToGrid w:val="0"/>
          <w:sz w:val="22"/>
          <w:szCs w:val="22"/>
          <w:lang w:val="es-ES"/>
        </w:rPr>
        <w:t>Mecanismo de Seguimiento de la Convención de Belém do Pará (MESECVI)</w:t>
      </w:r>
    </w:p>
    <w:p w14:paraId="2BAE561C" w14:textId="6ED3A2E8" w:rsidR="002B6D89" w:rsidRPr="00B62815" w:rsidRDefault="002B6D89" w:rsidP="00E67635">
      <w:pPr>
        <w:widowControl w:val="0"/>
        <w:numPr>
          <w:ilvl w:val="0"/>
          <w:numId w:val="89"/>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 xml:space="preserve">Conclusión de la fase de seguimiento de la Tercera Ronda de Evaluación Multilateral, con base en el </w:t>
      </w:r>
      <w:r w:rsidRPr="00B62815">
        <w:rPr>
          <w:rFonts w:asciiTheme="minorHAnsi" w:eastAsia="Batang" w:hAnsiTheme="minorHAnsi" w:cstheme="minorHAnsi"/>
          <w:i/>
          <w:snapToGrid w:val="0"/>
          <w:sz w:val="22"/>
          <w:szCs w:val="22"/>
          <w:lang w:val="es-ES"/>
        </w:rPr>
        <w:t>Sistema de indicadores de progreso para la medición de la implementación de la Convención de Belém do Pará</w:t>
      </w:r>
      <w:r w:rsidRPr="00B62815">
        <w:rPr>
          <w:rFonts w:asciiTheme="minorHAnsi" w:eastAsia="Batang" w:hAnsiTheme="minorHAnsi" w:cstheme="minorHAnsi"/>
          <w:snapToGrid w:val="0"/>
          <w:sz w:val="22"/>
          <w:szCs w:val="22"/>
          <w:lang w:val="es-ES"/>
        </w:rPr>
        <w:t>;</w:t>
      </w:r>
      <w:r w:rsidR="00D97F75">
        <w:rPr>
          <w:rStyle w:val="FootnoteReference"/>
          <w:rFonts w:asciiTheme="minorHAnsi" w:eastAsia="Batang" w:hAnsiTheme="minorHAnsi" w:cstheme="minorHAnsi"/>
          <w:snapToGrid w:val="0"/>
          <w:sz w:val="22"/>
          <w:szCs w:val="22"/>
          <w:lang w:val="es-ES"/>
        </w:rPr>
        <w:footnoteReference w:id="18"/>
      </w:r>
      <w:r w:rsidR="00D97F75">
        <w:rPr>
          <w:rFonts w:asciiTheme="minorHAnsi" w:eastAsia="Batang" w:hAnsiTheme="minorHAnsi" w:cstheme="minorHAnsi"/>
          <w:snapToGrid w:val="0"/>
          <w:sz w:val="22"/>
          <w:szCs w:val="22"/>
          <w:lang w:val="es-ES"/>
        </w:rPr>
        <w:t xml:space="preserve"> </w:t>
      </w:r>
      <w:r w:rsidRPr="00B62815">
        <w:rPr>
          <w:rFonts w:asciiTheme="minorHAnsi" w:eastAsia="Batang" w:hAnsiTheme="minorHAnsi" w:cstheme="minorHAnsi"/>
          <w:snapToGrid w:val="0"/>
          <w:sz w:val="22"/>
          <w:szCs w:val="22"/>
          <w:lang w:val="es-ES"/>
        </w:rPr>
        <w:t>con la aprobación de 17 informes nacionales y un informe hemisférico sobre la situación de la violencia contra las mujeres.</w:t>
      </w:r>
    </w:p>
    <w:p w14:paraId="5A2A363B" w14:textId="77777777" w:rsidR="002B6D89" w:rsidRPr="00B62815" w:rsidRDefault="002B6D89" w:rsidP="00E67635">
      <w:pPr>
        <w:widowControl w:val="0"/>
        <w:numPr>
          <w:ilvl w:val="0"/>
          <w:numId w:val="89"/>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Celebración de la Decimosexta Reunión del Comité de Expertas del MESECVI en Washington, DC, donde se visibilizó la violencia contra mujeres con discapacidad;</w:t>
      </w:r>
    </w:p>
    <w:p w14:paraId="206F48E8" w14:textId="67198FB5" w:rsidR="002B6D89" w:rsidRPr="00B62815" w:rsidRDefault="002B6D89" w:rsidP="00E67635">
      <w:pPr>
        <w:widowControl w:val="0"/>
        <w:numPr>
          <w:ilvl w:val="0"/>
          <w:numId w:val="89"/>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Organización de eventos de socialización y capacitación con más de 150 abogados y abogadas en Ecuador, El Salvador y República Dominicana en litigio con enfoque de género y en las Leyes Modelo para Prevenir, Sancionar y Erradicar la Violencia contra las Mujeres en la Vida Política</w:t>
      </w:r>
      <w:r w:rsidR="00D97F75">
        <w:rPr>
          <w:rStyle w:val="FootnoteReference"/>
          <w:rFonts w:asciiTheme="minorHAnsi" w:eastAsia="Batang" w:hAnsiTheme="minorHAnsi" w:cstheme="minorHAnsi"/>
          <w:snapToGrid w:val="0"/>
          <w:sz w:val="22"/>
          <w:szCs w:val="22"/>
          <w:lang w:val="es-ES"/>
        </w:rPr>
        <w:footnoteReference w:id="19"/>
      </w:r>
      <w:r w:rsidRPr="00B62815">
        <w:rPr>
          <w:rFonts w:asciiTheme="minorHAnsi" w:eastAsia="Batang" w:hAnsiTheme="minorHAnsi" w:cstheme="minorHAnsi"/>
          <w:snapToGrid w:val="0"/>
          <w:sz w:val="22"/>
          <w:szCs w:val="22"/>
          <w:lang w:val="es-ES"/>
        </w:rPr>
        <w:t xml:space="preserve"> y para Prevenir, Sancionar y Erradicar la Muerte Violenta de Mujeres por Razones de Género (Femicidio/Feminicidio);</w:t>
      </w:r>
      <w:r w:rsidR="00D97F75">
        <w:rPr>
          <w:rStyle w:val="FootnoteReference"/>
          <w:rFonts w:asciiTheme="minorHAnsi" w:eastAsia="Batang" w:hAnsiTheme="minorHAnsi" w:cstheme="minorHAnsi"/>
          <w:snapToGrid w:val="0"/>
          <w:sz w:val="22"/>
          <w:szCs w:val="22"/>
          <w:lang w:val="es-ES"/>
        </w:rPr>
        <w:footnoteReference w:id="20"/>
      </w:r>
    </w:p>
    <w:p w14:paraId="684CAD18" w14:textId="77777777" w:rsidR="002B6D89" w:rsidRPr="00B62815" w:rsidRDefault="002B6D89" w:rsidP="00E67635">
      <w:pPr>
        <w:widowControl w:val="0"/>
        <w:numPr>
          <w:ilvl w:val="0"/>
          <w:numId w:val="89"/>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Conmemoración del vigesimoquinto aniversario de la Convención Interamericana para Prevenir, Sancionar y Erradicar la Violencia contra la Mujer (Convención de Belém do Pará, 1994);</w:t>
      </w:r>
    </w:p>
    <w:p w14:paraId="60995020" w14:textId="77777777" w:rsidR="002B6D89" w:rsidRPr="00B62815" w:rsidRDefault="002B6D89" w:rsidP="00E67635">
      <w:pPr>
        <w:widowControl w:val="0"/>
        <w:numPr>
          <w:ilvl w:val="0"/>
          <w:numId w:val="89"/>
        </w:num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r w:rsidRPr="00B62815">
        <w:rPr>
          <w:rFonts w:asciiTheme="minorHAnsi" w:eastAsia="Batang" w:hAnsiTheme="minorHAnsi" w:cstheme="minorHAnsi"/>
          <w:snapToGrid w:val="0"/>
          <w:sz w:val="22"/>
          <w:szCs w:val="22"/>
          <w:lang w:val="es-ES"/>
        </w:rPr>
        <w:t>Elaboración de un informe subregional sobre violencia contra las mujeres en los países de la OECS (Antigua y Barbuda, Dominica, Grenada, San Kitts y Nevis, Santa Lucía, San Vicente y las Granadinas).</w:t>
      </w:r>
    </w:p>
    <w:p w14:paraId="23487E43" w14:textId="77777777" w:rsidR="004C0B48" w:rsidRPr="00B62815" w:rsidRDefault="004C0B48" w:rsidP="004C0B48">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22"/>
          <w:szCs w:val="22"/>
          <w:lang w:val="es-ES"/>
        </w:rPr>
      </w:pPr>
    </w:p>
    <w:p w14:paraId="3B4FACFD" w14:textId="77777777" w:rsidR="0014077C" w:rsidRPr="00B62815" w:rsidRDefault="0014077C"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p>
    <w:p w14:paraId="2F209670" w14:textId="414CD337" w:rsidR="00AD19FE" w:rsidRPr="00B62815" w:rsidRDefault="00D2474B"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06" w:name="_Toc39675866"/>
      <w:bookmarkStart w:id="107" w:name="_Toc40191089"/>
      <w:r w:rsidRPr="00B62815">
        <w:rPr>
          <w:rFonts w:asciiTheme="minorHAnsi" w:hAnsiTheme="minorHAnsi" w:cstheme="minorHAnsi"/>
          <w:b/>
          <w:color w:val="1F497D"/>
          <w:sz w:val="22"/>
          <w:szCs w:val="22"/>
          <w:lang w:val="es-ES"/>
        </w:rPr>
        <w:t>3.6</w:t>
      </w:r>
      <w:r w:rsidRPr="00B62815">
        <w:rPr>
          <w:rFonts w:asciiTheme="minorHAnsi" w:hAnsiTheme="minorHAnsi" w:cstheme="minorHAnsi"/>
          <w:b/>
          <w:color w:val="1F497D"/>
          <w:sz w:val="22"/>
          <w:szCs w:val="22"/>
          <w:lang w:val="es-ES"/>
        </w:rPr>
        <w:tab/>
        <w:t>SECRETARÍA DE LA COMISIÓN INTERAMERICANA DE TELECOMUNICACIONES (CITEL)</w:t>
      </w:r>
      <w:bookmarkEnd w:id="106"/>
      <w:bookmarkEnd w:id="107"/>
    </w:p>
    <w:p w14:paraId="10380A77" w14:textId="77777777" w:rsidR="002B6D89" w:rsidRPr="00B62815" w:rsidRDefault="002B6D89" w:rsidP="002B6D89">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El 2019 fue muy significativo para la cooperación y establecimientos de acuerdos de Telecomunicaciones/Tecnologías de la Información y Comunicaciones(TIC) en las Américas, en especial porque la CITEL realizó 309 acuerdos interamericanos, logrando la </w:t>
      </w:r>
      <w:r w:rsidRPr="00B62815">
        <w:rPr>
          <w:rFonts w:asciiTheme="minorHAnsi" w:hAnsiTheme="minorHAnsi" w:cstheme="minorHAnsi"/>
          <w:b/>
          <w:sz w:val="22"/>
          <w:szCs w:val="22"/>
          <w:u w:val="single"/>
          <w:lang w:val="es-US"/>
        </w:rPr>
        <w:t>adopción del 98% de estos pactos (IAPs) al ser defendidos por la CITEL</w:t>
      </w:r>
      <w:r w:rsidRPr="00B62815">
        <w:rPr>
          <w:rFonts w:asciiTheme="minorHAnsi" w:hAnsiTheme="minorHAnsi" w:cstheme="minorHAnsi"/>
          <w:sz w:val="22"/>
          <w:szCs w:val="22"/>
          <w:lang w:val="es-US"/>
        </w:rPr>
        <w:t xml:space="preserve">  en la Conferencia Mundial de Radiocomunicaciones  (CMR-19) </w:t>
      </w:r>
      <w:r w:rsidRPr="00B62815">
        <w:rPr>
          <w:rFonts w:asciiTheme="minorHAnsi" w:hAnsiTheme="minorHAnsi" w:cstheme="minorHAnsi"/>
          <w:bCs/>
          <w:sz w:val="22"/>
          <w:szCs w:val="22"/>
          <w:lang w:val="es-PE" w:eastAsia="es-ES_tradnl"/>
        </w:rPr>
        <w:t xml:space="preserve">de las Naciones Unidas / Unión Internacional de Telecomunicaciones en </w:t>
      </w:r>
      <w:r w:rsidRPr="00B62815">
        <w:rPr>
          <w:rFonts w:asciiTheme="minorHAnsi" w:hAnsiTheme="minorHAnsi" w:cstheme="minorHAnsi"/>
          <w:color w:val="000000"/>
          <w:sz w:val="22"/>
          <w:szCs w:val="22"/>
          <w:shd w:val="clear" w:color="auto" w:fill="FFFFFF"/>
          <w:lang w:val="es-US"/>
        </w:rPr>
        <w:t xml:space="preserve">Egipto, quedando </w:t>
      </w:r>
      <w:r w:rsidRPr="00B62815">
        <w:rPr>
          <w:rFonts w:asciiTheme="minorHAnsi" w:hAnsiTheme="minorHAnsi" w:cstheme="minorHAnsi"/>
          <w:sz w:val="22"/>
          <w:szCs w:val="22"/>
          <w:lang w:val="es-US"/>
        </w:rPr>
        <w:t xml:space="preserve">plasmados en el Reglamento de Radiocomunicaciones -  tratado internacional que rige las radiofrecuencias y satélites a nivel mundial. </w:t>
      </w:r>
    </w:p>
    <w:p w14:paraId="50F622CD" w14:textId="77777777" w:rsidR="002B6D89" w:rsidRPr="00B62815" w:rsidRDefault="001C2CF3" w:rsidP="002B6D89">
      <w:pPr>
        <w:jc w:val="both"/>
        <w:rPr>
          <w:rFonts w:asciiTheme="minorHAnsi" w:hAnsiTheme="minorHAnsi" w:cstheme="minorHAnsi"/>
          <w:sz w:val="22"/>
          <w:szCs w:val="22"/>
          <w:lang w:val="es-US"/>
        </w:rPr>
      </w:pPr>
      <w:r w:rsidRPr="00B62815">
        <w:rPr>
          <w:rFonts w:asciiTheme="minorHAnsi" w:hAnsiTheme="minorHAnsi" w:cstheme="minorHAnsi"/>
          <w:noProof/>
          <w:sz w:val="22"/>
          <w:szCs w:val="22"/>
        </w:rPr>
        <w:drawing>
          <wp:anchor distT="0" distB="0" distL="114300" distR="114300" simplePos="0" relativeHeight="251729920" behindDoc="0" locked="0" layoutInCell="1" allowOverlap="1" wp14:anchorId="4517575A" wp14:editId="2B7EEAA4">
            <wp:simplePos x="0" y="0"/>
            <wp:positionH relativeFrom="margin">
              <wp:posOffset>95250</wp:posOffset>
            </wp:positionH>
            <wp:positionV relativeFrom="paragraph">
              <wp:posOffset>12700</wp:posOffset>
            </wp:positionV>
            <wp:extent cx="1486535" cy="1123950"/>
            <wp:effectExtent l="0" t="0" r="0" b="0"/>
            <wp:wrapSquare wrapText="bothSides"/>
            <wp:docPr id="165" name="Picture 9" descr="C:\Users\mfuenmayor\AppData\Local\Microsoft\Windows\INetCache\Content.Word\CITEL-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fuenmayor\AppData\Local\Microsoft\Windows\INetCache\Content.Word\CITEL-photo1.jpg"/>
                    <pic:cNvPicPr>
                      <a:picLocks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148653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D89" w:rsidRPr="00B62815">
        <w:rPr>
          <w:rFonts w:asciiTheme="minorHAnsi" w:hAnsiTheme="minorHAnsi" w:cstheme="minorHAnsi"/>
          <w:sz w:val="22"/>
          <w:szCs w:val="22"/>
          <w:lang w:val="es-US"/>
        </w:rPr>
        <w:t xml:space="preserve">Continuando los esfuerzos de conectar los no conectados, CITEL realizó mesas de trabajo presenciales y virtuales con más de 20 estados miembros y la empresa privada, resultando en recomendaciones para el establecimiento de políticas que permiten flexibilizar la regulación para llegar con TIC a las regiones de nuestros países que no las tienen. </w:t>
      </w:r>
    </w:p>
    <w:p w14:paraId="0DA1F113" w14:textId="77777777" w:rsidR="002B6D89" w:rsidRPr="00B62815" w:rsidRDefault="002B6D89" w:rsidP="002B6D89">
      <w:pPr>
        <w:jc w:val="both"/>
        <w:rPr>
          <w:rFonts w:asciiTheme="minorHAnsi" w:hAnsiTheme="minorHAnsi" w:cstheme="minorHAnsi"/>
          <w:sz w:val="22"/>
          <w:szCs w:val="22"/>
          <w:lang w:val="es-US"/>
        </w:rPr>
      </w:pPr>
    </w:p>
    <w:p w14:paraId="18AA1290" w14:textId="1F9D50DC" w:rsidR="002B6D89" w:rsidRPr="00B62815" w:rsidRDefault="001C2CF3" w:rsidP="002B6D89">
      <w:pPr>
        <w:jc w:val="both"/>
        <w:rPr>
          <w:rFonts w:asciiTheme="minorHAnsi" w:hAnsiTheme="minorHAnsi" w:cstheme="minorHAnsi"/>
          <w:sz w:val="22"/>
          <w:szCs w:val="22"/>
          <w:lang w:val="es-AR"/>
        </w:rPr>
      </w:pPr>
      <w:r w:rsidRPr="00B62815">
        <w:rPr>
          <w:rFonts w:asciiTheme="minorHAnsi" w:hAnsiTheme="minorHAnsi" w:cstheme="minorHAnsi"/>
          <w:noProof/>
          <w:sz w:val="22"/>
          <w:szCs w:val="22"/>
        </w:rPr>
        <w:drawing>
          <wp:anchor distT="0" distB="0" distL="114300" distR="114300" simplePos="0" relativeHeight="251725824" behindDoc="0" locked="0" layoutInCell="1" allowOverlap="1" wp14:anchorId="3EFC7257" wp14:editId="75BB487F">
            <wp:simplePos x="0" y="0"/>
            <wp:positionH relativeFrom="margin">
              <wp:posOffset>4353560</wp:posOffset>
            </wp:positionH>
            <wp:positionV relativeFrom="paragraph">
              <wp:posOffset>66675</wp:posOffset>
            </wp:positionV>
            <wp:extent cx="1552575" cy="995680"/>
            <wp:effectExtent l="0" t="0" r="0" b="0"/>
            <wp:wrapSquare wrapText="bothSides"/>
            <wp:docPr id="164" name="Picture 1" descr="Image result for conectarse para crec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ectarse para crecer 2019"/>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155257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D89" w:rsidRPr="00B62815">
        <w:rPr>
          <w:rFonts w:asciiTheme="minorHAnsi" w:hAnsiTheme="minorHAnsi" w:cstheme="minorHAnsi"/>
          <w:sz w:val="22"/>
          <w:szCs w:val="22"/>
          <w:lang w:val="es-US"/>
        </w:rPr>
        <w:t xml:space="preserve">La implementación de la </w:t>
      </w:r>
      <w:r w:rsidR="002B6D89" w:rsidRPr="00B62815">
        <w:rPr>
          <w:rFonts w:asciiTheme="minorHAnsi" w:hAnsiTheme="minorHAnsi" w:cstheme="minorHAnsi"/>
          <w:b/>
          <w:sz w:val="22"/>
          <w:szCs w:val="22"/>
          <w:lang w:val="es-US"/>
        </w:rPr>
        <w:t xml:space="preserve">ALIANZA TIC 2030 AMÉRICAS </w:t>
      </w:r>
      <w:r w:rsidR="002B6D89" w:rsidRPr="00B62815">
        <w:rPr>
          <w:rFonts w:asciiTheme="minorHAnsi" w:hAnsiTheme="minorHAnsi" w:cstheme="minorHAnsi"/>
          <w:sz w:val="22"/>
          <w:szCs w:val="22"/>
          <w:lang w:val="es-US"/>
        </w:rPr>
        <w:t>ha permitido llevar inclusión digital a más de 1500 zonas alejadas de las Américas y ampliar la alfabetización digital con programas STEM a más de 140,000 niños/jóvenes</w:t>
      </w:r>
      <w:r w:rsidR="002B6D89" w:rsidRPr="00B62815">
        <w:rPr>
          <w:rFonts w:asciiTheme="minorHAnsi" w:hAnsiTheme="minorHAnsi" w:cstheme="minorHAnsi"/>
          <w:b/>
          <w:sz w:val="22"/>
          <w:szCs w:val="22"/>
          <w:lang w:val="es-US"/>
        </w:rPr>
        <w:t>.</w:t>
      </w:r>
      <w:r w:rsidR="002B6D89" w:rsidRPr="00B62815">
        <w:rPr>
          <w:rFonts w:asciiTheme="minorHAnsi" w:hAnsiTheme="minorHAnsi" w:cstheme="minorHAnsi"/>
          <w:sz w:val="22"/>
          <w:szCs w:val="22"/>
          <w:lang w:val="es-US"/>
        </w:rPr>
        <w:t xml:space="preserve">  La </w:t>
      </w:r>
      <w:r w:rsidR="002B6D89" w:rsidRPr="00B62815">
        <w:rPr>
          <w:rFonts w:asciiTheme="minorHAnsi" w:eastAsia="Times New Roman" w:hAnsiTheme="minorHAnsi" w:cstheme="minorHAnsi"/>
          <w:b/>
          <w:sz w:val="22"/>
          <w:szCs w:val="22"/>
          <w:shd w:val="clear" w:color="auto" w:fill="FFFFFF"/>
          <w:lang w:val="es-AR"/>
        </w:rPr>
        <w:t>A</w:t>
      </w:r>
      <w:r w:rsidR="002B6D89" w:rsidRPr="00B62815">
        <w:rPr>
          <w:rFonts w:asciiTheme="minorHAnsi" w:eastAsia="Calibri" w:hAnsiTheme="minorHAnsi" w:cstheme="minorHAnsi"/>
          <w:b/>
          <w:sz w:val="22"/>
          <w:szCs w:val="22"/>
          <w:lang w:val="es-ES_tradnl"/>
        </w:rPr>
        <w:t xml:space="preserve">LIANZA EMPODERANDO MUJERES RURALES A TRAVÉS DE LAS TIC, </w:t>
      </w:r>
      <w:r w:rsidR="002B6D89" w:rsidRPr="00B62815">
        <w:rPr>
          <w:rFonts w:asciiTheme="minorHAnsi" w:eastAsia="Calibri" w:hAnsiTheme="minorHAnsi" w:cstheme="minorHAnsi"/>
          <w:sz w:val="22"/>
          <w:szCs w:val="22"/>
          <w:lang w:val="es-ES_tradnl"/>
        </w:rPr>
        <w:t>ha venido</w:t>
      </w:r>
      <w:r w:rsidR="002B6D89" w:rsidRPr="00B62815">
        <w:rPr>
          <w:rFonts w:asciiTheme="minorHAnsi" w:eastAsia="Calibri" w:hAnsiTheme="minorHAnsi" w:cstheme="minorHAnsi"/>
          <w:b/>
          <w:sz w:val="22"/>
          <w:szCs w:val="22"/>
          <w:lang w:val="es-ES_tradnl"/>
        </w:rPr>
        <w:t xml:space="preserve"> </w:t>
      </w:r>
      <w:r w:rsidR="002B6D89" w:rsidRPr="00B62815">
        <w:rPr>
          <w:rFonts w:asciiTheme="minorHAnsi" w:eastAsia="Calibri" w:hAnsiTheme="minorHAnsi" w:cstheme="minorHAnsi"/>
          <w:sz w:val="22"/>
          <w:szCs w:val="22"/>
          <w:lang w:val="es-ES_tradnl"/>
        </w:rPr>
        <w:t xml:space="preserve">logrando </w:t>
      </w:r>
      <w:r w:rsidR="002B6D89" w:rsidRPr="00B62815">
        <w:rPr>
          <w:rFonts w:asciiTheme="minorHAnsi" w:eastAsia="Times New Roman" w:hAnsiTheme="minorHAnsi" w:cstheme="minorHAnsi"/>
          <w:sz w:val="22"/>
          <w:szCs w:val="22"/>
          <w:lang w:val="es-US"/>
        </w:rPr>
        <w:t xml:space="preserve">acciones concretas que generan </w:t>
      </w:r>
      <w:r w:rsidR="002B6D89" w:rsidRPr="00B62815">
        <w:rPr>
          <w:rFonts w:asciiTheme="minorHAnsi" w:hAnsiTheme="minorHAnsi" w:cstheme="minorHAnsi"/>
          <w:sz w:val="22"/>
          <w:szCs w:val="22"/>
          <w:lang w:val="es-US"/>
        </w:rPr>
        <w:t>nuevas oportunidades para mujeres y niñas a través del uso de TICs</w:t>
      </w:r>
      <w:r w:rsidR="002B6D89" w:rsidRPr="00B62815">
        <w:rPr>
          <w:rFonts w:asciiTheme="minorHAnsi" w:hAnsiTheme="minorHAnsi" w:cstheme="minorHAnsi"/>
          <w:sz w:val="22"/>
          <w:szCs w:val="22"/>
          <w:lang w:val="es-AR"/>
        </w:rPr>
        <w:t xml:space="preserve">. </w:t>
      </w:r>
    </w:p>
    <w:p w14:paraId="7133B8FF" w14:textId="77777777" w:rsidR="0014077C" w:rsidRPr="00B62815" w:rsidRDefault="0014077C" w:rsidP="002B6D89">
      <w:pPr>
        <w:jc w:val="both"/>
        <w:rPr>
          <w:rFonts w:asciiTheme="minorHAnsi" w:hAnsiTheme="minorHAnsi" w:cstheme="minorHAnsi"/>
          <w:sz w:val="22"/>
          <w:szCs w:val="22"/>
          <w:lang w:val="es-AR"/>
        </w:rPr>
      </w:pPr>
    </w:p>
    <w:p w14:paraId="4F96DBAE" w14:textId="77777777" w:rsidR="002B6D89" w:rsidRPr="00B62815" w:rsidRDefault="001C2CF3" w:rsidP="002B6D89">
      <w:pPr>
        <w:pStyle w:val="Default"/>
        <w:jc w:val="both"/>
        <w:rPr>
          <w:rFonts w:asciiTheme="minorHAnsi" w:hAnsiTheme="minorHAnsi" w:cstheme="minorHAnsi"/>
          <w:sz w:val="22"/>
          <w:szCs w:val="22"/>
          <w:lang w:val="es-US"/>
        </w:rPr>
      </w:pPr>
      <w:r w:rsidRPr="00B62815">
        <w:rPr>
          <w:rFonts w:asciiTheme="minorHAnsi" w:hAnsiTheme="minorHAnsi" w:cstheme="minorHAnsi"/>
          <w:noProof/>
          <w:sz w:val="22"/>
          <w:szCs w:val="22"/>
        </w:rPr>
        <w:drawing>
          <wp:anchor distT="0" distB="0" distL="114300" distR="114300" simplePos="0" relativeHeight="251727872" behindDoc="0" locked="0" layoutInCell="1" allowOverlap="1" wp14:anchorId="2CD9289F" wp14:editId="21F8389A">
            <wp:simplePos x="0" y="0"/>
            <wp:positionH relativeFrom="margin">
              <wp:posOffset>-55245</wp:posOffset>
            </wp:positionH>
            <wp:positionV relativeFrom="paragraph">
              <wp:posOffset>144145</wp:posOffset>
            </wp:positionV>
            <wp:extent cx="880110" cy="1069340"/>
            <wp:effectExtent l="0" t="0" r="0" b="0"/>
            <wp:wrapSquare wrapText="bothSides"/>
            <wp:docPr id="163" name="Picture 2" descr="C:\Users\mfuenmayor\AppData\Local\Microsoft\Windows\INetCache\Content.MSO\EBBAC2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uenmayor\AppData\Local\Microsoft\Windows\INetCache\Content.MSO\EBBAC2EF.tmp"/>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88011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D89" w:rsidRPr="00B62815">
        <w:rPr>
          <w:rFonts w:asciiTheme="minorHAnsi" w:hAnsiTheme="minorHAnsi" w:cstheme="minorHAnsi"/>
          <w:sz w:val="22"/>
          <w:szCs w:val="22"/>
          <w:lang w:val="es-CO"/>
        </w:rPr>
        <w:t>Para el</w:t>
      </w:r>
      <w:r w:rsidR="002B6D89" w:rsidRPr="00B62815">
        <w:rPr>
          <w:rFonts w:asciiTheme="minorHAnsi" w:hAnsiTheme="minorHAnsi" w:cstheme="minorHAnsi"/>
          <w:b/>
          <w:sz w:val="22"/>
          <w:szCs w:val="22"/>
          <w:lang w:val="es-CO"/>
        </w:rPr>
        <w:t xml:space="preserve"> U</w:t>
      </w:r>
      <w:r w:rsidR="002B6D89" w:rsidRPr="00B62815">
        <w:rPr>
          <w:rFonts w:asciiTheme="minorHAnsi" w:hAnsiTheme="minorHAnsi" w:cstheme="minorHAnsi"/>
          <w:b/>
          <w:sz w:val="22"/>
          <w:szCs w:val="22"/>
          <w:lang w:val="es-US"/>
        </w:rPr>
        <w:t xml:space="preserve">SO DE LAS TIC PARA SITUACIONES DE EMERGENCIA Y DESASTRE EN LA REGIÓN DE LAS AMÉRICAS, </w:t>
      </w:r>
      <w:r w:rsidR="002B6D89" w:rsidRPr="00B62815">
        <w:rPr>
          <w:rFonts w:asciiTheme="minorHAnsi" w:hAnsiTheme="minorHAnsi" w:cstheme="minorHAnsi"/>
          <w:sz w:val="22"/>
          <w:szCs w:val="22"/>
          <w:lang w:val="es-US"/>
        </w:rPr>
        <w:t>se continuó adelantando la implementación del proyecto conjunto</w:t>
      </w:r>
      <w:r w:rsidR="002B6D89" w:rsidRPr="00B62815">
        <w:rPr>
          <w:rFonts w:asciiTheme="minorHAnsi" w:hAnsiTheme="minorHAnsi" w:cstheme="minorHAnsi"/>
          <w:b/>
          <w:sz w:val="22"/>
          <w:szCs w:val="22"/>
          <w:lang w:val="es-US"/>
        </w:rPr>
        <w:t xml:space="preserve"> </w:t>
      </w:r>
      <w:r w:rsidR="002B6D89" w:rsidRPr="00B62815">
        <w:rPr>
          <w:rFonts w:asciiTheme="minorHAnsi" w:hAnsiTheme="minorHAnsi" w:cstheme="minorHAnsi"/>
          <w:sz w:val="22"/>
          <w:szCs w:val="22"/>
          <w:lang w:val="es-US"/>
        </w:rPr>
        <w:t>entre la UIT, la CITEL, COMTELCA y CTU. Ésta Red de Telecomunicaciones de Emergencia Regional Alternativa basada en radio amateur e internet está mejorando la capacidad de respuesta a: Costa Rica, El Salvador, Guatemala, Honduras, Nicaragua y Panamá en fase finalizada; Antigua y Barbuda, Bahamas, Barbados, Belice, Dominica, República Dominicana, Granada, Guyana, Haití, Jamaica, San Cristóbal y Nieves, Santa Lucía, San Vicente y las Granadinas, Surinam y Trinidad y Tobago en la segunda fase.</w:t>
      </w:r>
    </w:p>
    <w:p w14:paraId="697672FB" w14:textId="77777777" w:rsidR="002B6D89" w:rsidRPr="00B62815" w:rsidRDefault="002B6D89" w:rsidP="002B6D89">
      <w:pPr>
        <w:jc w:val="both"/>
        <w:rPr>
          <w:rFonts w:asciiTheme="minorHAnsi" w:hAnsiTheme="minorHAnsi" w:cstheme="minorHAnsi"/>
          <w:sz w:val="22"/>
          <w:szCs w:val="22"/>
          <w:lang w:val="es-US"/>
        </w:rPr>
      </w:pPr>
    </w:p>
    <w:p w14:paraId="0026000C" w14:textId="77777777" w:rsidR="002B6D89" w:rsidRPr="00B62815" w:rsidRDefault="002B6D89" w:rsidP="002B6D89">
      <w:pPr>
        <w:ind w:right="300"/>
        <w:jc w:val="both"/>
        <w:rPr>
          <w:rFonts w:asciiTheme="minorHAnsi" w:hAnsiTheme="minorHAnsi" w:cstheme="minorHAnsi"/>
          <w:b/>
          <w:sz w:val="22"/>
          <w:szCs w:val="22"/>
          <w:u w:val="single"/>
          <w:lang w:val="es-US"/>
        </w:rPr>
      </w:pPr>
      <w:r w:rsidRPr="00B62815">
        <w:rPr>
          <w:rFonts w:asciiTheme="minorHAnsi" w:hAnsiTheme="minorHAnsi" w:cstheme="minorHAnsi"/>
          <w:b/>
          <w:sz w:val="22"/>
          <w:szCs w:val="22"/>
          <w:u w:val="single"/>
          <w:lang w:val="es-US"/>
        </w:rPr>
        <w:t xml:space="preserve">OTROS RESULTADOS OBTENIDOS: </w:t>
      </w:r>
    </w:p>
    <w:p w14:paraId="4CDC7F4F" w14:textId="77777777" w:rsidR="003E3532" w:rsidRPr="00B62815" w:rsidRDefault="003E3532" w:rsidP="002B6D89">
      <w:pPr>
        <w:ind w:right="300"/>
        <w:jc w:val="both"/>
        <w:rPr>
          <w:rFonts w:asciiTheme="minorHAnsi" w:hAnsiTheme="minorHAnsi" w:cstheme="minorHAnsi"/>
          <w:b/>
          <w:sz w:val="22"/>
          <w:szCs w:val="22"/>
          <w:u w:val="single"/>
          <w:lang w:val="es-US"/>
        </w:rPr>
      </w:pPr>
    </w:p>
    <w:p w14:paraId="420CE752" w14:textId="77777777" w:rsidR="002B6D89" w:rsidRPr="00B62815" w:rsidRDefault="002B6D89" w:rsidP="00E67635">
      <w:pPr>
        <w:pStyle w:val="ListParagraph"/>
        <w:numPr>
          <w:ilvl w:val="0"/>
          <w:numId w:val="90"/>
        </w:numPr>
        <w:tabs>
          <w:tab w:val="left" w:pos="360"/>
        </w:tabs>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A</w:t>
      </w:r>
      <w:r w:rsidRPr="00B62815">
        <w:rPr>
          <w:rFonts w:asciiTheme="minorHAnsi" w:hAnsiTheme="minorHAnsi" w:cstheme="minorHAnsi"/>
          <w:sz w:val="22"/>
          <w:szCs w:val="22"/>
          <w:lang w:val="es-AR"/>
        </w:rPr>
        <w:t xml:space="preserve">poyo a las iniciativas de la CITEL por parte de la Asamblea General de la OEA, aprobando 3 resoluciones relacionadas con los </w:t>
      </w:r>
      <w:r w:rsidRPr="00B62815">
        <w:rPr>
          <w:rFonts w:asciiTheme="minorHAnsi" w:hAnsiTheme="minorHAnsi" w:cstheme="minorHAnsi"/>
          <w:sz w:val="22"/>
          <w:szCs w:val="22"/>
          <w:lang w:val="es-US"/>
        </w:rPr>
        <w:t>ESFUERZOS HEMISFÉRICOS PARA COMBATIR EL USO DE EQUIPOS MÓVILES HURTADOS</w:t>
      </w:r>
      <w:r w:rsidR="000B2C99" w:rsidRPr="00B62815">
        <w:rPr>
          <w:rFonts w:asciiTheme="minorHAnsi" w:hAnsiTheme="minorHAnsi" w:cstheme="minorHAnsi"/>
          <w:sz w:val="22"/>
          <w:szCs w:val="22"/>
          <w:lang w:val="es-US"/>
        </w:rPr>
        <w:t xml:space="preserve">, </w:t>
      </w:r>
      <w:r w:rsidRPr="00B62815">
        <w:rPr>
          <w:rFonts w:asciiTheme="minorHAnsi" w:hAnsiTheme="minorHAnsi" w:cstheme="minorHAnsi"/>
          <w:sz w:val="22"/>
          <w:szCs w:val="22"/>
          <w:lang w:val="es-US"/>
        </w:rPr>
        <w:t>EXTRAVIADOS O ADULTERADOS</w:t>
      </w:r>
      <w:r w:rsidR="000B2C99" w:rsidRPr="00B62815">
        <w:rPr>
          <w:rFonts w:asciiTheme="minorHAnsi" w:hAnsiTheme="minorHAnsi" w:cstheme="minorHAnsi"/>
          <w:sz w:val="22"/>
          <w:szCs w:val="22"/>
          <w:lang w:val="es-US"/>
        </w:rPr>
        <w:t xml:space="preserve">, El </w:t>
      </w:r>
      <w:r w:rsidRPr="00B62815">
        <w:rPr>
          <w:rFonts w:asciiTheme="minorHAnsi" w:hAnsiTheme="minorHAnsi" w:cstheme="minorHAnsi"/>
          <w:sz w:val="22"/>
          <w:szCs w:val="22"/>
          <w:lang w:val="es-US"/>
        </w:rPr>
        <w:t xml:space="preserve">USO DE LAS TIC PARA SITUACIONES DE EMERGENCIA Y DESASTRE EN LA REGIÓN DE LAS AMÉRICAS </w:t>
      </w:r>
      <w:r w:rsidR="000B2C99" w:rsidRPr="00B62815">
        <w:rPr>
          <w:rFonts w:asciiTheme="minorHAnsi" w:hAnsiTheme="minorHAnsi" w:cstheme="minorHAnsi"/>
          <w:sz w:val="22"/>
          <w:szCs w:val="22"/>
          <w:lang w:val="es-US"/>
        </w:rPr>
        <w:t xml:space="preserve">Y El </w:t>
      </w:r>
      <w:r w:rsidRPr="00B62815">
        <w:rPr>
          <w:rFonts w:asciiTheme="minorHAnsi" w:hAnsiTheme="minorHAnsi" w:cstheme="minorHAnsi"/>
          <w:sz w:val="22"/>
          <w:szCs w:val="22"/>
          <w:lang w:val="es-US"/>
        </w:rPr>
        <w:t>PAPEL PRIORITARIO EN EL DESARROLLO DE LAS TELECOMUNICACIONES</w:t>
      </w:r>
      <w:r w:rsidR="000B2C99" w:rsidRPr="00B62815">
        <w:rPr>
          <w:rFonts w:asciiTheme="minorHAnsi" w:hAnsiTheme="minorHAnsi" w:cstheme="minorHAnsi"/>
          <w:sz w:val="22"/>
          <w:szCs w:val="22"/>
          <w:lang w:val="es-US"/>
        </w:rPr>
        <w:t>/</w:t>
      </w:r>
      <w:r w:rsidRPr="00B62815">
        <w:rPr>
          <w:rFonts w:asciiTheme="minorHAnsi" w:hAnsiTheme="minorHAnsi" w:cstheme="minorHAnsi"/>
          <w:sz w:val="22"/>
          <w:szCs w:val="22"/>
          <w:lang w:val="es-US"/>
        </w:rPr>
        <w:t>TIC A TRAVÉS DE LA CITEL en las Américas como herramienta esencial para el desarrollo de los países.</w:t>
      </w:r>
    </w:p>
    <w:p w14:paraId="0413130E" w14:textId="77777777" w:rsidR="002B6D89" w:rsidRPr="00B62815" w:rsidRDefault="002B6D89" w:rsidP="00E67635">
      <w:pPr>
        <w:pStyle w:val="ListParagraph"/>
        <w:numPr>
          <w:ilvl w:val="0"/>
          <w:numId w:val="90"/>
        </w:numPr>
        <w:tabs>
          <w:tab w:val="left" w:pos="360"/>
        </w:tabs>
        <w:ind w:left="360"/>
        <w:contextualSpacing/>
        <w:jc w:val="both"/>
        <w:rPr>
          <w:rFonts w:asciiTheme="minorHAnsi" w:hAnsiTheme="minorHAnsi" w:cstheme="minorHAnsi"/>
          <w:sz w:val="22"/>
          <w:szCs w:val="22"/>
          <w:lang w:val="es-US"/>
        </w:rPr>
      </w:pPr>
      <w:r w:rsidRPr="00B62815">
        <w:rPr>
          <w:rFonts w:asciiTheme="minorHAnsi" w:hAnsiTheme="minorHAnsi" w:cstheme="minorHAnsi"/>
          <w:b/>
          <w:sz w:val="22"/>
          <w:szCs w:val="22"/>
          <w:lang w:val="es-US"/>
        </w:rPr>
        <w:t>Profuturo-Telefónica</w:t>
      </w:r>
      <w:r w:rsidRPr="00B62815">
        <w:rPr>
          <w:rFonts w:asciiTheme="minorHAnsi" w:hAnsiTheme="minorHAnsi" w:cstheme="minorHAnsi"/>
          <w:sz w:val="22"/>
          <w:szCs w:val="22"/>
          <w:lang w:val="es-US"/>
        </w:rPr>
        <w:t>: a través del programa de Aulas Digitales en el Caribe se finalizó la firma e inicio la implementación en 92 escuelas, 1,212 docentes, 23,993 estudiantes y 59 entrenadores en Bahamas, Barbados, Belice, Guyana y Santa Lucia.</w:t>
      </w:r>
    </w:p>
    <w:p w14:paraId="6ACEA087" w14:textId="77777777" w:rsidR="002B6D89" w:rsidRPr="00B62815" w:rsidRDefault="002B6D89" w:rsidP="00E67635">
      <w:pPr>
        <w:pStyle w:val="ListParagraph"/>
        <w:numPr>
          <w:ilvl w:val="0"/>
          <w:numId w:val="90"/>
        </w:numPr>
        <w:tabs>
          <w:tab w:val="left" w:pos="360"/>
        </w:tabs>
        <w:ind w:left="360"/>
        <w:contextualSpacing/>
        <w:jc w:val="both"/>
        <w:rPr>
          <w:rFonts w:asciiTheme="minorHAnsi" w:hAnsiTheme="minorHAnsi" w:cstheme="minorHAnsi"/>
          <w:sz w:val="22"/>
          <w:szCs w:val="22"/>
          <w:lang w:val="es-US"/>
        </w:rPr>
      </w:pPr>
      <w:r w:rsidRPr="00B62815">
        <w:rPr>
          <w:rFonts w:asciiTheme="minorHAnsi" w:hAnsiTheme="minorHAnsi" w:cstheme="minorHAnsi"/>
          <w:b/>
          <w:sz w:val="22"/>
          <w:szCs w:val="22"/>
          <w:lang w:val="es-US"/>
        </w:rPr>
        <w:t xml:space="preserve">Millicom: </w:t>
      </w:r>
      <w:r w:rsidRPr="00B62815">
        <w:rPr>
          <w:rFonts w:asciiTheme="minorHAnsi" w:hAnsiTheme="minorHAnsi" w:cstheme="minorHAnsi"/>
          <w:sz w:val="22"/>
          <w:szCs w:val="22"/>
          <w:lang w:val="es-US"/>
        </w:rPr>
        <w:t>cumpliendo los compromisos de la Alianza TIC 2030 ha conectado 1416 instituciones educativas en América Latina incluyendo equipar a los</w:t>
      </w:r>
      <w:r w:rsidRPr="00B62815">
        <w:rPr>
          <w:rFonts w:asciiTheme="minorHAnsi" w:hAnsiTheme="minorHAnsi" w:cstheme="minorHAnsi"/>
          <w:b/>
          <w:sz w:val="22"/>
          <w:szCs w:val="22"/>
          <w:lang w:val="es-US"/>
        </w:rPr>
        <w:t xml:space="preserve"> </w:t>
      </w:r>
      <w:r w:rsidRPr="00B62815">
        <w:rPr>
          <w:rFonts w:asciiTheme="minorHAnsi" w:hAnsiTheme="minorHAnsi" w:cstheme="minorHAnsi"/>
          <w:sz w:val="22"/>
          <w:szCs w:val="22"/>
          <w:lang w:val="es-US"/>
        </w:rPr>
        <w:t>educadores en estas instituciones con programas para seguridad de niños y jóvenes en línea alcanzando beneficiar 3.713 maestros, 71.058 padres/tutores y 120.099 niños/adolecentes.</w:t>
      </w:r>
    </w:p>
    <w:p w14:paraId="13F14DD6" w14:textId="77777777" w:rsidR="002B6D89" w:rsidRPr="00B62815" w:rsidRDefault="002B6D89" w:rsidP="00E67635">
      <w:pPr>
        <w:pStyle w:val="ListParagraph"/>
        <w:numPr>
          <w:ilvl w:val="0"/>
          <w:numId w:val="90"/>
        </w:numPr>
        <w:tabs>
          <w:tab w:val="left" w:pos="360"/>
        </w:tabs>
        <w:ind w:left="360"/>
        <w:contextualSpacing/>
        <w:jc w:val="both"/>
        <w:rPr>
          <w:rFonts w:asciiTheme="minorHAnsi" w:hAnsiTheme="minorHAnsi" w:cstheme="minorHAnsi"/>
          <w:sz w:val="22"/>
          <w:szCs w:val="22"/>
          <w:lang w:val="es-US"/>
        </w:rPr>
      </w:pPr>
      <w:r w:rsidRPr="00B62815">
        <w:rPr>
          <w:rFonts w:asciiTheme="minorHAnsi" w:hAnsiTheme="minorHAnsi" w:cstheme="minorHAnsi"/>
          <w:b/>
          <w:sz w:val="22"/>
          <w:szCs w:val="22"/>
          <w:lang w:val="es-US"/>
        </w:rPr>
        <w:t>VIASAT</w:t>
      </w:r>
      <w:r w:rsidRPr="00B62815">
        <w:rPr>
          <w:rFonts w:asciiTheme="minorHAnsi" w:hAnsiTheme="minorHAnsi" w:cstheme="minorHAnsi"/>
          <w:sz w:val="22"/>
          <w:szCs w:val="22"/>
          <w:lang w:val="es-US"/>
        </w:rPr>
        <w:t xml:space="preserve">: se firmó el acuerdo para conectar a Internet 8.000 escuelas. También el despliegue de 100 sitios experimentales con banda ancha satelital incluyendo puntos de conexión WiFi en comunidades marginales en zonas rurales de Centro América y Norte de Colombia. </w:t>
      </w:r>
    </w:p>
    <w:p w14:paraId="2B43C8B6" w14:textId="77777777" w:rsidR="002B6D89" w:rsidRPr="00B62815" w:rsidRDefault="002B6D89" w:rsidP="00E67635">
      <w:pPr>
        <w:pStyle w:val="ListParagraph"/>
        <w:numPr>
          <w:ilvl w:val="0"/>
          <w:numId w:val="90"/>
        </w:numPr>
        <w:tabs>
          <w:tab w:val="left" w:pos="360"/>
        </w:tabs>
        <w:ind w:left="360"/>
        <w:contextualSpacing/>
        <w:jc w:val="both"/>
        <w:rPr>
          <w:rFonts w:asciiTheme="minorHAnsi" w:hAnsiTheme="minorHAnsi" w:cstheme="minorHAnsi"/>
          <w:b/>
          <w:sz w:val="22"/>
          <w:szCs w:val="22"/>
          <w:lang w:val="es-US"/>
        </w:rPr>
      </w:pPr>
      <w:r w:rsidRPr="00B62815">
        <w:rPr>
          <w:rFonts w:asciiTheme="minorHAnsi" w:hAnsiTheme="minorHAnsi" w:cstheme="minorHAnsi"/>
          <w:b/>
          <w:sz w:val="22"/>
          <w:szCs w:val="22"/>
          <w:lang w:val="es-US"/>
        </w:rPr>
        <w:t xml:space="preserve">ISOC: </w:t>
      </w:r>
      <w:r w:rsidRPr="00B62815">
        <w:rPr>
          <w:rFonts w:asciiTheme="minorHAnsi" w:hAnsiTheme="minorHAnsi" w:cstheme="minorHAnsi"/>
          <w:sz w:val="22"/>
          <w:szCs w:val="22"/>
          <w:lang w:val="es-US"/>
        </w:rPr>
        <w:t>otorgó 150 becas para el</w:t>
      </w:r>
      <w:r w:rsidRPr="00B62815">
        <w:rPr>
          <w:rFonts w:asciiTheme="minorHAnsi" w:hAnsiTheme="minorHAnsi" w:cstheme="minorHAnsi"/>
          <w:b/>
          <w:sz w:val="22"/>
          <w:szCs w:val="22"/>
          <w:lang w:val="es-US"/>
        </w:rPr>
        <w:t xml:space="preserve"> </w:t>
      </w:r>
      <w:r w:rsidRPr="00B62815">
        <w:rPr>
          <w:rFonts w:asciiTheme="minorHAnsi" w:hAnsiTheme="minorHAnsi" w:cstheme="minorHAnsi"/>
          <w:sz w:val="22"/>
          <w:szCs w:val="22"/>
          <w:lang w:val="es-US"/>
        </w:rPr>
        <w:t>curso en línea “</w:t>
      </w:r>
      <w:r w:rsidRPr="00B62815">
        <w:rPr>
          <w:rFonts w:asciiTheme="minorHAnsi" w:hAnsiTheme="minorHAnsi" w:cstheme="minorHAnsi"/>
          <w:b/>
          <w:sz w:val="22"/>
          <w:szCs w:val="22"/>
          <w:lang w:val="es-US"/>
        </w:rPr>
        <w:t>Construyendo redes comunitarias inalámbricas</w:t>
      </w:r>
      <w:r w:rsidRPr="00B62815">
        <w:rPr>
          <w:rFonts w:asciiTheme="minorHAnsi" w:hAnsiTheme="minorHAnsi" w:cstheme="minorHAnsi"/>
          <w:sz w:val="22"/>
          <w:szCs w:val="22"/>
          <w:lang w:val="es-US"/>
        </w:rPr>
        <w:t>” y 4 becas totales para el taller</w:t>
      </w:r>
      <w:r w:rsidRPr="00B62815">
        <w:rPr>
          <w:rFonts w:asciiTheme="minorHAnsi" w:hAnsiTheme="minorHAnsi" w:cstheme="minorHAnsi"/>
          <w:bCs/>
          <w:sz w:val="22"/>
          <w:szCs w:val="22"/>
          <w:lang w:val="es-US"/>
        </w:rPr>
        <w:t xml:space="preserve"> presencial sobre Redes Comunitarias</w:t>
      </w:r>
      <w:r w:rsidRPr="00B62815">
        <w:rPr>
          <w:rFonts w:asciiTheme="minorHAnsi" w:hAnsiTheme="minorHAnsi" w:cstheme="minorHAnsi"/>
          <w:sz w:val="22"/>
          <w:szCs w:val="22"/>
          <w:lang w:val="es-US"/>
        </w:rPr>
        <w:t xml:space="preserve"> en </w:t>
      </w:r>
      <w:r w:rsidRPr="00B62815">
        <w:rPr>
          <w:rFonts w:asciiTheme="minorHAnsi" w:hAnsiTheme="minorHAnsi" w:cstheme="minorHAnsi"/>
          <w:b/>
          <w:bCs/>
          <w:sz w:val="22"/>
          <w:szCs w:val="22"/>
          <w:lang w:val="es-US"/>
        </w:rPr>
        <w:t>Guatemala.</w:t>
      </w:r>
    </w:p>
    <w:p w14:paraId="6277A9E8" w14:textId="77777777" w:rsidR="002B6D89" w:rsidRPr="00B62815" w:rsidRDefault="002B6D89" w:rsidP="00E67635">
      <w:pPr>
        <w:pStyle w:val="ListParagraph"/>
        <w:numPr>
          <w:ilvl w:val="0"/>
          <w:numId w:val="90"/>
        </w:numPr>
        <w:tabs>
          <w:tab w:val="left" w:pos="360"/>
        </w:tabs>
        <w:ind w:left="360"/>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Se otorgó el </w:t>
      </w:r>
      <w:r w:rsidRPr="00B62815">
        <w:rPr>
          <w:rFonts w:asciiTheme="minorHAnsi" w:hAnsiTheme="minorHAnsi" w:cstheme="minorHAnsi"/>
          <w:b/>
          <w:sz w:val="22"/>
          <w:szCs w:val="22"/>
          <w:lang w:val="es-US"/>
        </w:rPr>
        <w:t>Premio OEA-Telefónica</w:t>
      </w:r>
      <w:r w:rsidRPr="00B62815">
        <w:rPr>
          <w:rFonts w:asciiTheme="minorHAnsi" w:hAnsiTheme="minorHAnsi" w:cstheme="minorHAnsi"/>
          <w:sz w:val="22"/>
          <w:szCs w:val="22"/>
          <w:lang w:val="es-US"/>
        </w:rPr>
        <w:t xml:space="preserve"> en la categoría “</w:t>
      </w:r>
      <w:r w:rsidRPr="00B62815">
        <w:rPr>
          <w:rFonts w:asciiTheme="minorHAnsi" w:hAnsiTheme="minorHAnsi" w:cstheme="minorHAnsi"/>
          <w:b/>
          <w:sz w:val="22"/>
          <w:szCs w:val="22"/>
          <w:lang w:val="es-US"/>
        </w:rPr>
        <w:t xml:space="preserve">Mujer Emprendedora Rural” </w:t>
      </w:r>
      <w:r w:rsidRPr="00B62815">
        <w:rPr>
          <w:rFonts w:asciiTheme="minorHAnsi" w:hAnsiTheme="minorHAnsi" w:cstheme="minorHAnsi"/>
          <w:sz w:val="22"/>
          <w:szCs w:val="22"/>
          <w:lang w:val="es-US"/>
        </w:rPr>
        <w:t>a la Asociación de Artesanas Curi-Maki de Perú.</w:t>
      </w:r>
    </w:p>
    <w:p w14:paraId="23BE278A" w14:textId="77777777" w:rsidR="002B6D89" w:rsidRPr="00B62815" w:rsidRDefault="002B6D89" w:rsidP="00E67635">
      <w:pPr>
        <w:pStyle w:val="ListParagraph"/>
        <w:numPr>
          <w:ilvl w:val="0"/>
          <w:numId w:val="90"/>
        </w:numPr>
        <w:tabs>
          <w:tab w:val="left" w:pos="360"/>
        </w:tabs>
        <w:ind w:left="360"/>
        <w:contextualSpacing/>
        <w:jc w:val="both"/>
        <w:rPr>
          <w:rFonts w:asciiTheme="minorHAnsi" w:hAnsiTheme="minorHAnsi" w:cstheme="minorHAnsi"/>
          <w:sz w:val="22"/>
          <w:szCs w:val="22"/>
          <w:lang w:val="es-US"/>
        </w:rPr>
      </w:pPr>
      <w:r w:rsidRPr="00B62815">
        <w:rPr>
          <w:rFonts w:asciiTheme="minorHAnsi" w:hAnsiTheme="minorHAnsi" w:cstheme="minorHAnsi"/>
          <w:b/>
          <w:sz w:val="22"/>
          <w:szCs w:val="22"/>
          <w:lang w:val="es-US"/>
        </w:rPr>
        <w:t>Hispasat/Hispamar:</w:t>
      </w:r>
      <w:r w:rsidRPr="00B62815">
        <w:rPr>
          <w:rFonts w:asciiTheme="minorHAnsi" w:hAnsiTheme="minorHAnsi" w:cstheme="minorHAnsi"/>
          <w:sz w:val="22"/>
          <w:szCs w:val="22"/>
          <w:lang w:val="es-US"/>
        </w:rPr>
        <w:t xml:space="preserve"> pusó en marcha el proyecto piloto para ofrecer conectividad satelital mediante puntos WiFi abiertos en diversas zonas rurales de la región del caribe colombiano. </w:t>
      </w:r>
    </w:p>
    <w:p w14:paraId="50FF8F15" w14:textId="77777777" w:rsidR="002B6D89" w:rsidRPr="00B62815" w:rsidRDefault="002B6D89" w:rsidP="00E67635">
      <w:pPr>
        <w:pStyle w:val="ListParagraph"/>
        <w:numPr>
          <w:ilvl w:val="0"/>
          <w:numId w:val="90"/>
        </w:numPr>
        <w:tabs>
          <w:tab w:val="left" w:pos="360"/>
        </w:tabs>
        <w:ind w:left="360"/>
        <w:contextualSpacing/>
        <w:jc w:val="both"/>
        <w:rPr>
          <w:rFonts w:asciiTheme="minorHAnsi" w:hAnsiTheme="minorHAnsi" w:cstheme="minorHAnsi"/>
          <w:sz w:val="22"/>
          <w:szCs w:val="22"/>
          <w:lang w:val="es-US"/>
        </w:rPr>
      </w:pPr>
      <w:r w:rsidRPr="00B62815">
        <w:rPr>
          <w:rFonts w:asciiTheme="minorHAnsi" w:hAnsiTheme="minorHAnsi" w:cstheme="minorHAnsi"/>
          <w:b/>
          <w:sz w:val="22"/>
          <w:szCs w:val="22"/>
          <w:lang w:val="es-US"/>
        </w:rPr>
        <w:t>Cabase:</w:t>
      </w:r>
      <w:r w:rsidRPr="00B62815">
        <w:rPr>
          <w:rFonts w:asciiTheme="minorHAnsi" w:hAnsiTheme="minorHAnsi" w:cstheme="minorHAnsi"/>
          <w:sz w:val="22"/>
          <w:szCs w:val="22"/>
          <w:lang w:val="es-US"/>
        </w:rPr>
        <w:t xml:space="preserve"> otorgó 88 becas para webinar en telecomunicaciones a través de CCTLAT</w:t>
      </w:r>
    </w:p>
    <w:p w14:paraId="7720EA13" w14:textId="77777777" w:rsidR="002B6D89" w:rsidRPr="00B62815" w:rsidRDefault="002B6D89" w:rsidP="00E67635">
      <w:pPr>
        <w:pStyle w:val="ListParagraph"/>
        <w:numPr>
          <w:ilvl w:val="0"/>
          <w:numId w:val="90"/>
        </w:numPr>
        <w:tabs>
          <w:tab w:val="left" w:pos="360"/>
        </w:tabs>
        <w:ind w:left="360"/>
        <w:contextualSpacing/>
        <w:jc w:val="both"/>
        <w:rPr>
          <w:rFonts w:asciiTheme="minorHAnsi" w:hAnsiTheme="minorHAnsi" w:cstheme="minorHAnsi"/>
          <w:b/>
          <w:sz w:val="22"/>
          <w:szCs w:val="22"/>
          <w:lang w:val="es-US"/>
        </w:rPr>
      </w:pPr>
      <w:r w:rsidRPr="00B62815">
        <w:rPr>
          <w:rFonts w:asciiTheme="minorHAnsi" w:hAnsiTheme="minorHAnsi" w:cstheme="minorHAnsi"/>
          <w:sz w:val="22"/>
          <w:szCs w:val="22"/>
          <w:lang w:val="es-US"/>
        </w:rPr>
        <w:t>S</w:t>
      </w:r>
      <w:r w:rsidRPr="00B62815">
        <w:rPr>
          <w:rFonts w:asciiTheme="minorHAnsi" w:hAnsiTheme="minorHAnsi" w:cstheme="minorHAnsi"/>
          <w:sz w:val="22"/>
          <w:szCs w:val="22"/>
          <w:lang w:val="es-CO"/>
        </w:rPr>
        <w:t xml:space="preserve">e otorgaron </w:t>
      </w:r>
      <w:r w:rsidRPr="00B62815">
        <w:rPr>
          <w:rFonts w:asciiTheme="minorHAnsi" w:hAnsiTheme="minorHAnsi" w:cstheme="minorHAnsi"/>
          <w:b/>
          <w:sz w:val="22"/>
          <w:szCs w:val="22"/>
          <w:u w:val="single"/>
          <w:lang w:val="es-CO"/>
        </w:rPr>
        <w:t>343 becas</w:t>
      </w:r>
      <w:r w:rsidRPr="00B62815">
        <w:rPr>
          <w:rFonts w:asciiTheme="minorHAnsi" w:hAnsiTheme="minorHAnsi" w:cstheme="minorHAnsi"/>
          <w:sz w:val="22"/>
          <w:szCs w:val="22"/>
          <w:lang w:val="es-CO"/>
        </w:rPr>
        <w:t xml:space="preserve"> que </w:t>
      </w:r>
      <w:r w:rsidRPr="00B62815">
        <w:rPr>
          <w:rFonts w:asciiTheme="minorHAnsi" w:hAnsiTheme="minorHAnsi" w:cstheme="minorHAnsi"/>
          <w:sz w:val="22"/>
          <w:szCs w:val="22"/>
          <w:lang w:val="es-US"/>
        </w:rPr>
        <w:t>beneficiaron</w:t>
      </w:r>
      <w:r w:rsidRPr="00B62815">
        <w:rPr>
          <w:rFonts w:asciiTheme="minorHAnsi" w:hAnsiTheme="minorHAnsi" w:cstheme="minorHAnsi"/>
          <w:sz w:val="22"/>
          <w:szCs w:val="22"/>
          <w:lang w:val="es-CO"/>
        </w:rPr>
        <w:t xml:space="preserve"> participantes de </w:t>
      </w:r>
      <w:r w:rsidRPr="00B62815">
        <w:rPr>
          <w:rFonts w:asciiTheme="minorHAnsi" w:hAnsiTheme="minorHAnsi" w:cstheme="minorHAnsi"/>
          <w:b/>
          <w:sz w:val="22"/>
          <w:szCs w:val="22"/>
          <w:u w:val="single"/>
          <w:lang w:val="es-CO"/>
        </w:rPr>
        <w:t>18 estados miembros</w:t>
      </w:r>
      <w:r w:rsidRPr="00B62815">
        <w:rPr>
          <w:rFonts w:asciiTheme="minorHAnsi" w:hAnsiTheme="minorHAnsi" w:cstheme="minorHAnsi"/>
          <w:sz w:val="22"/>
          <w:szCs w:val="22"/>
          <w:lang w:val="es-CO"/>
        </w:rPr>
        <w:t xml:space="preserve"> </w:t>
      </w:r>
      <w:r w:rsidRPr="00B62815">
        <w:rPr>
          <w:rFonts w:asciiTheme="minorHAnsi" w:hAnsiTheme="minorHAnsi" w:cstheme="minorHAnsi"/>
          <w:b/>
          <w:i/>
          <w:sz w:val="22"/>
          <w:szCs w:val="22"/>
          <w:lang w:val="es-CO"/>
        </w:rPr>
        <w:t>(Argentina, Bolivia, Brasil, Chile, Colombia, Costa Rica, Ecuador, El Salvador, Guatemala, Honduras, México, Nicaragua, Panamá, Paraguay, Perú, República Dominicana, Uruguay, y Venezuela)</w:t>
      </w:r>
      <w:r w:rsidRPr="00B62815">
        <w:rPr>
          <w:rFonts w:asciiTheme="minorHAnsi" w:hAnsiTheme="minorHAnsi" w:cstheme="minorHAnsi"/>
          <w:sz w:val="22"/>
          <w:szCs w:val="22"/>
          <w:lang w:val="es-CO"/>
        </w:rPr>
        <w:t xml:space="preserve"> a través de los Centros de Capacitación de la CITEL, Alianza TIC 2030 y PAEC.</w:t>
      </w:r>
      <w:r w:rsidRPr="00B62815">
        <w:rPr>
          <w:rFonts w:asciiTheme="minorHAnsi" w:hAnsiTheme="minorHAnsi" w:cstheme="minorHAnsi"/>
          <w:b/>
          <w:sz w:val="22"/>
          <w:szCs w:val="22"/>
          <w:lang w:val="es-CO"/>
        </w:rPr>
        <w:t xml:space="preserve"> </w:t>
      </w:r>
    </w:p>
    <w:p w14:paraId="44C0C5C0" w14:textId="77777777" w:rsidR="002B6D89" w:rsidRPr="00B62815" w:rsidRDefault="002B6D89" w:rsidP="002B6D89">
      <w:pPr>
        <w:pStyle w:val="ListParagraph"/>
        <w:tabs>
          <w:tab w:val="left" w:pos="360"/>
        </w:tabs>
        <w:ind w:left="0"/>
        <w:contextualSpacing/>
        <w:jc w:val="both"/>
        <w:rPr>
          <w:rFonts w:asciiTheme="minorHAnsi" w:hAnsiTheme="minorHAnsi" w:cstheme="minorHAnsi"/>
          <w:b/>
          <w:sz w:val="22"/>
          <w:szCs w:val="22"/>
          <w:lang w:val="es-US"/>
        </w:rPr>
      </w:pPr>
    </w:p>
    <w:p w14:paraId="326F317D" w14:textId="77777777" w:rsidR="002B6D89" w:rsidRPr="00B62815" w:rsidRDefault="002B6D89" w:rsidP="002B6D89">
      <w:pPr>
        <w:pStyle w:val="ListParagraph"/>
        <w:ind w:left="0" w:right="300"/>
        <w:jc w:val="both"/>
        <w:rPr>
          <w:rFonts w:asciiTheme="minorHAnsi" w:hAnsiTheme="minorHAnsi" w:cstheme="minorHAnsi"/>
          <w:b/>
          <w:sz w:val="22"/>
          <w:szCs w:val="22"/>
        </w:rPr>
      </w:pPr>
      <w:r w:rsidRPr="00B62815">
        <w:rPr>
          <w:rFonts w:asciiTheme="minorHAnsi" w:hAnsiTheme="minorHAnsi" w:cstheme="minorHAnsi"/>
          <w:b/>
          <w:sz w:val="22"/>
          <w:szCs w:val="22"/>
        </w:rPr>
        <w:t xml:space="preserve">Enlaces: </w:t>
      </w:r>
    </w:p>
    <w:p w14:paraId="6ECA60F9" w14:textId="77777777" w:rsidR="002B6D89" w:rsidRPr="00B62815" w:rsidRDefault="00573283" w:rsidP="00E67635">
      <w:pPr>
        <w:pStyle w:val="NoSpacing"/>
        <w:numPr>
          <w:ilvl w:val="0"/>
          <w:numId w:val="91"/>
        </w:numPr>
        <w:ind w:left="360"/>
        <w:rPr>
          <w:rFonts w:asciiTheme="minorHAnsi" w:hAnsiTheme="minorHAnsi" w:cstheme="minorHAnsi"/>
        </w:rPr>
      </w:pPr>
      <w:hyperlink r:id="rId211" w:history="1">
        <w:r w:rsidR="002B6D89" w:rsidRPr="00B62815">
          <w:rPr>
            <w:rFonts w:asciiTheme="minorHAnsi" w:hAnsiTheme="minorHAnsi" w:cstheme="minorHAnsi"/>
            <w:color w:val="0000FF"/>
            <w:u w:val="single"/>
          </w:rPr>
          <w:t>https://digitalpolicylaw.com/cmr19-como-se-preparo-la-region-para-el-mundial-del-espectro/</w:t>
        </w:r>
      </w:hyperlink>
    </w:p>
    <w:p w14:paraId="64F7251E" w14:textId="77777777" w:rsidR="002B6D89" w:rsidRPr="00B62815" w:rsidRDefault="00573283" w:rsidP="00E67635">
      <w:pPr>
        <w:pStyle w:val="NoSpacing"/>
        <w:numPr>
          <w:ilvl w:val="0"/>
          <w:numId w:val="91"/>
        </w:numPr>
        <w:ind w:left="360"/>
        <w:rPr>
          <w:rFonts w:asciiTheme="minorHAnsi" w:hAnsiTheme="minorHAnsi" w:cstheme="minorHAnsi"/>
        </w:rPr>
      </w:pPr>
      <w:hyperlink r:id="rId212" w:history="1">
        <w:r w:rsidR="002B6D89" w:rsidRPr="00B62815">
          <w:rPr>
            <w:rFonts w:asciiTheme="minorHAnsi" w:hAnsiTheme="minorHAnsi" w:cstheme="minorHAnsi"/>
            <w:color w:val="0000FF"/>
            <w:u w:val="single"/>
          </w:rPr>
          <w:t>https://www.iaru-r2.org/reconocimiento-de-citel-por-el-trabajo-efectuado-en-la-cmr-19/</w:t>
        </w:r>
      </w:hyperlink>
    </w:p>
    <w:p w14:paraId="7857E90E" w14:textId="77777777" w:rsidR="002B6D89" w:rsidRPr="00B62815" w:rsidRDefault="00573283" w:rsidP="00E67635">
      <w:pPr>
        <w:pStyle w:val="NoSpacing"/>
        <w:numPr>
          <w:ilvl w:val="0"/>
          <w:numId w:val="91"/>
        </w:numPr>
        <w:ind w:left="360"/>
        <w:rPr>
          <w:rFonts w:asciiTheme="minorHAnsi" w:hAnsiTheme="minorHAnsi" w:cstheme="minorHAnsi"/>
        </w:rPr>
      </w:pPr>
      <w:hyperlink r:id="rId213" w:history="1">
        <w:r w:rsidR="002B6D89" w:rsidRPr="00B62815">
          <w:rPr>
            <w:rFonts w:asciiTheme="minorHAnsi" w:hAnsiTheme="minorHAnsi" w:cstheme="minorHAnsi"/>
            <w:color w:val="0000FF"/>
            <w:u w:val="single"/>
          </w:rPr>
          <w:t>http://venamerica.org/web/viasat-y-la-oea-unen-esfuerzos-para-reducir-la-brecha-digital-en-las-americas/</w:t>
        </w:r>
      </w:hyperlink>
    </w:p>
    <w:p w14:paraId="5F94B346" w14:textId="77777777" w:rsidR="002B6D89" w:rsidRPr="00B62815" w:rsidRDefault="00573283" w:rsidP="00E67635">
      <w:pPr>
        <w:pStyle w:val="NoSpacing"/>
        <w:numPr>
          <w:ilvl w:val="0"/>
          <w:numId w:val="91"/>
        </w:numPr>
        <w:ind w:left="360"/>
        <w:rPr>
          <w:rFonts w:asciiTheme="minorHAnsi" w:hAnsiTheme="minorHAnsi" w:cstheme="minorHAnsi"/>
        </w:rPr>
      </w:pPr>
      <w:hyperlink r:id="rId214" w:history="1">
        <w:r w:rsidR="002B6D89" w:rsidRPr="00B62815">
          <w:rPr>
            <w:rFonts w:asciiTheme="minorHAnsi" w:hAnsiTheme="minorHAnsi" w:cstheme="minorHAnsi"/>
            <w:color w:val="0000FF"/>
            <w:u w:val="single"/>
          </w:rPr>
          <w:t>https://thecaribbeanpost.com/oas-telefonica-and-fundacion-profuturo-signs-ict-agreements-with-latin-american-and-the-caribbean-caribbean-news-now/</w:t>
        </w:r>
      </w:hyperlink>
    </w:p>
    <w:p w14:paraId="66AE6190" w14:textId="77777777" w:rsidR="002B6D89" w:rsidRPr="00B62815" w:rsidRDefault="00573283" w:rsidP="00E67635">
      <w:pPr>
        <w:pStyle w:val="NoSpacing"/>
        <w:numPr>
          <w:ilvl w:val="0"/>
          <w:numId w:val="91"/>
        </w:numPr>
        <w:ind w:left="360"/>
        <w:rPr>
          <w:rFonts w:asciiTheme="minorHAnsi" w:hAnsiTheme="minorHAnsi" w:cstheme="minorHAnsi"/>
        </w:rPr>
      </w:pPr>
      <w:hyperlink r:id="rId215" w:history="1">
        <w:r w:rsidR="002B6D89" w:rsidRPr="00B62815">
          <w:rPr>
            <w:rFonts w:asciiTheme="minorHAnsi" w:hAnsiTheme="minorHAnsi" w:cstheme="minorHAnsi"/>
            <w:color w:val="0000FF"/>
            <w:u w:val="single"/>
          </w:rPr>
          <w:t>https://www.gob.pe/institucion/mtc/noticias/27930-mtc-inaugura-la-34-reunion-del-comite-consultivo-permanente-i-telecomunicaciones-tic</w:t>
        </w:r>
      </w:hyperlink>
    </w:p>
    <w:p w14:paraId="4AE1C90C" w14:textId="77777777" w:rsidR="002B6D89" w:rsidRPr="00B62815" w:rsidRDefault="00573283" w:rsidP="00E67635">
      <w:pPr>
        <w:pStyle w:val="NoSpacing"/>
        <w:numPr>
          <w:ilvl w:val="0"/>
          <w:numId w:val="91"/>
        </w:numPr>
        <w:ind w:left="360"/>
        <w:rPr>
          <w:rFonts w:asciiTheme="minorHAnsi" w:hAnsiTheme="minorHAnsi" w:cstheme="minorHAnsi"/>
        </w:rPr>
      </w:pPr>
      <w:hyperlink r:id="rId216" w:history="1">
        <w:r w:rsidR="002B6D89" w:rsidRPr="00B62815">
          <w:rPr>
            <w:rFonts w:asciiTheme="minorHAnsi" w:hAnsiTheme="minorHAnsi" w:cstheme="minorHAnsi"/>
            <w:color w:val="0000FF"/>
            <w:u w:val="single"/>
          </w:rPr>
          <w:t>https://www.gob.pe/institucion/mtc/noticias/28007-firman-adhesion-a-la-alianza-de-mujeres-rurales-en-lima</w:t>
        </w:r>
      </w:hyperlink>
    </w:p>
    <w:p w14:paraId="52EAB53D" w14:textId="77777777" w:rsidR="002B6D89" w:rsidRPr="00B62815" w:rsidRDefault="00573283" w:rsidP="00E67635">
      <w:pPr>
        <w:pStyle w:val="NoSpacing"/>
        <w:numPr>
          <w:ilvl w:val="0"/>
          <w:numId w:val="91"/>
        </w:numPr>
        <w:ind w:left="360"/>
        <w:rPr>
          <w:rFonts w:asciiTheme="minorHAnsi" w:hAnsiTheme="minorHAnsi" w:cstheme="minorHAnsi"/>
        </w:rPr>
      </w:pPr>
      <w:hyperlink r:id="rId217" w:history="1">
        <w:r w:rsidR="002B6D89" w:rsidRPr="00B62815">
          <w:rPr>
            <w:rFonts w:asciiTheme="minorHAnsi" w:hAnsiTheme="minorHAnsi" w:cstheme="minorHAnsi"/>
            <w:color w:val="0000FF"/>
            <w:u w:val="single"/>
          </w:rPr>
          <w:t>https://www.facebook.com/243991155727808/posts/2232162216910682/</w:t>
        </w:r>
      </w:hyperlink>
    </w:p>
    <w:p w14:paraId="1137C3DF" w14:textId="77777777" w:rsidR="002B6D89" w:rsidRPr="00B62815" w:rsidRDefault="00573283" w:rsidP="00E67635">
      <w:pPr>
        <w:pStyle w:val="NoSpacing"/>
        <w:numPr>
          <w:ilvl w:val="0"/>
          <w:numId w:val="91"/>
        </w:numPr>
        <w:ind w:left="360"/>
        <w:rPr>
          <w:rFonts w:asciiTheme="minorHAnsi" w:hAnsiTheme="minorHAnsi" w:cstheme="minorHAnsi"/>
        </w:rPr>
      </w:pPr>
      <w:hyperlink r:id="rId218" w:history="1">
        <w:r w:rsidR="002B6D89" w:rsidRPr="00B62815">
          <w:rPr>
            <w:rFonts w:asciiTheme="minorHAnsi" w:hAnsiTheme="minorHAnsi" w:cstheme="minorHAnsi"/>
            <w:color w:val="0000FF"/>
            <w:u w:val="single"/>
          </w:rPr>
          <w:t>https://digitalpolicylaw.com/uruguay-se-une-a-alianza-en-pro-de-mujeres-rurales-conectadas/</w:t>
        </w:r>
      </w:hyperlink>
    </w:p>
    <w:p w14:paraId="23620C45" w14:textId="77777777" w:rsidR="002B6D89" w:rsidRPr="00B62815" w:rsidRDefault="00573283" w:rsidP="00E67635">
      <w:pPr>
        <w:pStyle w:val="NoSpacing"/>
        <w:numPr>
          <w:ilvl w:val="0"/>
          <w:numId w:val="91"/>
        </w:numPr>
        <w:ind w:left="360"/>
        <w:rPr>
          <w:rFonts w:asciiTheme="minorHAnsi" w:hAnsiTheme="minorHAnsi" w:cstheme="minorHAnsi"/>
        </w:rPr>
      </w:pPr>
      <w:hyperlink r:id="rId219" w:history="1">
        <w:r w:rsidR="002B6D89" w:rsidRPr="00B62815">
          <w:rPr>
            <w:rFonts w:asciiTheme="minorHAnsi" w:hAnsiTheme="minorHAnsi" w:cstheme="minorHAnsi"/>
            <w:color w:val="0000FF"/>
            <w:u w:val="single"/>
          </w:rPr>
          <w:t>https://www.huawei.com/mx/press-events/news/mx/2019/enero/nuevas-adhesiones-a-la-alianza-de-mujeres-rurales-de-la-citel</w:t>
        </w:r>
      </w:hyperlink>
    </w:p>
    <w:p w14:paraId="037D66C5" w14:textId="77777777" w:rsidR="002B6D89" w:rsidRPr="00B62815" w:rsidRDefault="00573283" w:rsidP="00E67635">
      <w:pPr>
        <w:pStyle w:val="NoSpacing"/>
        <w:numPr>
          <w:ilvl w:val="0"/>
          <w:numId w:val="91"/>
        </w:numPr>
        <w:ind w:left="360"/>
        <w:rPr>
          <w:rFonts w:asciiTheme="minorHAnsi" w:hAnsiTheme="minorHAnsi" w:cstheme="minorHAnsi"/>
        </w:rPr>
      </w:pPr>
      <w:hyperlink r:id="rId220" w:history="1">
        <w:r w:rsidR="002B6D89" w:rsidRPr="00B62815">
          <w:rPr>
            <w:rFonts w:asciiTheme="minorHAnsi" w:hAnsiTheme="minorHAnsi" w:cstheme="minorHAnsi"/>
            <w:color w:val="0000FF"/>
            <w:u w:val="single"/>
          </w:rPr>
          <w:t>https://computerworld.co/alianza-de-mujeres-rurales-de-la-citel/</w:t>
        </w:r>
      </w:hyperlink>
    </w:p>
    <w:p w14:paraId="7CDC53C7" w14:textId="77777777" w:rsidR="002B6D89" w:rsidRPr="00B62815" w:rsidRDefault="00573283" w:rsidP="00E67635">
      <w:pPr>
        <w:pStyle w:val="NoSpacing"/>
        <w:numPr>
          <w:ilvl w:val="0"/>
          <w:numId w:val="91"/>
        </w:numPr>
        <w:ind w:left="360"/>
        <w:rPr>
          <w:rFonts w:asciiTheme="minorHAnsi" w:hAnsiTheme="minorHAnsi" w:cstheme="minorHAnsi"/>
          <w:b/>
          <w:color w:val="0070C0"/>
        </w:rPr>
      </w:pPr>
      <w:hyperlink r:id="rId221" w:history="1">
        <w:r w:rsidR="002B6D89" w:rsidRPr="00B62815">
          <w:rPr>
            <w:rFonts w:asciiTheme="minorHAnsi" w:hAnsiTheme="minorHAnsi" w:cstheme="minorHAnsi"/>
            <w:color w:val="0000FF"/>
            <w:u w:val="single"/>
          </w:rPr>
          <w:t>https://www.agronegocios.co/agricultura/las-mujeres-rurales-en-colombia-tendran-mas-oportunidades-con-las-tic-2916520</w:t>
        </w:r>
      </w:hyperlink>
    </w:p>
    <w:p w14:paraId="2B86ECAF" w14:textId="77777777" w:rsidR="002B6D89" w:rsidRPr="00B62815" w:rsidRDefault="00573283" w:rsidP="00E67635">
      <w:pPr>
        <w:pStyle w:val="NoSpacing"/>
        <w:numPr>
          <w:ilvl w:val="0"/>
          <w:numId w:val="91"/>
        </w:numPr>
        <w:ind w:left="360"/>
        <w:rPr>
          <w:rFonts w:asciiTheme="minorHAnsi" w:hAnsiTheme="minorHAnsi" w:cstheme="minorHAnsi"/>
          <w:b/>
          <w:color w:val="0070C0"/>
        </w:rPr>
      </w:pPr>
      <w:hyperlink r:id="rId222" w:history="1">
        <w:r w:rsidR="002B6D89" w:rsidRPr="00B62815">
          <w:rPr>
            <w:rFonts w:asciiTheme="minorHAnsi" w:hAnsiTheme="minorHAnsi" w:cstheme="minorHAnsi"/>
            <w:color w:val="0000FF"/>
            <w:u w:val="single"/>
          </w:rPr>
          <w:t>https://www.conatel.gov.py/conatel/paraguay-fue-escenario-de-eventos-de-nivel-internacional-de-las-telecomunicaciones/</w:t>
        </w:r>
      </w:hyperlink>
    </w:p>
    <w:p w14:paraId="7232C4EC" w14:textId="77777777" w:rsidR="002B6D89" w:rsidRPr="00B62815" w:rsidRDefault="00573283" w:rsidP="00E67635">
      <w:pPr>
        <w:pStyle w:val="NoSpacing"/>
        <w:numPr>
          <w:ilvl w:val="0"/>
          <w:numId w:val="91"/>
        </w:numPr>
        <w:ind w:left="360"/>
        <w:rPr>
          <w:rFonts w:asciiTheme="minorHAnsi" w:hAnsiTheme="minorHAnsi" w:cstheme="minorHAnsi"/>
          <w:b/>
          <w:color w:val="0070C0"/>
        </w:rPr>
      </w:pPr>
      <w:hyperlink r:id="rId223" w:history="1">
        <w:r w:rsidR="002B6D89" w:rsidRPr="00B62815">
          <w:rPr>
            <w:rFonts w:asciiTheme="minorHAnsi" w:hAnsiTheme="minorHAnsi" w:cstheme="minorHAnsi"/>
            <w:color w:val="0000FF"/>
            <w:u w:val="single"/>
          </w:rPr>
          <w:t>https://andina.pe/agencia/noticia-amplian-convocatoria-para-emprendedores-utilizan-tecnologias-de-informacion-761034.aspx</w:t>
        </w:r>
      </w:hyperlink>
    </w:p>
    <w:p w14:paraId="20B9794A" w14:textId="77777777" w:rsidR="009645FD" w:rsidRPr="00B62815" w:rsidRDefault="00573283" w:rsidP="005229AA">
      <w:pPr>
        <w:pStyle w:val="ListParagraph"/>
        <w:spacing w:after="200" w:line="276" w:lineRule="auto"/>
        <w:ind w:left="360"/>
        <w:contextualSpacing/>
        <w:rPr>
          <w:rFonts w:asciiTheme="minorHAnsi" w:hAnsiTheme="minorHAnsi" w:cstheme="minorHAnsi"/>
          <w:sz w:val="22"/>
          <w:szCs w:val="22"/>
        </w:rPr>
      </w:pPr>
      <w:hyperlink r:id="rId224" w:history="1">
        <w:r w:rsidR="005229AA" w:rsidRPr="00B62815">
          <w:rPr>
            <w:rStyle w:val="Hyperlink"/>
            <w:rFonts w:asciiTheme="minorHAnsi" w:hAnsiTheme="minorHAnsi" w:cstheme="minorHAnsi"/>
            <w:sz w:val="22"/>
            <w:szCs w:val="22"/>
          </w:rPr>
          <w:t>http://www.inictel-virtual.edu.pe/presentacion</w:t>
        </w:r>
      </w:hyperlink>
    </w:p>
    <w:p w14:paraId="066EC090" w14:textId="77777777" w:rsidR="007F4039" w:rsidRPr="00B62815" w:rsidRDefault="007F4039" w:rsidP="00D5464C">
      <w:pPr>
        <w:pStyle w:val="ListParagraph"/>
        <w:spacing w:after="200" w:line="276" w:lineRule="auto"/>
        <w:ind w:left="0"/>
        <w:contextualSpacing/>
        <w:rPr>
          <w:rFonts w:asciiTheme="minorHAnsi" w:hAnsiTheme="minorHAnsi" w:cstheme="minorHAnsi"/>
          <w:b/>
          <w:sz w:val="22"/>
          <w:szCs w:val="22"/>
        </w:rPr>
      </w:pPr>
    </w:p>
    <w:p w14:paraId="61DDFC06" w14:textId="38D895A0" w:rsidR="005229AA" w:rsidRDefault="005229AA" w:rsidP="00D5464C">
      <w:pPr>
        <w:pStyle w:val="ListParagraph"/>
        <w:spacing w:after="200" w:line="276" w:lineRule="auto"/>
        <w:ind w:left="0"/>
        <w:contextualSpacing/>
        <w:rPr>
          <w:rFonts w:asciiTheme="minorHAnsi" w:hAnsiTheme="minorHAnsi" w:cstheme="minorHAnsi"/>
          <w:b/>
          <w:sz w:val="22"/>
          <w:szCs w:val="22"/>
        </w:rPr>
      </w:pPr>
    </w:p>
    <w:p w14:paraId="67F0F5F0" w14:textId="5193BF44" w:rsidR="00BB7151" w:rsidRDefault="00BB7151" w:rsidP="00D5464C">
      <w:pPr>
        <w:pStyle w:val="ListParagraph"/>
        <w:spacing w:after="200" w:line="276" w:lineRule="auto"/>
        <w:ind w:left="0"/>
        <w:contextualSpacing/>
        <w:rPr>
          <w:rFonts w:asciiTheme="minorHAnsi" w:hAnsiTheme="minorHAnsi" w:cstheme="minorHAnsi"/>
          <w:b/>
          <w:sz w:val="22"/>
          <w:szCs w:val="22"/>
        </w:rPr>
      </w:pPr>
    </w:p>
    <w:p w14:paraId="2C1D77F5" w14:textId="00F83CC3" w:rsidR="00BB7151" w:rsidRDefault="00BB7151" w:rsidP="00D5464C">
      <w:pPr>
        <w:pStyle w:val="ListParagraph"/>
        <w:spacing w:after="200" w:line="276" w:lineRule="auto"/>
        <w:ind w:left="0"/>
        <w:contextualSpacing/>
        <w:rPr>
          <w:rFonts w:asciiTheme="minorHAnsi" w:hAnsiTheme="minorHAnsi" w:cstheme="minorHAnsi"/>
          <w:b/>
          <w:sz w:val="22"/>
          <w:szCs w:val="22"/>
        </w:rPr>
      </w:pPr>
    </w:p>
    <w:p w14:paraId="4E3FC833" w14:textId="77777777" w:rsidR="00BB7151" w:rsidRPr="00B62815" w:rsidRDefault="00BB7151" w:rsidP="00D5464C">
      <w:pPr>
        <w:pStyle w:val="ListParagraph"/>
        <w:spacing w:after="200" w:line="276" w:lineRule="auto"/>
        <w:ind w:left="0"/>
        <w:contextualSpacing/>
        <w:rPr>
          <w:rFonts w:asciiTheme="minorHAnsi" w:hAnsiTheme="minorHAnsi" w:cstheme="minorHAnsi"/>
          <w:b/>
          <w:sz w:val="22"/>
          <w:szCs w:val="22"/>
        </w:rPr>
      </w:pPr>
    </w:p>
    <w:p w14:paraId="1C1A565D" w14:textId="77777777" w:rsidR="00AD19FE" w:rsidRPr="00B62815" w:rsidRDefault="00D2474B"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08" w:name="_Toc39675867"/>
      <w:bookmarkStart w:id="109" w:name="_Toc40191090"/>
      <w:r w:rsidRPr="00B62815">
        <w:rPr>
          <w:rFonts w:asciiTheme="minorHAnsi" w:hAnsiTheme="minorHAnsi" w:cstheme="minorHAnsi"/>
          <w:b/>
          <w:color w:val="1F497D"/>
          <w:sz w:val="22"/>
          <w:szCs w:val="22"/>
          <w:lang w:val="es-ES"/>
        </w:rPr>
        <w:t>3.7</w:t>
      </w:r>
      <w:r w:rsidRPr="00B62815">
        <w:rPr>
          <w:rFonts w:asciiTheme="minorHAnsi" w:hAnsiTheme="minorHAnsi" w:cstheme="minorHAnsi"/>
          <w:b/>
          <w:color w:val="1F497D"/>
          <w:sz w:val="22"/>
          <w:szCs w:val="22"/>
          <w:lang w:val="es-ES"/>
        </w:rPr>
        <w:tab/>
        <w:t>OFICINA DEL INSPECTOR GENERAL</w:t>
      </w:r>
      <w:bookmarkEnd w:id="108"/>
      <w:bookmarkEnd w:id="109"/>
    </w:p>
    <w:p w14:paraId="396FDBA4" w14:textId="77777777" w:rsidR="002B6D89" w:rsidRPr="00B62815" w:rsidRDefault="002B6D89" w:rsidP="002B6D89">
      <w:pPr>
        <w:pStyle w:val="HTMLPreformatted"/>
        <w:shd w:val="clear" w:color="auto" w:fill="FFFFFF"/>
        <w:spacing w:line="240" w:lineRule="exact"/>
        <w:contextualSpacing/>
        <w:jc w:val="both"/>
        <w:rPr>
          <w:rFonts w:asciiTheme="minorHAnsi" w:hAnsiTheme="minorHAnsi" w:cstheme="minorHAnsi"/>
          <w:sz w:val="22"/>
          <w:szCs w:val="22"/>
          <w:lang w:val="es-419"/>
        </w:rPr>
      </w:pPr>
      <w:r w:rsidRPr="00B62815">
        <w:rPr>
          <w:rFonts w:asciiTheme="minorHAnsi" w:hAnsiTheme="minorHAnsi" w:cstheme="minorHAnsi"/>
          <w:sz w:val="22"/>
          <w:szCs w:val="22"/>
          <w:shd w:val="clear" w:color="auto" w:fill="FFFFFF"/>
          <w:lang w:val="es-419"/>
        </w:rPr>
        <w:t>Las principales actividades cubiertas por la OIG en 2019 fueron:</w:t>
      </w:r>
      <w:r w:rsidRPr="00B62815">
        <w:rPr>
          <w:rFonts w:asciiTheme="minorHAnsi" w:hAnsiTheme="minorHAnsi" w:cstheme="minorHAnsi"/>
          <w:sz w:val="22"/>
          <w:szCs w:val="22"/>
          <w:lang w:val="es-419"/>
        </w:rPr>
        <w:t xml:space="preserve"> </w:t>
      </w:r>
    </w:p>
    <w:p w14:paraId="134A02B7" w14:textId="77777777" w:rsidR="002B6D89" w:rsidRPr="00B62815" w:rsidRDefault="002B6D89" w:rsidP="002B6D89">
      <w:pPr>
        <w:spacing w:line="240" w:lineRule="exact"/>
        <w:contextualSpacing/>
        <w:jc w:val="both"/>
        <w:rPr>
          <w:rFonts w:asciiTheme="minorHAnsi" w:hAnsiTheme="minorHAnsi" w:cstheme="minorHAnsi"/>
          <w:b/>
          <w:sz w:val="22"/>
          <w:szCs w:val="22"/>
          <w:lang w:val="es-419"/>
        </w:rPr>
      </w:pPr>
    </w:p>
    <w:p w14:paraId="1956DBAF" w14:textId="77777777" w:rsidR="002B6D89" w:rsidRPr="00B62815" w:rsidRDefault="002B6D89" w:rsidP="00E67635">
      <w:pPr>
        <w:numPr>
          <w:ilvl w:val="0"/>
          <w:numId w:val="4"/>
        </w:numPr>
        <w:spacing w:line="240" w:lineRule="exact"/>
        <w:contextualSpacing/>
        <w:jc w:val="both"/>
        <w:rPr>
          <w:rFonts w:asciiTheme="minorHAnsi" w:hAnsiTheme="minorHAnsi" w:cstheme="minorHAnsi"/>
          <w:b/>
          <w:sz w:val="22"/>
          <w:szCs w:val="22"/>
          <w:lang w:val="es-419"/>
        </w:rPr>
      </w:pPr>
      <w:r w:rsidRPr="00B62815">
        <w:rPr>
          <w:rFonts w:asciiTheme="minorHAnsi" w:hAnsiTheme="minorHAnsi" w:cstheme="minorHAnsi"/>
          <w:b/>
          <w:sz w:val="22"/>
          <w:szCs w:val="22"/>
          <w:lang w:val="es-419"/>
        </w:rPr>
        <w:t>Auditorías</w:t>
      </w:r>
    </w:p>
    <w:p w14:paraId="34367AB4"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lang w:val="es-419"/>
        </w:rPr>
      </w:pPr>
      <w:r w:rsidRPr="00B62815">
        <w:rPr>
          <w:rFonts w:asciiTheme="minorHAnsi" w:hAnsiTheme="minorHAnsi" w:cstheme="minorHAnsi"/>
          <w:sz w:val="22"/>
          <w:szCs w:val="22"/>
          <w:lang w:val="es-419"/>
        </w:rPr>
        <w:t xml:space="preserve">En 2019 se gestionaron las siguientes auditorías: </w:t>
      </w:r>
    </w:p>
    <w:p w14:paraId="290E12B9"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lang w:val="es-419"/>
        </w:rPr>
      </w:pPr>
    </w:p>
    <w:p w14:paraId="1BF11A0D"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lang w:val="es-419"/>
        </w:rPr>
      </w:pPr>
      <w:r w:rsidRPr="00B62815">
        <w:rPr>
          <w:rFonts w:asciiTheme="minorHAnsi" w:hAnsiTheme="minorHAnsi" w:cstheme="minorHAnsi"/>
          <w:sz w:val="22"/>
          <w:szCs w:val="22"/>
          <w:lang w:val="es-419"/>
        </w:rPr>
        <w:t>Transferencias, Concursos y Reclasificaciones de Personal (una revisión por semestre); Administración de Contratos Mayores de la SG/OEA; Revisión del Plan 401(m) de la Secretaría General; Auditoría Operativa de 5 Oficinas Nacionales; Desembolsos y contratación de personal de la CIDH; Desembolsos del Programa de Ciber-Seguridad del CICTE; y auditoría del Fondo SG/OEA de Beneficios Médicos.</w:t>
      </w:r>
    </w:p>
    <w:p w14:paraId="0B812C35"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lang w:val="es-419"/>
        </w:rPr>
      </w:pPr>
    </w:p>
    <w:p w14:paraId="7589ABAB" w14:textId="77777777" w:rsidR="002B6D89" w:rsidRPr="00B62815" w:rsidRDefault="002B6D89" w:rsidP="00E67635">
      <w:pPr>
        <w:numPr>
          <w:ilvl w:val="0"/>
          <w:numId w:val="4"/>
        </w:numPr>
        <w:spacing w:line="240" w:lineRule="exact"/>
        <w:contextualSpacing/>
        <w:jc w:val="both"/>
        <w:rPr>
          <w:rFonts w:asciiTheme="minorHAnsi" w:hAnsiTheme="minorHAnsi" w:cstheme="minorHAnsi"/>
          <w:sz w:val="22"/>
          <w:szCs w:val="22"/>
          <w:lang w:val="es-419"/>
        </w:rPr>
      </w:pPr>
      <w:r w:rsidRPr="00B62815">
        <w:rPr>
          <w:rFonts w:asciiTheme="minorHAnsi" w:hAnsiTheme="minorHAnsi" w:cstheme="minorHAnsi"/>
          <w:b/>
          <w:sz w:val="22"/>
          <w:szCs w:val="22"/>
          <w:lang w:val="es-419"/>
        </w:rPr>
        <w:t>Recomendaciones</w:t>
      </w:r>
    </w:p>
    <w:p w14:paraId="3D8BA4B9"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lang w:val="es-419"/>
        </w:rPr>
      </w:pPr>
      <w:r w:rsidRPr="00B62815">
        <w:rPr>
          <w:rFonts w:asciiTheme="minorHAnsi" w:hAnsiTheme="minorHAnsi" w:cstheme="minorHAnsi"/>
          <w:sz w:val="22"/>
          <w:szCs w:val="22"/>
          <w:lang w:val="es-419"/>
        </w:rPr>
        <w:t xml:space="preserve">Se continuó con el monitoreo trimestral y reporte a la CAAP de las recomendaciones a la Secretaría General emanadas de las auditorías de la OIG. </w:t>
      </w:r>
    </w:p>
    <w:p w14:paraId="313B32BC"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lang w:val="es-419"/>
        </w:rPr>
      </w:pPr>
    </w:p>
    <w:p w14:paraId="471634DB"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lang w:val="es-419"/>
        </w:rPr>
      </w:pPr>
      <w:r w:rsidRPr="00B62815">
        <w:rPr>
          <w:rFonts w:asciiTheme="minorHAnsi" w:hAnsiTheme="minorHAnsi" w:cstheme="minorHAnsi"/>
          <w:sz w:val="22"/>
          <w:szCs w:val="22"/>
          <w:lang w:val="es-419"/>
        </w:rPr>
        <w:t xml:space="preserve">Durante el año, la Secretaría General tomó las acciones pertinentes para el cierre de 15 de las recomendaciones abiertas. Al 31 de </w:t>
      </w:r>
      <w:r w:rsidR="00507ABF" w:rsidRPr="00B62815">
        <w:rPr>
          <w:rFonts w:asciiTheme="minorHAnsi" w:hAnsiTheme="minorHAnsi" w:cstheme="minorHAnsi"/>
          <w:sz w:val="22"/>
          <w:szCs w:val="22"/>
          <w:lang w:val="es-419"/>
        </w:rPr>
        <w:t>diciembre</w:t>
      </w:r>
      <w:r w:rsidRPr="00B62815">
        <w:rPr>
          <w:rFonts w:asciiTheme="minorHAnsi" w:hAnsiTheme="minorHAnsi" w:cstheme="minorHAnsi"/>
          <w:sz w:val="22"/>
          <w:szCs w:val="22"/>
          <w:lang w:val="es-419"/>
        </w:rPr>
        <w:t xml:space="preserve"> de 2019 quedaron por implementar 14 recomendaciones, de las cuales cinco recomendaciones dependen de la conclusión del nuevo Sistema de Información (Proyecto OAS/CORE) para su debida implementación. </w:t>
      </w:r>
    </w:p>
    <w:p w14:paraId="39F6983D"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lang w:val="es-419"/>
        </w:rPr>
      </w:pPr>
    </w:p>
    <w:p w14:paraId="443B3E77" w14:textId="77777777" w:rsidR="002B6D89" w:rsidRPr="00B62815" w:rsidRDefault="002B6D89" w:rsidP="00E67635">
      <w:pPr>
        <w:numPr>
          <w:ilvl w:val="0"/>
          <w:numId w:val="4"/>
        </w:numPr>
        <w:spacing w:line="240" w:lineRule="exact"/>
        <w:contextualSpacing/>
        <w:jc w:val="both"/>
        <w:rPr>
          <w:rFonts w:asciiTheme="minorHAnsi" w:hAnsiTheme="minorHAnsi" w:cstheme="minorHAnsi"/>
          <w:b/>
          <w:sz w:val="22"/>
          <w:szCs w:val="22"/>
          <w:lang w:val="es-419"/>
        </w:rPr>
      </w:pPr>
      <w:r w:rsidRPr="00B62815">
        <w:rPr>
          <w:rFonts w:asciiTheme="minorHAnsi" w:hAnsiTheme="minorHAnsi" w:cstheme="minorHAnsi"/>
          <w:b/>
          <w:sz w:val="22"/>
          <w:szCs w:val="22"/>
          <w:lang w:val="es-419"/>
        </w:rPr>
        <w:t>Investigaciones</w:t>
      </w:r>
    </w:p>
    <w:p w14:paraId="2FD8410F"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shd w:val="clear" w:color="auto" w:fill="FFFFFF"/>
          <w:lang w:val="es-419"/>
        </w:rPr>
      </w:pPr>
      <w:r w:rsidRPr="00B62815">
        <w:rPr>
          <w:rFonts w:asciiTheme="minorHAnsi" w:hAnsiTheme="minorHAnsi" w:cstheme="minorHAnsi"/>
          <w:sz w:val="22"/>
          <w:szCs w:val="22"/>
          <w:shd w:val="clear" w:color="auto" w:fill="FFFFFF"/>
          <w:lang w:val="es-419"/>
        </w:rPr>
        <w:t>La OIG completó 16 casos investigativos en el año. De estos, cuatro referían a denuncias de acoso laboral y 12 a presunta conducta indebida no relacionada con acoso laboral.</w:t>
      </w:r>
    </w:p>
    <w:p w14:paraId="1644B086" w14:textId="77777777" w:rsidR="002B6D89" w:rsidRPr="00B62815" w:rsidRDefault="002B6D89" w:rsidP="002B6D89">
      <w:pPr>
        <w:pStyle w:val="HTMLPreformatted"/>
        <w:shd w:val="clear" w:color="auto" w:fill="FFFFFF"/>
        <w:spacing w:line="240" w:lineRule="exact"/>
        <w:contextualSpacing/>
        <w:jc w:val="both"/>
        <w:rPr>
          <w:rFonts w:asciiTheme="minorHAnsi" w:hAnsiTheme="minorHAnsi" w:cstheme="minorHAnsi"/>
          <w:b/>
          <w:sz w:val="22"/>
          <w:szCs w:val="22"/>
          <w:highlight w:val="yellow"/>
          <w:lang w:val="es-419"/>
        </w:rPr>
      </w:pPr>
    </w:p>
    <w:p w14:paraId="6434B083" w14:textId="77777777" w:rsidR="002B6D89" w:rsidRPr="00B62815" w:rsidRDefault="002B6D89" w:rsidP="00E67635">
      <w:pPr>
        <w:numPr>
          <w:ilvl w:val="0"/>
          <w:numId w:val="4"/>
        </w:numPr>
        <w:spacing w:line="240" w:lineRule="exact"/>
        <w:contextualSpacing/>
        <w:jc w:val="both"/>
        <w:rPr>
          <w:rFonts w:asciiTheme="minorHAnsi" w:hAnsiTheme="minorHAnsi" w:cstheme="minorHAnsi"/>
          <w:b/>
          <w:sz w:val="22"/>
          <w:szCs w:val="22"/>
          <w:lang w:val="es-419"/>
        </w:rPr>
      </w:pPr>
      <w:r w:rsidRPr="00B62815">
        <w:rPr>
          <w:rFonts w:asciiTheme="minorHAnsi" w:hAnsiTheme="minorHAnsi" w:cstheme="minorHAnsi"/>
          <w:b/>
          <w:sz w:val="22"/>
          <w:szCs w:val="22"/>
          <w:lang w:val="es-419"/>
        </w:rPr>
        <w:t>Evaluación externa de Calidad</w:t>
      </w:r>
    </w:p>
    <w:p w14:paraId="54647565" w14:textId="77777777" w:rsidR="002B6D89" w:rsidRPr="00B62815" w:rsidRDefault="002B6D89" w:rsidP="002B6D89">
      <w:pPr>
        <w:pStyle w:val="HTMLPreformatted"/>
        <w:shd w:val="clear" w:color="auto" w:fill="FFFFFF"/>
        <w:spacing w:line="240" w:lineRule="exact"/>
        <w:ind w:left="360"/>
        <w:contextualSpacing/>
        <w:jc w:val="both"/>
        <w:rPr>
          <w:rFonts w:asciiTheme="minorHAnsi" w:hAnsiTheme="minorHAnsi" w:cstheme="minorHAnsi"/>
          <w:sz w:val="22"/>
          <w:szCs w:val="22"/>
          <w:shd w:val="clear" w:color="auto" w:fill="FFFFFF"/>
          <w:lang w:val="es-419"/>
        </w:rPr>
      </w:pPr>
      <w:r w:rsidRPr="00B62815">
        <w:rPr>
          <w:rFonts w:asciiTheme="minorHAnsi" w:hAnsiTheme="minorHAnsi" w:cstheme="minorHAnsi"/>
          <w:sz w:val="22"/>
          <w:szCs w:val="22"/>
          <w:shd w:val="clear" w:color="auto" w:fill="FFFFFF"/>
          <w:lang w:val="es-419"/>
        </w:rPr>
        <w:t>En el 1er. Trimestre de 2019 la OIG fue evaluada por el Instituto de Auditores Internos, el ente que rige la profesión de auditoría interna a nivel mundial. Los resultados obtenidos fueron muy satisfactorios. Se obtuvieron las más altas calificaciones posibles en las áreas de Código de Ética, Gerencia, Personal y Procesos de Auditoría Interna.</w:t>
      </w:r>
    </w:p>
    <w:p w14:paraId="2CF87B6F" w14:textId="77777777" w:rsidR="0054177E" w:rsidRPr="00B62815" w:rsidRDefault="0054177E" w:rsidP="0054177E">
      <w:pPr>
        <w:spacing w:line="240" w:lineRule="exact"/>
        <w:ind w:left="720"/>
        <w:jc w:val="both"/>
        <w:rPr>
          <w:rFonts w:asciiTheme="minorHAnsi" w:eastAsia="Calibri" w:hAnsiTheme="minorHAnsi" w:cstheme="minorHAnsi"/>
          <w:sz w:val="22"/>
          <w:szCs w:val="22"/>
          <w:lang w:val="es-419"/>
        </w:rPr>
      </w:pPr>
    </w:p>
    <w:p w14:paraId="53A41FB3" w14:textId="77777777" w:rsidR="005D5188" w:rsidRPr="00B62815" w:rsidRDefault="005D5188" w:rsidP="00D5464C">
      <w:pPr>
        <w:pStyle w:val="ListParagraph"/>
        <w:spacing w:after="200" w:line="276" w:lineRule="auto"/>
        <w:ind w:left="0"/>
        <w:contextualSpacing/>
        <w:rPr>
          <w:rFonts w:asciiTheme="minorHAnsi" w:hAnsiTheme="minorHAnsi" w:cstheme="minorHAnsi"/>
          <w:sz w:val="22"/>
          <w:szCs w:val="22"/>
          <w:lang w:val="es-419"/>
        </w:rPr>
      </w:pPr>
    </w:p>
    <w:p w14:paraId="5A60EFB7" w14:textId="77777777" w:rsidR="001E292E" w:rsidRPr="00B62815" w:rsidRDefault="00D2474B"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10" w:name="_Toc39675868"/>
      <w:bookmarkStart w:id="111" w:name="_Toc40191091"/>
      <w:r w:rsidRPr="00B62815">
        <w:rPr>
          <w:rFonts w:asciiTheme="minorHAnsi" w:hAnsiTheme="minorHAnsi" w:cstheme="minorHAnsi"/>
          <w:b/>
          <w:color w:val="1F497D"/>
          <w:sz w:val="22"/>
          <w:szCs w:val="22"/>
          <w:lang w:val="es-ES"/>
        </w:rPr>
        <w:t>3.8</w:t>
      </w:r>
      <w:r w:rsidRPr="00B62815">
        <w:rPr>
          <w:rFonts w:asciiTheme="minorHAnsi" w:hAnsiTheme="minorHAnsi" w:cstheme="minorHAnsi"/>
          <w:b/>
          <w:color w:val="1F497D"/>
          <w:sz w:val="22"/>
          <w:szCs w:val="22"/>
          <w:lang w:val="es-ES"/>
        </w:rPr>
        <w:tab/>
      </w:r>
      <w:r w:rsidR="002B6D89" w:rsidRPr="00B62815">
        <w:rPr>
          <w:rFonts w:asciiTheme="minorHAnsi" w:hAnsiTheme="minorHAnsi" w:cstheme="minorHAnsi"/>
          <w:b/>
          <w:color w:val="1F497D"/>
          <w:sz w:val="22"/>
          <w:szCs w:val="22"/>
          <w:lang w:val="es-ES"/>
        </w:rPr>
        <w:t>OFICINA DE LA OMBUDSPERSON</w:t>
      </w:r>
      <w:bookmarkEnd w:id="110"/>
      <w:bookmarkEnd w:id="111"/>
    </w:p>
    <w:p w14:paraId="53D92994" w14:textId="77777777" w:rsidR="002B6D89" w:rsidRPr="00B62815" w:rsidRDefault="002B6D89" w:rsidP="00507ABF">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La Oficina de la Ombudsperson (OMB), uno de los cuatro órganos de control y supervisión de la OEA, es el único mecanismo fuera de los canales formales al que todos los miembros del capital humano (empleados, consultores, asociados, pasantes, etc.) pueden acudir en relación con temas de ambiente laboral y en procura de dar a conocer, resolver, mitigar o prevenir los mismos. Esto incluye temas individuales y casos que la OMB puede posterior al debido proceso de verificación y análisis, considerar como tendencias o casos sistémicos. El funcionamiento de la OMB se da en seguimiento al mandato de su creación, los estándares de práctica de la profesión: Independencia, confidencialidad, imparcialidad e informalidad y al marco legal establecido por la Asamblea General en 2019.</w:t>
      </w:r>
    </w:p>
    <w:p w14:paraId="4D1CF466" w14:textId="77777777" w:rsidR="002B6D89" w:rsidRPr="00B62815" w:rsidRDefault="002B6D89" w:rsidP="002B6D89">
      <w:pPr>
        <w:spacing w:line="276" w:lineRule="auto"/>
        <w:jc w:val="both"/>
        <w:rPr>
          <w:rFonts w:asciiTheme="minorHAnsi" w:eastAsia="Calibri" w:hAnsiTheme="minorHAnsi" w:cstheme="minorHAnsi"/>
          <w:sz w:val="22"/>
          <w:szCs w:val="22"/>
          <w:lang w:val="es-ES"/>
        </w:rPr>
      </w:pPr>
    </w:p>
    <w:p w14:paraId="6AD8BA87" w14:textId="77777777" w:rsidR="002B6D89" w:rsidRPr="00B62815" w:rsidRDefault="002B6D89" w:rsidP="00507ABF">
      <w:pPr>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Como balance sobre el manejo de casos para el año 2019, la OMB prestó servicios a 132 usuarios, quienes informaron o sobre cuyos casos se identificaron 2,673 problemas relacionados con el entorno laboral (clasificación basada en las categorías estandarizadas de International Ombudsman Association -IOA). Dentro de los 132 usuarios, se identificaron cuatro (4) problemas sistémicos, cada uno de ellos afectando a más de diez personas. Se consideran problemas sistémicos aquellos problemas o situaciones que afectan a varias personas en su desempeño o ambiente laboral a partir de un elemento o más en común. Por </w:t>
      </w:r>
      <w:r w:rsidRPr="00B62815">
        <w:rPr>
          <w:rFonts w:asciiTheme="minorHAnsi" w:hAnsiTheme="minorHAnsi" w:cstheme="minorHAnsi"/>
          <w:bCs/>
          <w:iCs/>
          <w:color w:val="000000"/>
          <w:sz w:val="22"/>
          <w:szCs w:val="22"/>
          <w:lang w:val="es-ES"/>
        </w:rPr>
        <w:t>su alcance, estos se convierten en problemas de</w:t>
      </w:r>
      <w:r w:rsidRPr="00B62815">
        <w:rPr>
          <w:rFonts w:asciiTheme="minorHAnsi" w:hAnsiTheme="minorHAnsi" w:cstheme="minorHAnsi"/>
          <w:b/>
          <w:i/>
          <w:color w:val="000000"/>
          <w:sz w:val="22"/>
          <w:szCs w:val="22"/>
          <w:lang w:val="es-ES"/>
        </w:rPr>
        <w:t xml:space="preserve"> </w:t>
      </w:r>
      <w:r w:rsidRPr="00B62815">
        <w:rPr>
          <w:rFonts w:asciiTheme="minorHAnsi" w:hAnsiTheme="minorHAnsi" w:cstheme="minorHAnsi"/>
          <w:iCs/>
          <w:color w:val="000000"/>
          <w:sz w:val="22"/>
          <w:szCs w:val="22"/>
          <w:lang w:val="es-ES"/>
        </w:rPr>
        <w:t xml:space="preserve">atención prioritaria y de seguimiento para la OMB. </w:t>
      </w:r>
      <w:r w:rsidRPr="00B62815">
        <w:rPr>
          <w:rFonts w:asciiTheme="minorHAnsi" w:hAnsiTheme="minorHAnsi" w:cstheme="minorHAnsi"/>
          <w:sz w:val="22"/>
          <w:szCs w:val="22"/>
          <w:lang w:val="es-ES"/>
        </w:rPr>
        <w:t>Uno de los cuatro problemas sistémicos fue resuelto durante el 2019, otro está en la etapa inicial, y para dos de ellos se dieron las debidas recomendaciones y se está dando seguimiento.</w:t>
      </w:r>
    </w:p>
    <w:p w14:paraId="1778C634" w14:textId="77777777" w:rsidR="002B6D89" w:rsidRPr="00B62815" w:rsidRDefault="002B6D89" w:rsidP="002B6D89">
      <w:pPr>
        <w:spacing w:line="276" w:lineRule="auto"/>
        <w:jc w:val="both"/>
        <w:rPr>
          <w:rFonts w:asciiTheme="minorHAnsi" w:eastAsia="Calibri" w:hAnsiTheme="minorHAnsi" w:cstheme="minorHAnsi"/>
          <w:sz w:val="22"/>
          <w:szCs w:val="22"/>
          <w:lang w:val="es-ES"/>
        </w:rPr>
      </w:pPr>
    </w:p>
    <w:p w14:paraId="0F5887CB" w14:textId="77777777" w:rsidR="00937BFA" w:rsidRPr="00B62815" w:rsidRDefault="002B6D89" w:rsidP="00507ABF">
      <w:p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Los principales problemas expuestos o identificados en 2019 tienen que ver con las categorías: </w:t>
      </w:r>
    </w:p>
    <w:p w14:paraId="525E347C" w14:textId="77777777" w:rsidR="002B6D89" w:rsidRPr="00B62815" w:rsidRDefault="002B6D89" w:rsidP="00507ABF">
      <w:p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1) Relaciones de evaluación (27% en 2018 y 30% en 2019); </w:t>
      </w:r>
    </w:p>
    <w:p w14:paraId="03106CAA" w14:textId="77777777" w:rsidR="002B6D89" w:rsidRPr="00B62815" w:rsidRDefault="002B6D89" w:rsidP="00507ABF">
      <w:p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2) cuestiones organizacionales, estratégicas y relacionadas con la misión/principios de la organización (20% en 2018 y 16% en 2019); </w:t>
      </w:r>
    </w:p>
    <w:p w14:paraId="282573A6" w14:textId="77777777" w:rsidR="002B6D89" w:rsidRPr="00B62815" w:rsidRDefault="002B6D89" w:rsidP="00507ABF">
      <w:p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3) progreso en la carrera y desarrollo profesional (11% en 2018 y 11% en 2019); </w:t>
      </w:r>
    </w:p>
    <w:p w14:paraId="3FD2827F" w14:textId="77777777" w:rsidR="002B6D89" w:rsidRPr="00B62815" w:rsidRDefault="002B6D89" w:rsidP="00507ABF">
      <w:p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4) cuestiones administrativas y de servicios (6% en 2018 y 9% en 2019); y </w:t>
      </w:r>
    </w:p>
    <w:p w14:paraId="09E50ECB" w14:textId="77777777" w:rsidR="002B6D89" w:rsidRPr="00B62815" w:rsidRDefault="002B6D89" w:rsidP="00507ABF">
      <w:pPr>
        <w:rPr>
          <w:rFonts w:asciiTheme="minorHAnsi" w:hAnsiTheme="minorHAnsi" w:cstheme="minorHAnsi"/>
          <w:sz w:val="22"/>
          <w:szCs w:val="22"/>
          <w:lang w:val="es-ES"/>
        </w:rPr>
      </w:pPr>
      <w:r w:rsidRPr="00B62815">
        <w:rPr>
          <w:rFonts w:asciiTheme="minorHAnsi" w:hAnsiTheme="minorHAnsi" w:cstheme="minorHAnsi"/>
          <w:sz w:val="22"/>
          <w:szCs w:val="22"/>
          <w:lang w:val="es-ES"/>
        </w:rPr>
        <w:t>5) cuestiones jurídicas, reglamentarias, financieras y de cumplimiento (9% en 2018, y 9% en 2019).</w:t>
      </w:r>
    </w:p>
    <w:p w14:paraId="33752E41" w14:textId="77777777" w:rsidR="002B6D89" w:rsidRPr="00B62815" w:rsidRDefault="002B6D89" w:rsidP="00507ABF">
      <w:pPr>
        <w:rPr>
          <w:rFonts w:asciiTheme="minorHAnsi" w:hAnsiTheme="minorHAnsi" w:cstheme="minorHAnsi"/>
          <w:sz w:val="22"/>
          <w:szCs w:val="22"/>
          <w:lang w:val="es-ES"/>
        </w:rPr>
      </w:pPr>
    </w:p>
    <w:p w14:paraId="317C4968" w14:textId="77777777" w:rsidR="00937BFA" w:rsidRPr="00B62815" w:rsidRDefault="002B6D89" w:rsidP="00507ABF">
      <w:pPr>
        <w:rPr>
          <w:rFonts w:asciiTheme="minorHAnsi" w:hAnsiTheme="minorHAnsi" w:cstheme="minorHAnsi"/>
          <w:sz w:val="22"/>
          <w:szCs w:val="22"/>
          <w:lang w:val="es-ES"/>
        </w:rPr>
      </w:pPr>
      <w:r w:rsidRPr="00B62815">
        <w:rPr>
          <w:rFonts w:asciiTheme="minorHAnsi" w:hAnsiTheme="minorHAnsi" w:cstheme="minorHAnsi"/>
          <w:sz w:val="22"/>
          <w:szCs w:val="22"/>
          <w:lang w:val="es-ES"/>
        </w:rPr>
        <w:t>Como balance general, los resultados o logros alcanzados por la OMB durante el 2019 fueron:</w:t>
      </w:r>
    </w:p>
    <w:p w14:paraId="0818F3CD" w14:textId="77777777" w:rsidR="002B6D89" w:rsidRPr="00B62815" w:rsidRDefault="002B6D89" w:rsidP="00937BFA">
      <w:pPr>
        <w:numPr>
          <w:ilvl w:val="0"/>
          <w:numId w:val="4"/>
        </w:numPr>
        <w:rPr>
          <w:rFonts w:asciiTheme="minorHAnsi" w:hAnsiTheme="minorHAnsi" w:cstheme="minorHAnsi"/>
          <w:sz w:val="22"/>
          <w:szCs w:val="22"/>
          <w:lang w:val="es-ES"/>
        </w:rPr>
      </w:pPr>
      <w:r w:rsidRPr="00B62815">
        <w:rPr>
          <w:rFonts w:asciiTheme="minorHAnsi" w:hAnsiTheme="minorHAnsi" w:cstheme="minorHAnsi"/>
          <w:sz w:val="22"/>
          <w:szCs w:val="22"/>
          <w:lang w:val="es-ES_tradnl"/>
        </w:rPr>
        <w:t>Aprobación por parte de la Asamblea General del Subcapítulo H: The Ombudsperson, dentro de las Normas Generales de la OEA.</w:t>
      </w:r>
      <w:r w:rsidRPr="00B62815">
        <w:rPr>
          <w:rFonts w:asciiTheme="minorHAnsi" w:hAnsiTheme="minorHAnsi" w:cstheme="minorHAnsi"/>
          <w:sz w:val="22"/>
          <w:szCs w:val="22"/>
          <w:lang w:val="es-ES"/>
        </w:rPr>
        <w:t xml:space="preserve"> </w:t>
      </w:r>
    </w:p>
    <w:p w14:paraId="404DAADB" w14:textId="77777777" w:rsidR="002B6D89" w:rsidRPr="00B62815" w:rsidRDefault="002B6D89" w:rsidP="00937BFA">
      <w:pPr>
        <w:numPr>
          <w:ilvl w:val="0"/>
          <w:numId w:val="4"/>
        </w:numPr>
        <w:rPr>
          <w:rFonts w:asciiTheme="minorHAnsi" w:hAnsiTheme="minorHAnsi" w:cstheme="minorHAnsi"/>
          <w:sz w:val="22"/>
          <w:szCs w:val="22"/>
          <w:lang w:val="es-ES"/>
        </w:rPr>
      </w:pPr>
      <w:r w:rsidRPr="00B62815">
        <w:rPr>
          <w:rFonts w:asciiTheme="minorHAnsi" w:hAnsiTheme="minorHAnsi" w:cstheme="minorHAnsi"/>
          <w:sz w:val="22"/>
          <w:szCs w:val="22"/>
          <w:lang w:val="es-ES"/>
        </w:rPr>
        <w:t>Promoción de la OMB y sus servicios mediante campañas, eventos, visitas de campo y presentaciones cubriendo cerca del 95% del capital humano en la sede, todas las oficinas nacionales y dos misiones: la Misión de Apoyo al Proceso de Paz en Colombia (MAPP) y el Programa de Acción Integral contra Minas Antipersonal (AICMA).</w:t>
      </w:r>
    </w:p>
    <w:p w14:paraId="7EA073EA" w14:textId="77777777" w:rsidR="002B6D89" w:rsidRPr="00B62815" w:rsidRDefault="002B6D89" w:rsidP="00937BFA">
      <w:pPr>
        <w:numPr>
          <w:ilvl w:val="0"/>
          <w:numId w:val="4"/>
        </w:num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Establecimiento o continuidad en las relaciones productivas con los diferentes actores clave para la resolución y mejoramiento en temas de equidad y clima laboral, como para la prevención de riesgos para el capital humano y la organización.  </w:t>
      </w:r>
    </w:p>
    <w:p w14:paraId="6C8BC879" w14:textId="77777777" w:rsidR="002B6D89" w:rsidRPr="00B62815" w:rsidRDefault="002B6D89" w:rsidP="00937BFA">
      <w:pPr>
        <w:numPr>
          <w:ilvl w:val="0"/>
          <w:numId w:val="4"/>
        </w:num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Ampliación en la cobertura de atención y prestación de servicios a 132 usuarios </w:t>
      </w:r>
    </w:p>
    <w:p w14:paraId="4996BC86" w14:textId="77777777" w:rsidR="002B6D89" w:rsidRPr="00B62815" w:rsidRDefault="002B6D89" w:rsidP="00937BFA">
      <w:pPr>
        <w:numPr>
          <w:ilvl w:val="0"/>
          <w:numId w:val="4"/>
        </w:num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Aumento del 69% en el número de usuarios de 2018 a 2019. </w:t>
      </w:r>
    </w:p>
    <w:p w14:paraId="36CB302E" w14:textId="77777777" w:rsidR="002B6D89" w:rsidRPr="00B62815" w:rsidRDefault="002B6D89" w:rsidP="00937BFA">
      <w:pPr>
        <w:numPr>
          <w:ilvl w:val="0"/>
          <w:numId w:val="4"/>
        </w:numPr>
        <w:rPr>
          <w:rFonts w:asciiTheme="minorHAnsi" w:hAnsiTheme="minorHAnsi" w:cstheme="minorHAnsi"/>
          <w:sz w:val="22"/>
          <w:szCs w:val="22"/>
          <w:lang w:val="es-ES"/>
        </w:rPr>
      </w:pPr>
      <w:r w:rsidRPr="00B62815">
        <w:rPr>
          <w:rFonts w:asciiTheme="minorHAnsi" w:hAnsiTheme="minorHAnsi" w:cstheme="minorHAnsi"/>
          <w:sz w:val="22"/>
          <w:szCs w:val="22"/>
          <w:lang w:val="es-ES"/>
        </w:rPr>
        <w:t>Identificación de cuatro problemas sistémicos.</w:t>
      </w:r>
    </w:p>
    <w:p w14:paraId="2C0423D6" w14:textId="77777777" w:rsidR="002B6D89" w:rsidRPr="00B62815" w:rsidRDefault="002B6D89" w:rsidP="00937BFA">
      <w:pPr>
        <w:numPr>
          <w:ilvl w:val="0"/>
          <w:numId w:val="4"/>
        </w:numPr>
        <w:rPr>
          <w:rFonts w:asciiTheme="minorHAnsi" w:hAnsiTheme="minorHAnsi" w:cstheme="minorHAnsi"/>
          <w:sz w:val="22"/>
          <w:szCs w:val="22"/>
          <w:lang w:val="es-ES"/>
        </w:rPr>
      </w:pPr>
      <w:r w:rsidRPr="00B62815">
        <w:rPr>
          <w:rFonts w:asciiTheme="minorHAnsi" w:hAnsiTheme="minorHAnsi" w:cstheme="minorHAnsi"/>
          <w:sz w:val="22"/>
          <w:szCs w:val="22"/>
          <w:lang w:val="es-ES"/>
        </w:rPr>
        <w:t>Resolución de un problema sistémico, recomendaciones a las distintas áreas y a la Oficina del Secretario General y monitoreo a los problemas sistémicos, tendencias y casos abiertos.</w:t>
      </w:r>
    </w:p>
    <w:p w14:paraId="35DF9B64" w14:textId="77777777" w:rsidR="002B6D89" w:rsidRPr="00B62815" w:rsidRDefault="002B6D89" w:rsidP="00937BFA">
      <w:pPr>
        <w:numPr>
          <w:ilvl w:val="0"/>
          <w:numId w:val="4"/>
        </w:numPr>
        <w:rPr>
          <w:rFonts w:asciiTheme="minorHAnsi" w:hAnsiTheme="minorHAnsi" w:cstheme="minorHAnsi"/>
          <w:sz w:val="22"/>
          <w:szCs w:val="22"/>
          <w:lang w:val="es-ES"/>
        </w:rPr>
      </w:pPr>
      <w:r w:rsidRPr="00B62815">
        <w:rPr>
          <w:rFonts w:asciiTheme="minorHAnsi" w:hAnsiTheme="minorHAnsi" w:cstheme="minorHAnsi"/>
          <w:sz w:val="22"/>
          <w:szCs w:val="22"/>
          <w:lang w:val="es-ES"/>
        </w:rPr>
        <w:t>Primera reunión de la red de Ombudsman de organizaciones internacionales auspiciada por la OEA con participación del Secretario General.</w:t>
      </w:r>
    </w:p>
    <w:p w14:paraId="5E590C37" w14:textId="77777777" w:rsidR="002B6D89" w:rsidRPr="00B62815" w:rsidRDefault="002B6D89" w:rsidP="002B6D89">
      <w:pPr>
        <w:spacing w:line="276" w:lineRule="auto"/>
        <w:jc w:val="both"/>
        <w:rPr>
          <w:rFonts w:asciiTheme="minorHAnsi" w:eastAsia="Calibri" w:hAnsiTheme="minorHAnsi" w:cstheme="minorHAnsi"/>
          <w:sz w:val="22"/>
          <w:szCs w:val="22"/>
          <w:lang w:val="es-ES"/>
        </w:rPr>
      </w:pPr>
    </w:p>
    <w:p w14:paraId="19367F5C" w14:textId="77777777" w:rsidR="002B6D89" w:rsidRPr="00B62815" w:rsidRDefault="002B6D89" w:rsidP="002B6D89">
      <w:pPr>
        <w:spacing w:line="276" w:lineRule="auto"/>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Mayor información sobre la OMB:</w:t>
      </w:r>
    </w:p>
    <w:p w14:paraId="5AC0BD0B" w14:textId="77777777" w:rsidR="002B6D89" w:rsidRPr="00B62815" w:rsidRDefault="00573283" w:rsidP="002B6D89">
      <w:pPr>
        <w:spacing w:line="276" w:lineRule="auto"/>
        <w:jc w:val="both"/>
        <w:rPr>
          <w:rFonts w:asciiTheme="minorHAnsi" w:eastAsia="Calibri" w:hAnsiTheme="minorHAnsi" w:cstheme="minorHAnsi"/>
          <w:color w:val="0000FF"/>
          <w:sz w:val="22"/>
          <w:szCs w:val="22"/>
          <w:u w:val="single"/>
          <w:lang w:val="es-ES"/>
        </w:rPr>
      </w:pPr>
      <w:hyperlink r:id="rId225" w:history="1">
        <w:r w:rsidR="002B6D89" w:rsidRPr="00B62815">
          <w:rPr>
            <w:rFonts w:asciiTheme="minorHAnsi" w:eastAsia="Calibri" w:hAnsiTheme="minorHAnsi" w:cstheme="minorHAnsi"/>
            <w:color w:val="0000FF"/>
            <w:sz w:val="22"/>
            <w:szCs w:val="22"/>
            <w:u w:val="single"/>
            <w:lang w:val="es-ES"/>
          </w:rPr>
          <w:t>https://www.oas.org/en/ombuds/</w:t>
        </w:r>
      </w:hyperlink>
    </w:p>
    <w:p w14:paraId="2F2139EC" w14:textId="77777777" w:rsidR="002B6D89" w:rsidRPr="00B62815" w:rsidRDefault="002B6D89" w:rsidP="002B6D89">
      <w:pPr>
        <w:spacing w:line="276" w:lineRule="auto"/>
        <w:jc w:val="both"/>
        <w:rPr>
          <w:rFonts w:asciiTheme="minorHAnsi" w:eastAsia="Calibri" w:hAnsiTheme="minorHAnsi" w:cstheme="minorHAnsi"/>
          <w:color w:val="0000FF"/>
          <w:sz w:val="22"/>
          <w:szCs w:val="22"/>
          <w:u w:val="single"/>
          <w:lang w:val="es-ES"/>
        </w:rPr>
      </w:pPr>
    </w:p>
    <w:p w14:paraId="28B7CDEE" w14:textId="77777777" w:rsidR="002B6D89" w:rsidRPr="00B62815" w:rsidRDefault="001C2CF3" w:rsidP="002B6D89">
      <w:pPr>
        <w:spacing w:line="276" w:lineRule="auto"/>
        <w:jc w:val="both"/>
        <w:rPr>
          <w:rFonts w:asciiTheme="minorHAnsi" w:eastAsia="Calibri" w:hAnsiTheme="minorHAnsi" w:cstheme="minorHAnsi"/>
          <w:sz w:val="22"/>
          <w:szCs w:val="22"/>
          <w:lang w:val="es-ES"/>
        </w:rPr>
      </w:pPr>
      <w:r w:rsidRPr="00B62815">
        <w:rPr>
          <w:rFonts w:asciiTheme="minorHAnsi" w:hAnsiTheme="minorHAnsi" w:cstheme="minorHAnsi"/>
          <w:noProof/>
          <w:sz w:val="22"/>
          <w:szCs w:val="22"/>
        </w:rPr>
        <w:drawing>
          <wp:inline distT="0" distB="0" distL="0" distR="0" wp14:anchorId="4AA02172" wp14:editId="43A3C353">
            <wp:extent cx="1524000" cy="2362544"/>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a:ext>
                      </a:extLst>
                    </a:blip>
                    <a:srcRect/>
                    <a:stretch>
                      <a:fillRect/>
                    </a:stretch>
                  </pic:blipFill>
                  <pic:spPr bwMode="auto">
                    <a:xfrm>
                      <a:off x="0" y="0"/>
                      <a:ext cx="1538462" cy="2384963"/>
                    </a:xfrm>
                    <a:prstGeom prst="rect">
                      <a:avLst/>
                    </a:prstGeom>
                    <a:noFill/>
                    <a:ln>
                      <a:noFill/>
                    </a:ln>
                  </pic:spPr>
                </pic:pic>
              </a:graphicData>
            </a:graphic>
          </wp:inline>
        </w:drawing>
      </w:r>
    </w:p>
    <w:p w14:paraId="2E63E9F8" w14:textId="77777777" w:rsidR="003E3532" w:rsidRPr="00B62815" w:rsidRDefault="003E3532"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p>
    <w:p w14:paraId="7E3E533E" w14:textId="77777777" w:rsidR="002B6D89" w:rsidRPr="00B62815" w:rsidRDefault="002B6D89"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12" w:name="_Toc39675869"/>
      <w:bookmarkStart w:id="113" w:name="_Toc40191092"/>
      <w:r w:rsidRPr="00B62815">
        <w:rPr>
          <w:rFonts w:asciiTheme="minorHAnsi" w:hAnsiTheme="minorHAnsi" w:cstheme="minorHAnsi"/>
          <w:b/>
          <w:color w:val="1F497D"/>
          <w:sz w:val="22"/>
          <w:szCs w:val="22"/>
          <w:lang w:val="es-ES"/>
        </w:rPr>
        <w:t>3.9</w:t>
      </w:r>
      <w:r w:rsidRPr="00B62815">
        <w:rPr>
          <w:rFonts w:asciiTheme="minorHAnsi" w:hAnsiTheme="minorHAnsi" w:cstheme="minorHAnsi"/>
          <w:b/>
          <w:color w:val="1F497D"/>
          <w:sz w:val="22"/>
          <w:szCs w:val="22"/>
          <w:lang w:val="es-ES"/>
        </w:rPr>
        <w:tab/>
        <w:t>JUNTA DE AUDITORES EXTERNOS</w:t>
      </w:r>
      <w:bookmarkEnd w:id="112"/>
      <w:bookmarkEnd w:id="113"/>
    </w:p>
    <w:p w14:paraId="380C6091" w14:textId="77777777" w:rsidR="002B17CF" w:rsidRPr="00B62815" w:rsidRDefault="002B17CF" w:rsidP="002B17CF">
      <w:pPr>
        <w:autoSpaceDE w:val="0"/>
        <w:autoSpaceDN w:val="0"/>
        <w:adjustRightInd w:val="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De conformidad con la resolución 123 de la Asamblea General (III-O/73), adoptada el 14 de abril de 1973, y la resolución 124 del Consejo Permanente del 10 de junio de 1975, la Junta de Auditores Externos es el órgano responsable de la auditoría externa de las cuentas de la Secretaría General de la Organización de los Estados Americanos (SG/OEA)</w:t>
      </w:r>
    </w:p>
    <w:p w14:paraId="4DE17C02" w14:textId="77777777" w:rsidR="002B17CF" w:rsidRPr="00B62815" w:rsidRDefault="002B17CF" w:rsidP="002B17CF">
      <w:pPr>
        <w:autoSpaceDE w:val="0"/>
        <w:autoSpaceDN w:val="0"/>
        <w:adjustRightInd w:val="0"/>
        <w:jc w:val="both"/>
        <w:rPr>
          <w:rFonts w:asciiTheme="minorHAnsi" w:hAnsiTheme="minorHAnsi" w:cstheme="minorHAnsi"/>
          <w:iCs/>
          <w:color w:val="000000"/>
          <w:sz w:val="22"/>
          <w:szCs w:val="22"/>
          <w:lang w:val="es-ES"/>
        </w:rPr>
      </w:pPr>
    </w:p>
    <w:p w14:paraId="5E5F30B1" w14:textId="77777777" w:rsidR="002B17CF" w:rsidRPr="00B62815" w:rsidRDefault="002B17CF" w:rsidP="002B17CF">
      <w:pPr>
        <w:autoSpaceDE w:val="0"/>
        <w:autoSpaceDN w:val="0"/>
        <w:adjustRightInd w:val="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La Junta celebró su reunión anual del 4 al 17 de abril de 2019, para preparar su informe sobre la auditoría externa de las cuentas y los estados financieros comparativos de la SG/OEA para los años terminados el 31 de diciembre de 2018 y 2019.</w:t>
      </w:r>
    </w:p>
    <w:p w14:paraId="04DBD996" w14:textId="77777777" w:rsidR="002B17CF" w:rsidRPr="00B62815" w:rsidRDefault="002B17CF" w:rsidP="002B17CF">
      <w:pPr>
        <w:autoSpaceDE w:val="0"/>
        <w:autoSpaceDN w:val="0"/>
        <w:adjustRightInd w:val="0"/>
        <w:jc w:val="both"/>
        <w:rPr>
          <w:rFonts w:asciiTheme="minorHAnsi" w:hAnsiTheme="minorHAnsi" w:cstheme="minorHAnsi"/>
          <w:sz w:val="22"/>
          <w:szCs w:val="22"/>
          <w:lang w:val="es-ES"/>
        </w:rPr>
      </w:pPr>
    </w:p>
    <w:p w14:paraId="0136F676" w14:textId="77777777" w:rsidR="002B17CF" w:rsidRPr="00B62815" w:rsidRDefault="002B17CF" w:rsidP="002B17CF">
      <w:pPr>
        <w:autoSpaceDE w:val="0"/>
        <w:autoSpaceDN w:val="0"/>
        <w:adjustRightInd w:val="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El 8 de mayo de 2019, la Junta presentó sus observaciones al Consejo Permanente (OEA/Ser.S</w:t>
      </w:r>
    </w:p>
    <w:p w14:paraId="3499AB5D" w14:textId="77777777" w:rsidR="002B17CF" w:rsidRPr="00B62815" w:rsidRDefault="002B17CF" w:rsidP="002B17CF">
      <w:pPr>
        <w:autoSpaceDE w:val="0"/>
        <w:autoSpaceDN w:val="0"/>
        <w:adjustRightInd w:val="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JAE/doc.49/19 de fecha 8 de mayo de 2019). El informe incluye cuatro secciones: a) Informe de la Junta de Auditores Externos; b) Estados financieros de la OEA; c) Estados Financieros de</w:t>
      </w:r>
    </w:p>
    <w:p w14:paraId="064FE5DB" w14:textId="77777777" w:rsidR="002B17CF" w:rsidRPr="00B62815" w:rsidRDefault="002B17CF" w:rsidP="002B17CF">
      <w:pPr>
        <w:autoSpaceDE w:val="0"/>
        <w:autoSpaceDN w:val="0"/>
        <w:adjustRightInd w:val="0"/>
        <w:jc w:val="both"/>
        <w:rPr>
          <w:rFonts w:asciiTheme="minorHAnsi" w:hAnsiTheme="minorHAnsi" w:cstheme="minorHAnsi"/>
          <w:sz w:val="22"/>
          <w:szCs w:val="22"/>
          <w:lang w:val="es-ES"/>
        </w:rPr>
      </w:pPr>
      <w:r w:rsidRPr="00B62815">
        <w:rPr>
          <w:rFonts w:asciiTheme="minorHAnsi" w:hAnsiTheme="minorHAnsi" w:cstheme="minorHAnsi"/>
          <w:sz w:val="22"/>
          <w:szCs w:val="22"/>
          <w:lang w:val="es-ES"/>
        </w:rPr>
        <w:t>Agencias y Entidades Relacionadas con la OEA; d) Fondo de Jubilaciones y Pensiones de la OEA.</w:t>
      </w:r>
    </w:p>
    <w:p w14:paraId="4231C415" w14:textId="77777777" w:rsidR="002B17CF" w:rsidRPr="00B62815" w:rsidRDefault="002B17CF" w:rsidP="002B17CF">
      <w:pPr>
        <w:pStyle w:val="NoSpacing"/>
        <w:jc w:val="both"/>
        <w:rPr>
          <w:rFonts w:asciiTheme="minorHAnsi" w:hAnsiTheme="minorHAnsi" w:cstheme="minorHAnsi"/>
          <w:lang w:val="es-ES"/>
        </w:rPr>
      </w:pPr>
    </w:p>
    <w:p w14:paraId="0A3C40B2" w14:textId="77777777" w:rsidR="002B17CF" w:rsidRPr="00B62815" w:rsidRDefault="002B17CF" w:rsidP="002B17CF">
      <w:pPr>
        <w:autoSpaceDE w:val="0"/>
        <w:autoSpaceDN w:val="0"/>
        <w:adjustRightInd w:val="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Basados en los dictámenes sin salvedades emitidos por BDO, LLP, los estados financieros correspondientes a las entidades auditadas están de acuerdo con los libros, documentos y comprobantes de la SG/OEA.</w:t>
      </w:r>
    </w:p>
    <w:p w14:paraId="448AAD67" w14:textId="77777777" w:rsidR="002B17CF" w:rsidRPr="00B62815" w:rsidRDefault="002B17CF" w:rsidP="002B17CF">
      <w:pPr>
        <w:autoSpaceDE w:val="0"/>
        <w:autoSpaceDN w:val="0"/>
        <w:adjustRightInd w:val="0"/>
        <w:jc w:val="both"/>
        <w:rPr>
          <w:rFonts w:asciiTheme="minorHAnsi" w:hAnsiTheme="minorHAnsi" w:cstheme="minorHAnsi"/>
          <w:color w:val="000000"/>
          <w:sz w:val="22"/>
          <w:szCs w:val="22"/>
          <w:lang w:val="es-ES"/>
        </w:rPr>
      </w:pPr>
    </w:p>
    <w:p w14:paraId="172B1FDD" w14:textId="77777777" w:rsidR="002B17CF" w:rsidRPr="00B62815" w:rsidRDefault="002B17CF" w:rsidP="002B17CF">
      <w:pPr>
        <w:autoSpaceDE w:val="0"/>
        <w:autoSpaceDN w:val="0"/>
        <w:adjustRightInd w:val="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Las recomendaciones, en resumen, fueron:</w:t>
      </w:r>
    </w:p>
    <w:p w14:paraId="6C7213C9"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Que se prioricen los mandatos existentes con el objetivo de asegurar que haya suficientes recursos disponibles para la programación eficiente y efectiva, incluidos los requisitos administrativos de la OEA.</w:t>
      </w:r>
    </w:p>
    <w:p w14:paraId="6F6DF031"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 xml:space="preserve">Que la OEA identifique los costos asociados a sus metas, actividades e indicadores para el 2019, 2020 y los presupuestos en curso. Esto debe incluir una asignación presupuestaria suficiente para garantizar el fortalecimiento institucional y la gestión administrativa. </w:t>
      </w:r>
    </w:p>
    <w:p w14:paraId="67A47079"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Que se analicen medidas financieras en relación a la puntualidad de las cuotas, el ajuste del costo de vida y los aumentos salariales</w:t>
      </w:r>
    </w:p>
    <w:p w14:paraId="2A7BC8B8"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Que se elabore un plan de reposición del Subfondo que apunte a alcanzar los montos requeridos de conformidad con las Normas Generales.</w:t>
      </w:r>
    </w:p>
    <w:p w14:paraId="69D010DC"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Que el marco presupuestario del Fondo Regular contemple actividades financiadas con el Fondo de ICR.</w:t>
      </w:r>
    </w:p>
    <w:p w14:paraId="6E23B5D7"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Que la OEA solo mantenga un fondo de reserva dentro del Fondo de ICR que sea representativo de los requisitos de reinversión administrativa futuros requeridos por la organización.</w:t>
      </w:r>
    </w:p>
    <w:p w14:paraId="6B03E4DA"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Que la Asamblea General apruebe y financie en su totalidad la estrategia de recursos humanos.</w:t>
      </w:r>
    </w:p>
    <w:p w14:paraId="0F6F60D5"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Que la OEA desarrolle un plan plurianual con programas de evaluación que considere todas las actividades y el financiamiento asociado a la OEA.</w:t>
      </w:r>
    </w:p>
    <w:p w14:paraId="3EE27291"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Que la SAF considere implementar una supervisión más activa del Sistema ERP.</w:t>
      </w:r>
    </w:p>
    <w:p w14:paraId="1051FE71" w14:textId="77777777" w:rsidR="002B17CF" w:rsidRPr="00B62815" w:rsidRDefault="002B17CF" w:rsidP="00E67635">
      <w:pPr>
        <w:pStyle w:val="Prrafos"/>
        <w:numPr>
          <w:ilvl w:val="0"/>
          <w:numId w:val="12"/>
        </w:numPr>
        <w:spacing w:after="0" w:line="240" w:lineRule="auto"/>
        <w:ind w:hanging="450"/>
        <w:rPr>
          <w:rFonts w:asciiTheme="minorHAnsi" w:hAnsiTheme="minorHAnsi" w:cstheme="minorHAnsi"/>
          <w:bCs/>
          <w:iCs/>
          <w:sz w:val="22"/>
          <w:szCs w:val="22"/>
          <w:lang w:val="es-ES"/>
        </w:rPr>
      </w:pPr>
      <w:r w:rsidRPr="00B62815">
        <w:rPr>
          <w:rFonts w:asciiTheme="minorHAnsi" w:hAnsiTheme="minorHAnsi" w:cstheme="minorHAnsi"/>
          <w:bCs/>
          <w:iCs/>
          <w:sz w:val="22"/>
          <w:szCs w:val="22"/>
          <w:lang w:val="es-ES"/>
        </w:rPr>
        <w:t>Que la OEA considere ajustes adicionales al Fondo Fiduciario de Beneficios Médicos para asegurar su sostenibilidad.</w:t>
      </w:r>
    </w:p>
    <w:p w14:paraId="349AFFC1" w14:textId="77777777" w:rsidR="002B17CF" w:rsidRPr="00B62815" w:rsidRDefault="002B17CF" w:rsidP="002B17CF">
      <w:pPr>
        <w:autoSpaceDE w:val="0"/>
        <w:autoSpaceDN w:val="0"/>
        <w:adjustRightInd w:val="0"/>
        <w:jc w:val="both"/>
        <w:rPr>
          <w:rFonts w:asciiTheme="minorHAnsi" w:hAnsiTheme="minorHAnsi" w:cstheme="minorHAnsi"/>
          <w:color w:val="000000"/>
          <w:sz w:val="22"/>
          <w:szCs w:val="22"/>
          <w:lang w:val="es-ES"/>
        </w:rPr>
      </w:pPr>
    </w:p>
    <w:p w14:paraId="39526CA0" w14:textId="77777777" w:rsidR="002B17CF" w:rsidRPr="00B62815" w:rsidRDefault="002B17CF" w:rsidP="002B17CF">
      <w:pPr>
        <w:autoSpaceDE w:val="0"/>
        <w:autoSpaceDN w:val="0"/>
        <w:adjustRightInd w:val="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La Junta resaltó que la firma de auditores independientes, BDO, LLC emitió opiniones libres de salvedades (“opiniones limpias”), que constituyen el mejor resultado posible de una auditoría, con respecto a los siguientes estados financieros de 2018:</w:t>
      </w:r>
    </w:p>
    <w:p w14:paraId="2A1E03FA" w14:textId="77777777" w:rsidR="002B17CF" w:rsidRPr="00B62815" w:rsidRDefault="002B17CF" w:rsidP="002B17CF">
      <w:pPr>
        <w:autoSpaceDE w:val="0"/>
        <w:autoSpaceDN w:val="0"/>
        <w:adjustRightInd w:val="0"/>
        <w:jc w:val="both"/>
        <w:rPr>
          <w:rFonts w:asciiTheme="minorHAnsi" w:hAnsiTheme="minorHAnsi" w:cstheme="minorHAnsi"/>
          <w:color w:val="000000"/>
          <w:sz w:val="22"/>
          <w:szCs w:val="22"/>
          <w:lang w:val="es-ES"/>
        </w:rPr>
      </w:pPr>
    </w:p>
    <w:p w14:paraId="5C8B5D18" w14:textId="77777777" w:rsidR="002B17CF" w:rsidRPr="00B62815" w:rsidRDefault="002B17CF" w:rsidP="00E67635">
      <w:pPr>
        <w:numPr>
          <w:ilvl w:val="0"/>
          <w:numId w:val="11"/>
        </w:numPr>
        <w:autoSpaceDE w:val="0"/>
        <w:autoSpaceDN w:val="0"/>
        <w:adjustRightInd w:val="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Fondo Regular, Fondo de Cooperación para el Desarrollo, Fondos Específicos y Fondos</w:t>
      </w:r>
    </w:p>
    <w:p w14:paraId="697F424D" w14:textId="77777777" w:rsidR="002B17CF" w:rsidRPr="00B62815" w:rsidRDefault="002B17CF" w:rsidP="002B17CF">
      <w:pPr>
        <w:autoSpaceDE w:val="0"/>
        <w:autoSpaceDN w:val="0"/>
        <w:adjustRightInd w:val="0"/>
        <w:ind w:left="72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de Servicios de la OEA</w:t>
      </w:r>
    </w:p>
    <w:p w14:paraId="521F62FB" w14:textId="77777777" w:rsidR="002B17CF" w:rsidRPr="00B62815" w:rsidRDefault="002B17CF" w:rsidP="00E67635">
      <w:pPr>
        <w:numPr>
          <w:ilvl w:val="0"/>
          <w:numId w:val="11"/>
        </w:numPr>
        <w:autoSpaceDE w:val="0"/>
        <w:autoSpaceDN w:val="0"/>
        <w:adjustRightInd w:val="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Fondo Panamericano Leo S. Rowe y Fondo Conmemorativo de Beneficencia Rowe</w:t>
      </w:r>
    </w:p>
    <w:p w14:paraId="19251D50" w14:textId="77777777" w:rsidR="002B17CF" w:rsidRPr="00B62815" w:rsidRDefault="002B17CF" w:rsidP="00E67635">
      <w:pPr>
        <w:numPr>
          <w:ilvl w:val="0"/>
          <w:numId w:val="11"/>
        </w:numPr>
        <w:autoSpaceDE w:val="0"/>
        <w:autoSpaceDN w:val="0"/>
        <w:adjustRightInd w:val="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Fundación para las Américas</w:t>
      </w:r>
    </w:p>
    <w:p w14:paraId="3FE24FA4" w14:textId="77777777" w:rsidR="002B17CF" w:rsidRPr="00B62815" w:rsidRDefault="002B17CF" w:rsidP="00E67635">
      <w:pPr>
        <w:numPr>
          <w:ilvl w:val="0"/>
          <w:numId w:val="11"/>
        </w:numPr>
        <w:autoSpaceDE w:val="0"/>
        <w:autoSpaceDN w:val="0"/>
        <w:adjustRightInd w:val="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Fondo de Beneficios Médicos</w:t>
      </w:r>
    </w:p>
    <w:p w14:paraId="68162EA7" w14:textId="77777777" w:rsidR="002B17CF" w:rsidRPr="00B62815" w:rsidRDefault="002B17CF" w:rsidP="00E67635">
      <w:pPr>
        <w:numPr>
          <w:ilvl w:val="0"/>
          <w:numId w:val="11"/>
        </w:numPr>
        <w:autoSpaceDE w:val="0"/>
        <w:autoSpaceDN w:val="0"/>
        <w:adjustRightInd w:val="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Junta Interamericana de Defensa</w:t>
      </w:r>
    </w:p>
    <w:p w14:paraId="3608A1F9" w14:textId="77777777" w:rsidR="002B17CF" w:rsidRPr="00B62815" w:rsidRDefault="002B17CF" w:rsidP="002B17CF">
      <w:pPr>
        <w:autoSpaceDE w:val="0"/>
        <w:autoSpaceDN w:val="0"/>
        <w:adjustRightInd w:val="0"/>
        <w:jc w:val="both"/>
        <w:rPr>
          <w:rFonts w:asciiTheme="minorHAnsi" w:hAnsiTheme="minorHAnsi" w:cstheme="minorHAnsi"/>
          <w:color w:val="000000"/>
          <w:sz w:val="22"/>
          <w:szCs w:val="22"/>
          <w:lang w:val="es-ES"/>
        </w:rPr>
      </w:pPr>
    </w:p>
    <w:p w14:paraId="043A971E" w14:textId="77777777" w:rsidR="002B17CF" w:rsidRPr="00B62815" w:rsidRDefault="002B17CF" w:rsidP="002B17CF">
      <w:pPr>
        <w:autoSpaceDE w:val="0"/>
        <w:autoSpaceDN w:val="0"/>
        <w:adjustRightInd w:val="0"/>
        <w:jc w:val="both"/>
        <w:rPr>
          <w:rFonts w:asciiTheme="minorHAnsi" w:hAnsiTheme="minorHAnsi" w:cstheme="minorHAnsi"/>
          <w:color w:val="000000"/>
          <w:sz w:val="22"/>
          <w:szCs w:val="22"/>
          <w:lang w:val="es-ES"/>
        </w:rPr>
      </w:pPr>
      <w:r w:rsidRPr="00B62815">
        <w:rPr>
          <w:rFonts w:asciiTheme="minorHAnsi" w:hAnsiTheme="minorHAnsi" w:cstheme="minorHAnsi"/>
          <w:color w:val="000000"/>
          <w:sz w:val="22"/>
          <w:szCs w:val="22"/>
          <w:lang w:val="es-ES"/>
        </w:rPr>
        <w:t>La Junta resaltó que la firma de auditores independientes, Mitchell Titus, LLP emitió opinión libre de salvedades (“opinión limpia”), que constituye el mejor resultado posible de una auditoría, con respecto a los estados financieros de 2018 del Fondo de Jubilaciones y Pensiones.</w:t>
      </w:r>
    </w:p>
    <w:p w14:paraId="56C3FC37" w14:textId="77777777" w:rsidR="002B17CF" w:rsidRPr="00B62815" w:rsidRDefault="002B17CF" w:rsidP="002B17CF">
      <w:pPr>
        <w:autoSpaceDE w:val="0"/>
        <w:autoSpaceDN w:val="0"/>
        <w:adjustRightInd w:val="0"/>
        <w:jc w:val="both"/>
        <w:rPr>
          <w:rFonts w:asciiTheme="minorHAnsi" w:hAnsiTheme="minorHAnsi" w:cstheme="minorHAnsi"/>
          <w:color w:val="000000"/>
          <w:sz w:val="22"/>
          <w:szCs w:val="22"/>
          <w:lang w:val="es-ES"/>
        </w:rPr>
      </w:pPr>
    </w:p>
    <w:p w14:paraId="69463449" w14:textId="0AA2A66A" w:rsidR="002B6D89" w:rsidRDefault="002B6D89" w:rsidP="002B6D89">
      <w:pPr>
        <w:autoSpaceDE w:val="0"/>
        <w:autoSpaceDN w:val="0"/>
        <w:adjustRightInd w:val="0"/>
        <w:jc w:val="both"/>
        <w:rPr>
          <w:rFonts w:asciiTheme="minorHAnsi" w:eastAsia="Calibri" w:hAnsiTheme="minorHAnsi" w:cstheme="minorHAnsi"/>
          <w:color w:val="000000"/>
          <w:sz w:val="22"/>
          <w:szCs w:val="22"/>
          <w:lang w:val="es-ES"/>
        </w:rPr>
      </w:pPr>
    </w:p>
    <w:p w14:paraId="1CD6DD8B" w14:textId="77777777" w:rsidR="00625659" w:rsidRPr="00B62815" w:rsidRDefault="00625659" w:rsidP="002B6D89">
      <w:pPr>
        <w:autoSpaceDE w:val="0"/>
        <w:autoSpaceDN w:val="0"/>
        <w:adjustRightInd w:val="0"/>
        <w:jc w:val="both"/>
        <w:rPr>
          <w:rFonts w:asciiTheme="minorHAnsi" w:eastAsia="Calibri" w:hAnsiTheme="minorHAnsi" w:cstheme="minorHAnsi"/>
          <w:color w:val="000000"/>
          <w:sz w:val="22"/>
          <w:szCs w:val="22"/>
          <w:lang w:val="es-ES"/>
        </w:rPr>
      </w:pPr>
    </w:p>
    <w:p w14:paraId="4550C00B" w14:textId="77777777" w:rsidR="00CA5EDD" w:rsidRPr="00B62815" w:rsidRDefault="00CA5EDD" w:rsidP="0037172C">
      <w:pPr>
        <w:shd w:val="clear" w:color="auto" w:fill="F79646"/>
        <w:outlineLvl w:val="0"/>
        <w:rPr>
          <w:rFonts w:asciiTheme="minorHAnsi" w:eastAsia="Calibri" w:hAnsiTheme="minorHAnsi" w:cstheme="minorHAnsi"/>
          <w:b/>
          <w:color w:val="FFFFFF"/>
          <w:sz w:val="22"/>
          <w:szCs w:val="22"/>
          <w:lang w:val="es-ES"/>
        </w:rPr>
      </w:pPr>
      <w:bookmarkStart w:id="114" w:name="_Toc482358056"/>
      <w:bookmarkStart w:id="115" w:name="_Toc511207711"/>
      <w:bookmarkStart w:id="116" w:name="_Toc511814154"/>
      <w:bookmarkStart w:id="117" w:name="_Toc513122736"/>
      <w:bookmarkStart w:id="118" w:name="_Toc39675870"/>
      <w:bookmarkStart w:id="119" w:name="_Toc40191093"/>
      <w:r w:rsidRPr="00B62815">
        <w:rPr>
          <w:rFonts w:asciiTheme="minorHAnsi" w:eastAsia="Calibri" w:hAnsiTheme="minorHAnsi" w:cstheme="minorHAnsi"/>
          <w:b/>
          <w:color w:val="FFFFFF"/>
          <w:sz w:val="22"/>
          <w:szCs w:val="22"/>
          <w:lang w:val="es-ES"/>
        </w:rPr>
        <w:t>4. ENTIDADES Y ORGANISMOS ESPECIALIZADOS</w:t>
      </w:r>
      <w:bookmarkEnd w:id="114"/>
      <w:bookmarkEnd w:id="115"/>
      <w:bookmarkEnd w:id="116"/>
      <w:bookmarkEnd w:id="117"/>
      <w:bookmarkEnd w:id="118"/>
      <w:bookmarkEnd w:id="119"/>
    </w:p>
    <w:p w14:paraId="45E43293" w14:textId="77777777" w:rsidR="001E292E" w:rsidRPr="00B62815" w:rsidRDefault="001E292E" w:rsidP="00D5464C">
      <w:pPr>
        <w:pStyle w:val="ListParagraph"/>
        <w:spacing w:after="200" w:line="276" w:lineRule="auto"/>
        <w:ind w:left="0"/>
        <w:contextualSpacing/>
        <w:rPr>
          <w:rFonts w:asciiTheme="minorHAnsi" w:hAnsiTheme="minorHAnsi" w:cstheme="minorHAnsi"/>
          <w:sz w:val="22"/>
          <w:szCs w:val="22"/>
          <w:lang w:val="es-ES"/>
        </w:rPr>
      </w:pPr>
    </w:p>
    <w:p w14:paraId="5E74FD4E" w14:textId="77777777" w:rsidR="001E292E" w:rsidRPr="00B62815" w:rsidRDefault="00CA5EDD"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20" w:name="_Toc39675871"/>
      <w:bookmarkStart w:id="121" w:name="_Toc40191094"/>
      <w:r w:rsidRPr="00B62815">
        <w:rPr>
          <w:rFonts w:asciiTheme="minorHAnsi" w:hAnsiTheme="minorHAnsi" w:cstheme="minorHAnsi"/>
          <w:b/>
          <w:color w:val="1F497D"/>
          <w:sz w:val="22"/>
          <w:szCs w:val="22"/>
          <w:lang w:val="es-ES"/>
        </w:rPr>
        <w:t>4.1</w:t>
      </w:r>
      <w:r w:rsidRPr="00B62815">
        <w:rPr>
          <w:rFonts w:asciiTheme="minorHAnsi" w:hAnsiTheme="minorHAnsi" w:cstheme="minorHAnsi"/>
          <w:b/>
          <w:color w:val="1F497D"/>
          <w:sz w:val="22"/>
          <w:szCs w:val="22"/>
          <w:lang w:val="es-ES"/>
        </w:rPr>
        <w:tab/>
        <w:t>JUNTA INTERAMERICANA DE DEFENSA</w:t>
      </w:r>
      <w:bookmarkEnd w:id="120"/>
      <w:bookmarkEnd w:id="121"/>
    </w:p>
    <w:p w14:paraId="49267340" w14:textId="77777777" w:rsidR="004500FC" w:rsidRPr="00B62815" w:rsidRDefault="004500FC" w:rsidP="004500FC">
      <w:pPr>
        <w:spacing w:line="264" w:lineRule="auto"/>
        <w:contextualSpacing/>
        <w:jc w:val="both"/>
        <w:rPr>
          <w:rFonts w:asciiTheme="minorHAnsi" w:eastAsia="Calibri" w:hAnsiTheme="minorHAnsi" w:cstheme="minorHAnsi"/>
          <w:b/>
          <w:sz w:val="22"/>
          <w:szCs w:val="22"/>
          <w:u w:val="single"/>
          <w:lang w:val="es-ES"/>
        </w:rPr>
      </w:pPr>
      <w:r w:rsidRPr="00B62815">
        <w:rPr>
          <w:rFonts w:asciiTheme="minorHAnsi" w:eastAsia="Calibri" w:hAnsiTheme="minorHAnsi" w:cstheme="minorHAnsi"/>
          <w:b/>
          <w:sz w:val="22"/>
          <w:szCs w:val="22"/>
          <w:u w:val="single"/>
          <w:lang w:val="es-ES"/>
        </w:rPr>
        <w:t>Introducción</w:t>
      </w:r>
    </w:p>
    <w:p w14:paraId="632036E3" w14:textId="77777777" w:rsidR="004500FC" w:rsidRPr="00B62815" w:rsidRDefault="004500FC" w:rsidP="004500FC">
      <w:pPr>
        <w:spacing w:line="264" w:lineRule="auto"/>
        <w:contextualSpacing/>
        <w:jc w:val="both"/>
        <w:rPr>
          <w:rFonts w:asciiTheme="minorHAnsi" w:eastAsia="Calibri" w:hAnsiTheme="minorHAnsi" w:cstheme="minorHAnsi"/>
          <w:b/>
          <w:sz w:val="22"/>
          <w:szCs w:val="22"/>
          <w:lang w:val="es-ES"/>
        </w:rPr>
      </w:pPr>
    </w:p>
    <w:p w14:paraId="65E69E18" w14:textId="77777777" w:rsidR="004500FC" w:rsidRPr="00B62815" w:rsidRDefault="004500FC" w:rsidP="004500FC">
      <w:p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La Junta Interamericana de Defensa (JID), para cumplir su propósito estatutario, promovió la participación activa de su personal en diferentes eventos, asistiéndose a dos seminarios, quince conferencias, una cumbre, dos jornadas de reflexión, tres foros, dos visitas de estudios, un simposio, diez reuniones, a nivel hemisférico, regional y subregional, en materia de seguridad y defensa, género, derechos humanos y derecho internacional humanitario, así como en temas de la nueva agenda de seguridad hemisférica: ciberdefensa, desastres naturales, acción integral contra minas, manejo, aseguramiento y destrucción de arsenales de armas, medidas para fomentar la confianza y seguridad, elaboración de estudios de doctrina y políticas de defensa y el ofrecimiento de cursos en temas militares. Estas acciones se orientaron al cumplimiento de los mandatos de la Organización de los Estados Americanos (OEA) y de los objetivos estratégicos de la Junta, contribuyendo al fortalecimiento de la colaboración, cooperación y seguridad en el hemisferio en temas de defensa y militares.</w:t>
      </w:r>
    </w:p>
    <w:p w14:paraId="5B4BF3AE" w14:textId="77777777" w:rsidR="004500FC" w:rsidRPr="00B62815" w:rsidRDefault="004500FC" w:rsidP="004500FC">
      <w:pPr>
        <w:jc w:val="both"/>
        <w:rPr>
          <w:rFonts w:asciiTheme="minorHAnsi" w:eastAsia="Calibri" w:hAnsiTheme="minorHAnsi" w:cstheme="minorHAnsi"/>
          <w:sz w:val="22"/>
          <w:szCs w:val="22"/>
          <w:lang w:val="es-ES"/>
        </w:rPr>
      </w:pPr>
    </w:p>
    <w:p w14:paraId="0BD048CF" w14:textId="77777777" w:rsidR="004500FC" w:rsidRPr="00B62815" w:rsidRDefault="004500FC" w:rsidP="004500FC">
      <w:p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Se destaca el retorno de Ecuador como estado miembro de la JID y la inclusión del Reino Unido como país observador.</w:t>
      </w:r>
    </w:p>
    <w:p w14:paraId="5085E492" w14:textId="77777777" w:rsidR="004500FC" w:rsidRPr="00B62815" w:rsidRDefault="004500FC" w:rsidP="004500FC">
      <w:pPr>
        <w:spacing w:after="120"/>
        <w:jc w:val="both"/>
        <w:rPr>
          <w:rFonts w:asciiTheme="minorHAnsi" w:eastAsia="Calibri" w:hAnsiTheme="minorHAnsi" w:cstheme="minorHAnsi"/>
          <w:sz w:val="22"/>
          <w:szCs w:val="22"/>
          <w:lang w:val="es-ES"/>
        </w:rPr>
      </w:pPr>
    </w:p>
    <w:p w14:paraId="3B9E97CC" w14:textId="77777777" w:rsidR="004500FC" w:rsidRPr="00B62815" w:rsidRDefault="004500FC" w:rsidP="004500FC">
      <w:pPr>
        <w:spacing w:after="120"/>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ES"/>
        </w:rPr>
        <w:t>El Colegio Interamericano de Defensa (CID) continúa proporcionando un programa de Maestría en Ciencias</w:t>
      </w:r>
      <w:r w:rsidRPr="00B62815">
        <w:rPr>
          <w:rFonts w:asciiTheme="minorHAnsi" w:eastAsia="Calibri" w:hAnsiTheme="minorHAnsi" w:cstheme="minorHAnsi"/>
          <w:sz w:val="22"/>
          <w:szCs w:val="22"/>
          <w:lang w:val="es-MX"/>
        </w:rPr>
        <w:t xml:space="preserve">, acreditado y sin matrícula para funcionarios militares, policiales y civiles designados por las Naciones Miembros de la OEA. En 2019, la Comisión de Licencia de Educación Superior de Washington, DC, otorgó al CID licencia permanente para operar como una institución de educación superior. En el año mencionado, el CID centró la atención en la redacción de un informe de autoestudio con el objetivo de ser acreditado por la Comisión de Educación Superior de los Estados Medios (MSCHE) en 2020, mientras permanecía acreditado por </w:t>
      </w:r>
      <w:r w:rsidRPr="00B62815">
        <w:rPr>
          <w:rFonts w:asciiTheme="minorHAnsi" w:eastAsia="Calibri" w:hAnsiTheme="minorHAnsi" w:cstheme="minorHAnsi"/>
          <w:i/>
          <w:sz w:val="22"/>
          <w:szCs w:val="22"/>
          <w:lang w:val="es-MX"/>
        </w:rPr>
        <w:t>"</w:t>
      </w:r>
      <w:r w:rsidRPr="00B62815">
        <w:rPr>
          <w:rFonts w:asciiTheme="minorHAnsi" w:eastAsia="Calibri" w:hAnsiTheme="minorHAnsi" w:cstheme="minorHAnsi"/>
          <w:i/>
          <w:sz w:val="22"/>
          <w:szCs w:val="22"/>
          <w:lang w:val="es-ES"/>
        </w:rPr>
        <w:t>Accrediting Council for Independent Colleges and Schools</w:t>
      </w:r>
      <w:r w:rsidRPr="00B62815">
        <w:rPr>
          <w:rFonts w:asciiTheme="minorHAnsi" w:eastAsia="Calibri" w:hAnsiTheme="minorHAnsi" w:cstheme="minorHAnsi"/>
          <w:sz w:val="22"/>
          <w:szCs w:val="22"/>
          <w:lang w:val="es-ES"/>
        </w:rPr>
        <w:t xml:space="preserve">” (ACICS) </w:t>
      </w:r>
      <w:r w:rsidRPr="00B62815">
        <w:rPr>
          <w:rFonts w:asciiTheme="minorHAnsi" w:eastAsia="Calibri" w:hAnsiTheme="minorHAnsi" w:cstheme="minorHAnsi"/>
          <w:sz w:val="22"/>
          <w:szCs w:val="22"/>
          <w:lang w:val="es-MX"/>
        </w:rPr>
        <w:t>hasta 2022. Se resalta la publicación de eventos académicos clave de interés para las Naciones Miembros de la OEA.</w:t>
      </w:r>
    </w:p>
    <w:p w14:paraId="4E323005" w14:textId="77777777" w:rsidR="004500FC" w:rsidRPr="00B62815" w:rsidRDefault="004500FC" w:rsidP="004500FC">
      <w:pPr>
        <w:ind w:left="1080" w:hanging="1080"/>
        <w:contextualSpacing/>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En base a lo anterior, se enlistan los logros más importantes en el 2019:</w:t>
      </w:r>
    </w:p>
    <w:p w14:paraId="76691185" w14:textId="77777777" w:rsidR="004500FC" w:rsidRPr="00B62815" w:rsidRDefault="004500FC" w:rsidP="004500FC">
      <w:pPr>
        <w:ind w:left="1080" w:hanging="1080"/>
        <w:contextualSpacing/>
        <w:jc w:val="both"/>
        <w:rPr>
          <w:rFonts w:asciiTheme="minorHAnsi" w:eastAsia="Calibri" w:hAnsiTheme="minorHAnsi" w:cstheme="minorHAnsi"/>
          <w:sz w:val="22"/>
          <w:szCs w:val="22"/>
          <w:lang w:val="es-ES"/>
        </w:rPr>
      </w:pPr>
    </w:p>
    <w:p w14:paraId="37D21620" w14:textId="77777777" w:rsidR="004500FC" w:rsidRPr="00B62815" w:rsidRDefault="004500FC" w:rsidP="00E67635">
      <w:pPr>
        <w:numPr>
          <w:ilvl w:val="0"/>
          <w:numId w:val="93"/>
        </w:numPr>
        <w:spacing w:after="200"/>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Ámbito de asesoría técnica para el desminado humanitario para “Las Américas libres de Minas”.</w:t>
      </w:r>
    </w:p>
    <w:p w14:paraId="11A79861"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MX"/>
        </w:rPr>
        <w:t>Se coordinó la capacitación durante el 2019 de 10 oficiales y suboficiales de cinco países de las Américas, para el Curso Internacional de Desminado y Remoción de Explosivos en el Centro Internacional de Desminado del Reino de España.</w:t>
      </w:r>
    </w:p>
    <w:p w14:paraId="658D710A"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MX"/>
        </w:rPr>
        <w:t>El Grupo de Monitores Interamericanos en Colombia evaluó 703 personas de las Organizaciones de Desminado Humanitario y verificó 65 documentos de estas organizaciones.</w:t>
      </w:r>
    </w:p>
    <w:p w14:paraId="7E36887C"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MX"/>
        </w:rPr>
        <w:t>El Grupo de Asesores Técnicos Interamericanos graduó a 36 Monitores Nacionales de Desminado Humanitario y creación del curso para la Misión de Instructores y Asesores de Desminado Humanitario a iniciarse el 2020.</w:t>
      </w:r>
    </w:p>
    <w:p w14:paraId="0D1F06EB" w14:textId="77777777" w:rsidR="004500FC" w:rsidRPr="00B62815" w:rsidRDefault="004500FC" w:rsidP="00E67635">
      <w:pPr>
        <w:numPr>
          <w:ilvl w:val="0"/>
          <w:numId w:val="93"/>
        </w:numPr>
        <w:spacing w:before="120" w:after="200"/>
        <w:ind w:left="641" w:hanging="357"/>
        <w:jc w:val="both"/>
        <w:rPr>
          <w:rFonts w:asciiTheme="minorHAnsi" w:eastAsia="Calibri" w:hAnsiTheme="minorHAnsi" w:cstheme="minorHAnsi"/>
          <w:b/>
          <w:sz w:val="22"/>
          <w:szCs w:val="22"/>
          <w:lang w:val="es-ES"/>
        </w:rPr>
      </w:pPr>
      <w:r w:rsidRPr="00B62815">
        <w:rPr>
          <w:rFonts w:asciiTheme="minorHAnsi" w:eastAsia="Calibri" w:hAnsiTheme="minorHAnsi" w:cstheme="minorHAnsi"/>
          <w:sz w:val="22"/>
          <w:szCs w:val="22"/>
          <w:lang w:val="es-ES"/>
        </w:rPr>
        <w:t>Ámbito de asesoría y seguimiento de las Medidas de Fomento a la Confianza y la Seguridad (MFCS) entre los Estados del hemisferio.</w:t>
      </w:r>
    </w:p>
    <w:p w14:paraId="7A59213C"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MX"/>
        </w:rPr>
        <w:t>Se realizó un estudio comparativo entre el repositorio mundial de MFCS de la ONU y de la OEA. Como resultado, se identificaron 27 medidas que pueden ser implementadas en la OEA, dirigidas a la Comisión de Seguridad Hemisférica.</w:t>
      </w:r>
    </w:p>
    <w:p w14:paraId="485D0005" w14:textId="77777777" w:rsidR="004500FC" w:rsidRPr="00B62815" w:rsidRDefault="004500FC" w:rsidP="00E67635">
      <w:pPr>
        <w:numPr>
          <w:ilvl w:val="0"/>
          <w:numId w:val="93"/>
        </w:numPr>
        <w:spacing w:before="120" w:after="200"/>
        <w:ind w:left="641" w:hanging="357"/>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MX"/>
        </w:rPr>
        <w:t>Ámbito de asistencia humanitaria ante desastres naturales.</w:t>
      </w:r>
    </w:p>
    <w:p w14:paraId="32D69828"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MX"/>
        </w:rPr>
        <w:t>Se realizaron las conferencias sobre Búsqueda y Rescate y sobre la Experiencia de Coordinación e Interacción para Ayuda en Casos de Desastres Naturales.</w:t>
      </w:r>
    </w:p>
    <w:p w14:paraId="6D98164A"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MX"/>
        </w:rPr>
        <w:t>Se participó en la reunión del Comité Interamericano para Reducción de Desastres Naturales (CIRDN), en relación al Huracán Dorian.</w:t>
      </w:r>
    </w:p>
    <w:p w14:paraId="7E9BF3F7"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MX"/>
        </w:rPr>
        <w:t xml:space="preserve">Se materializó un Ejercicio de simulación de respuesta en caso de desastres, para poner a prueba los instrumentos existentes dentro del marco del Sistema de Respuesta a Desastres de la OEA. </w:t>
      </w:r>
    </w:p>
    <w:p w14:paraId="3FEB37E7" w14:textId="77777777" w:rsidR="004500FC" w:rsidRPr="00B62815" w:rsidRDefault="004500FC" w:rsidP="00E67635">
      <w:pPr>
        <w:numPr>
          <w:ilvl w:val="0"/>
          <w:numId w:val="93"/>
        </w:numPr>
        <w:spacing w:before="120" w:after="200"/>
        <w:ind w:left="641" w:hanging="357"/>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Ámbito de La XIV Conferencia de Ministros de Defensa de las Américas (CMDA).</w:t>
      </w:r>
    </w:p>
    <w:p w14:paraId="3DCC656C"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MX"/>
        </w:rPr>
        <w:t>Se</w:t>
      </w:r>
      <w:r w:rsidRPr="00B62815">
        <w:rPr>
          <w:rFonts w:asciiTheme="minorHAnsi" w:eastAsia="Calibri" w:hAnsiTheme="minorHAnsi" w:cstheme="minorHAnsi"/>
          <w:sz w:val="22"/>
          <w:szCs w:val="22"/>
          <w:lang w:val="es-ES"/>
        </w:rPr>
        <w:t xml:space="preserve"> participó </w:t>
      </w:r>
      <w:r w:rsidRPr="00B62815">
        <w:rPr>
          <w:rFonts w:asciiTheme="minorHAnsi" w:eastAsia="Calibri" w:hAnsiTheme="minorHAnsi" w:cstheme="minorHAnsi"/>
          <w:sz w:val="22"/>
          <w:szCs w:val="22"/>
          <w:lang w:val="es-MX"/>
        </w:rPr>
        <w:t xml:space="preserve">en </w:t>
      </w:r>
      <w:r w:rsidRPr="00B62815">
        <w:rPr>
          <w:rFonts w:asciiTheme="minorHAnsi" w:eastAsia="Calibri" w:hAnsiTheme="minorHAnsi" w:cstheme="minorHAnsi"/>
          <w:sz w:val="22"/>
          <w:szCs w:val="22"/>
          <w:lang w:val="es-ES"/>
        </w:rPr>
        <w:t>dos Grupos Ad-Hoc: “Cooperación en Asistencia Humanitaria y Socorro en Casos de Desastres” y “Evolución del papel de las Fuerzas Armadas en materia de Defensa y Seguridad”.</w:t>
      </w:r>
    </w:p>
    <w:p w14:paraId="655BA52B" w14:textId="77777777" w:rsidR="004500FC" w:rsidRPr="00B62815" w:rsidRDefault="004500FC" w:rsidP="00E67635">
      <w:pPr>
        <w:numPr>
          <w:ilvl w:val="0"/>
          <w:numId w:val="93"/>
        </w:numPr>
        <w:spacing w:before="120" w:after="200"/>
        <w:ind w:left="641" w:hanging="357"/>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Ámbito de Asesoría en Atención a Amenazas Emergentes y Otros Temas Relevantes.</w:t>
      </w:r>
    </w:p>
    <w:p w14:paraId="07DC40A9"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MX"/>
        </w:rPr>
        <w:t>Se tuvo participación en la Jornada de reflexión de la OEA sobre nuevas amenazas, en las conferencias “El combate a la Corrupción en Brasil y las consecuencias para el Continente Americano”, en los seminarios “Perspectiva Hemisférica para la Integración de Género en Defensa y Seguridad” y “Seminario de Derechos Humanos y Derecho Humanitario Internacional”.</w:t>
      </w:r>
    </w:p>
    <w:p w14:paraId="27A9454C"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MX"/>
        </w:rPr>
        <w:t>Se realizaron la “Primera Conferencia de Ciberdefensa: Hemisferio Occidental” en Bogotá, Colombia y el “Seminario</w:t>
      </w:r>
      <w:r w:rsidRPr="00B62815">
        <w:rPr>
          <w:rFonts w:asciiTheme="minorHAnsi" w:eastAsia="Calibri" w:hAnsiTheme="minorHAnsi" w:cstheme="minorHAnsi"/>
          <w:sz w:val="22"/>
          <w:szCs w:val="22"/>
          <w:lang w:val="es-ES"/>
        </w:rPr>
        <w:t xml:space="preserve"> de Ciberdefensa y Ciberseguridad” en el CID.</w:t>
      </w:r>
    </w:p>
    <w:p w14:paraId="23D44D67" w14:textId="77777777" w:rsidR="004500FC" w:rsidRPr="00B62815" w:rsidRDefault="004500FC" w:rsidP="00E67635">
      <w:pPr>
        <w:numPr>
          <w:ilvl w:val="0"/>
          <w:numId w:val="93"/>
        </w:numPr>
        <w:spacing w:before="120" w:after="200"/>
        <w:ind w:left="641" w:hanging="357"/>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Ámbito de vinculación entre las Diferentes Organizaciones.</w:t>
      </w:r>
    </w:p>
    <w:p w14:paraId="22AA2543"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u w:val="single"/>
          <w:lang w:val="es-ES"/>
        </w:rPr>
      </w:pPr>
      <w:r w:rsidRPr="00B62815">
        <w:rPr>
          <w:rFonts w:asciiTheme="minorHAnsi" w:eastAsia="Calibri" w:hAnsiTheme="minorHAnsi" w:cstheme="minorHAnsi"/>
          <w:sz w:val="22"/>
          <w:szCs w:val="22"/>
          <w:lang w:val="es-MX"/>
        </w:rPr>
        <w:t xml:space="preserve">Se asistió a </w:t>
      </w:r>
      <w:r w:rsidRPr="00B62815">
        <w:rPr>
          <w:rFonts w:asciiTheme="minorHAnsi" w:eastAsia="Calibri" w:hAnsiTheme="minorHAnsi" w:cstheme="minorHAnsi"/>
          <w:sz w:val="22"/>
          <w:szCs w:val="22"/>
          <w:lang w:val="es-ES"/>
        </w:rPr>
        <w:t>cinco eventos de las Conferencias de los Ejércitos Americanos (CEA),  a dos eventos de las Conferencias Navales Interamericanas (CNI), a una Conferencia de Jefes de las Fuerzas Aéreas Americanas (CONJEFAMER) y a una Conferencia de Fuerzas Armadas Centroamericanas (CFAC). Se resalta el hecho de la firma de un acuerdo de cooperación técnica con el Instituto Superior para la Defensa (INSUDE) de la República Dominicana.</w:t>
      </w:r>
    </w:p>
    <w:p w14:paraId="746441B2" w14:textId="77777777" w:rsidR="004500FC" w:rsidRPr="00B62815" w:rsidRDefault="004500FC" w:rsidP="00E67635">
      <w:pPr>
        <w:numPr>
          <w:ilvl w:val="0"/>
          <w:numId w:val="93"/>
        </w:numPr>
        <w:spacing w:before="120" w:after="200"/>
        <w:ind w:left="641" w:hanging="357"/>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Ámbito de educación.</w:t>
      </w:r>
    </w:p>
    <w:p w14:paraId="45393902"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El 26 de junio de 2019, se graduaron 67 estudiantes de la Clase 58 del CID, siendo 46 militares, 14 policías y 7 civiles, entre ellos seis mujeres, de 14 países de la OEA.</w:t>
      </w:r>
    </w:p>
    <w:p w14:paraId="3F4CD892"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En julio de 2019, se inició la clase 59 del CID, con 58 estudiantes de 13 naciones, incluyendo 40 militares, 12 policías y 6 civiles, entre ellos siete mujeres.</w:t>
      </w:r>
    </w:p>
    <w:p w14:paraId="021D2086"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ES"/>
        </w:rPr>
        <w:t>Se inició la cooperación con el Departamento de Desarrollo Humano, Educación y Empleo de la OEA a través del programa de becas de la OEA en beneficio de los estudiantes del CID y evaluación de la futura educación en seguridad y defensa en línea a través del Portal de Educación de las Américas.</w:t>
      </w:r>
    </w:p>
    <w:p w14:paraId="32757319"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ES"/>
        </w:rPr>
        <w:t>El CID recibió la licencia permanente para operar como entidad de educación superior, por parte de la Comisión de Licencias de Educación Superior de Washington, D.C.</w:t>
      </w:r>
    </w:p>
    <w:p w14:paraId="5ECD4553" w14:textId="77777777" w:rsidR="004500FC" w:rsidRPr="00B62815" w:rsidRDefault="004500FC" w:rsidP="00E67635">
      <w:pPr>
        <w:numPr>
          <w:ilvl w:val="0"/>
          <w:numId w:val="94"/>
        </w:numPr>
        <w:spacing w:after="200"/>
        <w:ind w:left="993"/>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ES"/>
        </w:rPr>
        <w:t>Se inició con la publicación (digital y versión impresa) de eventos académicos del CID para uso en todo el hemisferio</w:t>
      </w:r>
      <w:r w:rsidRPr="00B62815">
        <w:rPr>
          <w:rFonts w:asciiTheme="minorHAnsi" w:eastAsia="Calibri" w:hAnsiTheme="minorHAnsi" w:cstheme="minorHAnsi"/>
          <w:sz w:val="22"/>
          <w:szCs w:val="22"/>
          <w:lang w:val="es-MX"/>
        </w:rPr>
        <w:t>.</w:t>
      </w:r>
    </w:p>
    <w:p w14:paraId="03E95753" w14:textId="77777777" w:rsidR="004500FC" w:rsidRPr="00B62815" w:rsidRDefault="004500FC" w:rsidP="004500FC">
      <w:pPr>
        <w:ind w:left="1080" w:hanging="1080"/>
        <w:contextualSpacing/>
        <w:jc w:val="both"/>
        <w:rPr>
          <w:rFonts w:asciiTheme="minorHAnsi" w:eastAsia="Calibri" w:hAnsiTheme="minorHAnsi" w:cstheme="minorHAnsi"/>
          <w:sz w:val="22"/>
          <w:szCs w:val="22"/>
          <w:lang w:val="es-ES"/>
        </w:rPr>
      </w:pPr>
      <w:r w:rsidRPr="00B62815">
        <w:rPr>
          <w:rFonts w:asciiTheme="minorHAnsi" w:eastAsia="Calibri" w:hAnsiTheme="minorHAnsi" w:cstheme="minorHAnsi"/>
          <w:b/>
          <w:sz w:val="22"/>
          <w:szCs w:val="22"/>
          <w:u w:val="single"/>
          <w:lang w:val="es-ES"/>
        </w:rPr>
        <w:t>Links de Interés</w:t>
      </w:r>
    </w:p>
    <w:p w14:paraId="29C7BA49" w14:textId="77777777" w:rsidR="004500FC" w:rsidRPr="00B62815" w:rsidRDefault="004500FC" w:rsidP="00E67635">
      <w:pPr>
        <w:numPr>
          <w:ilvl w:val="0"/>
          <w:numId w:val="95"/>
        </w:numPr>
        <w:jc w:val="both"/>
        <w:rPr>
          <w:rFonts w:asciiTheme="minorHAnsi" w:eastAsia="Calibri" w:hAnsiTheme="minorHAnsi" w:cstheme="minorHAnsi"/>
          <w:sz w:val="22"/>
          <w:szCs w:val="22"/>
          <w:lang w:val="es-ES"/>
        </w:rPr>
      </w:pPr>
      <w:r w:rsidRPr="00B62815">
        <w:rPr>
          <w:rFonts w:asciiTheme="minorHAnsi" w:eastAsia="Calibri" w:hAnsiTheme="minorHAnsi" w:cstheme="minorHAnsi"/>
          <w:sz w:val="22"/>
          <w:szCs w:val="22"/>
          <w:lang w:val="es-ES"/>
        </w:rPr>
        <w:t xml:space="preserve">Link para conocer las Actividades de la Junta Interamericana de Defensa: </w:t>
      </w:r>
      <w:hyperlink r:id="rId227" w:history="1">
        <w:r w:rsidRPr="00B62815">
          <w:rPr>
            <w:rFonts w:asciiTheme="minorHAnsi" w:eastAsia="Calibri" w:hAnsiTheme="minorHAnsi" w:cstheme="minorHAnsi"/>
            <w:sz w:val="22"/>
            <w:szCs w:val="22"/>
            <w:lang w:val="es-ES"/>
          </w:rPr>
          <w:t>http://www.jid.org/</w:t>
        </w:r>
      </w:hyperlink>
    </w:p>
    <w:p w14:paraId="6E423FA9" w14:textId="77777777" w:rsidR="004500FC" w:rsidRPr="00B62815" w:rsidRDefault="004500FC" w:rsidP="004500FC">
      <w:pPr>
        <w:spacing w:after="120"/>
        <w:ind w:firstLine="426"/>
        <w:jc w:val="both"/>
        <w:rPr>
          <w:rFonts w:asciiTheme="minorHAnsi" w:eastAsia="Calibri" w:hAnsiTheme="minorHAnsi" w:cstheme="minorHAnsi"/>
          <w:sz w:val="22"/>
          <w:szCs w:val="22"/>
          <w:lang w:val="es-MX"/>
        </w:rPr>
      </w:pPr>
      <w:r w:rsidRPr="00B62815">
        <w:rPr>
          <w:rFonts w:asciiTheme="minorHAnsi" w:eastAsia="Calibri" w:hAnsiTheme="minorHAnsi" w:cstheme="minorHAnsi"/>
          <w:sz w:val="22"/>
          <w:szCs w:val="22"/>
          <w:lang w:val="es-ES"/>
        </w:rPr>
        <w:t xml:space="preserve">B. Link para conocer las actividades del Colegio Interamericano de Defensa: </w:t>
      </w:r>
      <w:r w:rsidRPr="00B62815">
        <w:rPr>
          <w:rFonts w:asciiTheme="minorHAnsi" w:eastAsia="Calibri" w:hAnsiTheme="minorHAnsi" w:cstheme="minorHAnsi"/>
          <w:sz w:val="22"/>
          <w:szCs w:val="22"/>
          <w:lang w:val="es-MX"/>
        </w:rPr>
        <w:t>https://iadc.edu/</w:t>
      </w:r>
    </w:p>
    <w:p w14:paraId="620CE991" w14:textId="77777777" w:rsidR="00DD4A29" w:rsidRPr="00673757" w:rsidRDefault="00DD4A29" w:rsidP="004500FC">
      <w:pPr>
        <w:spacing w:line="264" w:lineRule="auto"/>
        <w:ind w:left="1080" w:hanging="1080"/>
        <w:contextualSpacing/>
        <w:jc w:val="both"/>
        <w:rPr>
          <w:rFonts w:asciiTheme="minorHAnsi" w:eastAsia="Calibri" w:hAnsiTheme="minorHAnsi" w:cstheme="minorHAnsi"/>
          <w:b/>
          <w:sz w:val="22"/>
          <w:szCs w:val="22"/>
          <w:u w:val="single"/>
          <w:lang w:val="es-PE"/>
        </w:rPr>
      </w:pPr>
    </w:p>
    <w:p w14:paraId="1F6A9110" w14:textId="77777777" w:rsidR="004500FC" w:rsidRPr="00673757" w:rsidRDefault="004500FC" w:rsidP="004500FC">
      <w:pPr>
        <w:spacing w:line="264" w:lineRule="auto"/>
        <w:ind w:left="1080" w:hanging="1080"/>
        <w:contextualSpacing/>
        <w:jc w:val="both"/>
        <w:rPr>
          <w:rFonts w:asciiTheme="minorHAnsi" w:eastAsia="Calibri" w:hAnsiTheme="minorHAnsi" w:cstheme="minorHAnsi"/>
          <w:b/>
          <w:sz w:val="22"/>
          <w:szCs w:val="22"/>
          <w:u w:val="single"/>
          <w:lang w:val="es-PE"/>
        </w:rPr>
      </w:pPr>
      <w:r w:rsidRPr="00673757">
        <w:rPr>
          <w:rFonts w:asciiTheme="minorHAnsi" w:eastAsia="Calibri" w:hAnsiTheme="minorHAnsi" w:cstheme="minorHAnsi"/>
          <w:b/>
          <w:sz w:val="22"/>
          <w:szCs w:val="22"/>
          <w:u w:val="single"/>
          <w:lang w:val="es-PE"/>
        </w:rPr>
        <w:t>Fotografias</w:t>
      </w:r>
    </w:p>
    <w:p w14:paraId="564BCBAF" w14:textId="77777777" w:rsidR="004500FC" w:rsidRPr="00673757" w:rsidRDefault="004500FC" w:rsidP="004500FC">
      <w:pPr>
        <w:ind w:left="426"/>
        <w:jc w:val="both"/>
        <w:rPr>
          <w:rFonts w:asciiTheme="minorHAnsi" w:eastAsia="Calibri" w:hAnsiTheme="minorHAnsi" w:cstheme="minorHAnsi"/>
          <w:sz w:val="22"/>
          <w:szCs w:val="22"/>
          <w:lang w:val="es-PE"/>
        </w:rPr>
      </w:pPr>
    </w:p>
    <w:p w14:paraId="34D1CD3F" w14:textId="77777777" w:rsidR="004500FC" w:rsidRPr="00B62815" w:rsidRDefault="004500FC" w:rsidP="004500FC">
      <w:pPr>
        <w:jc w:val="both"/>
        <w:rPr>
          <w:rFonts w:asciiTheme="minorHAnsi" w:eastAsia="Calibri" w:hAnsiTheme="minorHAnsi" w:cstheme="minorHAnsi"/>
          <w:b/>
          <w:noProof/>
          <w:sz w:val="22"/>
          <w:szCs w:val="22"/>
          <w:lang w:val="es-MX"/>
        </w:rPr>
      </w:pPr>
      <w:r w:rsidRPr="00B62815">
        <w:rPr>
          <w:rFonts w:asciiTheme="minorHAnsi" w:eastAsia="Calibri" w:hAnsiTheme="minorHAnsi" w:cstheme="minorHAnsi"/>
          <w:b/>
          <w:noProof/>
          <w:sz w:val="22"/>
          <w:szCs w:val="22"/>
          <w:lang w:val="es-MX"/>
        </w:rPr>
        <w:t>Conferencia sobre búsqueda y rescate</w:t>
      </w:r>
    </w:p>
    <w:p w14:paraId="6FBBA71A" w14:textId="77777777" w:rsidR="002C1B1F" w:rsidRPr="00B62815" w:rsidRDefault="002C1B1F" w:rsidP="004500FC">
      <w:pPr>
        <w:jc w:val="both"/>
        <w:rPr>
          <w:rFonts w:asciiTheme="minorHAnsi" w:eastAsia="Calibri" w:hAnsiTheme="minorHAnsi" w:cstheme="minorHAnsi"/>
          <w:b/>
          <w:noProof/>
          <w:sz w:val="22"/>
          <w:szCs w:val="22"/>
          <w:lang w:val="es-MX"/>
        </w:rPr>
      </w:pPr>
    </w:p>
    <w:p w14:paraId="6BC0E9F0" w14:textId="6B1B5419" w:rsidR="004500FC" w:rsidRPr="00776AC3" w:rsidRDefault="001C2CF3" w:rsidP="00776AC3">
      <w:pPr>
        <w:spacing w:line="264" w:lineRule="auto"/>
        <w:ind w:left="426"/>
        <w:contextualSpacing/>
        <w:jc w:val="center"/>
        <w:rPr>
          <w:rFonts w:asciiTheme="minorHAnsi" w:eastAsia="Calibri" w:hAnsiTheme="minorHAnsi" w:cstheme="minorHAnsi"/>
          <w:sz w:val="22"/>
          <w:szCs w:val="22"/>
          <w:lang w:val="es-ES"/>
        </w:rPr>
      </w:pPr>
      <w:r w:rsidRPr="00B62815">
        <w:rPr>
          <w:rFonts w:asciiTheme="minorHAnsi" w:eastAsia="Calibri" w:hAnsiTheme="minorHAnsi" w:cstheme="minorHAnsi"/>
          <w:noProof/>
          <w:sz w:val="22"/>
          <w:szCs w:val="22"/>
        </w:rPr>
        <w:drawing>
          <wp:inline distT="0" distB="0" distL="0" distR="0" wp14:anchorId="53C11FB8" wp14:editId="32EAAE2F">
            <wp:extent cx="3943985" cy="2631440"/>
            <wp:effectExtent l="0" t="0" r="0" b="0"/>
            <wp:docPr id="28" name="Picture 28" descr="CONF_DesastresNaturales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F_DesastresNaturales_57"/>
                    <pic:cNvPicPr>
                      <a:picLocks noChangeAspect="1" noChangeArrowheads="1"/>
                    </pic:cNvPicPr>
                  </pic:nvPicPr>
                  <pic:blipFill>
                    <a:blip r:embed="rId228" cstate="screen">
                      <a:extLst>
                        <a:ext uri="{28A0092B-C50C-407E-A947-70E740481C1C}">
                          <a14:useLocalDpi xmlns:a14="http://schemas.microsoft.com/office/drawing/2010/main"/>
                        </a:ext>
                      </a:extLst>
                    </a:blip>
                    <a:srcRect/>
                    <a:stretch>
                      <a:fillRect/>
                    </a:stretch>
                  </pic:blipFill>
                  <pic:spPr bwMode="auto">
                    <a:xfrm>
                      <a:off x="0" y="0"/>
                      <a:ext cx="3943985" cy="2631440"/>
                    </a:xfrm>
                    <a:prstGeom prst="rect">
                      <a:avLst/>
                    </a:prstGeom>
                    <a:noFill/>
                    <a:ln>
                      <a:noFill/>
                    </a:ln>
                  </pic:spPr>
                </pic:pic>
              </a:graphicData>
            </a:graphic>
          </wp:inline>
        </w:drawing>
      </w:r>
    </w:p>
    <w:p w14:paraId="1C8D9FFC" w14:textId="161A698F" w:rsidR="004500FC" w:rsidRDefault="004500FC" w:rsidP="00776AC3">
      <w:pPr>
        <w:spacing w:line="264" w:lineRule="auto"/>
        <w:contextualSpacing/>
        <w:rPr>
          <w:rFonts w:asciiTheme="minorHAnsi" w:eastAsia="Calibri" w:hAnsiTheme="minorHAnsi" w:cstheme="minorHAnsi"/>
          <w:noProof/>
          <w:sz w:val="22"/>
          <w:szCs w:val="22"/>
          <w:lang w:val="es-MX"/>
        </w:rPr>
      </w:pPr>
    </w:p>
    <w:p w14:paraId="0E505C9B" w14:textId="30C5B259" w:rsidR="00BB7151" w:rsidRDefault="00BB7151" w:rsidP="00776AC3">
      <w:pPr>
        <w:spacing w:line="264" w:lineRule="auto"/>
        <w:contextualSpacing/>
        <w:rPr>
          <w:rFonts w:asciiTheme="minorHAnsi" w:eastAsia="Calibri" w:hAnsiTheme="minorHAnsi" w:cstheme="minorHAnsi"/>
          <w:noProof/>
          <w:sz w:val="22"/>
          <w:szCs w:val="22"/>
          <w:lang w:val="es-MX"/>
        </w:rPr>
      </w:pPr>
    </w:p>
    <w:p w14:paraId="2B57C98A" w14:textId="280E20A0" w:rsidR="00BB7151" w:rsidRDefault="00BB7151" w:rsidP="00776AC3">
      <w:pPr>
        <w:spacing w:line="264" w:lineRule="auto"/>
        <w:contextualSpacing/>
        <w:rPr>
          <w:rFonts w:asciiTheme="minorHAnsi" w:eastAsia="Calibri" w:hAnsiTheme="minorHAnsi" w:cstheme="minorHAnsi"/>
          <w:noProof/>
          <w:sz w:val="22"/>
          <w:szCs w:val="22"/>
          <w:lang w:val="es-MX"/>
        </w:rPr>
      </w:pPr>
    </w:p>
    <w:p w14:paraId="41065BC3" w14:textId="4F5EFB4E" w:rsidR="00BB7151" w:rsidRDefault="00BB7151" w:rsidP="00776AC3">
      <w:pPr>
        <w:spacing w:line="264" w:lineRule="auto"/>
        <w:contextualSpacing/>
        <w:rPr>
          <w:rFonts w:asciiTheme="minorHAnsi" w:eastAsia="Calibri" w:hAnsiTheme="minorHAnsi" w:cstheme="minorHAnsi"/>
          <w:noProof/>
          <w:sz w:val="22"/>
          <w:szCs w:val="22"/>
          <w:lang w:val="es-MX"/>
        </w:rPr>
      </w:pPr>
    </w:p>
    <w:p w14:paraId="09DBBA74" w14:textId="77777777" w:rsidR="00BB7151" w:rsidRPr="00B62815" w:rsidRDefault="00BB7151" w:rsidP="00776AC3">
      <w:pPr>
        <w:spacing w:line="264" w:lineRule="auto"/>
        <w:contextualSpacing/>
        <w:rPr>
          <w:rFonts w:asciiTheme="minorHAnsi" w:eastAsia="Calibri" w:hAnsiTheme="minorHAnsi" w:cstheme="minorHAnsi"/>
          <w:noProof/>
          <w:sz w:val="22"/>
          <w:szCs w:val="22"/>
          <w:lang w:val="es-MX"/>
        </w:rPr>
      </w:pPr>
    </w:p>
    <w:p w14:paraId="003F4B69" w14:textId="77777777" w:rsidR="004500FC" w:rsidRPr="00B62815" w:rsidRDefault="004500FC" w:rsidP="004500FC">
      <w:pPr>
        <w:ind w:firstLine="1080"/>
        <w:jc w:val="both"/>
        <w:rPr>
          <w:rFonts w:asciiTheme="minorHAnsi" w:eastAsia="Calibri" w:hAnsiTheme="minorHAnsi" w:cstheme="minorHAnsi"/>
          <w:b/>
          <w:sz w:val="22"/>
          <w:szCs w:val="22"/>
          <w:lang w:val="es-ES"/>
        </w:rPr>
      </w:pPr>
    </w:p>
    <w:p w14:paraId="173CABDA" w14:textId="77777777" w:rsidR="004500FC" w:rsidRPr="00B62815" w:rsidRDefault="004500FC" w:rsidP="004500FC">
      <w:pPr>
        <w:jc w:val="both"/>
        <w:rPr>
          <w:rFonts w:asciiTheme="minorHAnsi" w:eastAsia="Calibri" w:hAnsiTheme="minorHAnsi" w:cstheme="minorHAnsi"/>
          <w:b/>
          <w:noProof/>
          <w:sz w:val="22"/>
          <w:szCs w:val="22"/>
          <w:lang w:val="es-MX"/>
        </w:rPr>
      </w:pPr>
      <w:r w:rsidRPr="00B62815">
        <w:rPr>
          <w:rFonts w:asciiTheme="minorHAnsi" w:eastAsia="Calibri" w:hAnsiTheme="minorHAnsi" w:cstheme="minorHAnsi"/>
          <w:b/>
          <w:sz w:val="22"/>
          <w:szCs w:val="22"/>
          <w:lang w:val="es-ES"/>
        </w:rPr>
        <w:t>Conferencia</w:t>
      </w:r>
      <w:r w:rsidRPr="00B62815">
        <w:rPr>
          <w:rFonts w:asciiTheme="minorHAnsi" w:eastAsia="Calibri" w:hAnsiTheme="minorHAnsi" w:cstheme="minorHAnsi"/>
          <w:b/>
          <w:noProof/>
          <w:sz w:val="22"/>
          <w:szCs w:val="22"/>
          <w:lang w:val="es-MX"/>
        </w:rPr>
        <w:t xml:space="preserve"> sobre experiencia de coordinación e interacción para ayuda en caso de desastres</w:t>
      </w:r>
    </w:p>
    <w:p w14:paraId="0D998039" w14:textId="77777777" w:rsidR="004500FC" w:rsidRPr="00B62815" w:rsidRDefault="004500FC" w:rsidP="004500FC">
      <w:pPr>
        <w:jc w:val="both"/>
        <w:rPr>
          <w:rFonts w:asciiTheme="minorHAnsi" w:eastAsia="Calibri" w:hAnsiTheme="minorHAnsi" w:cstheme="minorHAnsi"/>
          <w:b/>
          <w:noProof/>
          <w:sz w:val="22"/>
          <w:szCs w:val="22"/>
          <w:lang w:val="es-MX"/>
        </w:rPr>
      </w:pPr>
    </w:p>
    <w:p w14:paraId="3D1D4E90" w14:textId="5E17183B" w:rsidR="0014077C" w:rsidRDefault="001C2CF3" w:rsidP="00776AC3">
      <w:pPr>
        <w:spacing w:line="264" w:lineRule="auto"/>
        <w:ind w:left="426"/>
        <w:contextualSpacing/>
        <w:jc w:val="center"/>
        <w:rPr>
          <w:rFonts w:asciiTheme="minorHAnsi" w:eastAsia="Calibri" w:hAnsiTheme="minorHAnsi" w:cstheme="minorHAnsi"/>
          <w:noProof/>
          <w:sz w:val="22"/>
          <w:szCs w:val="22"/>
          <w:lang w:val="es-ES"/>
        </w:rPr>
      </w:pPr>
      <w:r w:rsidRPr="00B62815">
        <w:rPr>
          <w:rFonts w:asciiTheme="minorHAnsi" w:eastAsia="Calibri" w:hAnsiTheme="minorHAnsi" w:cstheme="minorHAnsi"/>
          <w:noProof/>
          <w:sz w:val="22"/>
          <w:szCs w:val="22"/>
        </w:rPr>
        <w:drawing>
          <wp:inline distT="0" distB="0" distL="0" distR="0" wp14:anchorId="6CE1A6C2" wp14:editId="27C76002">
            <wp:extent cx="5486400" cy="2836545"/>
            <wp:effectExtent l="0" t="0" r="0" b="0"/>
            <wp:docPr id="32" name="Picture 32" descr="IMG_337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3370 (2)"/>
                    <pic:cNvPicPr>
                      <a:picLocks noChangeAspect="1" noChangeArrowheads="1"/>
                    </pic:cNvPicPr>
                  </pic:nvPicPr>
                  <pic:blipFill>
                    <a:blip r:embed="rId229" cstate="screen">
                      <a:extLst>
                        <a:ext uri="{28A0092B-C50C-407E-A947-70E740481C1C}">
                          <a14:useLocalDpi xmlns:a14="http://schemas.microsoft.com/office/drawing/2010/main"/>
                        </a:ext>
                      </a:extLst>
                    </a:blip>
                    <a:srcRect/>
                    <a:stretch>
                      <a:fillRect/>
                    </a:stretch>
                  </pic:blipFill>
                  <pic:spPr bwMode="auto">
                    <a:xfrm>
                      <a:off x="0" y="0"/>
                      <a:ext cx="5486400" cy="2836545"/>
                    </a:xfrm>
                    <a:prstGeom prst="rect">
                      <a:avLst/>
                    </a:prstGeom>
                    <a:noFill/>
                    <a:ln>
                      <a:noFill/>
                    </a:ln>
                  </pic:spPr>
                </pic:pic>
              </a:graphicData>
            </a:graphic>
          </wp:inline>
        </w:drawing>
      </w:r>
    </w:p>
    <w:p w14:paraId="37097530" w14:textId="00E17F8B" w:rsidR="00776AC3" w:rsidRDefault="00776AC3" w:rsidP="00776AC3">
      <w:pPr>
        <w:spacing w:line="264" w:lineRule="auto"/>
        <w:ind w:left="426"/>
        <w:contextualSpacing/>
        <w:jc w:val="center"/>
        <w:rPr>
          <w:rFonts w:asciiTheme="minorHAnsi" w:eastAsia="Calibri" w:hAnsiTheme="minorHAnsi" w:cstheme="minorHAnsi"/>
          <w:noProof/>
          <w:sz w:val="22"/>
          <w:szCs w:val="22"/>
          <w:lang w:val="es-ES"/>
        </w:rPr>
      </w:pPr>
    </w:p>
    <w:p w14:paraId="65E6A773" w14:textId="77777777" w:rsidR="00776AC3" w:rsidRPr="00776AC3" w:rsidRDefault="00776AC3" w:rsidP="00776AC3">
      <w:pPr>
        <w:spacing w:line="264" w:lineRule="auto"/>
        <w:ind w:left="426"/>
        <w:contextualSpacing/>
        <w:jc w:val="center"/>
        <w:rPr>
          <w:rFonts w:asciiTheme="minorHAnsi" w:eastAsia="Calibri" w:hAnsiTheme="minorHAnsi" w:cstheme="minorHAnsi"/>
          <w:noProof/>
          <w:sz w:val="22"/>
          <w:szCs w:val="22"/>
          <w:lang w:val="es-ES"/>
        </w:rPr>
      </w:pPr>
    </w:p>
    <w:p w14:paraId="327F8768" w14:textId="3687743F" w:rsidR="004500FC" w:rsidRPr="00B62815" w:rsidRDefault="004500FC" w:rsidP="004500FC">
      <w:pPr>
        <w:spacing w:after="120"/>
        <w:jc w:val="both"/>
        <w:rPr>
          <w:rFonts w:asciiTheme="minorHAnsi" w:eastAsia="Calibri" w:hAnsiTheme="minorHAnsi" w:cstheme="minorHAnsi"/>
          <w:b/>
          <w:sz w:val="22"/>
          <w:szCs w:val="22"/>
          <w:lang w:val="es-ES"/>
        </w:rPr>
      </w:pPr>
      <w:r w:rsidRPr="00B62815">
        <w:rPr>
          <w:rFonts w:asciiTheme="minorHAnsi" w:eastAsia="Calibri" w:hAnsiTheme="minorHAnsi" w:cstheme="minorHAnsi"/>
          <w:b/>
          <w:sz w:val="22"/>
          <w:szCs w:val="22"/>
          <w:lang w:val="es-ES"/>
        </w:rPr>
        <w:t>Ceremonia de Graduación Clase 58 del CID, junio 2019</w:t>
      </w:r>
    </w:p>
    <w:p w14:paraId="617A8183" w14:textId="77777777" w:rsidR="004500FC" w:rsidRPr="00B62815" w:rsidRDefault="004500FC" w:rsidP="004500FC">
      <w:pPr>
        <w:spacing w:after="120"/>
        <w:jc w:val="both"/>
        <w:rPr>
          <w:rFonts w:asciiTheme="minorHAnsi" w:eastAsia="Calibri" w:hAnsiTheme="minorHAnsi" w:cstheme="minorHAnsi"/>
          <w:noProof/>
          <w:sz w:val="22"/>
          <w:szCs w:val="22"/>
          <w:lang w:val="es-ES"/>
        </w:rPr>
      </w:pPr>
    </w:p>
    <w:p w14:paraId="21D7AB5D" w14:textId="1B93EDB4" w:rsidR="004500FC" w:rsidRPr="00776AC3" w:rsidRDefault="001C2CF3" w:rsidP="00776AC3">
      <w:pPr>
        <w:spacing w:line="264" w:lineRule="auto"/>
        <w:ind w:left="426"/>
        <w:contextualSpacing/>
        <w:jc w:val="center"/>
        <w:rPr>
          <w:rFonts w:asciiTheme="minorHAnsi" w:eastAsia="Calibri" w:hAnsiTheme="minorHAnsi" w:cstheme="minorHAnsi"/>
          <w:noProof/>
          <w:sz w:val="22"/>
          <w:szCs w:val="22"/>
          <w:lang w:val="es-MX"/>
        </w:rPr>
      </w:pPr>
      <w:r w:rsidRPr="00B62815">
        <w:rPr>
          <w:rFonts w:asciiTheme="minorHAnsi" w:eastAsia="Calibri" w:hAnsiTheme="minorHAnsi" w:cstheme="minorHAnsi"/>
          <w:noProof/>
          <w:sz w:val="22"/>
          <w:szCs w:val="22"/>
        </w:rPr>
        <w:drawing>
          <wp:inline distT="0" distB="0" distL="0" distR="0" wp14:anchorId="26BAE633" wp14:editId="6B1DF237">
            <wp:extent cx="6096000" cy="2202180"/>
            <wp:effectExtent l="0" t="0" r="0" b="0"/>
            <wp:docPr id="33" name="Picture 3" descr="Description: C:\Users\richelieu.levoyer\AppData\Local\Microsoft\Windows\INetCache\Content.MSO\40DF26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richelieu.levoyer\AppData\Local\Microsoft\Windows\INetCache\Content.MSO\40DF2674.tmp"/>
                    <pic:cNvPicPr>
                      <a:picLocks noChangeAspect="1" noChangeArrowheads="1"/>
                    </pic:cNvPicPr>
                  </pic:nvPicPr>
                  <pic:blipFill>
                    <a:blip r:embed="rId230" cstate="screen">
                      <a:extLst>
                        <a:ext uri="{28A0092B-C50C-407E-A947-70E740481C1C}">
                          <a14:useLocalDpi xmlns:a14="http://schemas.microsoft.com/office/drawing/2010/main"/>
                        </a:ext>
                      </a:extLst>
                    </a:blip>
                    <a:srcRect/>
                    <a:stretch>
                      <a:fillRect/>
                    </a:stretch>
                  </pic:blipFill>
                  <pic:spPr bwMode="auto">
                    <a:xfrm>
                      <a:off x="0" y="0"/>
                      <a:ext cx="6096000" cy="2202180"/>
                    </a:xfrm>
                    <a:prstGeom prst="rect">
                      <a:avLst/>
                    </a:prstGeom>
                    <a:noFill/>
                    <a:ln>
                      <a:noFill/>
                    </a:ln>
                  </pic:spPr>
                </pic:pic>
              </a:graphicData>
            </a:graphic>
          </wp:inline>
        </w:drawing>
      </w:r>
    </w:p>
    <w:p w14:paraId="69D5C974" w14:textId="77777777" w:rsidR="00EB7593" w:rsidRPr="00B62815" w:rsidRDefault="00EB7593" w:rsidP="004500FC">
      <w:pPr>
        <w:jc w:val="both"/>
        <w:rPr>
          <w:rFonts w:asciiTheme="minorHAnsi" w:eastAsia="Calibri" w:hAnsiTheme="minorHAnsi" w:cstheme="minorHAnsi"/>
          <w:b/>
          <w:sz w:val="22"/>
          <w:szCs w:val="22"/>
          <w:lang w:val="es-ES"/>
        </w:rPr>
      </w:pPr>
    </w:p>
    <w:p w14:paraId="499E4999" w14:textId="09F9FB1C" w:rsidR="004500FC" w:rsidRPr="00B62815" w:rsidRDefault="004500FC" w:rsidP="004500FC">
      <w:pPr>
        <w:spacing w:line="264" w:lineRule="auto"/>
        <w:ind w:left="426"/>
        <w:contextualSpacing/>
        <w:jc w:val="center"/>
        <w:rPr>
          <w:rFonts w:asciiTheme="minorHAnsi" w:eastAsia="Calibri" w:hAnsiTheme="minorHAnsi" w:cstheme="minorHAnsi"/>
          <w:noProof/>
          <w:sz w:val="22"/>
          <w:szCs w:val="22"/>
          <w:lang w:val="es-MX"/>
        </w:rPr>
      </w:pPr>
    </w:p>
    <w:p w14:paraId="587A3FFB" w14:textId="77777777" w:rsidR="004500FC" w:rsidRPr="00B62815" w:rsidRDefault="004500FC" w:rsidP="004500FC">
      <w:pPr>
        <w:ind w:left="426"/>
        <w:jc w:val="both"/>
        <w:rPr>
          <w:rFonts w:asciiTheme="minorHAnsi" w:eastAsia="Calibri" w:hAnsiTheme="minorHAnsi" w:cstheme="minorHAnsi"/>
          <w:sz w:val="22"/>
          <w:szCs w:val="22"/>
          <w:lang w:val="pt-BR"/>
        </w:rPr>
      </w:pPr>
    </w:p>
    <w:p w14:paraId="64F5725F" w14:textId="77777777" w:rsidR="001E292E" w:rsidRPr="00B62815" w:rsidRDefault="00CA5EDD"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22" w:name="_Toc39675872"/>
      <w:bookmarkStart w:id="123" w:name="_Toc40191095"/>
      <w:r w:rsidRPr="00B62815">
        <w:rPr>
          <w:rFonts w:asciiTheme="minorHAnsi" w:hAnsiTheme="minorHAnsi" w:cstheme="minorHAnsi"/>
          <w:b/>
          <w:color w:val="1F497D"/>
          <w:sz w:val="22"/>
          <w:szCs w:val="22"/>
          <w:lang w:val="es-ES"/>
        </w:rPr>
        <w:t>4.2</w:t>
      </w:r>
      <w:r w:rsidRPr="00B62815">
        <w:rPr>
          <w:rFonts w:asciiTheme="minorHAnsi" w:hAnsiTheme="minorHAnsi" w:cstheme="minorHAnsi"/>
          <w:b/>
          <w:color w:val="1F497D"/>
          <w:sz w:val="22"/>
          <w:szCs w:val="22"/>
          <w:lang w:val="es-ES"/>
        </w:rPr>
        <w:tab/>
        <w:t>INSTITUTO INTERAMERICANO DE COOPERACIÓN PARA LA AGRICULTURA (IICA)</w:t>
      </w:r>
      <w:bookmarkEnd w:id="122"/>
      <w:bookmarkEnd w:id="123"/>
    </w:p>
    <w:p w14:paraId="37319FD2" w14:textId="77777777" w:rsidR="004500FC" w:rsidRPr="00B62815" w:rsidRDefault="004500FC" w:rsidP="004500FC">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Desde 1942, la misión del Instituto Interamericano de Cooperación para la Agricultura (IICA) ha sido la de promover el desarrollo agrícola y el bienestar rural en sus Estados Miembros mediante la provisión de cooperación técnica de excelencia. Bajo el Plan de Mediano Plazo (PMP) para el período 2018-2022, el Instituto ofrece esa cooperación por medio de cinco programas hemisféricos relacionados con bioeconomía, desarrollo territorial, comercio internacional, cambio climático y sanidad agropecuaria, así como de dos temas transversales (género y juventud, e innovación y tecnología), que les brindan a los países miembros soluciones contextualizadas e innovadoras para enfrentar los principales desafíos que plantea el desarrollo de la agricultura y el medio rural en las Américas.</w:t>
      </w:r>
    </w:p>
    <w:p w14:paraId="05CD180E" w14:textId="77777777" w:rsidR="004500FC" w:rsidRPr="00B62815" w:rsidRDefault="004500FC" w:rsidP="004500FC">
      <w:pPr>
        <w:jc w:val="both"/>
        <w:rPr>
          <w:rFonts w:asciiTheme="minorHAnsi" w:hAnsiTheme="minorHAnsi" w:cstheme="minorHAnsi"/>
          <w:sz w:val="22"/>
          <w:szCs w:val="22"/>
          <w:lang w:val="es-US"/>
        </w:rPr>
      </w:pPr>
    </w:p>
    <w:p w14:paraId="28207F9E" w14:textId="77777777" w:rsidR="004500FC" w:rsidRPr="00B62815" w:rsidRDefault="004500FC" w:rsidP="004500FC">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La agenda de 2019 estuvo conformada por 123 iniciativas de cooperación técnica directa ejecutadas con recursos propios, complementadas con 189 actividades o proyectos financiados con recursos externos por un monto cercano a los USD 114 millones. Las principales fuentes fueron las agencias agrícolas de los Estados Unidos y México, sendos programas de Brasil y Argentina, la Unión Europea, la banca multilateral y las agencias de cooperación de Australia, Corea, España, Japón y Nueva Zelanda, entre otras organizaciones donantes. Ello se complementó con una agenda de mayor escala con instituciones del sector privado, como por ejemplo Bayer, Microsoft y Corteva Agriscience.</w:t>
      </w:r>
    </w:p>
    <w:p w14:paraId="01CCA286" w14:textId="77777777" w:rsidR="004500FC" w:rsidRPr="00B62815" w:rsidRDefault="004500FC" w:rsidP="004500FC">
      <w:pPr>
        <w:jc w:val="both"/>
        <w:rPr>
          <w:rFonts w:asciiTheme="minorHAnsi" w:hAnsiTheme="minorHAnsi" w:cstheme="minorHAnsi"/>
          <w:sz w:val="22"/>
          <w:szCs w:val="22"/>
          <w:lang w:val="es-US"/>
        </w:rPr>
      </w:pPr>
    </w:p>
    <w:p w14:paraId="2283A528" w14:textId="77777777" w:rsidR="004500FC" w:rsidRPr="00B62815" w:rsidRDefault="004500FC" w:rsidP="004500FC">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Con el objetivo de movilizar recursos para reforzar una oferta de cooperación técnica de excelencia, el Instituto elaboró al menos 20 propuestas de proyectos y notas conceptuales, las cuales derivaron en una negociación cercana a los USD100 millones.</w:t>
      </w:r>
    </w:p>
    <w:p w14:paraId="2F63A509" w14:textId="77777777" w:rsidR="004500FC" w:rsidRPr="00B62815" w:rsidRDefault="004500FC" w:rsidP="004500FC">
      <w:pPr>
        <w:jc w:val="both"/>
        <w:rPr>
          <w:rFonts w:asciiTheme="minorHAnsi" w:hAnsiTheme="minorHAnsi" w:cstheme="minorHAnsi"/>
          <w:sz w:val="22"/>
          <w:szCs w:val="22"/>
          <w:lang w:val="es-US"/>
        </w:rPr>
      </w:pPr>
    </w:p>
    <w:p w14:paraId="1CBF08E9" w14:textId="77777777" w:rsidR="004500FC" w:rsidRPr="00B62815" w:rsidRDefault="004500FC" w:rsidP="004500FC">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La cooperación se centró en brindar apoyo para el fortalecimiento de capacidades, la articulación de espacios de diálogo, el intercambio de experiencias y la elaboración de propuestas de política y estudios de interés nacional. De igual manera, se trabajó de cerca con diversos actores del sector productivo, tales como gremios y organizaciones de productores, con el objetivo de propiciar una agricultura con mayores oportunidades de negocio, valor agregado, resiliencia y sostenibilidad. </w:t>
      </w:r>
    </w:p>
    <w:p w14:paraId="67C5A6C9" w14:textId="77777777" w:rsidR="004500FC" w:rsidRPr="00B62815" w:rsidRDefault="004500FC" w:rsidP="004500FC">
      <w:pPr>
        <w:jc w:val="both"/>
        <w:rPr>
          <w:rFonts w:asciiTheme="minorHAnsi" w:hAnsiTheme="minorHAnsi" w:cstheme="minorHAnsi"/>
          <w:sz w:val="22"/>
          <w:szCs w:val="22"/>
          <w:lang w:val="es-US"/>
        </w:rPr>
      </w:pPr>
    </w:p>
    <w:p w14:paraId="249C6C8D" w14:textId="77777777" w:rsidR="004500FC" w:rsidRPr="00B62815" w:rsidRDefault="004500FC" w:rsidP="004500FC">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Algunos de los principales logros de la </w:t>
      </w:r>
      <w:r w:rsidRPr="00B62815">
        <w:rPr>
          <w:rFonts w:asciiTheme="minorHAnsi" w:hAnsiTheme="minorHAnsi" w:cstheme="minorHAnsi"/>
          <w:b/>
          <w:bCs/>
          <w:sz w:val="22"/>
          <w:szCs w:val="22"/>
          <w:lang w:val="es-US"/>
        </w:rPr>
        <w:t>cooperación técnica</w:t>
      </w:r>
      <w:r w:rsidRPr="00B62815">
        <w:rPr>
          <w:rFonts w:asciiTheme="minorHAnsi" w:hAnsiTheme="minorHAnsi" w:cstheme="minorHAnsi"/>
          <w:sz w:val="22"/>
          <w:szCs w:val="22"/>
          <w:lang w:val="es-US"/>
        </w:rPr>
        <w:t xml:space="preserve"> fueron los siguientes:</w:t>
      </w:r>
    </w:p>
    <w:p w14:paraId="1FFD168C" w14:textId="77777777" w:rsidR="004500FC" w:rsidRPr="00B62815" w:rsidRDefault="004500FC" w:rsidP="004500FC">
      <w:pPr>
        <w:jc w:val="both"/>
        <w:rPr>
          <w:rFonts w:asciiTheme="minorHAnsi" w:hAnsiTheme="minorHAnsi" w:cstheme="minorHAnsi"/>
          <w:sz w:val="22"/>
          <w:szCs w:val="22"/>
          <w:lang w:val="es-US"/>
        </w:rPr>
      </w:pPr>
    </w:p>
    <w:p w14:paraId="4B56AA9D" w14:textId="77777777" w:rsidR="004500FC" w:rsidRPr="00B62815" w:rsidRDefault="004500FC" w:rsidP="00E67635">
      <w:pPr>
        <w:pStyle w:val="ListParagraph"/>
        <w:numPr>
          <w:ilvl w:val="0"/>
          <w:numId w:val="1"/>
        </w:numPr>
        <w:ind w:left="284" w:hanging="284"/>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Más de 4000 autoridades y técnicos de la institucionalidad pública y privada fueron sensibilizados sobre el potencial de la bioeconomía, lo que propició el surgimiento de acciones para futuros negocios que fomenten una agricultura basada en bioeconomía.</w:t>
      </w:r>
    </w:p>
    <w:p w14:paraId="56DC13E3" w14:textId="77777777" w:rsidR="004500FC" w:rsidRPr="00B62815" w:rsidRDefault="004500FC" w:rsidP="00E67635">
      <w:pPr>
        <w:pStyle w:val="ListParagraph"/>
        <w:numPr>
          <w:ilvl w:val="0"/>
          <w:numId w:val="1"/>
        </w:numPr>
        <w:ind w:left="284" w:hanging="284"/>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Miles de productores de la agricultura familiar de Argentina, Brasil, Chile, Colombia, Costa Rica, Ecuador, El Salvador, Guatemala, Haití, Honduras, México, Nicaragua, Santa Lucía, Uruguay y Venezuela mejoraron sus capacidades para dinamizar sus sistemas agroalimentarios y territoriales a partir de mayores vínculos con los mercados, innovación, extensión, cooperativismo y liderazgo.</w:t>
      </w:r>
    </w:p>
    <w:p w14:paraId="53F3D6E9" w14:textId="77777777" w:rsidR="004500FC" w:rsidRPr="00B62815" w:rsidRDefault="004500FC" w:rsidP="00E67635">
      <w:pPr>
        <w:pStyle w:val="ListParagraph"/>
        <w:numPr>
          <w:ilvl w:val="0"/>
          <w:numId w:val="1"/>
        </w:numPr>
        <w:ind w:left="284" w:hanging="284"/>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Belice, Nicaragua, Panamá, Surinam, Trinidad y Tobago, Venezuela y Chile, entre otros países, fortalecieron las capacidades de producción resiliente con tecnologías eficientes, recuperación de áreas degradadas e incremento de la fertilidad de los suelos. Unos 2000 técnicos, extensionistas, agricultores y estudiantes se capacitaron en gestión de agua y suelos, cambio climático y mitigación de riesgos. Los diálogos interministeriales previos a la PRE-COP 25 y la participación de varios países en esta reunión propiciaron nuevas propuestas de acción para una producción sostenible y resiliente al cambio climático.</w:t>
      </w:r>
    </w:p>
    <w:p w14:paraId="4C88949E" w14:textId="77777777" w:rsidR="004500FC" w:rsidRPr="00B62815" w:rsidRDefault="004500FC" w:rsidP="00E67635">
      <w:pPr>
        <w:pStyle w:val="ListParagraph"/>
        <w:numPr>
          <w:ilvl w:val="0"/>
          <w:numId w:val="1"/>
        </w:numPr>
        <w:ind w:left="284" w:hanging="284"/>
        <w:contextualSpacing/>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En materia sanitaria, cientos de técnicos de América Latina y el Caribe fueron capacitados en la aplicación de buenas prácticas agrícolas, medidas sanitarias y fitosanitarias, </w:t>
      </w:r>
      <w:r w:rsidRPr="00B62815">
        <w:rPr>
          <w:rFonts w:asciiTheme="minorHAnsi" w:hAnsiTheme="minorHAnsi" w:cstheme="minorHAnsi"/>
          <w:i/>
          <w:iCs/>
          <w:sz w:val="22"/>
          <w:szCs w:val="22"/>
          <w:lang w:val="es-US"/>
        </w:rPr>
        <w:t>Codex Alimentarius y</w:t>
      </w:r>
      <w:r w:rsidRPr="00B62815">
        <w:rPr>
          <w:rFonts w:asciiTheme="minorHAnsi" w:hAnsiTheme="minorHAnsi" w:cstheme="minorHAnsi"/>
          <w:sz w:val="22"/>
          <w:szCs w:val="22"/>
          <w:lang w:val="es-US"/>
        </w:rPr>
        <w:t xml:space="preserve"> resistencia antimicrobiana. También se brindó atención a amenazas de alto impacto, como el </w:t>
      </w:r>
      <w:r w:rsidRPr="00B62815">
        <w:rPr>
          <w:rFonts w:asciiTheme="minorHAnsi" w:hAnsiTheme="minorHAnsi" w:cstheme="minorHAnsi"/>
          <w:i/>
          <w:iCs/>
          <w:sz w:val="22"/>
          <w:szCs w:val="22"/>
          <w:lang w:val="es-US"/>
        </w:rPr>
        <w:t>Fusarium</w:t>
      </w:r>
      <w:r w:rsidRPr="00B62815">
        <w:rPr>
          <w:rFonts w:asciiTheme="minorHAnsi" w:hAnsiTheme="minorHAnsi" w:cstheme="minorHAnsi"/>
          <w:sz w:val="22"/>
          <w:szCs w:val="22"/>
          <w:lang w:val="es-US"/>
        </w:rPr>
        <w:t xml:space="preserve"> Raza Tropical 4, el </w:t>
      </w:r>
      <w:r w:rsidRPr="00B62815">
        <w:rPr>
          <w:rFonts w:asciiTheme="minorHAnsi" w:hAnsiTheme="minorHAnsi" w:cstheme="minorHAnsi"/>
          <w:i/>
          <w:sz w:val="22"/>
          <w:szCs w:val="22"/>
          <w:lang w:val="es-US"/>
        </w:rPr>
        <w:t>huanglongbing,</w:t>
      </w:r>
      <w:r w:rsidRPr="00B62815">
        <w:rPr>
          <w:rFonts w:asciiTheme="minorHAnsi" w:hAnsiTheme="minorHAnsi" w:cstheme="minorHAnsi"/>
          <w:sz w:val="22"/>
          <w:szCs w:val="22"/>
          <w:lang w:val="es-US"/>
        </w:rPr>
        <w:t xml:space="preserve"> las moscas de la fruta, la fiebre aftosa y la brucelosis, entre otras plagas y enfermedades.</w:t>
      </w:r>
    </w:p>
    <w:p w14:paraId="2EBA416C" w14:textId="77777777" w:rsidR="004500FC" w:rsidRPr="00B62815" w:rsidRDefault="004500FC" w:rsidP="00CE4125">
      <w:pPr>
        <w:pStyle w:val="ListParagraph"/>
        <w:spacing w:after="200" w:line="276" w:lineRule="auto"/>
        <w:ind w:left="0"/>
        <w:contextualSpacing/>
        <w:outlineLvl w:val="1"/>
        <w:rPr>
          <w:rFonts w:asciiTheme="minorHAnsi" w:hAnsiTheme="minorHAnsi" w:cstheme="minorHAnsi"/>
          <w:b/>
          <w:color w:val="1F497D"/>
          <w:sz w:val="22"/>
          <w:szCs w:val="22"/>
          <w:lang w:val="es-US"/>
        </w:rPr>
      </w:pPr>
    </w:p>
    <w:tbl>
      <w:tblPr>
        <w:tblW w:w="9919" w:type="dxa"/>
        <w:tblInd w:w="-426" w:type="dxa"/>
        <w:tblLook w:val="04A0" w:firstRow="1" w:lastRow="0" w:firstColumn="1" w:lastColumn="0" w:noHBand="0" w:noVBand="1"/>
      </w:tblPr>
      <w:tblGrid>
        <w:gridCol w:w="4840"/>
        <w:gridCol w:w="5079"/>
      </w:tblGrid>
      <w:tr w:rsidR="004500FC" w:rsidRPr="00B62815" w14:paraId="79D2513A" w14:textId="77777777" w:rsidTr="00E67635">
        <w:tc>
          <w:tcPr>
            <w:tcW w:w="4840" w:type="dxa"/>
            <w:shd w:val="clear" w:color="auto" w:fill="auto"/>
          </w:tcPr>
          <w:p w14:paraId="3A6CA5C6" w14:textId="77777777" w:rsidR="004500FC" w:rsidRPr="00B62815" w:rsidRDefault="001C2CF3" w:rsidP="00E67635">
            <w:pPr>
              <w:jc w:val="center"/>
              <w:rPr>
                <w:rFonts w:asciiTheme="minorHAnsi" w:eastAsia="Calibri" w:hAnsiTheme="minorHAnsi" w:cstheme="minorHAnsi"/>
                <w:sz w:val="22"/>
                <w:szCs w:val="22"/>
              </w:rPr>
            </w:pPr>
            <w:r w:rsidRPr="00B62815">
              <w:rPr>
                <w:rFonts w:asciiTheme="minorHAnsi" w:eastAsia="Calibri" w:hAnsiTheme="minorHAnsi" w:cstheme="minorHAnsi"/>
                <w:noProof/>
                <w:sz w:val="22"/>
                <w:szCs w:val="22"/>
              </w:rPr>
              <w:drawing>
                <wp:inline distT="0" distB="0" distL="0" distR="0" wp14:anchorId="01E0729F" wp14:editId="1A99E76D">
                  <wp:extent cx="1741805" cy="2002790"/>
                  <wp:effectExtent l="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1" cstate="screen">
                            <a:extLst>
                              <a:ext uri="{28A0092B-C50C-407E-A947-70E740481C1C}">
                                <a14:useLocalDpi xmlns:a14="http://schemas.microsoft.com/office/drawing/2010/main"/>
                              </a:ext>
                            </a:extLst>
                          </a:blip>
                          <a:srcRect/>
                          <a:stretch>
                            <a:fillRect/>
                          </a:stretch>
                        </pic:blipFill>
                        <pic:spPr bwMode="auto">
                          <a:xfrm>
                            <a:off x="0" y="0"/>
                            <a:ext cx="1741805" cy="2002790"/>
                          </a:xfrm>
                          <a:prstGeom prst="rect">
                            <a:avLst/>
                          </a:prstGeom>
                          <a:noFill/>
                          <a:ln>
                            <a:noFill/>
                          </a:ln>
                        </pic:spPr>
                      </pic:pic>
                    </a:graphicData>
                  </a:graphic>
                </wp:inline>
              </w:drawing>
            </w:r>
          </w:p>
        </w:tc>
        <w:tc>
          <w:tcPr>
            <w:tcW w:w="5079" w:type="dxa"/>
            <w:shd w:val="clear" w:color="auto" w:fill="auto"/>
          </w:tcPr>
          <w:p w14:paraId="75207917" w14:textId="77777777" w:rsidR="004500FC" w:rsidRPr="00B62815" w:rsidRDefault="001C2CF3" w:rsidP="00E67635">
            <w:pPr>
              <w:jc w:val="center"/>
              <w:rPr>
                <w:rFonts w:asciiTheme="minorHAnsi" w:eastAsia="Calibri" w:hAnsiTheme="minorHAnsi" w:cstheme="minorHAnsi"/>
                <w:sz w:val="22"/>
                <w:szCs w:val="22"/>
              </w:rPr>
            </w:pPr>
            <w:r w:rsidRPr="00B62815">
              <w:rPr>
                <w:rFonts w:asciiTheme="minorHAnsi" w:eastAsia="Calibri" w:hAnsiTheme="minorHAnsi" w:cstheme="minorHAnsi"/>
                <w:noProof/>
                <w:sz w:val="22"/>
                <w:szCs w:val="22"/>
              </w:rPr>
              <w:drawing>
                <wp:inline distT="0" distB="0" distL="0" distR="0" wp14:anchorId="1D4FF3C7" wp14:editId="1F47E619">
                  <wp:extent cx="2662555" cy="20777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2" cstate="screen">
                            <a:extLst>
                              <a:ext uri="{28A0092B-C50C-407E-A947-70E740481C1C}">
                                <a14:useLocalDpi xmlns:a14="http://schemas.microsoft.com/office/drawing/2010/main"/>
                              </a:ext>
                            </a:extLst>
                          </a:blip>
                          <a:srcRect/>
                          <a:stretch>
                            <a:fillRect/>
                          </a:stretch>
                        </pic:blipFill>
                        <pic:spPr bwMode="auto">
                          <a:xfrm>
                            <a:off x="0" y="0"/>
                            <a:ext cx="2662555" cy="2077720"/>
                          </a:xfrm>
                          <a:prstGeom prst="rect">
                            <a:avLst/>
                          </a:prstGeom>
                          <a:noFill/>
                          <a:ln>
                            <a:noFill/>
                          </a:ln>
                        </pic:spPr>
                      </pic:pic>
                    </a:graphicData>
                  </a:graphic>
                </wp:inline>
              </w:drawing>
            </w:r>
          </w:p>
        </w:tc>
      </w:tr>
      <w:tr w:rsidR="004500FC" w:rsidRPr="00625659" w14:paraId="187D6995" w14:textId="77777777" w:rsidTr="00E67635">
        <w:tc>
          <w:tcPr>
            <w:tcW w:w="4840" w:type="dxa"/>
            <w:shd w:val="clear" w:color="auto" w:fill="auto"/>
          </w:tcPr>
          <w:p w14:paraId="1483113D" w14:textId="77777777" w:rsidR="004500FC" w:rsidRPr="00B62815" w:rsidRDefault="004500FC" w:rsidP="00E67635">
            <w:pPr>
              <w:jc w:val="center"/>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El IICA ha promovido el sistema de intensificación del cultivo del arroz (SRI) en Chile, Panamá, Nicaragua, Surinam, Trinidad y Tobago y Venezuela. Un agricultor venezolano muestra las diferencias de producción entre el SRI y el sistema tradicional.</w:t>
            </w:r>
          </w:p>
          <w:p w14:paraId="03390BAF" w14:textId="77777777" w:rsidR="004500FC" w:rsidRPr="00B62815" w:rsidRDefault="004500FC" w:rsidP="00E67635">
            <w:pPr>
              <w:jc w:val="center"/>
              <w:rPr>
                <w:rFonts w:asciiTheme="minorHAnsi" w:eastAsia="Calibri" w:hAnsiTheme="minorHAnsi" w:cstheme="minorHAnsi"/>
                <w:sz w:val="22"/>
                <w:szCs w:val="22"/>
                <w:lang w:val="es-US"/>
              </w:rPr>
            </w:pPr>
          </w:p>
        </w:tc>
        <w:tc>
          <w:tcPr>
            <w:tcW w:w="5079" w:type="dxa"/>
            <w:shd w:val="clear" w:color="auto" w:fill="auto"/>
          </w:tcPr>
          <w:p w14:paraId="3E81E6BB" w14:textId="77777777" w:rsidR="004500FC" w:rsidRPr="00B62815" w:rsidRDefault="004500FC" w:rsidP="00E67635">
            <w:pPr>
              <w:jc w:val="center"/>
              <w:rPr>
                <w:rFonts w:asciiTheme="minorHAnsi" w:eastAsia="Calibri" w:hAnsiTheme="minorHAnsi" w:cstheme="minorHAnsi"/>
                <w:sz w:val="22"/>
                <w:szCs w:val="22"/>
                <w:lang w:val="es-US"/>
              </w:rPr>
            </w:pPr>
            <w:r w:rsidRPr="00B62815">
              <w:rPr>
                <w:rFonts w:asciiTheme="minorHAnsi" w:eastAsia="Calibri" w:hAnsiTheme="minorHAnsi" w:cstheme="minorHAnsi"/>
                <w:sz w:val="22"/>
                <w:szCs w:val="22"/>
                <w:lang w:val="es-US"/>
              </w:rPr>
              <w:t>En el Caribe, proyectos de tecnologías agrícolas climáticamente inteligentes para la producción hortícola de pequeña y mediana escala permiten enfrentar los impactos del cambio climático.</w:t>
            </w:r>
          </w:p>
        </w:tc>
      </w:tr>
    </w:tbl>
    <w:p w14:paraId="1E4834D9" w14:textId="77777777" w:rsidR="004500FC" w:rsidRPr="00B62815" w:rsidRDefault="004500FC" w:rsidP="004500FC">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El Instituto maximizó su </w:t>
      </w:r>
      <w:r w:rsidRPr="00030F66">
        <w:rPr>
          <w:rFonts w:asciiTheme="minorHAnsi" w:hAnsiTheme="minorHAnsi" w:cstheme="minorHAnsi"/>
          <w:sz w:val="22"/>
          <w:szCs w:val="22"/>
          <w:lang w:val="es-US"/>
        </w:rPr>
        <w:t>eficiencia institucional</w:t>
      </w:r>
      <w:r w:rsidRPr="00B62815">
        <w:rPr>
          <w:rFonts w:asciiTheme="minorHAnsi" w:hAnsiTheme="minorHAnsi" w:cstheme="minorHAnsi"/>
          <w:b/>
          <w:bCs/>
          <w:sz w:val="22"/>
          <w:szCs w:val="22"/>
          <w:lang w:val="es-US"/>
        </w:rPr>
        <w:t xml:space="preserve"> </w:t>
      </w:r>
      <w:r w:rsidRPr="00B62815">
        <w:rPr>
          <w:rFonts w:asciiTheme="minorHAnsi" w:hAnsiTheme="minorHAnsi" w:cstheme="minorHAnsi"/>
          <w:sz w:val="22"/>
          <w:szCs w:val="22"/>
          <w:lang w:val="es-US"/>
        </w:rPr>
        <w:t>mediante la implementación de estrategias y planes integrados para el período 2020-2022, la adopción de una cultura de procesos, la optimización del uso de USD 4 millones de sus recursos financieros y la promoción del liderazgo en su talento humano.</w:t>
      </w:r>
    </w:p>
    <w:p w14:paraId="532039C1" w14:textId="77777777" w:rsidR="004500FC" w:rsidRPr="00B62815" w:rsidRDefault="004500FC" w:rsidP="004500FC">
      <w:pPr>
        <w:jc w:val="both"/>
        <w:rPr>
          <w:rFonts w:asciiTheme="minorHAnsi" w:hAnsiTheme="minorHAnsi" w:cstheme="minorHAnsi"/>
          <w:sz w:val="22"/>
          <w:szCs w:val="22"/>
          <w:lang w:val="es-US"/>
        </w:rPr>
      </w:pPr>
    </w:p>
    <w:p w14:paraId="1654818D" w14:textId="77777777" w:rsidR="004500FC" w:rsidRPr="00B62815" w:rsidRDefault="004500FC" w:rsidP="004500FC">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Finalmente, bajo la estrategia “Un IICA de puertas abiertas” se habilitó un conjunto de espacios demostrativos sobre la vida rural y la agricultura digital, a lo que se suma la distinción de “Embajador de Buena Voluntad” otorgada a cinco ciudadanos de las Américas, quienes, dado su elevado grado de cultura y espíritu emprendedor, son referentes del tipo de agricultura que promovemos.</w:t>
      </w:r>
    </w:p>
    <w:p w14:paraId="42FAA8EF" w14:textId="77777777" w:rsidR="004500FC" w:rsidRPr="00B62815" w:rsidRDefault="004500FC" w:rsidP="004500FC">
      <w:pPr>
        <w:jc w:val="both"/>
        <w:rPr>
          <w:rFonts w:asciiTheme="minorHAnsi" w:hAnsiTheme="minorHAnsi" w:cstheme="minorHAnsi"/>
          <w:sz w:val="22"/>
          <w:szCs w:val="22"/>
          <w:lang w:val="es-US"/>
        </w:rPr>
      </w:pPr>
    </w:p>
    <w:p w14:paraId="252FA0D5" w14:textId="77777777" w:rsidR="004500FC" w:rsidRPr="00B62815" w:rsidRDefault="004500FC" w:rsidP="004500FC">
      <w:pPr>
        <w:jc w:val="both"/>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Más información sobre los </w:t>
      </w:r>
      <w:hyperlink r:id="rId233" w:history="1">
        <w:r w:rsidRPr="00B62815">
          <w:rPr>
            <w:rStyle w:val="Hyperlink"/>
            <w:rFonts w:asciiTheme="minorHAnsi" w:hAnsiTheme="minorHAnsi" w:cstheme="minorHAnsi"/>
            <w:sz w:val="22"/>
            <w:szCs w:val="22"/>
            <w:lang w:val="es-US"/>
          </w:rPr>
          <w:t>proyectos del IICA</w:t>
        </w:r>
      </w:hyperlink>
      <w:r w:rsidRPr="00B62815">
        <w:rPr>
          <w:rFonts w:asciiTheme="minorHAnsi" w:hAnsiTheme="minorHAnsi" w:cstheme="minorHAnsi"/>
          <w:sz w:val="22"/>
          <w:szCs w:val="22"/>
          <w:lang w:val="es-US"/>
        </w:rPr>
        <w:t xml:space="preserve"> se encuentra a disposición en </w:t>
      </w:r>
      <w:hyperlink r:id="rId234" w:history="1">
        <w:r w:rsidRPr="00B62815">
          <w:rPr>
            <w:rStyle w:val="Hyperlink"/>
            <w:rFonts w:asciiTheme="minorHAnsi" w:hAnsiTheme="minorHAnsi" w:cstheme="minorHAnsi"/>
            <w:sz w:val="22"/>
            <w:szCs w:val="22"/>
            <w:lang w:val="es-US"/>
          </w:rPr>
          <w:t>www.iica.int</w:t>
        </w:r>
      </w:hyperlink>
      <w:r w:rsidRPr="00B62815">
        <w:rPr>
          <w:rFonts w:asciiTheme="minorHAnsi" w:hAnsiTheme="minorHAnsi" w:cstheme="minorHAnsi"/>
          <w:sz w:val="22"/>
          <w:szCs w:val="22"/>
          <w:lang w:val="es-US"/>
        </w:rPr>
        <w:t>.</w:t>
      </w:r>
    </w:p>
    <w:p w14:paraId="2F39D436" w14:textId="77777777" w:rsidR="004500FC" w:rsidRPr="00B62815" w:rsidRDefault="004500FC" w:rsidP="00CE4125">
      <w:pPr>
        <w:pStyle w:val="ListParagraph"/>
        <w:spacing w:after="200" w:line="276" w:lineRule="auto"/>
        <w:ind w:left="0"/>
        <w:contextualSpacing/>
        <w:outlineLvl w:val="1"/>
        <w:rPr>
          <w:rFonts w:asciiTheme="minorHAnsi" w:hAnsiTheme="minorHAnsi" w:cstheme="minorHAnsi"/>
          <w:b/>
          <w:color w:val="1F497D"/>
          <w:sz w:val="22"/>
          <w:szCs w:val="22"/>
          <w:lang w:val="es-US"/>
        </w:rPr>
      </w:pPr>
    </w:p>
    <w:p w14:paraId="588EE45F" w14:textId="77777777" w:rsidR="004500FC" w:rsidRPr="00B62815" w:rsidRDefault="004500FC"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p>
    <w:p w14:paraId="7CDBF8A9" w14:textId="77777777" w:rsidR="001E292E" w:rsidRPr="00B62815" w:rsidRDefault="00CA5EDD" w:rsidP="00CE4125">
      <w:pPr>
        <w:pStyle w:val="ListParagraph"/>
        <w:spacing w:after="200" w:line="276" w:lineRule="auto"/>
        <w:ind w:left="0"/>
        <w:contextualSpacing/>
        <w:outlineLvl w:val="1"/>
        <w:rPr>
          <w:rFonts w:asciiTheme="minorHAnsi" w:hAnsiTheme="minorHAnsi" w:cstheme="minorHAnsi"/>
          <w:b/>
          <w:color w:val="1F497D"/>
          <w:sz w:val="22"/>
          <w:szCs w:val="22"/>
          <w:lang w:val="es-ES"/>
        </w:rPr>
      </w:pPr>
      <w:bookmarkStart w:id="124" w:name="_Toc39675873"/>
      <w:bookmarkStart w:id="125" w:name="_Toc40191096"/>
      <w:r w:rsidRPr="00B62815">
        <w:rPr>
          <w:rFonts w:asciiTheme="minorHAnsi" w:hAnsiTheme="minorHAnsi" w:cstheme="minorHAnsi"/>
          <w:b/>
          <w:color w:val="1F497D"/>
          <w:sz w:val="22"/>
          <w:szCs w:val="22"/>
          <w:lang w:val="es-ES"/>
        </w:rPr>
        <w:t>4.3</w:t>
      </w:r>
      <w:r w:rsidRPr="00B62815">
        <w:rPr>
          <w:rFonts w:asciiTheme="minorHAnsi" w:hAnsiTheme="minorHAnsi" w:cstheme="minorHAnsi"/>
          <w:b/>
          <w:color w:val="1F497D"/>
          <w:sz w:val="22"/>
          <w:szCs w:val="22"/>
          <w:lang w:val="es-ES"/>
        </w:rPr>
        <w:tab/>
        <w:t>COMITÉ JURÍDICO INTERAMERICANO (CJI)</w:t>
      </w:r>
      <w:bookmarkEnd w:id="124"/>
      <w:bookmarkEnd w:id="125"/>
    </w:p>
    <w:p w14:paraId="1DDF57AB" w14:textId="77777777" w:rsidR="00251152" w:rsidRPr="00B62815" w:rsidRDefault="00251152" w:rsidP="005229AA">
      <w:pPr>
        <w:jc w:val="both"/>
        <w:rPr>
          <w:rFonts w:asciiTheme="minorHAnsi" w:eastAsia="Times New Roman" w:hAnsiTheme="minorHAnsi" w:cstheme="minorHAnsi"/>
          <w:sz w:val="22"/>
          <w:szCs w:val="22"/>
          <w:lang w:val="es-ES" w:eastAsia="pt-BR"/>
        </w:rPr>
      </w:pPr>
      <w:r w:rsidRPr="00B62815">
        <w:rPr>
          <w:rFonts w:asciiTheme="minorHAnsi" w:eastAsia="Times New Roman" w:hAnsiTheme="minorHAnsi" w:cstheme="minorHAnsi"/>
          <w:sz w:val="22"/>
          <w:szCs w:val="22"/>
          <w:lang w:val="es-ES" w:eastAsia="pt-BR"/>
        </w:rPr>
        <w:t>En el año 2019, el Comité Jurídico Interamericano celebró dos sesiones de trabajo en su sede en la ciudad de Rio de Janeiro, Brasil. La primera sesión correspondiente a su nonagésimo cuarto período ordinario se celebró del 18 al 22 de febrero; mientras que la segunda sesión, relativa al nonagésimo quinto período ordinario tuvo lugar entre el 31 de julio y el 9 de agosto.</w:t>
      </w:r>
    </w:p>
    <w:p w14:paraId="1C3300BB" w14:textId="77777777" w:rsidR="00251152" w:rsidRPr="00B62815" w:rsidRDefault="00251152" w:rsidP="00251152">
      <w:pPr>
        <w:ind w:firstLine="567"/>
        <w:jc w:val="both"/>
        <w:rPr>
          <w:rFonts w:asciiTheme="minorHAnsi" w:eastAsia="Times New Roman" w:hAnsiTheme="minorHAnsi" w:cstheme="minorHAnsi"/>
          <w:sz w:val="22"/>
          <w:szCs w:val="22"/>
          <w:lang w:val="es-ES" w:eastAsia="pt-BR"/>
        </w:rPr>
      </w:pPr>
    </w:p>
    <w:p w14:paraId="6BAFD5F4" w14:textId="671A9B7F" w:rsidR="00251152" w:rsidRDefault="00251152" w:rsidP="005229AA">
      <w:pPr>
        <w:jc w:val="both"/>
        <w:rPr>
          <w:rFonts w:asciiTheme="minorHAnsi" w:eastAsia="Times New Roman" w:hAnsiTheme="minorHAnsi" w:cstheme="minorHAnsi"/>
          <w:sz w:val="22"/>
          <w:szCs w:val="22"/>
          <w:lang w:val="es-ES" w:eastAsia="pt-BR"/>
        </w:rPr>
      </w:pPr>
      <w:r w:rsidRPr="00B62815">
        <w:rPr>
          <w:rFonts w:asciiTheme="minorHAnsi" w:eastAsia="Times New Roman" w:hAnsiTheme="minorHAnsi" w:cstheme="minorHAnsi"/>
          <w:sz w:val="22"/>
          <w:szCs w:val="22"/>
          <w:lang w:val="es-ES" w:eastAsia="pt-BR"/>
        </w:rPr>
        <w:t xml:space="preserve">En el período comprendido por este informe, el Comité avanzó la discusión de los temas que conforman su agenda tales como “eficacia de las decisiones judiciales extranjeras”; “recibos electrónicos para productos agrícolas”; “acuerdos vinculantes y no vinculantes”; “acceso a la información pública”; “ciberseguridad (seguridad cibernética)”; “control de la convencionalidad”; y, “protección de datos personales”.  Cinco nuevos temas fueron incluidos en su agenda, uno de los cuales responde a un mandato de la Asamblea General, “Ley Modelo sobre el uso de fuegos artificiales, sea para uso personal o en espectáculos pirotécnicos masivos”. Los otros cuatro temas fueron incluidos por iniciativa propia: “Lineamientos para un desarrollo normativo ulterior del asilo diplomático”; “Fraude electoral como ilícito internacional del sistema interamericano”; “Derecho internacional consuetudinario particular en el contexto del Continente americano”; y, “Aspectos jurídicos de la deuda externa de los Estados”. Cabe señalar finalmente que se eliminó de la agenda el tratamiento del tema sobre “Disolución y liquidación de la sociedad por acciones simplificada”. </w:t>
      </w:r>
    </w:p>
    <w:p w14:paraId="02CC3D1E" w14:textId="77777777" w:rsidR="00030F66" w:rsidRPr="00B62815" w:rsidRDefault="00030F66" w:rsidP="005229AA">
      <w:pPr>
        <w:jc w:val="both"/>
        <w:rPr>
          <w:rFonts w:asciiTheme="minorHAnsi" w:eastAsia="Times New Roman" w:hAnsiTheme="minorHAnsi" w:cstheme="minorHAnsi"/>
          <w:sz w:val="22"/>
          <w:szCs w:val="22"/>
          <w:lang w:val="es-ES" w:eastAsia="pt-BR"/>
        </w:rPr>
      </w:pPr>
    </w:p>
    <w:p w14:paraId="1FD23DBC" w14:textId="77777777" w:rsidR="00251152" w:rsidRPr="00B62815" w:rsidRDefault="00251152" w:rsidP="005229AA">
      <w:pPr>
        <w:jc w:val="both"/>
        <w:rPr>
          <w:rFonts w:asciiTheme="minorHAnsi" w:eastAsia="Times New Roman" w:hAnsiTheme="minorHAnsi" w:cstheme="minorHAnsi"/>
          <w:sz w:val="22"/>
          <w:szCs w:val="22"/>
          <w:lang w:val="es-ES" w:eastAsia="pt-BR"/>
        </w:rPr>
      </w:pPr>
      <w:r w:rsidRPr="00B62815">
        <w:rPr>
          <w:rFonts w:asciiTheme="minorHAnsi" w:eastAsia="Times New Roman" w:hAnsiTheme="minorHAnsi" w:cstheme="minorHAnsi"/>
          <w:sz w:val="22"/>
          <w:szCs w:val="22"/>
          <w:lang w:val="es-ES" w:eastAsia="pt-BR"/>
        </w:rPr>
        <w:t xml:space="preserve">Un elemento de trascendencia internacional fue la adopción de una “Guía sobre el Derecho Aplicable a los Contratos Comerciales Internacionales en las Américas” que tiene por objeto impulsar aspectos sustantivos en la materia, y para ello propone recomendaciones a una amplia gama de actores a nivel interno, incluyendo legisladores, órganos jurisdicciones y partes en un contrato. Este instrumento estimula la integración económica, el crecimiento y el desarrollo en el Continente junto con participar en la armonización de los regímenes jurídicos internos en los países de la región (en donde se pueden apreciar disparidades en materia contractual).  Desde su adopción el Comité trabaja en la difusión de dicha Guía, en este contexto, el martes 6 de agosto se procedió a la presentación oficial de la “Guía del Comité sobre el Derecho Aplicable a los Contratos Comerciales Internacionales” en la </w:t>
      </w:r>
      <w:r w:rsidRPr="00B62815">
        <w:rPr>
          <w:rFonts w:asciiTheme="minorHAnsi" w:eastAsia="Times New Roman" w:hAnsiTheme="minorHAnsi" w:cstheme="minorHAnsi"/>
          <w:i/>
          <w:sz w:val="22"/>
          <w:szCs w:val="22"/>
          <w:lang w:val="es-ES" w:eastAsia="pt-BR"/>
        </w:rPr>
        <w:t>Facultade Nacional de Dereito</w:t>
      </w:r>
      <w:r w:rsidRPr="00B62815">
        <w:rPr>
          <w:rFonts w:asciiTheme="minorHAnsi" w:eastAsia="Times New Roman" w:hAnsiTheme="minorHAnsi" w:cstheme="minorHAnsi"/>
          <w:sz w:val="22"/>
          <w:szCs w:val="22"/>
          <w:lang w:val="es-ES" w:eastAsia="pt-BR"/>
        </w:rPr>
        <w:t xml:space="preserve"> de la Universidad Federal de Rio de Janeiro. Brasil.  El evento permitió a quien participó como relator del tema, doctor José Moreno, describir la Guía a grandes rasgos, en presencia de los miembros del Comité, expertos en el ámbito de los contratos internacionales, profesores y estudiantes.</w:t>
      </w:r>
    </w:p>
    <w:p w14:paraId="5F971FC6" w14:textId="77777777" w:rsidR="00251152" w:rsidRPr="00B62815" w:rsidRDefault="00251152" w:rsidP="00251152">
      <w:pPr>
        <w:ind w:firstLine="567"/>
        <w:jc w:val="both"/>
        <w:rPr>
          <w:rFonts w:asciiTheme="minorHAnsi" w:eastAsia="Times New Roman" w:hAnsiTheme="minorHAnsi" w:cstheme="minorHAnsi"/>
          <w:sz w:val="22"/>
          <w:szCs w:val="22"/>
          <w:lang w:val="es-ES" w:eastAsia="pt-BR"/>
        </w:rPr>
      </w:pPr>
    </w:p>
    <w:p w14:paraId="43AADDE6" w14:textId="77777777" w:rsidR="00251152" w:rsidRPr="00B62815" w:rsidRDefault="00251152" w:rsidP="005229AA">
      <w:pPr>
        <w:jc w:val="both"/>
        <w:rPr>
          <w:rFonts w:asciiTheme="minorHAnsi" w:eastAsia="Times New Roman" w:hAnsiTheme="minorHAnsi" w:cstheme="minorHAnsi"/>
          <w:sz w:val="22"/>
          <w:szCs w:val="22"/>
          <w:lang w:val="es-ES" w:eastAsia="pt-BR"/>
        </w:rPr>
      </w:pPr>
      <w:r w:rsidRPr="00B62815">
        <w:rPr>
          <w:rFonts w:asciiTheme="minorHAnsi" w:eastAsia="Times New Roman" w:hAnsiTheme="minorHAnsi" w:cstheme="minorHAnsi"/>
          <w:sz w:val="22"/>
          <w:szCs w:val="22"/>
          <w:lang w:val="es-ES" w:eastAsia="pt-BR"/>
        </w:rPr>
        <w:t xml:space="preserve">El Comité recibió a un variado número de internacionalistas que provienen del ámbito académico, diplomático, así como de organizaciones internacionales interesadas en establecer lazos de cooperación, y entre los cuales podemos destacar al Secretario General del Instituto para la Unificación del Derecho Privado, Ignacio Tirado, y a la comitiva de la Unión Africana, encabezada por la profesora Hajer Gueldich y el Juez Mohammed Barakat. </w:t>
      </w:r>
    </w:p>
    <w:p w14:paraId="0D0F9AC6" w14:textId="77777777" w:rsidR="00251152" w:rsidRPr="00B62815" w:rsidRDefault="00251152" w:rsidP="00251152">
      <w:pPr>
        <w:ind w:firstLine="567"/>
        <w:jc w:val="both"/>
        <w:rPr>
          <w:rFonts w:asciiTheme="minorHAnsi" w:eastAsia="Times New Roman" w:hAnsiTheme="minorHAnsi" w:cstheme="minorHAnsi"/>
          <w:sz w:val="22"/>
          <w:szCs w:val="22"/>
          <w:lang w:val="es-ES" w:eastAsia="pt-BR"/>
        </w:rPr>
      </w:pPr>
    </w:p>
    <w:p w14:paraId="2AB145B8" w14:textId="77777777" w:rsidR="00251152" w:rsidRPr="00B62815" w:rsidRDefault="00251152" w:rsidP="005229AA">
      <w:pPr>
        <w:jc w:val="both"/>
        <w:rPr>
          <w:rFonts w:asciiTheme="minorHAnsi" w:eastAsia="Times New Roman" w:hAnsiTheme="minorHAnsi" w:cstheme="minorHAnsi"/>
          <w:sz w:val="22"/>
          <w:szCs w:val="22"/>
          <w:lang w:val="es-ES" w:eastAsia="pt-BR"/>
        </w:rPr>
      </w:pPr>
      <w:r w:rsidRPr="00B62815">
        <w:rPr>
          <w:rFonts w:asciiTheme="minorHAnsi" w:eastAsia="Times New Roman" w:hAnsiTheme="minorHAnsi" w:cstheme="minorHAnsi"/>
          <w:sz w:val="22"/>
          <w:szCs w:val="22"/>
          <w:lang w:val="es-ES" w:eastAsia="pt-BR"/>
        </w:rPr>
        <w:t xml:space="preserve">Es importante señalar la presencia del Secretario General de la Organización, Sr. Luis Almagro, quien sostuvo un conversatorio con los miembros del Comité en torno a la agenda actual de la Organización y al interés del Comité en desarrollar temas de índole práctico para los Estados.   </w:t>
      </w:r>
    </w:p>
    <w:p w14:paraId="6DCC68A0" w14:textId="77777777" w:rsidR="00251152" w:rsidRPr="00B62815" w:rsidRDefault="00251152" w:rsidP="00251152">
      <w:pPr>
        <w:ind w:firstLine="567"/>
        <w:jc w:val="both"/>
        <w:rPr>
          <w:rFonts w:asciiTheme="minorHAnsi" w:eastAsia="Times New Roman" w:hAnsiTheme="minorHAnsi" w:cstheme="minorHAnsi"/>
          <w:sz w:val="22"/>
          <w:szCs w:val="22"/>
          <w:lang w:val="es-ES" w:eastAsia="pt-BR"/>
        </w:rPr>
      </w:pPr>
    </w:p>
    <w:p w14:paraId="55D6B896" w14:textId="77777777" w:rsidR="00251152" w:rsidRPr="00B62815" w:rsidRDefault="00251152" w:rsidP="005229AA">
      <w:pPr>
        <w:jc w:val="both"/>
        <w:rPr>
          <w:rFonts w:asciiTheme="minorHAnsi" w:eastAsia="Times New Roman" w:hAnsiTheme="minorHAnsi" w:cstheme="minorHAnsi"/>
          <w:sz w:val="22"/>
          <w:szCs w:val="22"/>
          <w:lang w:val="es-ES" w:eastAsia="pt-BR"/>
        </w:rPr>
      </w:pPr>
      <w:r w:rsidRPr="00B62815">
        <w:rPr>
          <w:rFonts w:asciiTheme="minorHAnsi" w:eastAsia="Times New Roman" w:hAnsiTheme="minorHAnsi" w:cstheme="minorHAnsi"/>
          <w:sz w:val="22"/>
          <w:szCs w:val="22"/>
          <w:lang w:val="es-ES" w:eastAsia="pt-BR"/>
        </w:rPr>
        <w:t xml:space="preserve">Finalmente, como es tradicional el Comité celebró una nueva edición del Curso de Derecho Internacional en Rio de Janeiro, Brasil, con el apoyo del Departamento de Derecho Internacional, </w:t>
      </w:r>
      <w:r w:rsidRPr="00B62815">
        <w:rPr>
          <w:rFonts w:asciiTheme="minorHAnsi" w:eastAsia="Times New Roman" w:hAnsiTheme="minorHAnsi" w:cstheme="minorHAnsi"/>
          <w:sz w:val="22"/>
          <w:szCs w:val="22"/>
          <w:lang w:val="es-CL" w:eastAsia="pt-BR"/>
        </w:rPr>
        <w:t>22 de julio y el 9 de agosto de 2019</w:t>
      </w:r>
      <w:r w:rsidRPr="00B62815">
        <w:rPr>
          <w:rFonts w:asciiTheme="minorHAnsi" w:eastAsia="Times New Roman" w:hAnsiTheme="minorHAnsi" w:cstheme="minorHAnsi"/>
          <w:sz w:val="22"/>
          <w:szCs w:val="22"/>
          <w:lang w:val="es-ES" w:eastAsia="pt-BR"/>
        </w:rPr>
        <w:t xml:space="preserve">.  Este Curso tiene por objetivo reflexionar, debatir y actualizar diversos temas en materia de Derecho Internacional Público y Privado, así como de los nuevos desarrollos jurídicos en el sistema interamericano.  En la oportunidad, asistieron 43 alumnos provenientes de 14 países del hemisferio quienes financiaron su participación en el evento. Es importante destacar que el Curso de Derecho Internacional se desarrolló en las instalaciones de la Facultad de Derecho de la </w:t>
      </w:r>
      <w:r w:rsidRPr="00B62815">
        <w:rPr>
          <w:rFonts w:asciiTheme="minorHAnsi" w:eastAsia="Times New Roman" w:hAnsiTheme="minorHAnsi" w:cstheme="minorHAnsi"/>
          <w:i/>
          <w:sz w:val="22"/>
          <w:szCs w:val="22"/>
          <w:lang w:val="es-ES" w:eastAsia="pt-BR"/>
        </w:rPr>
        <w:t>Universidade Federal do Rio de Janeiro</w:t>
      </w:r>
      <w:r w:rsidRPr="00B62815">
        <w:rPr>
          <w:rFonts w:asciiTheme="minorHAnsi" w:eastAsia="Times New Roman" w:hAnsiTheme="minorHAnsi" w:cstheme="minorHAnsi"/>
          <w:sz w:val="22"/>
          <w:szCs w:val="22"/>
          <w:lang w:val="es-ES" w:eastAsia="pt-BR"/>
        </w:rPr>
        <w:t xml:space="preserve"> gracias al apoyo del Núcleo Interamericano de Derechos Humanos (NIDH) de dicha Universidad.</w:t>
      </w:r>
    </w:p>
    <w:p w14:paraId="29743314" w14:textId="10BCCA56" w:rsidR="00251152" w:rsidRPr="00B62815" w:rsidRDefault="00251152" w:rsidP="00251152">
      <w:pPr>
        <w:rPr>
          <w:rFonts w:asciiTheme="minorHAnsi" w:eastAsia="Times New Roman" w:hAnsiTheme="minorHAnsi" w:cstheme="minorHAnsi"/>
          <w:sz w:val="22"/>
          <w:szCs w:val="22"/>
          <w:lang w:val="es-MX"/>
        </w:rPr>
      </w:pPr>
    </w:p>
    <w:p w14:paraId="27F256C6" w14:textId="77777777" w:rsidR="001E292E" w:rsidRPr="00464897" w:rsidRDefault="00CA5EDD" w:rsidP="00464897">
      <w:pPr>
        <w:pStyle w:val="Heading2"/>
        <w:rPr>
          <w:rFonts w:asciiTheme="minorHAnsi" w:eastAsia="MS Mincho" w:hAnsiTheme="minorHAnsi" w:cstheme="minorHAnsi"/>
          <w:bCs w:val="0"/>
          <w:i w:val="0"/>
          <w:iCs w:val="0"/>
          <w:color w:val="1F497D"/>
          <w:sz w:val="22"/>
          <w:szCs w:val="22"/>
          <w:lang w:val="es-ES"/>
        </w:rPr>
      </w:pPr>
      <w:bookmarkStart w:id="126" w:name="_Toc39675874"/>
      <w:bookmarkStart w:id="127" w:name="_Toc40191097"/>
      <w:r w:rsidRPr="00464897">
        <w:rPr>
          <w:rFonts w:asciiTheme="minorHAnsi" w:eastAsia="MS Mincho" w:hAnsiTheme="minorHAnsi" w:cstheme="minorHAnsi"/>
          <w:bCs w:val="0"/>
          <w:i w:val="0"/>
          <w:iCs w:val="0"/>
          <w:color w:val="1F497D"/>
          <w:sz w:val="22"/>
          <w:szCs w:val="22"/>
          <w:lang w:val="es-ES"/>
        </w:rPr>
        <w:t>4.</w:t>
      </w:r>
      <w:r w:rsidR="005D5188" w:rsidRPr="00464897">
        <w:rPr>
          <w:rFonts w:asciiTheme="minorHAnsi" w:eastAsia="MS Mincho" w:hAnsiTheme="minorHAnsi" w:cstheme="minorHAnsi"/>
          <w:bCs w:val="0"/>
          <w:i w:val="0"/>
          <w:iCs w:val="0"/>
          <w:color w:val="1F497D"/>
          <w:sz w:val="22"/>
          <w:szCs w:val="22"/>
          <w:lang w:val="es-ES"/>
        </w:rPr>
        <w:t>4</w:t>
      </w:r>
      <w:r w:rsidRPr="00464897">
        <w:rPr>
          <w:rFonts w:asciiTheme="minorHAnsi" w:eastAsia="MS Mincho" w:hAnsiTheme="minorHAnsi" w:cstheme="minorHAnsi"/>
          <w:bCs w:val="0"/>
          <w:i w:val="0"/>
          <w:iCs w:val="0"/>
          <w:color w:val="1F497D"/>
          <w:sz w:val="22"/>
          <w:szCs w:val="22"/>
          <w:lang w:val="es-ES"/>
        </w:rPr>
        <w:tab/>
        <w:t>ORGANIZACIÓN PANAMERICANA PARA LA SALUD (OPS)</w:t>
      </w:r>
      <w:bookmarkEnd w:id="126"/>
      <w:bookmarkEnd w:id="127"/>
    </w:p>
    <w:p w14:paraId="16F7B383" w14:textId="77777777" w:rsidR="00EB7593" w:rsidRPr="00B62815" w:rsidRDefault="00EB7593" w:rsidP="00EB7593">
      <w:pPr>
        <w:rPr>
          <w:rFonts w:asciiTheme="minorHAnsi" w:hAnsiTheme="minorHAnsi" w:cstheme="minorHAnsi"/>
          <w:sz w:val="22"/>
          <w:szCs w:val="22"/>
          <w:lang w:val="es-ES"/>
        </w:rPr>
      </w:pPr>
    </w:p>
    <w:p w14:paraId="37AE6A4E" w14:textId="77777777" w:rsidR="00251152" w:rsidRPr="00B62815" w:rsidRDefault="00251152" w:rsidP="00EB7593">
      <w:pPr>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Durante el año 2019, la Organización Panamericana de la Salud, Oficina Regional de la Organización Mundial de la Salud para las Américas, prosiguió sus actividades de cooperación técnica a nivel nacional, subregional y regional, apoyando el desarrollo de la salud en los países. </w:t>
      </w:r>
    </w:p>
    <w:p w14:paraId="3930F147" w14:textId="77777777" w:rsidR="00937BFA" w:rsidRPr="00B62815" w:rsidRDefault="00937BFA" w:rsidP="00EB7593">
      <w:pPr>
        <w:jc w:val="both"/>
        <w:rPr>
          <w:rFonts w:asciiTheme="minorHAnsi" w:hAnsiTheme="minorHAnsi" w:cstheme="minorHAnsi"/>
          <w:sz w:val="22"/>
          <w:szCs w:val="22"/>
          <w:lang w:val="es-AR"/>
        </w:rPr>
      </w:pPr>
    </w:p>
    <w:p w14:paraId="25A4FA73" w14:textId="77777777" w:rsidR="00251152" w:rsidRPr="00B62815" w:rsidRDefault="00251152" w:rsidP="00EB7593">
      <w:pPr>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El trabajo en cooperación técnica durante el año estuvo guiado por la intersección entre tres documentos de planificación estratégica que hallaron punto de contacto en 2019. Ellos son el Plan Estratégico de la OPS 2014-2019, la Agenda de Salud Sostenible para las Américas 2018-2030 (SHAA2030), y el nuevo Plan Estratégico de la OPS 2020-2025. Dicha intersección fue parte de la programación y resultó central para permitir un fluido solapamiento y complementariedad entre los tres instrumentos, evitando generar brechas de planificación y consolidando los avances obtenidos en cada una de las áreas. La incorporación de la SHAA2030 como instrumento rector de la planificación quinquenal hacia el 2030 contribuye a un mejor alineamiento de la organización con las políticas de salud globales establecidas en las Metas de Desarrollo Sostenible para el 2030 en el escenario global.</w:t>
      </w:r>
    </w:p>
    <w:p w14:paraId="4528D675" w14:textId="77777777" w:rsidR="005229AA" w:rsidRPr="00B62815" w:rsidRDefault="005229AA" w:rsidP="00EB7593">
      <w:pPr>
        <w:rPr>
          <w:rFonts w:asciiTheme="minorHAnsi" w:hAnsiTheme="minorHAnsi" w:cstheme="minorHAnsi"/>
          <w:sz w:val="22"/>
          <w:szCs w:val="22"/>
          <w:lang w:val="es-AR"/>
        </w:rPr>
      </w:pPr>
    </w:p>
    <w:p w14:paraId="4AB827B0" w14:textId="77777777" w:rsidR="00251152" w:rsidRPr="00B62815" w:rsidRDefault="00251152" w:rsidP="00EB7593">
      <w:pPr>
        <w:jc w:val="both"/>
        <w:rPr>
          <w:rFonts w:asciiTheme="minorHAnsi" w:hAnsiTheme="minorHAnsi" w:cstheme="minorHAnsi"/>
          <w:sz w:val="22"/>
          <w:szCs w:val="22"/>
          <w:lang w:val="es-AR"/>
        </w:rPr>
      </w:pPr>
      <w:r w:rsidRPr="00B62815">
        <w:rPr>
          <w:rFonts w:asciiTheme="minorHAnsi" w:hAnsiTheme="minorHAnsi" w:cstheme="minorHAnsi"/>
          <w:sz w:val="22"/>
          <w:szCs w:val="22"/>
          <w:lang w:val="es-AR"/>
        </w:rPr>
        <w:t>Los Cuerpos Directivos de la Organización debatieron y aprobaron una variedad de resoluciones que resultarán centrales en el escenario de avance hacia el fortalecimiento de los sistemas de salud, la cobertura y acceso universal, la eliminación de enfermedades, la respuesta a emergencias y desastres, el cierre de brechas de salud, y el cuidado de los grupos poblacionales más vulnerables, entre otras. La OPS continuará dando respuesta a los múltiples desafíos de salud de la región en fuerte sociedad con los Estados Miembros, el resto de los actores del sistema Interamericano y las comunidades de las Américas.</w:t>
      </w:r>
    </w:p>
    <w:p w14:paraId="15D754F8" w14:textId="77777777" w:rsidR="00251152" w:rsidRPr="00B62815" w:rsidRDefault="00251152" w:rsidP="00EB7593">
      <w:pPr>
        <w:rPr>
          <w:rFonts w:asciiTheme="minorHAnsi" w:hAnsiTheme="minorHAnsi" w:cstheme="minorHAnsi"/>
          <w:sz w:val="22"/>
          <w:szCs w:val="22"/>
          <w:lang w:val="es-AR"/>
        </w:rPr>
      </w:pPr>
    </w:p>
    <w:p w14:paraId="00E37342" w14:textId="77777777" w:rsidR="00251152" w:rsidRPr="00B62815" w:rsidRDefault="00251152" w:rsidP="00EB7593">
      <w:pPr>
        <w:rPr>
          <w:rFonts w:asciiTheme="minorHAnsi" w:hAnsiTheme="minorHAnsi" w:cstheme="minorHAnsi"/>
          <w:b/>
          <w:sz w:val="22"/>
          <w:szCs w:val="22"/>
          <w:lang w:val="es-AR"/>
        </w:rPr>
      </w:pPr>
      <w:r w:rsidRPr="00B62815">
        <w:rPr>
          <w:rFonts w:asciiTheme="minorHAnsi" w:hAnsiTheme="minorHAnsi" w:cstheme="minorHAnsi"/>
          <w:b/>
          <w:sz w:val="22"/>
          <w:szCs w:val="22"/>
          <w:lang w:val="es-AR"/>
        </w:rPr>
        <w:t>Algunos de los logros alcanzados por categoría</w:t>
      </w:r>
    </w:p>
    <w:p w14:paraId="30C95131" w14:textId="77777777" w:rsidR="00251152" w:rsidRPr="00B62815" w:rsidRDefault="00251152" w:rsidP="00EB7593">
      <w:pPr>
        <w:rPr>
          <w:rFonts w:asciiTheme="minorHAnsi" w:hAnsiTheme="minorHAnsi" w:cstheme="minorHAnsi"/>
          <w:b/>
          <w:sz w:val="22"/>
          <w:szCs w:val="22"/>
          <w:lang w:val="es-AR"/>
        </w:rPr>
      </w:pPr>
    </w:p>
    <w:p w14:paraId="363C90B5" w14:textId="77777777" w:rsidR="00251152" w:rsidRPr="00B62815" w:rsidRDefault="00251152" w:rsidP="00EB7593">
      <w:pPr>
        <w:rPr>
          <w:rFonts w:asciiTheme="minorHAnsi" w:hAnsiTheme="minorHAnsi" w:cstheme="minorHAnsi"/>
          <w:b/>
          <w:bCs/>
          <w:sz w:val="22"/>
          <w:szCs w:val="22"/>
          <w:lang w:val="es-AR"/>
        </w:rPr>
      </w:pPr>
      <w:r w:rsidRPr="00B62815">
        <w:rPr>
          <w:rFonts w:asciiTheme="minorHAnsi" w:hAnsiTheme="minorHAnsi" w:cstheme="minorHAnsi"/>
          <w:b/>
          <w:bCs/>
          <w:sz w:val="22"/>
          <w:szCs w:val="22"/>
          <w:lang w:val="es-AR"/>
        </w:rPr>
        <w:t>Enfermedades transmisibles y determinantes ambientales de la salud</w:t>
      </w:r>
    </w:p>
    <w:p w14:paraId="4C882ECE" w14:textId="77777777" w:rsidR="00251152" w:rsidRPr="00B62815" w:rsidRDefault="00251152" w:rsidP="00AF0D93">
      <w:pPr>
        <w:numPr>
          <w:ilvl w:val="0"/>
          <w:numId w:val="108"/>
        </w:numPr>
        <w:rPr>
          <w:rFonts w:asciiTheme="minorHAnsi" w:hAnsiTheme="minorHAnsi" w:cstheme="minorHAnsi"/>
          <w:sz w:val="22"/>
          <w:szCs w:val="22"/>
          <w:lang w:val="es-AR"/>
        </w:rPr>
      </w:pPr>
      <w:r w:rsidRPr="00B62815">
        <w:rPr>
          <w:rFonts w:asciiTheme="minorHAnsi" w:hAnsiTheme="minorHAnsi" w:cstheme="minorHAnsi"/>
          <w:sz w:val="22"/>
          <w:szCs w:val="22"/>
          <w:lang w:val="es-AR"/>
        </w:rPr>
        <w:t>Un nuevo país en la Región se certificó como libre de Malaria (Argentina) en tanto que otros dos países endémicos no reportaron casos (Belice y El Salvador)</w:t>
      </w:r>
    </w:p>
    <w:p w14:paraId="1F787C17" w14:textId="77777777" w:rsidR="00251152" w:rsidRPr="00B62815" w:rsidRDefault="00251152" w:rsidP="00AF0D93">
      <w:pPr>
        <w:numPr>
          <w:ilvl w:val="0"/>
          <w:numId w:val="108"/>
        </w:numPr>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11 países y territorios suscribieron a los compromisos de salud en el marco del Summit del Cambio Climático </w:t>
      </w:r>
    </w:p>
    <w:p w14:paraId="6C3D3D5E" w14:textId="77777777" w:rsidR="00251152" w:rsidRPr="00B62815" w:rsidRDefault="00251152" w:rsidP="00AF0D93">
      <w:pPr>
        <w:numPr>
          <w:ilvl w:val="0"/>
          <w:numId w:val="108"/>
        </w:numPr>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Todos los países y territorios de la región desarrollaron planes de acción sobre resistencia antimicrobiana. </w:t>
      </w:r>
    </w:p>
    <w:p w14:paraId="04683623" w14:textId="77777777" w:rsidR="00251152" w:rsidRPr="00B62815" w:rsidRDefault="00251152" w:rsidP="00EB7593">
      <w:pPr>
        <w:rPr>
          <w:rFonts w:asciiTheme="minorHAnsi" w:hAnsiTheme="minorHAnsi" w:cstheme="minorHAnsi"/>
          <w:sz w:val="22"/>
          <w:szCs w:val="22"/>
          <w:lang w:val="es-AR"/>
        </w:rPr>
      </w:pPr>
    </w:p>
    <w:p w14:paraId="2CF1A147" w14:textId="77777777" w:rsidR="00251152" w:rsidRPr="00B62815" w:rsidRDefault="00251152" w:rsidP="00EB7593">
      <w:pPr>
        <w:rPr>
          <w:rFonts w:asciiTheme="minorHAnsi" w:hAnsiTheme="minorHAnsi" w:cstheme="minorHAnsi"/>
          <w:b/>
          <w:bCs/>
          <w:sz w:val="22"/>
          <w:szCs w:val="22"/>
          <w:lang w:val="es-AR"/>
        </w:rPr>
      </w:pPr>
      <w:r w:rsidRPr="00B62815">
        <w:rPr>
          <w:rFonts w:asciiTheme="minorHAnsi" w:hAnsiTheme="minorHAnsi" w:cstheme="minorHAnsi"/>
          <w:b/>
          <w:bCs/>
          <w:sz w:val="22"/>
          <w:szCs w:val="22"/>
          <w:lang w:val="es-AR"/>
        </w:rPr>
        <w:t>Enfermedades no transmisibles y salud mental</w:t>
      </w:r>
    </w:p>
    <w:p w14:paraId="4CC4DBFC" w14:textId="77777777" w:rsidR="00251152" w:rsidRPr="00B62815" w:rsidRDefault="00251152" w:rsidP="00AF0D93">
      <w:pPr>
        <w:numPr>
          <w:ilvl w:val="0"/>
          <w:numId w:val="109"/>
        </w:numPr>
        <w:rPr>
          <w:rFonts w:asciiTheme="minorHAnsi" w:hAnsiTheme="minorHAnsi" w:cstheme="minorHAnsi"/>
          <w:sz w:val="22"/>
          <w:szCs w:val="22"/>
          <w:lang w:val="es-AR"/>
        </w:rPr>
      </w:pPr>
      <w:r w:rsidRPr="00B62815">
        <w:rPr>
          <w:rFonts w:asciiTheme="minorHAnsi" w:hAnsiTheme="minorHAnsi" w:cstheme="minorHAnsi"/>
          <w:sz w:val="22"/>
          <w:szCs w:val="22"/>
          <w:lang w:val="es-AR"/>
        </w:rPr>
        <w:t>19 países y territorios alcanzaron estrategias multisectoriales para el control de las enfermedades no transmisibles.</w:t>
      </w:r>
    </w:p>
    <w:p w14:paraId="37383F6B" w14:textId="77777777" w:rsidR="00251152" w:rsidRPr="00B62815" w:rsidRDefault="00251152" w:rsidP="00AF0D93">
      <w:pPr>
        <w:numPr>
          <w:ilvl w:val="0"/>
          <w:numId w:val="109"/>
        </w:numPr>
        <w:rPr>
          <w:rFonts w:asciiTheme="minorHAnsi" w:hAnsiTheme="minorHAnsi" w:cstheme="minorHAnsi"/>
          <w:sz w:val="22"/>
          <w:szCs w:val="22"/>
          <w:lang w:val="es-AR"/>
        </w:rPr>
      </w:pPr>
      <w:r w:rsidRPr="00B62815">
        <w:rPr>
          <w:rFonts w:asciiTheme="minorHAnsi" w:hAnsiTheme="minorHAnsi" w:cstheme="minorHAnsi"/>
          <w:sz w:val="22"/>
          <w:szCs w:val="22"/>
          <w:lang w:val="es-AR"/>
        </w:rPr>
        <w:t>8 países y territorios aprobaron legislaciones para el gravado de bebidas azucaradas</w:t>
      </w:r>
    </w:p>
    <w:p w14:paraId="03E5C2CB" w14:textId="77777777" w:rsidR="00251152" w:rsidRPr="00B62815" w:rsidRDefault="00251152" w:rsidP="00AF0D93">
      <w:pPr>
        <w:numPr>
          <w:ilvl w:val="0"/>
          <w:numId w:val="109"/>
        </w:numPr>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19 países y territorios desarrollaron e implementaron planes nacionales para la prevención del suicidio. </w:t>
      </w:r>
    </w:p>
    <w:p w14:paraId="206E8DD6" w14:textId="77777777" w:rsidR="00251152" w:rsidRPr="00B62815" w:rsidRDefault="00251152" w:rsidP="00EB7593">
      <w:pPr>
        <w:rPr>
          <w:rFonts w:asciiTheme="minorHAnsi" w:hAnsiTheme="minorHAnsi" w:cstheme="minorHAnsi"/>
          <w:sz w:val="22"/>
          <w:szCs w:val="22"/>
          <w:lang w:val="es-AR"/>
        </w:rPr>
      </w:pPr>
    </w:p>
    <w:p w14:paraId="4C440509" w14:textId="77777777" w:rsidR="00251152" w:rsidRPr="00B62815" w:rsidRDefault="00251152" w:rsidP="00EB7593">
      <w:pPr>
        <w:rPr>
          <w:rFonts w:asciiTheme="minorHAnsi" w:hAnsiTheme="minorHAnsi" w:cstheme="minorHAnsi"/>
          <w:b/>
          <w:bCs/>
          <w:sz w:val="22"/>
          <w:szCs w:val="22"/>
          <w:lang w:val="es-AR"/>
        </w:rPr>
      </w:pPr>
      <w:r w:rsidRPr="00B62815">
        <w:rPr>
          <w:rFonts w:asciiTheme="minorHAnsi" w:hAnsiTheme="minorHAnsi" w:cstheme="minorHAnsi"/>
          <w:b/>
          <w:bCs/>
          <w:sz w:val="22"/>
          <w:szCs w:val="22"/>
          <w:lang w:val="es-AR"/>
        </w:rPr>
        <w:t>Salud en el ciclo vital</w:t>
      </w:r>
    </w:p>
    <w:p w14:paraId="6882103F" w14:textId="77777777" w:rsidR="00251152" w:rsidRPr="00B62815" w:rsidRDefault="00251152" w:rsidP="00AF0D93">
      <w:pPr>
        <w:numPr>
          <w:ilvl w:val="0"/>
          <w:numId w:val="110"/>
        </w:numPr>
        <w:rPr>
          <w:rFonts w:asciiTheme="minorHAnsi" w:hAnsiTheme="minorHAnsi" w:cstheme="minorHAnsi"/>
          <w:sz w:val="22"/>
          <w:szCs w:val="22"/>
          <w:lang w:val="es-AR"/>
        </w:rPr>
      </w:pPr>
      <w:r w:rsidRPr="00B62815">
        <w:rPr>
          <w:rFonts w:asciiTheme="minorHAnsi" w:hAnsiTheme="minorHAnsi" w:cstheme="minorHAnsi"/>
          <w:sz w:val="22"/>
          <w:szCs w:val="22"/>
          <w:lang w:val="es-AR"/>
        </w:rPr>
        <w:t>La Región logro nuevamente un descenso en la tasa de fertilidad adolescente (61.9 cada mil)</w:t>
      </w:r>
    </w:p>
    <w:p w14:paraId="60B622E4" w14:textId="77777777" w:rsidR="00251152" w:rsidRPr="00B62815" w:rsidRDefault="00251152" w:rsidP="00AF0D93">
      <w:pPr>
        <w:numPr>
          <w:ilvl w:val="0"/>
          <w:numId w:val="110"/>
        </w:numPr>
        <w:rPr>
          <w:rFonts w:asciiTheme="minorHAnsi" w:hAnsiTheme="minorHAnsi" w:cstheme="minorHAnsi"/>
          <w:sz w:val="22"/>
          <w:szCs w:val="22"/>
          <w:lang w:val="es-AR"/>
        </w:rPr>
      </w:pPr>
      <w:r w:rsidRPr="00B62815">
        <w:rPr>
          <w:rFonts w:asciiTheme="minorHAnsi" w:hAnsiTheme="minorHAnsi" w:cstheme="minorHAnsi"/>
          <w:sz w:val="22"/>
          <w:szCs w:val="22"/>
          <w:lang w:val="es-AR"/>
        </w:rPr>
        <w:t>8 países y territorios lograron reducciones en sus razones de mortalidad materna</w:t>
      </w:r>
    </w:p>
    <w:p w14:paraId="46657525" w14:textId="77777777" w:rsidR="00251152" w:rsidRPr="00B62815" w:rsidRDefault="00251152" w:rsidP="00AF0D93">
      <w:pPr>
        <w:numPr>
          <w:ilvl w:val="0"/>
          <w:numId w:val="110"/>
        </w:numPr>
        <w:rPr>
          <w:rFonts w:asciiTheme="minorHAnsi" w:hAnsiTheme="minorHAnsi" w:cstheme="minorHAnsi"/>
          <w:sz w:val="22"/>
          <w:szCs w:val="22"/>
          <w:lang w:val="es-AR"/>
        </w:rPr>
      </w:pPr>
      <w:r w:rsidRPr="00B62815">
        <w:rPr>
          <w:rFonts w:asciiTheme="minorHAnsi" w:hAnsiTheme="minorHAnsi" w:cstheme="minorHAnsi"/>
          <w:sz w:val="22"/>
          <w:szCs w:val="22"/>
          <w:lang w:val="es-AR"/>
        </w:rPr>
        <w:t>A nivel global, la región continúa siendo la de mayor incorporación de nuevas vacunas en los calendarios nacionales</w:t>
      </w:r>
    </w:p>
    <w:p w14:paraId="3D4BF0FF" w14:textId="77777777" w:rsidR="00251152" w:rsidRPr="00B62815" w:rsidRDefault="00251152" w:rsidP="00EB7593">
      <w:pPr>
        <w:rPr>
          <w:rFonts w:asciiTheme="minorHAnsi" w:hAnsiTheme="minorHAnsi" w:cstheme="minorHAnsi"/>
          <w:sz w:val="22"/>
          <w:szCs w:val="22"/>
          <w:lang w:val="es-AR"/>
        </w:rPr>
      </w:pPr>
    </w:p>
    <w:p w14:paraId="25693756" w14:textId="77777777" w:rsidR="00251152" w:rsidRPr="00B62815" w:rsidRDefault="00251152" w:rsidP="00B305B6">
      <w:pPr>
        <w:rPr>
          <w:rFonts w:asciiTheme="minorHAnsi" w:hAnsiTheme="minorHAnsi" w:cstheme="minorHAnsi"/>
          <w:b/>
          <w:sz w:val="22"/>
          <w:szCs w:val="22"/>
          <w:lang w:val="es-AR"/>
        </w:rPr>
      </w:pPr>
      <w:r w:rsidRPr="00B62815">
        <w:rPr>
          <w:rFonts w:asciiTheme="minorHAnsi" w:hAnsiTheme="minorHAnsi" w:cstheme="minorHAnsi"/>
          <w:b/>
          <w:sz w:val="22"/>
          <w:szCs w:val="22"/>
          <w:lang w:val="es-AR"/>
        </w:rPr>
        <w:t>Sistemas de Salud</w:t>
      </w:r>
    </w:p>
    <w:p w14:paraId="507CA9C5" w14:textId="77777777" w:rsidR="00251152" w:rsidRPr="00B62815" w:rsidRDefault="00251152" w:rsidP="00AF0D93">
      <w:pPr>
        <w:numPr>
          <w:ilvl w:val="0"/>
          <w:numId w:val="111"/>
        </w:numPr>
        <w:rPr>
          <w:rFonts w:asciiTheme="minorHAnsi" w:hAnsiTheme="minorHAnsi" w:cstheme="minorHAnsi"/>
          <w:sz w:val="22"/>
          <w:szCs w:val="22"/>
          <w:lang w:val="es-AR"/>
        </w:rPr>
      </w:pPr>
      <w:r w:rsidRPr="00B62815">
        <w:rPr>
          <w:rFonts w:asciiTheme="minorHAnsi" w:hAnsiTheme="minorHAnsi" w:cstheme="minorHAnsi"/>
          <w:sz w:val="22"/>
          <w:szCs w:val="22"/>
          <w:lang w:val="es-AR"/>
        </w:rPr>
        <w:t>Ascendió a 33 el número de países y territorios que se encuentran implementando acciones hacia la materialización de la cobertura universal de salud</w:t>
      </w:r>
    </w:p>
    <w:p w14:paraId="5989C800" w14:textId="77777777" w:rsidR="00251152" w:rsidRPr="00B62815" w:rsidRDefault="00251152" w:rsidP="00AF0D93">
      <w:pPr>
        <w:numPr>
          <w:ilvl w:val="0"/>
          <w:numId w:val="111"/>
        </w:numPr>
        <w:rPr>
          <w:rFonts w:asciiTheme="minorHAnsi" w:hAnsiTheme="minorHAnsi" w:cstheme="minorHAnsi"/>
          <w:sz w:val="22"/>
          <w:szCs w:val="22"/>
          <w:lang w:val="es-AR"/>
        </w:rPr>
      </w:pPr>
      <w:r w:rsidRPr="00B62815">
        <w:rPr>
          <w:rFonts w:asciiTheme="minorHAnsi" w:hAnsiTheme="minorHAnsi" w:cstheme="minorHAnsi"/>
          <w:sz w:val="22"/>
          <w:szCs w:val="22"/>
          <w:lang w:val="es-AR"/>
        </w:rPr>
        <w:t>24 países y territorios implementaron políticas orientadas a expandir el acceso a servicios de salud de calidad</w:t>
      </w:r>
    </w:p>
    <w:p w14:paraId="15CA9540" w14:textId="079E7950" w:rsidR="00251152" w:rsidRPr="00B62815" w:rsidRDefault="00251152" w:rsidP="00AF0D93">
      <w:pPr>
        <w:numPr>
          <w:ilvl w:val="0"/>
          <w:numId w:val="111"/>
        </w:numPr>
        <w:rPr>
          <w:rFonts w:asciiTheme="minorHAnsi" w:hAnsiTheme="minorHAnsi" w:cstheme="minorHAnsi"/>
          <w:sz w:val="22"/>
          <w:szCs w:val="22"/>
          <w:lang w:val="es-AR"/>
        </w:rPr>
      </w:pPr>
      <w:r w:rsidRPr="00B62815">
        <w:rPr>
          <w:rFonts w:asciiTheme="minorHAnsi" w:hAnsiTheme="minorHAnsi" w:cstheme="minorHAnsi"/>
          <w:sz w:val="22"/>
          <w:szCs w:val="22"/>
          <w:lang w:val="es-AR"/>
        </w:rPr>
        <w:t>Todos los Estados Miembros han suscrito acuerdos para la utilización del Fondo Estratégico de Medicamentos y Tecnologías Sanitarias</w:t>
      </w:r>
    </w:p>
    <w:p w14:paraId="65A0967A" w14:textId="77777777" w:rsidR="0014077C" w:rsidRPr="00B62815" w:rsidRDefault="0014077C" w:rsidP="0014077C">
      <w:pPr>
        <w:ind w:left="720"/>
        <w:rPr>
          <w:rFonts w:asciiTheme="minorHAnsi" w:hAnsiTheme="minorHAnsi" w:cstheme="minorHAnsi"/>
          <w:sz w:val="22"/>
          <w:szCs w:val="22"/>
          <w:lang w:val="es-AR"/>
        </w:rPr>
      </w:pPr>
    </w:p>
    <w:p w14:paraId="17CC6549" w14:textId="77777777" w:rsidR="00251152" w:rsidRPr="00B62815" w:rsidRDefault="00251152" w:rsidP="00251152">
      <w:pPr>
        <w:pStyle w:val="Default"/>
        <w:rPr>
          <w:rFonts w:asciiTheme="minorHAnsi" w:hAnsiTheme="minorHAnsi" w:cstheme="minorHAnsi"/>
          <w:b/>
          <w:bCs/>
          <w:sz w:val="22"/>
          <w:szCs w:val="22"/>
          <w:lang w:val="es-AR"/>
        </w:rPr>
      </w:pPr>
      <w:r w:rsidRPr="00B62815">
        <w:rPr>
          <w:rFonts w:asciiTheme="minorHAnsi" w:hAnsiTheme="minorHAnsi" w:cstheme="minorHAnsi"/>
          <w:b/>
          <w:bCs/>
          <w:sz w:val="22"/>
          <w:szCs w:val="22"/>
          <w:lang w:val="es-AR"/>
        </w:rPr>
        <w:t>Emergencias y Desastres</w:t>
      </w:r>
    </w:p>
    <w:p w14:paraId="17565B5E" w14:textId="77777777" w:rsidR="00251152" w:rsidRPr="00B62815" w:rsidRDefault="00251152" w:rsidP="00AF0D93">
      <w:pPr>
        <w:numPr>
          <w:ilvl w:val="0"/>
          <w:numId w:val="112"/>
        </w:numPr>
        <w:rPr>
          <w:rFonts w:asciiTheme="minorHAnsi" w:hAnsiTheme="minorHAnsi" w:cstheme="minorHAnsi"/>
          <w:sz w:val="22"/>
          <w:szCs w:val="22"/>
          <w:lang w:val="es-AR"/>
        </w:rPr>
      </w:pPr>
      <w:r w:rsidRPr="00B62815">
        <w:rPr>
          <w:rFonts w:asciiTheme="minorHAnsi" w:hAnsiTheme="minorHAnsi" w:cstheme="minorHAnsi"/>
          <w:sz w:val="22"/>
          <w:szCs w:val="22"/>
          <w:lang w:val="es-AR"/>
        </w:rPr>
        <w:t>OPS logró respuestas oportunas y apropiadas dentro de las primeras 48 horas desde el requerimiento de apoyo por parte de 22 países y territorios.</w:t>
      </w:r>
    </w:p>
    <w:p w14:paraId="66FBE150" w14:textId="77777777" w:rsidR="00251152" w:rsidRPr="00B62815" w:rsidRDefault="00251152" w:rsidP="00AF0D93">
      <w:pPr>
        <w:numPr>
          <w:ilvl w:val="0"/>
          <w:numId w:val="112"/>
        </w:numPr>
        <w:rPr>
          <w:rFonts w:asciiTheme="minorHAnsi" w:hAnsiTheme="minorHAnsi" w:cstheme="minorHAnsi"/>
          <w:sz w:val="22"/>
          <w:szCs w:val="22"/>
          <w:lang w:val="es-AR"/>
        </w:rPr>
      </w:pPr>
      <w:r w:rsidRPr="00B62815">
        <w:rPr>
          <w:rFonts w:asciiTheme="minorHAnsi" w:hAnsiTheme="minorHAnsi" w:cstheme="minorHAnsi"/>
          <w:sz w:val="22"/>
          <w:szCs w:val="22"/>
          <w:lang w:val="es-AR"/>
        </w:rPr>
        <w:t xml:space="preserve">39 países y territorios desarrollaron iniciativas de Equipos Médicos de Emergencia a nivel nacional </w:t>
      </w:r>
    </w:p>
    <w:p w14:paraId="67FFB4CB" w14:textId="77777777" w:rsidR="00251152" w:rsidRPr="00B62815" w:rsidRDefault="00251152" w:rsidP="00AF0D93">
      <w:pPr>
        <w:numPr>
          <w:ilvl w:val="0"/>
          <w:numId w:val="112"/>
        </w:numPr>
        <w:rPr>
          <w:rFonts w:asciiTheme="minorHAnsi" w:hAnsiTheme="minorHAnsi" w:cstheme="minorHAnsi"/>
          <w:sz w:val="22"/>
          <w:szCs w:val="22"/>
          <w:lang w:val="es-AR"/>
        </w:rPr>
      </w:pPr>
      <w:r w:rsidRPr="00B62815">
        <w:rPr>
          <w:rFonts w:asciiTheme="minorHAnsi" w:hAnsiTheme="minorHAnsi" w:cstheme="minorHAnsi"/>
          <w:sz w:val="22"/>
          <w:szCs w:val="22"/>
          <w:lang w:val="es-AR"/>
        </w:rPr>
        <w:t>No se reportaron casos de cólera en Haití a lo largo del ano</w:t>
      </w:r>
    </w:p>
    <w:p w14:paraId="57C7BDD1" w14:textId="77777777" w:rsidR="00251152" w:rsidRPr="00B62815" w:rsidRDefault="00251152" w:rsidP="00B305B6">
      <w:pPr>
        <w:rPr>
          <w:rFonts w:asciiTheme="minorHAnsi" w:hAnsiTheme="minorHAnsi" w:cstheme="minorHAnsi"/>
          <w:sz w:val="22"/>
          <w:szCs w:val="22"/>
          <w:lang w:val="es-AR"/>
        </w:rPr>
      </w:pPr>
    </w:p>
    <w:p w14:paraId="24C9CE3F" w14:textId="77777777" w:rsidR="00251152" w:rsidRPr="00B62815" w:rsidRDefault="00251152" w:rsidP="00251152">
      <w:pPr>
        <w:pStyle w:val="Default"/>
        <w:rPr>
          <w:rFonts w:asciiTheme="minorHAnsi" w:hAnsiTheme="minorHAnsi" w:cstheme="minorHAnsi"/>
          <w:b/>
          <w:sz w:val="22"/>
          <w:szCs w:val="22"/>
          <w:lang w:val="es-AR"/>
        </w:rPr>
      </w:pPr>
      <w:r w:rsidRPr="00B62815">
        <w:rPr>
          <w:rFonts w:asciiTheme="minorHAnsi" w:hAnsiTheme="minorHAnsi" w:cstheme="minorHAnsi"/>
          <w:b/>
          <w:sz w:val="22"/>
          <w:szCs w:val="22"/>
          <w:lang w:val="es-AR"/>
        </w:rPr>
        <w:t>Principales mandatos</w:t>
      </w:r>
    </w:p>
    <w:p w14:paraId="6CFA2020" w14:textId="77777777" w:rsidR="00251152" w:rsidRPr="00B62815" w:rsidRDefault="00573283" w:rsidP="00AF0D93">
      <w:pPr>
        <w:pStyle w:val="Default"/>
        <w:numPr>
          <w:ilvl w:val="0"/>
          <w:numId w:val="99"/>
        </w:numPr>
        <w:rPr>
          <w:rStyle w:val="Hyperlink"/>
          <w:rFonts w:asciiTheme="minorHAnsi" w:hAnsiTheme="minorHAnsi" w:cstheme="minorHAnsi"/>
          <w:sz w:val="22"/>
          <w:szCs w:val="22"/>
          <w:lang w:val="es-AR"/>
        </w:rPr>
      </w:pPr>
      <w:hyperlink r:id="rId235" w:history="1">
        <w:r w:rsidR="00251152" w:rsidRPr="00B62815">
          <w:rPr>
            <w:rStyle w:val="Hyperlink"/>
            <w:rFonts w:asciiTheme="minorHAnsi" w:hAnsiTheme="minorHAnsi" w:cstheme="minorHAnsi"/>
            <w:sz w:val="22"/>
            <w:szCs w:val="22"/>
            <w:lang w:val="es-AR"/>
          </w:rPr>
          <w:t>Plan Estratégico 2014-2019</w:t>
        </w:r>
      </w:hyperlink>
    </w:p>
    <w:p w14:paraId="52AF5247" w14:textId="77777777" w:rsidR="00251152" w:rsidRPr="00B62815" w:rsidRDefault="00573283" w:rsidP="00AF0D93">
      <w:pPr>
        <w:pStyle w:val="Default"/>
        <w:numPr>
          <w:ilvl w:val="0"/>
          <w:numId w:val="99"/>
        </w:numPr>
        <w:rPr>
          <w:rFonts w:asciiTheme="minorHAnsi" w:hAnsiTheme="minorHAnsi" w:cstheme="minorHAnsi"/>
          <w:sz w:val="22"/>
          <w:szCs w:val="22"/>
          <w:lang w:val="es-AR"/>
        </w:rPr>
      </w:pPr>
      <w:hyperlink r:id="rId236" w:history="1">
        <w:r w:rsidR="00251152" w:rsidRPr="00B62815">
          <w:rPr>
            <w:rStyle w:val="Hyperlink"/>
            <w:rFonts w:asciiTheme="minorHAnsi" w:hAnsiTheme="minorHAnsi" w:cstheme="minorHAnsi"/>
            <w:sz w:val="22"/>
            <w:szCs w:val="22"/>
            <w:lang w:val="es-AR"/>
          </w:rPr>
          <w:t>Plan Estratégico 2020-2025</w:t>
        </w:r>
      </w:hyperlink>
    </w:p>
    <w:p w14:paraId="2AF441F0" w14:textId="77777777" w:rsidR="00251152" w:rsidRPr="00B62815" w:rsidRDefault="00573283" w:rsidP="00AF0D93">
      <w:pPr>
        <w:pStyle w:val="Default"/>
        <w:numPr>
          <w:ilvl w:val="0"/>
          <w:numId w:val="99"/>
        </w:numPr>
        <w:rPr>
          <w:rFonts w:asciiTheme="minorHAnsi" w:hAnsiTheme="minorHAnsi" w:cstheme="minorHAnsi"/>
          <w:sz w:val="22"/>
          <w:szCs w:val="22"/>
          <w:lang w:val="es-AR"/>
        </w:rPr>
      </w:pPr>
      <w:hyperlink r:id="rId237" w:history="1">
        <w:r w:rsidR="00251152" w:rsidRPr="00B62815">
          <w:rPr>
            <w:rStyle w:val="Hyperlink"/>
            <w:rFonts w:asciiTheme="minorHAnsi" w:hAnsiTheme="minorHAnsi" w:cstheme="minorHAnsi"/>
            <w:sz w:val="22"/>
            <w:szCs w:val="22"/>
            <w:lang w:val="es-AR"/>
          </w:rPr>
          <w:t>Agenda de Salud Sostenible de las Américas 2018-2030</w:t>
        </w:r>
      </w:hyperlink>
    </w:p>
    <w:p w14:paraId="77926D59" w14:textId="77777777" w:rsidR="00251152" w:rsidRPr="00B62815" w:rsidRDefault="00573283" w:rsidP="00AF0D93">
      <w:pPr>
        <w:pStyle w:val="Default"/>
        <w:numPr>
          <w:ilvl w:val="0"/>
          <w:numId w:val="99"/>
        </w:numPr>
        <w:rPr>
          <w:rFonts w:asciiTheme="minorHAnsi" w:hAnsiTheme="minorHAnsi" w:cstheme="minorHAnsi"/>
          <w:sz w:val="22"/>
          <w:szCs w:val="22"/>
          <w:lang w:val="es-AR"/>
        </w:rPr>
      </w:pPr>
      <w:hyperlink r:id="rId238" w:history="1">
        <w:r w:rsidR="00251152" w:rsidRPr="00B62815">
          <w:rPr>
            <w:rStyle w:val="Hyperlink"/>
            <w:rFonts w:asciiTheme="minorHAnsi" w:hAnsiTheme="minorHAnsi" w:cstheme="minorHAnsi"/>
            <w:sz w:val="22"/>
            <w:szCs w:val="22"/>
            <w:lang w:val="es-AR"/>
          </w:rPr>
          <w:t>Agenda 2030 de Desarrollo Sostenible</w:t>
        </w:r>
      </w:hyperlink>
    </w:p>
    <w:p w14:paraId="4779F561" w14:textId="77777777" w:rsidR="00251152" w:rsidRPr="00B62815" w:rsidRDefault="00573283" w:rsidP="00AF0D93">
      <w:pPr>
        <w:pStyle w:val="Default"/>
        <w:numPr>
          <w:ilvl w:val="0"/>
          <w:numId w:val="99"/>
        </w:numPr>
        <w:rPr>
          <w:rStyle w:val="Hyperlink"/>
          <w:rFonts w:asciiTheme="minorHAnsi" w:hAnsiTheme="minorHAnsi" w:cstheme="minorHAnsi"/>
          <w:sz w:val="22"/>
          <w:szCs w:val="22"/>
          <w:lang w:val="es-AR"/>
        </w:rPr>
      </w:pPr>
      <w:hyperlink r:id="rId239" w:history="1">
        <w:r w:rsidR="00251152" w:rsidRPr="00B62815">
          <w:rPr>
            <w:rStyle w:val="Hyperlink"/>
            <w:rFonts w:asciiTheme="minorHAnsi" w:hAnsiTheme="minorHAnsi" w:cstheme="minorHAnsi"/>
            <w:sz w:val="22"/>
            <w:szCs w:val="22"/>
            <w:lang w:val="es-AR"/>
          </w:rPr>
          <w:t>Resoluciones y otros documentos de los Cuerpos Directivos</w:t>
        </w:r>
      </w:hyperlink>
    </w:p>
    <w:p w14:paraId="2CC7626E" w14:textId="77777777" w:rsidR="00251152" w:rsidRPr="00B62815" w:rsidRDefault="00573283" w:rsidP="00AF0D93">
      <w:pPr>
        <w:pStyle w:val="Default"/>
        <w:numPr>
          <w:ilvl w:val="0"/>
          <w:numId w:val="99"/>
        </w:numPr>
        <w:rPr>
          <w:rFonts w:asciiTheme="minorHAnsi" w:hAnsiTheme="minorHAnsi" w:cstheme="minorHAnsi"/>
          <w:sz w:val="22"/>
          <w:szCs w:val="22"/>
          <w:lang w:val="es-AR"/>
        </w:rPr>
      </w:pPr>
      <w:hyperlink r:id="rId240" w:history="1">
        <w:r w:rsidR="00251152" w:rsidRPr="00B62815">
          <w:rPr>
            <w:rStyle w:val="Hyperlink"/>
            <w:rFonts w:asciiTheme="minorHAnsi" w:hAnsiTheme="minorHAnsi" w:cstheme="minorHAnsi"/>
            <w:sz w:val="22"/>
            <w:szCs w:val="22"/>
            <w:lang w:val="es-AR"/>
          </w:rPr>
          <w:t>Estrategia para el Acceso Universal a la Salud y la Cobertura Universal de Salud</w:t>
        </w:r>
      </w:hyperlink>
    </w:p>
    <w:p w14:paraId="7817E7C8" w14:textId="77777777" w:rsidR="00251152" w:rsidRPr="00B62815" w:rsidRDefault="00251152" w:rsidP="00251152">
      <w:pPr>
        <w:pStyle w:val="Default"/>
        <w:rPr>
          <w:rFonts w:asciiTheme="minorHAnsi" w:hAnsiTheme="minorHAnsi" w:cstheme="minorHAnsi"/>
          <w:sz w:val="22"/>
          <w:szCs w:val="22"/>
          <w:lang w:val="es-AR"/>
        </w:rPr>
      </w:pPr>
    </w:p>
    <w:p w14:paraId="4823CAFB" w14:textId="77777777" w:rsidR="00251152" w:rsidRPr="00B62815" w:rsidRDefault="00251152" w:rsidP="00251152">
      <w:pPr>
        <w:pStyle w:val="Default"/>
        <w:rPr>
          <w:rFonts w:asciiTheme="minorHAnsi" w:hAnsiTheme="minorHAnsi" w:cstheme="minorHAnsi"/>
          <w:b/>
          <w:sz w:val="22"/>
          <w:szCs w:val="22"/>
          <w:lang w:val="es-AR"/>
        </w:rPr>
      </w:pPr>
      <w:r w:rsidRPr="00B62815">
        <w:rPr>
          <w:rFonts w:asciiTheme="minorHAnsi" w:hAnsiTheme="minorHAnsi" w:cstheme="minorHAnsi"/>
          <w:b/>
          <w:sz w:val="22"/>
          <w:szCs w:val="22"/>
          <w:lang w:val="es-AR"/>
        </w:rPr>
        <w:t>Links relevantes</w:t>
      </w:r>
    </w:p>
    <w:p w14:paraId="202EEB9B" w14:textId="77777777" w:rsidR="00251152" w:rsidRPr="00B62815" w:rsidRDefault="00573283" w:rsidP="00AF0D93">
      <w:pPr>
        <w:pStyle w:val="Default"/>
        <w:numPr>
          <w:ilvl w:val="0"/>
          <w:numId w:val="100"/>
        </w:numPr>
        <w:rPr>
          <w:rFonts w:asciiTheme="minorHAnsi" w:hAnsiTheme="minorHAnsi" w:cstheme="minorHAnsi"/>
          <w:sz w:val="22"/>
          <w:szCs w:val="22"/>
          <w:lang w:val="es-AR"/>
        </w:rPr>
      </w:pPr>
      <w:hyperlink r:id="rId241" w:history="1">
        <w:r w:rsidR="00251152" w:rsidRPr="00B62815">
          <w:rPr>
            <w:rStyle w:val="Hyperlink"/>
            <w:rFonts w:asciiTheme="minorHAnsi" w:hAnsiTheme="minorHAnsi" w:cstheme="minorHAnsi"/>
            <w:sz w:val="22"/>
            <w:szCs w:val="22"/>
            <w:lang w:val="es-AR"/>
          </w:rPr>
          <w:t>Temas de salud – Múltiples links desde la web de OPS</w:t>
        </w:r>
      </w:hyperlink>
    </w:p>
    <w:p w14:paraId="43116CC7" w14:textId="77777777" w:rsidR="00251152" w:rsidRPr="00B62815" w:rsidRDefault="00251152" w:rsidP="00251152">
      <w:pPr>
        <w:pStyle w:val="Default"/>
        <w:rPr>
          <w:rFonts w:asciiTheme="minorHAnsi" w:hAnsiTheme="minorHAnsi" w:cstheme="minorHAnsi"/>
          <w:sz w:val="22"/>
          <w:szCs w:val="22"/>
          <w:lang w:val="es-AR"/>
        </w:rPr>
      </w:pPr>
    </w:p>
    <w:p w14:paraId="39790E44" w14:textId="77777777" w:rsidR="00DD4A29" w:rsidRDefault="00DD4A29" w:rsidP="00251152">
      <w:pPr>
        <w:pStyle w:val="Default"/>
        <w:rPr>
          <w:rFonts w:asciiTheme="minorHAnsi" w:hAnsiTheme="minorHAnsi" w:cstheme="minorHAnsi"/>
          <w:b/>
          <w:sz w:val="22"/>
          <w:szCs w:val="22"/>
          <w:lang w:val="es-AR"/>
        </w:rPr>
      </w:pPr>
    </w:p>
    <w:p w14:paraId="0E86F579" w14:textId="441387BA" w:rsidR="00251152" w:rsidRPr="00B62815" w:rsidRDefault="00251152" w:rsidP="00251152">
      <w:pPr>
        <w:pStyle w:val="Default"/>
        <w:rPr>
          <w:rFonts w:asciiTheme="minorHAnsi" w:hAnsiTheme="minorHAnsi" w:cstheme="minorHAnsi"/>
          <w:b/>
          <w:sz w:val="22"/>
          <w:szCs w:val="22"/>
          <w:lang w:val="es-AR"/>
        </w:rPr>
      </w:pPr>
      <w:r w:rsidRPr="00B62815">
        <w:rPr>
          <w:rFonts w:asciiTheme="minorHAnsi" w:hAnsiTheme="minorHAnsi" w:cstheme="minorHAnsi"/>
          <w:b/>
          <w:sz w:val="22"/>
          <w:szCs w:val="22"/>
          <w:lang w:val="es-AR"/>
        </w:rPr>
        <w:t>Imágenes</w:t>
      </w:r>
    </w:p>
    <w:p w14:paraId="6A83DB00" w14:textId="77777777" w:rsidR="00251152" w:rsidRPr="00B62815" w:rsidRDefault="001C2CF3" w:rsidP="00251152">
      <w:pPr>
        <w:pStyle w:val="Default"/>
        <w:jc w:val="center"/>
        <w:rPr>
          <w:rFonts w:asciiTheme="minorHAnsi" w:hAnsiTheme="minorHAnsi" w:cstheme="minorHAnsi"/>
          <w:sz w:val="22"/>
          <w:szCs w:val="22"/>
          <w:lang w:val="es-AR"/>
        </w:rPr>
      </w:pPr>
      <w:r w:rsidRPr="00B62815">
        <w:rPr>
          <w:rFonts w:asciiTheme="minorHAnsi" w:hAnsiTheme="minorHAnsi" w:cstheme="minorHAnsi"/>
          <w:noProof/>
          <w:sz w:val="22"/>
          <w:szCs w:val="22"/>
        </w:rPr>
        <w:drawing>
          <wp:inline distT="0" distB="0" distL="0" distR="0" wp14:anchorId="24530787" wp14:editId="20549399">
            <wp:extent cx="3956050" cy="2718435"/>
            <wp:effectExtent l="0" t="0" r="0" b="0"/>
            <wp:docPr id="37" name="Picture 9" descr="https://s1.stabroeknews.com/images/2019/01/smart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1.stabroeknews.com/images/2019/01/smarthealth.jpg"/>
                    <pic:cNvPicPr>
                      <a:picLocks noChangeAspect="1" noChangeArrowheads="1"/>
                    </pic:cNvPicPr>
                  </pic:nvPicPr>
                  <pic:blipFill>
                    <a:blip r:embed="rId242">
                      <a:extLst>
                        <a:ext uri="{28A0092B-C50C-407E-A947-70E740481C1C}">
                          <a14:useLocalDpi xmlns:a14="http://schemas.microsoft.com/office/drawing/2010/main"/>
                        </a:ext>
                      </a:extLst>
                    </a:blip>
                    <a:srcRect/>
                    <a:stretch>
                      <a:fillRect/>
                    </a:stretch>
                  </pic:blipFill>
                  <pic:spPr bwMode="auto">
                    <a:xfrm>
                      <a:off x="0" y="0"/>
                      <a:ext cx="3956050" cy="2718435"/>
                    </a:xfrm>
                    <a:prstGeom prst="rect">
                      <a:avLst/>
                    </a:prstGeom>
                    <a:noFill/>
                    <a:ln>
                      <a:noFill/>
                    </a:ln>
                  </pic:spPr>
                </pic:pic>
              </a:graphicData>
            </a:graphic>
          </wp:inline>
        </w:drawing>
      </w:r>
      <w:r w:rsidR="00251152" w:rsidRPr="00B62815">
        <w:rPr>
          <w:rFonts w:asciiTheme="minorHAnsi" w:hAnsiTheme="minorHAnsi" w:cstheme="minorHAnsi"/>
          <w:sz w:val="22"/>
          <w:szCs w:val="22"/>
          <w:lang w:val="es-ES"/>
        </w:rPr>
        <w:t xml:space="preserve"> </w:t>
      </w:r>
    </w:p>
    <w:p w14:paraId="5F758A1B" w14:textId="77777777" w:rsidR="00251152" w:rsidRPr="00B62815" w:rsidRDefault="00251152" w:rsidP="00937BFA">
      <w:pPr>
        <w:pStyle w:val="Default"/>
        <w:ind w:left="720" w:firstLine="720"/>
        <w:rPr>
          <w:rFonts w:asciiTheme="minorHAnsi" w:hAnsiTheme="minorHAnsi" w:cstheme="minorHAnsi"/>
          <w:sz w:val="22"/>
          <w:szCs w:val="22"/>
          <w:lang w:val="es-AR"/>
        </w:rPr>
      </w:pPr>
      <w:r w:rsidRPr="00B62815">
        <w:rPr>
          <w:rFonts w:asciiTheme="minorHAnsi" w:hAnsiTheme="minorHAnsi" w:cstheme="minorHAnsi"/>
          <w:sz w:val="22"/>
          <w:szCs w:val="22"/>
          <w:lang w:val="es-AR"/>
        </w:rPr>
        <w:t>Hospitales inteligentes en Guyana: seguros y</w:t>
      </w:r>
      <w:r w:rsidR="00B305B6" w:rsidRPr="00B62815">
        <w:rPr>
          <w:rFonts w:asciiTheme="minorHAnsi" w:hAnsiTheme="minorHAnsi" w:cstheme="minorHAnsi"/>
          <w:sz w:val="22"/>
          <w:szCs w:val="22"/>
          <w:lang w:val="es-AR"/>
        </w:rPr>
        <w:t xml:space="preserve"> </w:t>
      </w:r>
      <w:r w:rsidRPr="00B62815">
        <w:rPr>
          <w:rFonts w:asciiTheme="minorHAnsi" w:hAnsiTheme="minorHAnsi" w:cstheme="minorHAnsi"/>
          <w:sz w:val="22"/>
          <w:szCs w:val="22"/>
          <w:lang w:val="es-AR"/>
        </w:rPr>
        <w:t>ambientalmente apropiados</w:t>
      </w:r>
    </w:p>
    <w:p w14:paraId="3B40185B" w14:textId="34BF8497" w:rsidR="00251152" w:rsidRPr="00B62815" w:rsidRDefault="00251152" w:rsidP="00251152">
      <w:pPr>
        <w:pStyle w:val="Default"/>
        <w:rPr>
          <w:rFonts w:asciiTheme="minorHAnsi" w:hAnsiTheme="minorHAnsi" w:cstheme="minorHAnsi"/>
          <w:sz w:val="22"/>
          <w:szCs w:val="22"/>
          <w:lang w:val="es-AR"/>
        </w:rPr>
      </w:pPr>
    </w:p>
    <w:p w14:paraId="0E2DF802" w14:textId="383DC106" w:rsidR="00251152" w:rsidRPr="00CC6BBF" w:rsidRDefault="00B305B6" w:rsidP="00251152">
      <w:pPr>
        <w:pStyle w:val="Default"/>
        <w:ind w:left="1980"/>
        <w:rPr>
          <w:rFonts w:asciiTheme="minorHAnsi" w:hAnsiTheme="minorHAnsi" w:cstheme="minorHAnsi"/>
          <w:sz w:val="22"/>
          <w:szCs w:val="22"/>
          <w:lang w:val="es-PE"/>
        </w:rPr>
      </w:pPr>
      <w:r w:rsidRPr="00CC6BBF">
        <w:rPr>
          <w:rFonts w:asciiTheme="minorHAnsi" w:hAnsiTheme="minorHAnsi" w:cstheme="minorHAnsi"/>
          <w:sz w:val="22"/>
          <w:szCs w:val="22"/>
          <w:lang w:val="es-PE"/>
        </w:rPr>
        <w:t>C</w:t>
      </w:r>
      <w:r w:rsidR="00251152" w:rsidRPr="00CC6BBF">
        <w:rPr>
          <w:rFonts w:asciiTheme="minorHAnsi" w:hAnsiTheme="minorHAnsi" w:cstheme="minorHAnsi"/>
          <w:sz w:val="22"/>
          <w:szCs w:val="22"/>
          <w:lang w:val="es-PE"/>
        </w:rPr>
        <w:t>hateaubellair Smart Hospital, Saint Vincent</w:t>
      </w:r>
    </w:p>
    <w:p w14:paraId="14902BB0" w14:textId="3422E81C" w:rsidR="00251152" w:rsidRPr="00CC6BBF" w:rsidRDefault="00BB7151" w:rsidP="00251152">
      <w:pPr>
        <w:spacing w:after="160"/>
        <w:rPr>
          <w:rFonts w:asciiTheme="minorHAnsi" w:eastAsia="Calibri" w:hAnsiTheme="minorHAnsi" w:cstheme="minorHAnsi"/>
          <w:sz w:val="22"/>
          <w:szCs w:val="22"/>
          <w:lang w:val="es-PE"/>
        </w:rPr>
      </w:pPr>
      <w:r w:rsidRPr="00B62815">
        <w:rPr>
          <w:rFonts w:asciiTheme="minorHAnsi" w:hAnsiTheme="minorHAnsi" w:cstheme="minorHAnsi"/>
          <w:noProof/>
          <w:sz w:val="22"/>
          <w:szCs w:val="22"/>
        </w:rPr>
        <w:drawing>
          <wp:anchor distT="0" distB="0" distL="114300" distR="114300" simplePos="0" relativeHeight="251736064" behindDoc="0" locked="0" layoutInCell="1" allowOverlap="1" wp14:anchorId="67AF07FB" wp14:editId="51789BD3">
            <wp:simplePos x="0" y="0"/>
            <wp:positionH relativeFrom="page">
              <wp:posOffset>1989455</wp:posOffset>
            </wp:positionH>
            <wp:positionV relativeFrom="margin">
              <wp:posOffset>6299200</wp:posOffset>
            </wp:positionV>
            <wp:extent cx="3794125" cy="2366010"/>
            <wp:effectExtent l="0" t="0" r="0" b="0"/>
            <wp:wrapSquare wrapText="bothSides"/>
            <wp:docPr id="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3794125" cy="2366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8B2EF" w14:textId="790EE0FD" w:rsidR="00251152" w:rsidRPr="00CC6BBF" w:rsidRDefault="001C2CF3" w:rsidP="00251152">
      <w:pPr>
        <w:rPr>
          <w:rFonts w:asciiTheme="minorHAnsi" w:eastAsia="Calibri" w:hAnsiTheme="minorHAnsi" w:cstheme="minorHAnsi"/>
          <w:sz w:val="22"/>
          <w:szCs w:val="22"/>
          <w:lang w:val="es-PE"/>
        </w:rPr>
      </w:pPr>
      <w:r w:rsidRPr="00B62815">
        <w:rPr>
          <w:rFonts w:asciiTheme="minorHAnsi" w:hAnsiTheme="minorHAnsi" w:cstheme="minorHAnsi"/>
          <w:noProof/>
          <w:sz w:val="22"/>
          <w:szCs w:val="22"/>
        </w:rPr>
        <w:drawing>
          <wp:anchor distT="0" distB="0" distL="114300" distR="114300" simplePos="0" relativeHeight="251734016" behindDoc="0" locked="0" layoutInCell="1" allowOverlap="1" wp14:anchorId="571F89C2" wp14:editId="6FF4CBB0">
            <wp:simplePos x="0" y="0"/>
            <wp:positionH relativeFrom="column">
              <wp:posOffset>699135</wp:posOffset>
            </wp:positionH>
            <wp:positionV relativeFrom="page">
              <wp:posOffset>930910</wp:posOffset>
            </wp:positionV>
            <wp:extent cx="3952875" cy="2649220"/>
            <wp:effectExtent l="0" t="0" r="0" b="0"/>
            <wp:wrapSquare wrapText="bothSides"/>
            <wp:docPr id="168" name="Picture 3" descr="cid:image003.jpg@01D5F182.5D61F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5F182.5D61F140"/>
                    <pic:cNvPicPr>
                      <a:picLocks noChangeAspect="1" noChangeArrowheads="1"/>
                    </pic:cNvPicPr>
                  </pic:nvPicPr>
                  <pic:blipFill>
                    <a:blip r:embed="rId244" r:link="rId245" cstate="screen">
                      <a:extLst>
                        <a:ext uri="{28A0092B-C50C-407E-A947-70E740481C1C}">
                          <a14:useLocalDpi xmlns:a14="http://schemas.microsoft.com/office/drawing/2010/main"/>
                        </a:ext>
                      </a:extLst>
                    </a:blip>
                    <a:srcRect/>
                    <a:stretch>
                      <a:fillRect/>
                    </a:stretch>
                  </pic:blipFill>
                  <pic:spPr bwMode="auto">
                    <a:xfrm>
                      <a:off x="0" y="0"/>
                      <a:ext cx="3952875" cy="264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57D46" w14:textId="3D22D682" w:rsidR="00251152" w:rsidRPr="00CC6BBF" w:rsidRDefault="00251152" w:rsidP="00B305B6">
      <w:pPr>
        <w:rPr>
          <w:rFonts w:asciiTheme="minorHAnsi" w:eastAsia="Calibri" w:hAnsiTheme="minorHAnsi" w:cstheme="minorHAnsi"/>
          <w:sz w:val="22"/>
          <w:szCs w:val="22"/>
          <w:lang w:val="es-PE"/>
        </w:rPr>
      </w:pPr>
    </w:p>
    <w:p w14:paraId="0C43C96A" w14:textId="3BE1B568" w:rsidR="00251152" w:rsidRPr="00CC6BBF" w:rsidRDefault="00251152" w:rsidP="00251152">
      <w:pPr>
        <w:tabs>
          <w:tab w:val="left" w:pos="2148"/>
        </w:tabs>
        <w:rPr>
          <w:rFonts w:asciiTheme="minorHAnsi" w:eastAsia="Calibri" w:hAnsiTheme="minorHAnsi" w:cstheme="minorHAnsi"/>
          <w:sz w:val="22"/>
          <w:szCs w:val="22"/>
          <w:lang w:val="es-PE"/>
        </w:rPr>
      </w:pPr>
    </w:p>
    <w:p w14:paraId="1F92990A" w14:textId="749FAF94" w:rsidR="00251152" w:rsidRPr="00CC6BBF" w:rsidRDefault="00251152" w:rsidP="00251152">
      <w:pPr>
        <w:tabs>
          <w:tab w:val="left" w:pos="2148"/>
        </w:tabs>
        <w:rPr>
          <w:rFonts w:asciiTheme="minorHAnsi" w:eastAsia="Calibri" w:hAnsiTheme="minorHAnsi" w:cstheme="minorHAnsi"/>
          <w:sz w:val="22"/>
          <w:szCs w:val="22"/>
          <w:lang w:val="es-PE"/>
        </w:rPr>
      </w:pPr>
    </w:p>
    <w:p w14:paraId="5605CA95" w14:textId="0CC5D12A" w:rsidR="00251152" w:rsidRPr="00CC6BBF" w:rsidRDefault="00251152" w:rsidP="00251152">
      <w:pPr>
        <w:tabs>
          <w:tab w:val="left" w:pos="2148"/>
        </w:tabs>
        <w:rPr>
          <w:rFonts w:asciiTheme="minorHAnsi" w:eastAsia="Calibri" w:hAnsiTheme="minorHAnsi" w:cstheme="minorHAnsi"/>
          <w:sz w:val="22"/>
          <w:szCs w:val="22"/>
          <w:lang w:val="es-PE"/>
        </w:rPr>
      </w:pPr>
    </w:p>
    <w:p w14:paraId="37398794" w14:textId="3BCFA853" w:rsidR="00251152" w:rsidRPr="00CC6BBF" w:rsidRDefault="00251152" w:rsidP="00251152">
      <w:pPr>
        <w:tabs>
          <w:tab w:val="left" w:pos="2148"/>
        </w:tabs>
        <w:rPr>
          <w:rFonts w:asciiTheme="minorHAnsi" w:eastAsia="Calibri" w:hAnsiTheme="minorHAnsi" w:cstheme="minorHAnsi"/>
          <w:sz w:val="22"/>
          <w:szCs w:val="22"/>
          <w:lang w:val="es-PE"/>
        </w:rPr>
      </w:pPr>
    </w:p>
    <w:p w14:paraId="3512FD40" w14:textId="25C4FF69" w:rsidR="00251152" w:rsidRPr="00CC6BBF" w:rsidRDefault="00251152" w:rsidP="00251152">
      <w:pPr>
        <w:tabs>
          <w:tab w:val="left" w:pos="2148"/>
        </w:tabs>
        <w:rPr>
          <w:rFonts w:asciiTheme="minorHAnsi" w:eastAsia="Calibri" w:hAnsiTheme="minorHAnsi" w:cstheme="minorHAnsi"/>
          <w:sz w:val="22"/>
          <w:szCs w:val="22"/>
          <w:lang w:val="es-PE"/>
        </w:rPr>
      </w:pPr>
    </w:p>
    <w:p w14:paraId="348A5AD7" w14:textId="134B9281" w:rsidR="00251152" w:rsidRPr="00CC6BBF" w:rsidRDefault="00251152" w:rsidP="00251152">
      <w:pPr>
        <w:tabs>
          <w:tab w:val="left" w:pos="2148"/>
        </w:tabs>
        <w:rPr>
          <w:rFonts w:asciiTheme="minorHAnsi" w:eastAsia="Calibri" w:hAnsiTheme="minorHAnsi" w:cstheme="minorHAnsi"/>
          <w:sz w:val="22"/>
          <w:szCs w:val="22"/>
          <w:lang w:val="es-PE"/>
        </w:rPr>
      </w:pPr>
    </w:p>
    <w:p w14:paraId="3ACBB4BC" w14:textId="3B84A610" w:rsidR="00E23083" w:rsidRPr="00CC6BBF" w:rsidRDefault="00E23083" w:rsidP="00B12E1F">
      <w:pPr>
        <w:spacing w:after="160"/>
        <w:ind w:left="1440" w:firstLine="720"/>
        <w:jc w:val="both"/>
        <w:rPr>
          <w:rFonts w:asciiTheme="minorHAnsi" w:eastAsia="Calibri" w:hAnsiTheme="minorHAnsi" w:cstheme="minorHAnsi"/>
          <w:sz w:val="22"/>
          <w:szCs w:val="22"/>
          <w:lang w:val="es-PE"/>
        </w:rPr>
      </w:pPr>
    </w:p>
    <w:p w14:paraId="33E166D7" w14:textId="5DE990AD" w:rsidR="00E23083" w:rsidRPr="00CC6BBF" w:rsidRDefault="00E23083" w:rsidP="00B12E1F">
      <w:pPr>
        <w:spacing w:after="160"/>
        <w:ind w:left="1440" w:firstLine="720"/>
        <w:jc w:val="both"/>
        <w:rPr>
          <w:rFonts w:asciiTheme="minorHAnsi" w:eastAsia="Calibri" w:hAnsiTheme="minorHAnsi" w:cstheme="minorHAnsi"/>
          <w:sz w:val="22"/>
          <w:szCs w:val="22"/>
          <w:lang w:val="es-PE"/>
        </w:rPr>
      </w:pPr>
    </w:p>
    <w:p w14:paraId="69331813" w14:textId="01E79019" w:rsidR="00E23083" w:rsidRPr="00CC6BBF" w:rsidRDefault="00E23083" w:rsidP="00B12E1F">
      <w:pPr>
        <w:spacing w:after="160"/>
        <w:ind w:left="1440" w:firstLine="720"/>
        <w:jc w:val="both"/>
        <w:rPr>
          <w:rFonts w:asciiTheme="minorHAnsi" w:eastAsia="Calibri" w:hAnsiTheme="minorHAnsi" w:cstheme="minorHAnsi"/>
          <w:sz w:val="22"/>
          <w:szCs w:val="22"/>
          <w:lang w:val="es-PE"/>
        </w:rPr>
      </w:pPr>
    </w:p>
    <w:p w14:paraId="682F862A" w14:textId="42F844C9" w:rsidR="00E23083" w:rsidRPr="00CC6BBF" w:rsidRDefault="00E23083" w:rsidP="00B12E1F">
      <w:pPr>
        <w:spacing w:after="160"/>
        <w:ind w:left="1440" w:firstLine="720"/>
        <w:jc w:val="both"/>
        <w:rPr>
          <w:rFonts w:asciiTheme="minorHAnsi" w:eastAsia="Calibri" w:hAnsiTheme="minorHAnsi" w:cstheme="minorHAnsi"/>
          <w:sz w:val="22"/>
          <w:szCs w:val="22"/>
          <w:lang w:val="es-PE"/>
        </w:rPr>
      </w:pPr>
    </w:p>
    <w:p w14:paraId="023ADD5E" w14:textId="74C4496A" w:rsidR="00E23083" w:rsidRPr="00CC6BBF" w:rsidRDefault="00E23083" w:rsidP="00B12E1F">
      <w:pPr>
        <w:spacing w:after="160"/>
        <w:ind w:left="1440" w:firstLine="720"/>
        <w:jc w:val="both"/>
        <w:rPr>
          <w:rFonts w:asciiTheme="minorHAnsi" w:eastAsia="Calibri" w:hAnsiTheme="minorHAnsi" w:cstheme="minorHAnsi"/>
          <w:sz w:val="22"/>
          <w:szCs w:val="22"/>
          <w:lang w:val="es-PE"/>
        </w:rPr>
      </w:pPr>
    </w:p>
    <w:p w14:paraId="274B060A" w14:textId="4039FA99" w:rsidR="004A576B" w:rsidRPr="00B62815" w:rsidRDefault="001C2CF3" w:rsidP="004F57C6">
      <w:pPr>
        <w:spacing w:after="160"/>
        <w:ind w:left="720" w:firstLine="720"/>
        <w:jc w:val="both"/>
        <w:rPr>
          <w:rFonts w:asciiTheme="minorHAnsi" w:eastAsia="Calibri" w:hAnsiTheme="minorHAnsi" w:cstheme="minorHAnsi"/>
          <w:b/>
          <w:sz w:val="22"/>
          <w:szCs w:val="22"/>
          <w:lang w:val="es-ES"/>
        </w:rPr>
      </w:pPr>
      <w:r w:rsidRPr="00B62815">
        <w:rPr>
          <w:rFonts w:asciiTheme="minorHAnsi" w:hAnsiTheme="minorHAnsi" w:cstheme="minorHAnsi"/>
          <w:noProof/>
          <w:sz w:val="22"/>
          <w:szCs w:val="22"/>
        </w:rPr>
        <w:drawing>
          <wp:anchor distT="0" distB="0" distL="114300" distR="114300" simplePos="0" relativeHeight="251731968" behindDoc="0" locked="0" layoutInCell="1" allowOverlap="1" wp14:anchorId="1D371494" wp14:editId="651D2C22">
            <wp:simplePos x="0" y="0"/>
            <wp:positionH relativeFrom="margin">
              <wp:posOffset>1029335</wp:posOffset>
            </wp:positionH>
            <wp:positionV relativeFrom="margin">
              <wp:posOffset>3232785</wp:posOffset>
            </wp:positionV>
            <wp:extent cx="3571240" cy="2395220"/>
            <wp:effectExtent l="0" t="0" r="0" b="0"/>
            <wp:wrapSquare wrapText="bothSides"/>
            <wp:docPr id="169" name="Picture 2" descr="cid:image001.jpg@01D5F182.5D61F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F182.5D61F140"/>
                    <pic:cNvPicPr>
                      <a:picLocks noChangeAspect="1" noChangeArrowheads="1"/>
                    </pic:cNvPicPr>
                  </pic:nvPicPr>
                  <pic:blipFill>
                    <a:blip r:embed="rId246" r:link="rId247" cstate="screen">
                      <a:extLst>
                        <a:ext uri="{28A0092B-C50C-407E-A947-70E740481C1C}">
                          <a14:useLocalDpi xmlns:a14="http://schemas.microsoft.com/office/drawing/2010/main"/>
                        </a:ext>
                      </a:extLst>
                    </a:blip>
                    <a:srcRect/>
                    <a:stretch>
                      <a:fillRect/>
                    </a:stretch>
                  </pic:blipFill>
                  <pic:spPr bwMode="auto">
                    <a:xfrm>
                      <a:off x="0" y="0"/>
                      <a:ext cx="357124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152" w:rsidRPr="00B62815">
        <w:rPr>
          <w:rFonts w:asciiTheme="minorHAnsi" w:eastAsia="Calibri" w:hAnsiTheme="minorHAnsi" w:cstheme="minorHAnsi"/>
          <w:sz w:val="22"/>
          <w:szCs w:val="22"/>
          <w:lang w:val="es-419"/>
        </w:rPr>
        <w:t>Avances en el enfrentamiento de la malaria en las Américas</w:t>
      </w:r>
    </w:p>
    <w:p w14:paraId="04336B88" w14:textId="014A5533" w:rsidR="00251152" w:rsidRPr="00B62815" w:rsidRDefault="00251152" w:rsidP="004A576B">
      <w:pPr>
        <w:spacing w:after="160"/>
        <w:jc w:val="both"/>
        <w:rPr>
          <w:rFonts w:asciiTheme="minorHAnsi" w:eastAsia="Calibri" w:hAnsiTheme="minorHAnsi" w:cstheme="minorHAnsi"/>
          <w:b/>
          <w:sz w:val="22"/>
          <w:szCs w:val="22"/>
          <w:lang w:val="es-ES"/>
        </w:rPr>
      </w:pPr>
    </w:p>
    <w:p w14:paraId="43B0E5DF" w14:textId="017B24BD" w:rsidR="00251152" w:rsidRPr="00B62815" w:rsidRDefault="00251152" w:rsidP="004A576B">
      <w:pPr>
        <w:spacing w:after="160"/>
        <w:jc w:val="both"/>
        <w:rPr>
          <w:rFonts w:asciiTheme="minorHAnsi" w:eastAsia="Calibri" w:hAnsiTheme="minorHAnsi" w:cstheme="minorHAnsi"/>
          <w:b/>
          <w:sz w:val="22"/>
          <w:szCs w:val="22"/>
          <w:lang w:val="es-ES"/>
        </w:rPr>
      </w:pPr>
    </w:p>
    <w:p w14:paraId="746F6EF4" w14:textId="76FFBC4E" w:rsidR="00251152" w:rsidRPr="00B62815" w:rsidRDefault="00251152" w:rsidP="004A576B">
      <w:pPr>
        <w:spacing w:after="160"/>
        <w:jc w:val="both"/>
        <w:rPr>
          <w:rFonts w:asciiTheme="minorHAnsi" w:eastAsia="Calibri" w:hAnsiTheme="minorHAnsi" w:cstheme="minorHAnsi"/>
          <w:b/>
          <w:sz w:val="22"/>
          <w:szCs w:val="22"/>
          <w:lang w:val="es-ES"/>
        </w:rPr>
      </w:pPr>
    </w:p>
    <w:p w14:paraId="720089C3" w14:textId="4DBEC11D" w:rsidR="00B305B6" w:rsidRPr="00B62815" w:rsidRDefault="00B305B6" w:rsidP="004A576B">
      <w:pPr>
        <w:spacing w:after="160"/>
        <w:jc w:val="both"/>
        <w:rPr>
          <w:rFonts w:asciiTheme="minorHAnsi" w:eastAsia="Calibri" w:hAnsiTheme="minorHAnsi" w:cstheme="minorHAnsi"/>
          <w:b/>
          <w:sz w:val="22"/>
          <w:szCs w:val="22"/>
          <w:lang w:val="es-ES"/>
        </w:rPr>
      </w:pPr>
    </w:p>
    <w:p w14:paraId="19B1F940" w14:textId="21F5BEBF" w:rsidR="00B305B6" w:rsidRPr="00B62815" w:rsidRDefault="00B305B6" w:rsidP="004A576B">
      <w:pPr>
        <w:spacing w:after="160"/>
        <w:jc w:val="both"/>
        <w:rPr>
          <w:rFonts w:asciiTheme="minorHAnsi" w:eastAsia="Calibri" w:hAnsiTheme="minorHAnsi" w:cstheme="minorHAnsi"/>
          <w:b/>
          <w:sz w:val="22"/>
          <w:szCs w:val="22"/>
          <w:lang w:val="es-ES"/>
        </w:rPr>
      </w:pPr>
    </w:p>
    <w:p w14:paraId="5BB3C605" w14:textId="77777777" w:rsidR="00B305B6" w:rsidRPr="00B62815" w:rsidRDefault="00B305B6" w:rsidP="004A576B">
      <w:pPr>
        <w:spacing w:after="160"/>
        <w:jc w:val="both"/>
        <w:rPr>
          <w:rFonts w:asciiTheme="minorHAnsi" w:eastAsia="Calibri" w:hAnsiTheme="minorHAnsi" w:cstheme="minorHAnsi"/>
          <w:b/>
          <w:sz w:val="22"/>
          <w:szCs w:val="22"/>
          <w:lang w:val="es-ES"/>
        </w:rPr>
      </w:pPr>
    </w:p>
    <w:p w14:paraId="1AC08962" w14:textId="77777777" w:rsidR="00B305B6" w:rsidRPr="00B62815" w:rsidRDefault="00B305B6" w:rsidP="004A576B">
      <w:pPr>
        <w:spacing w:after="160"/>
        <w:jc w:val="both"/>
        <w:rPr>
          <w:rFonts w:asciiTheme="minorHAnsi" w:eastAsia="Calibri" w:hAnsiTheme="minorHAnsi" w:cstheme="minorHAnsi"/>
          <w:b/>
          <w:sz w:val="22"/>
          <w:szCs w:val="22"/>
          <w:lang w:val="es-ES"/>
        </w:rPr>
      </w:pPr>
    </w:p>
    <w:p w14:paraId="676326BA" w14:textId="77777777" w:rsidR="00B305B6" w:rsidRPr="00B62815" w:rsidRDefault="00B305B6" w:rsidP="004A576B">
      <w:pPr>
        <w:spacing w:after="160"/>
        <w:jc w:val="both"/>
        <w:rPr>
          <w:rFonts w:asciiTheme="minorHAnsi" w:eastAsia="Calibri" w:hAnsiTheme="minorHAnsi" w:cstheme="minorHAnsi"/>
          <w:b/>
          <w:sz w:val="22"/>
          <w:szCs w:val="22"/>
          <w:lang w:val="es-ES"/>
        </w:rPr>
      </w:pPr>
    </w:p>
    <w:p w14:paraId="61D19B43" w14:textId="77777777" w:rsidR="00B305B6" w:rsidRPr="00B62815" w:rsidRDefault="00B305B6" w:rsidP="004A576B">
      <w:pPr>
        <w:spacing w:after="160"/>
        <w:jc w:val="both"/>
        <w:rPr>
          <w:rFonts w:asciiTheme="minorHAnsi" w:eastAsia="Calibri" w:hAnsiTheme="minorHAnsi" w:cstheme="minorHAnsi"/>
          <w:b/>
          <w:sz w:val="22"/>
          <w:szCs w:val="22"/>
          <w:lang w:val="es-ES"/>
        </w:rPr>
      </w:pPr>
    </w:p>
    <w:p w14:paraId="413E568C" w14:textId="77777777" w:rsidR="00B305B6" w:rsidRPr="00B62815" w:rsidRDefault="00B305B6" w:rsidP="004A576B">
      <w:pPr>
        <w:spacing w:after="160"/>
        <w:jc w:val="both"/>
        <w:rPr>
          <w:rFonts w:asciiTheme="minorHAnsi" w:eastAsia="Calibri" w:hAnsiTheme="minorHAnsi" w:cstheme="minorHAnsi"/>
          <w:b/>
          <w:sz w:val="22"/>
          <w:szCs w:val="22"/>
          <w:lang w:val="es-ES"/>
        </w:rPr>
      </w:pPr>
    </w:p>
    <w:p w14:paraId="0F8B0058" w14:textId="77777777" w:rsidR="00B305B6" w:rsidRPr="00B62815" w:rsidRDefault="00B305B6" w:rsidP="004A576B">
      <w:pPr>
        <w:spacing w:after="160"/>
        <w:jc w:val="both"/>
        <w:rPr>
          <w:rFonts w:asciiTheme="minorHAnsi" w:eastAsia="Calibri" w:hAnsiTheme="minorHAnsi" w:cstheme="minorHAnsi"/>
          <w:b/>
          <w:sz w:val="22"/>
          <w:szCs w:val="22"/>
          <w:lang w:val="es-ES"/>
        </w:rPr>
      </w:pPr>
    </w:p>
    <w:p w14:paraId="6298EE62" w14:textId="77777777" w:rsidR="001E292E" w:rsidRPr="00B62815" w:rsidRDefault="00CA5EDD" w:rsidP="00CE4125">
      <w:pPr>
        <w:pStyle w:val="ListParagraph"/>
        <w:spacing w:after="200" w:line="276" w:lineRule="auto"/>
        <w:ind w:left="0"/>
        <w:contextualSpacing/>
        <w:jc w:val="both"/>
        <w:outlineLvl w:val="1"/>
        <w:rPr>
          <w:rFonts w:asciiTheme="minorHAnsi" w:hAnsiTheme="minorHAnsi" w:cstheme="minorHAnsi"/>
          <w:b/>
          <w:color w:val="1F497D"/>
          <w:sz w:val="22"/>
          <w:szCs w:val="22"/>
          <w:lang w:val="es-ES"/>
        </w:rPr>
      </w:pPr>
      <w:bookmarkStart w:id="128" w:name="_Toc39675875"/>
      <w:bookmarkStart w:id="129" w:name="_Toc40191098"/>
      <w:r w:rsidRPr="00B62815">
        <w:rPr>
          <w:rFonts w:asciiTheme="minorHAnsi" w:hAnsiTheme="minorHAnsi" w:cstheme="minorHAnsi"/>
          <w:b/>
          <w:color w:val="1F497D"/>
          <w:sz w:val="22"/>
          <w:szCs w:val="22"/>
          <w:lang w:val="es-ES"/>
        </w:rPr>
        <w:t>4.</w:t>
      </w:r>
      <w:r w:rsidR="00224B9D" w:rsidRPr="00B62815">
        <w:rPr>
          <w:rFonts w:asciiTheme="minorHAnsi" w:hAnsiTheme="minorHAnsi" w:cstheme="minorHAnsi"/>
          <w:b/>
          <w:color w:val="1F497D"/>
          <w:sz w:val="22"/>
          <w:szCs w:val="22"/>
          <w:lang w:val="es-ES"/>
        </w:rPr>
        <w:t>5</w:t>
      </w:r>
      <w:r w:rsidRPr="00B62815">
        <w:rPr>
          <w:rFonts w:asciiTheme="minorHAnsi" w:hAnsiTheme="minorHAnsi" w:cstheme="minorHAnsi"/>
          <w:b/>
          <w:color w:val="1F497D"/>
          <w:sz w:val="22"/>
          <w:szCs w:val="22"/>
          <w:lang w:val="es-ES"/>
        </w:rPr>
        <w:tab/>
        <w:t>INSTITUTO PANAMERICANO DE GEOGRAFÍA E HISTORIA (IPGH)</w:t>
      </w:r>
      <w:bookmarkEnd w:id="128"/>
      <w:bookmarkEnd w:id="129"/>
    </w:p>
    <w:p w14:paraId="1FFE0B35" w14:textId="77777777" w:rsidR="00811D73" w:rsidRPr="00B62815" w:rsidRDefault="00811D73" w:rsidP="00E71E24">
      <w:pPr>
        <w:pStyle w:val="ListParagraph"/>
        <w:spacing w:line="276" w:lineRule="auto"/>
        <w:ind w:left="0"/>
        <w:contextualSpacing/>
        <w:jc w:val="both"/>
        <w:outlineLvl w:val="1"/>
        <w:rPr>
          <w:rFonts w:asciiTheme="minorHAnsi" w:hAnsiTheme="minorHAnsi" w:cstheme="minorHAnsi"/>
          <w:b/>
          <w:color w:val="1F497D"/>
          <w:sz w:val="22"/>
          <w:szCs w:val="22"/>
          <w:lang w:val="es-ES"/>
        </w:rPr>
      </w:pPr>
    </w:p>
    <w:p w14:paraId="7000AF6A" w14:textId="77777777" w:rsidR="00E71E24" w:rsidRPr="00B62815" w:rsidRDefault="00E71E24" w:rsidP="00E71E24">
      <w:pPr>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 xml:space="preserve">En el transcurso del 2019 la labor del IPGH ha encontrado motivación en responder los siguientes planteamientos necesarios para encaminarse a su modernización: ¿por qué el IPGH es útil para sus Estados Miembros?, ¿qué hizo durante 2019 en ese sentido?, y ¿cómo puede incrementar dicha utilidad? En consecuencia, estas cuestiones han ofrecido una perspectiva diferente para la ejecución de las acciones dentro de los ámbitos científico, administrativo y financiero. </w:t>
      </w:r>
    </w:p>
    <w:p w14:paraId="65567A6E" w14:textId="77777777" w:rsidR="00E71E24" w:rsidRPr="00B62815" w:rsidRDefault="00E71E24" w:rsidP="00E71E24">
      <w:pPr>
        <w:jc w:val="both"/>
        <w:rPr>
          <w:rFonts w:asciiTheme="minorHAnsi" w:hAnsiTheme="minorHAnsi" w:cstheme="minorHAnsi"/>
          <w:spacing w:val="-6"/>
          <w:sz w:val="22"/>
          <w:szCs w:val="22"/>
          <w:lang w:val="es-US"/>
        </w:rPr>
      </w:pPr>
    </w:p>
    <w:p w14:paraId="41A3B0CB" w14:textId="77777777" w:rsidR="00E71E24" w:rsidRPr="00B62815" w:rsidRDefault="00E71E24" w:rsidP="00E71E24">
      <w:pPr>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 xml:space="preserve">Del ámbito científico, se amplió el programa de becas, cuya ejecución en 2020 pluralizará oportunidades y brindará herramientas para las nuevas generaciones de investigadores; asimismo, el apoyo a la investigación en el continente por medio del Programa de Asistencia Técnica que financió 18 propuestas. Otros puntos a resaltar son el inicio de gestiones para el desarrollo de un proyecto conjunto para Centroamérica que integrará Información Geoespacial con Estadística y la difusión de conocimientos a través de las Revistas Científicas yredes sociales, con las cuales se logró mejorar calidad, visibilidad e interacción. </w:t>
      </w:r>
    </w:p>
    <w:p w14:paraId="3FC225A0" w14:textId="77777777" w:rsidR="00E71E24" w:rsidRPr="00B62815" w:rsidRDefault="00E71E24" w:rsidP="00E71E24">
      <w:pPr>
        <w:jc w:val="both"/>
        <w:rPr>
          <w:rFonts w:asciiTheme="minorHAnsi" w:hAnsiTheme="minorHAnsi" w:cstheme="minorHAnsi"/>
          <w:spacing w:val="-10"/>
          <w:sz w:val="22"/>
          <w:szCs w:val="22"/>
          <w:lang w:val="es-US"/>
        </w:rPr>
      </w:pPr>
    </w:p>
    <w:p w14:paraId="162A48B7" w14:textId="77777777" w:rsidR="00E71E24" w:rsidRPr="00B62815" w:rsidRDefault="00E71E24" w:rsidP="00E71E24">
      <w:pPr>
        <w:jc w:val="both"/>
        <w:rPr>
          <w:rFonts w:asciiTheme="minorHAnsi" w:hAnsiTheme="minorHAnsi" w:cstheme="minorHAnsi"/>
          <w:spacing w:val="-10"/>
          <w:sz w:val="22"/>
          <w:szCs w:val="22"/>
          <w:lang w:val="es-US"/>
        </w:rPr>
      </w:pPr>
      <w:r w:rsidRPr="00B62815">
        <w:rPr>
          <w:rFonts w:asciiTheme="minorHAnsi" w:hAnsiTheme="minorHAnsi" w:cstheme="minorHAnsi"/>
          <w:spacing w:val="-10"/>
          <w:sz w:val="22"/>
          <w:szCs w:val="22"/>
          <w:lang w:val="es-US"/>
        </w:rPr>
        <w:t>Sobre el ámbito administrativo son importantes las acciones en la búsqueda de nuevos aliados, como la República de Corea (nuevo Estado Observador) y el trabajo del Grupo de Asesoría Estratégica, cuya labor se encamina a la modernización del IPGH, por medio de la modificación de su Estatuto.</w:t>
      </w:r>
    </w:p>
    <w:p w14:paraId="6F3442EF" w14:textId="77777777" w:rsidR="00E71E24" w:rsidRPr="00B62815" w:rsidRDefault="00E71E24" w:rsidP="00E71E24">
      <w:pPr>
        <w:jc w:val="both"/>
        <w:rPr>
          <w:rFonts w:asciiTheme="minorHAnsi" w:hAnsiTheme="minorHAnsi" w:cstheme="minorHAnsi"/>
          <w:spacing w:val="-10"/>
          <w:sz w:val="22"/>
          <w:szCs w:val="22"/>
          <w:lang w:val="es-US"/>
        </w:rPr>
      </w:pPr>
    </w:p>
    <w:p w14:paraId="42F8BC57" w14:textId="77777777" w:rsidR="00E71E24" w:rsidRPr="00B62815" w:rsidRDefault="00E71E24" w:rsidP="00E71E24">
      <w:pPr>
        <w:jc w:val="both"/>
        <w:rPr>
          <w:rFonts w:asciiTheme="minorHAnsi" w:hAnsiTheme="minorHAnsi" w:cstheme="minorHAnsi"/>
          <w:spacing w:val="-10"/>
          <w:sz w:val="22"/>
          <w:szCs w:val="22"/>
          <w:lang w:val="es-US"/>
        </w:rPr>
      </w:pPr>
      <w:r w:rsidRPr="00B62815">
        <w:rPr>
          <w:rFonts w:asciiTheme="minorHAnsi" w:hAnsiTheme="minorHAnsi" w:cstheme="minorHAnsi"/>
          <w:spacing w:val="-10"/>
          <w:sz w:val="22"/>
          <w:szCs w:val="22"/>
          <w:lang w:val="es-US"/>
        </w:rPr>
        <w:t>En lo que atañe a lo financiero es preciso mencionar, desde una visión realista, que el IPGH presenta una situación crítica debido a la disminución de aportes concernientes a las obligaciones financieras de los Estados Miembros. Gracias al manejo prudente de las finanzas ha operado aun con una importante deuda de cuotas, por lo cual se encuentra ante una coyuntura apremiante.</w:t>
      </w:r>
    </w:p>
    <w:p w14:paraId="5B5E36A3" w14:textId="77777777" w:rsidR="00E71E24" w:rsidRPr="00B62815" w:rsidRDefault="00E71E24" w:rsidP="00E71E24">
      <w:pPr>
        <w:jc w:val="both"/>
        <w:rPr>
          <w:rFonts w:asciiTheme="minorHAnsi" w:hAnsiTheme="minorHAnsi" w:cstheme="minorHAnsi"/>
          <w:spacing w:val="-6"/>
          <w:sz w:val="22"/>
          <w:szCs w:val="22"/>
          <w:lang w:val="es-US"/>
        </w:rPr>
      </w:pPr>
    </w:p>
    <w:p w14:paraId="4862EDAC" w14:textId="77777777" w:rsidR="00E71E24" w:rsidRPr="00B62815" w:rsidRDefault="00E71E24" w:rsidP="00E71E24">
      <w:pPr>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Finalmente, y a sabiendas de esta situación, el IPGH ha trabajado con afán de seguir proveyendo de beneficios a sus Estados Miembros como lo ha hecho por más de 90 años.</w:t>
      </w:r>
    </w:p>
    <w:p w14:paraId="1644ACE3" w14:textId="77777777" w:rsidR="00E71E24" w:rsidRPr="00B62815" w:rsidRDefault="00E71E24" w:rsidP="00E71E24">
      <w:pPr>
        <w:jc w:val="both"/>
        <w:rPr>
          <w:rFonts w:asciiTheme="minorHAnsi" w:hAnsiTheme="minorHAnsi" w:cstheme="minorHAnsi"/>
          <w:spacing w:val="-6"/>
          <w:sz w:val="22"/>
          <w:szCs w:val="22"/>
          <w:lang w:val="es-US"/>
        </w:rPr>
      </w:pPr>
    </w:p>
    <w:p w14:paraId="63A94C4A" w14:textId="77777777" w:rsidR="00E71E24" w:rsidRPr="00B62815" w:rsidRDefault="00E71E24" w:rsidP="00E71E24">
      <w:pPr>
        <w:jc w:val="both"/>
        <w:rPr>
          <w:rFonts w:asciiTheme="minorHAnsi" w:hAnsiTheme="minorHAnsi" w:cstheme="minorHAnsi"/>
          <w:b/>
          <w:spacing w:val="-6"/>
          <w:sz w:val="22"/>
          <w:szCs w:val="22"/>
        </w:rPr>
      </w:pPr>
      <w:r w:rsidRPr="00B62815">
        <w:rPr>
          <w:rFonts w:asciiTheme="minorHAnsi" w:hAnsiTheme="minorHAnsi" w:cstheme="minorHAnsi"/>
          <w:b/>
          <w:spacing w:val="-6"/>
          <w:sz w:val="22"/>
          <w:szCs w:val="22"/>
        </w:rPr>
        <w:t>Ámbito científico</w:t>
      </w:r>
    </w:p>
    <w:p w14:paraId="70E0AC30" w14:textId="77777777" w:rsidR="00E71E24" w:rsidRPr="00B62815" w:rsidRDefault="00E71E24" w:rsidP="00E71E24">
      <w:pPr>
        <w:jc w:val="both"/>
        <w:rPr>
          <w:rFonts w:asciiTheme="minorHAnsi" w:hAnsiTheme="minorHAnsi" w:cstheme="minorHAnsi"/>
          <w:b/>
          <w:spacing w:val="-6"/>
          <w:sz w:val="22"/>
          <w:szCs w:val="22"/>
        </w:rPr>
      </w:pPr>
    </w:p>
    <w:p w14:paraId="763AB08F" w14:textId="77777777" w:rsidR="00E71E24" w:rsidRPr="00B62815" w:rsidRDefault="00E71E24" w:rsidP="00E67635">
      <w:pPr>
        <w:pStyle w:val="ListParagraph"/>
        <w:numPr>
          <w:ilvl w:val="0"/>
          <w:numId w:val="96"/>
        </w:numPr>
        <w:spacing w:after="160"/>
        <w:ind w:left="360"/>
        <w:contextualSpacing/>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Programa de Asistencia Técnica (PAT): Aumento del 63% de nuevos postulantes para el PAT gracias a nuevas estrategias de difusión e incremento del 6% de participación de los Estados Miembros del IPGH.</w:t>
      </w:r>
      <w:r w:rsidRPr="00B62815">
        <w:rPr>
          <w:rStyle w:val="FootnoteReference"/>
          <w:rFonts w:asciiTheme="minorHAnsi" w:hAnsiTheme="minorHAnsi" w:cstheme="minorHAnsi"/>
          <w:spacing w:val="-6"/>
          <w:sz w:val="22"/>
          <w:szCs w:val="22"/>
        </w:rPr>
        <w:footnoteReference w:id="21"/>
      </w:r>
    </w:p>
    <w:p w14:paraId="4494595B" w14:textId="77777777" w:rsidR="00E71E24" w:rsidRPr="00B62815" w:rsidRDefault="00E71E24" w:rsidP="00E67635">
      <w:pPr>
        <w:pStyle w:val="ListParagraph"/>
        <w:numPr>
          <w:ilvl w:val="0"/>
          <w:numId w:val="96"/>
        </w:numPr>
        <w:spacing w:after="160"/>
        <w:ind w:left="360"/>
        <w:contextualSpacing/>
        <w:jc w:val="both"/>
        <w:rPr>
          <w:rFonts w:asciiTheme="minorHAnsi" w:hAnsiTheme="minorHAnsi" w:cstheme="minorHAnsi"/>
          <w:b/>
          <w:spacing w:val="-8"/>
          <w:sz w:val="22"/>
          <w:szCs w:val="22"/>
          <w:lang w:val="es-US"/>
        </w:rPr>
      </w:pPr>
      <w:r w:rsidRPr="00B62815">
        <w:rPr>
          <w:rFonts w:asciiTheme="minorHAnsi" w:hAnsiTheme="minorHAnsi" w:cstheme="minorHAnsi"/>
          <w:spacing w:val="-8"/>
          <w:sz w:val="22"/>
          <w:szCs w:val="22"/>
          <w:lang w:val="es-US"/>
        </w:rPr>
        <w:t>Se amplió el programa de becas para las Comisiones de Cartografía, Geografía e Historia.</w:t>
      </w:r>
    </w:p>
    <w:p w14:paraId="0A34D832" w14:textId="77777777" w:rsidR="00E71E24" w:rsidRPr="00B62815" w:rsidRDefault="00E71E24" w:rsidP="00E67635">
      <w:pPr>
        <w:pStyle w:val="ListParagraph"/>
        <w:numPr>
          <w:ilvl w:val="0"/>
          <w:numId w:val="96"/>
        </w:numPr>
        <w:spacing w:after="160"/>
        <w:ind w:left="360"/>
        <w:contextualSpacing/>
        <w:jc w:val="both"/>
        <w:rPr>
          <w:rFonts w:asciiTheme="minorHAnsi" w:hAnsiTheme="minorHAnsi" w:cstheme="minorHAnsi"/>
          <w:b/>
          <w:spacing w:val="-6"/>
          <w:sz w:val="22"/>
          <w:szCs w:val="22"/>
          <w:lang w:val="es-US"/>
        </w:rPr>
      </w:pPr>
      <w:r w:rsidRPr="00B62815">
        <w:rPr>
          <w:rFonts w:asciiTheme="minorHAnsi" w:hAnsiTheme="minorHAnsi" w:cstheme="minorHAnsi"/>
          <w:spacing w:val="-6"/>
          <w:sz w:val="22"/>
          <w:szCs w:val="22"/>
          <w:lang w:val="es-US"/>
        </w:rPr>
        <w:t>Se concretaron 21 becas otorgadas por la República de Corea para un participante de cada Estado Miembro para la capacitación en “Nombres Geográficos”.</w:t>
      </w:r>
    </w:p>
    <w:p w14:paraId="2856AB5D" w14:textId="77777777" w:rsidR="00E71E24" w:rsidRPr="00B62815" w:rsidRDefault="00E71E24" w:rsidP="00E67635">
      <w:pPr>
        <w:pStyle w:val="ListParagraph"/>
        <w:numPr>
          <w:ilvl w:val="0"/>
          <w:numId w:val="96"/>
        </w:numPr>
        <w:ind w:left="360"/>
        <w:contextualSpacing/>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Revistas Científicas: La edición tuvo un incremento de 20% en relación al 2018. En total se publicaron 10 números</w:t>
      </w:r>
      <w:r w:rsidRPr="00B62815">
        <w:rPr>
          <w:rStyle w:val="FootnoteReference"/>
          <w:rFonts w:asciiTheme="minorHAnsi" w:hAnsiTheme="minorHAnsi" w:cstheme="minorHAnsi"/>
          <w:spacing w:val="-6"/>
          <w:sz w:val="22"/>
          <w:szCs w:val="22"/>
        </w:rPr>
        <w:footnoteReference w:id="22"/>
      </w:r>
      <w:r w:rsidRPr="00B62815">
        <w:rPr>
          <w:rFonts w:asciiTheme="minorHAnsi" w:hAnsiTheme="minorHAnsi" w:cstheme="minorHAnsi"/>
          <w:spacing w:val="-6"/>
          <w:sz w:val="22"/>
          <w:szCs w:val="22"/>
          <w:lang w:val="es-US"/>
        </w:rPr>
        <w:t>. Transición de lo impreso a lo digital con el uso de plataformas de acceso abierto para la presentación de artículos e inclusión en índices académicos.</w:t>
      </w:r>
    </w:p>
    <w:p w14:paraId="1FF8E747" w14:textId="77777777" w:rsidR="00E71E24" w:rsidRPr="00B62815" w:rsidRDefault="00E71E24" w:rsidP="00E67635">
      <w:pPr>
        <w:pStyle w:val="ListParagraph"/>
        <w:numPr>
          <w:ilvl w:val="0"/>
          <w:numId w:val="96"/>
        </w:numPr>
        <w:ind w:left="360"/>
        <w:contextualSpacing/>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Están disponibles en formato digital el 50% de revistas científicas (319 números)</w:t>
      </w:r>
      <w:r w:rsidRPr="00B62815">
        <w:rPr>
          <w:rStyle w:val="FootnoteReference"/>
          <w:rFonts w:asciiTheme="minorHAnsi" w:hAnsiTheme="minorHAnsi" w:cstheme="minorHAnsi"/>
          <w:spacing w:val="-6"/>
          <w:sz w:val="22"/>
          <w:szCs w:val="22"/>
        </w:rPr>
        <w:footnoteReference w:id="23"/>
      </w:r>
      <w:r w:rsidRPr="00B62815">
        <w:rPr>
          <w:rFonts w:asciiTheme="minorHAnsi" w:hAnsiTheme="minorHAnsi" w:cstheme="minorHAnsi"/>
          <w:spacing w:val="-6"/>
          <w:sz w:val="22"/>
          <w:szCs w:val="22"/>
          <w:lang w:val="es-US"/>
        </w:rPr>
        <w:t>, publicadas a lo largo de la historia del Instituto, además de la presentación de cinco obras, que por su contenido y antigüedad se consideran invaluables.</w:t>
      </w:r>
      <w:r w:rsidRPr="00B62815">
        <w:rPr>
          <w:rStyle w:val="FootnoteReference"/>
          <w:rFonts w:asciiTheme="minorHAnsi" w:hAnsiTheme="minorHAnsi" w:cstheme="minorHAnsi"/>
          <w:spacing w:val="-6"/>
          <w:sz w:val="22"/>
          <w:szCs w:val="22"/>
        </w:rPr>
        <w:footnoteReference w:id="24"/>
      </w:r>
    </w:p>
    <w:p w14:paraId="2ACD5620" w14:textId="77777777" w:rsidR="00E71E24" w:rsidRPr="00B62815" w:rsidRDefault="00E71E24" w:rsidP="00E67635">
      <w:pPr>
        <w:pStyle w:val="ListParagraph"/>
        <w:numPr>
          <w:ilvl w:val="0"/>
          <w:numId w:val="96"/>
        </w:numPr>
        <w:ind w:left="360"/>
        <w:contextualSpacing/>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Alrededor de 40 mil seguidores se sumaron a la comunidad en torno a las redes sociales, procedentes de 45 países diferentes, de los cuales 23 son estados americanos. Esto fue un incremento de más del 60% con respecto al año anterior.</w:t>
      </w:r>
    </w:p>
    <w:p w14:paraId="226DE078" w14:textId="77777777" w:rsidR="00E71E24" w:rsidRPr="00B62815" w:rsidRDefault="00E71E24" w:rsidP="00E71E24">
      <w:pPr>
        <w:jc w:val="both"/>
        <w:rPr>
          <w:rFonts w:asciiTheme="minorHAnsi" w:hAnsiTheme="minorHAnsi" w:cstheme="minorHAnsi"/>
          <w:spacing w:val="-6"/>
          <w:sz w:val="22"/>
          <w:szCs w:val="22"/>
          <w:lang w:val="es-US"/>
        </w:rPr>
      </w:pPr>
    </w:p>
    <w:p w14:paraId="6C492313" w14:textId="77777777" w:rsidR="00E71E24" w:rsidRPr="00B62815" w:rsidRDefault="00E71E24" w:rsidP="00E71E24">
      <w:pPr>
        <w:jc w:val="both"/>
        <w:rPr>
          <w:rFonts w:asciiTheme="minorHAnsi" w:hAnsiTheme="minorHAnsi" w:cstheme="minorHAnsi"/>
          <w:b/>
          <w:spacing w:val="-6"/>
          <w:sz w:val="22"/>
          <w:szCs w:val="22"/>
        </w:rPr>
      </w:pPr>
      <w:r w:rsidRPr="00B62815">
        <w:rPr>
          <w:rFonts w:asciiTheme="minorHAnsi" w:hAnsiTheme="minorHAnsi" w:cstheme="minorHAnsi"/>
          <w:b/>
          <w:spacing w:val="-6"/>
          <w:sz w:val="22"/>
          <w:szCs w:val="22"/>
        </w:rPr>
        <w:t>Ámbito Administrativo</w:t>
      </w:r>
    </w:p>
    <w:p w14:paraId="4CD374AE" w14:textId="77777777" w:rsidR="00E71E24" w:rsidRPr="00B62815" w:rsidRDefault="00E71E24" w:rsidP="00E71E24">
      <w:pPr>
        <w:jc w:val="both"/>
        <w:rPr>
          <w:rFonts w:asciiTheme="minorHAnsi" w:hAnsiTheme="minorHAnsi" w:cstheme="minorHAnsi"/>
          <w:b/>
          <w:spacing w:val="-6"/>
          <w:sz w:val="22"/>
          <w:szCs w:val="22"/>
        </w:rPr>
      </w:pPr>
    </w:p>
    <w:p w14:paraId="67301CE3" w14:textId="77777777" w:rsidR="00E71E24" w:rsidRPr="00B62815" w:rsidRDefault="00E71E24" w:rsidP="00E67635">
      <w:pPr>
        <w:pStyle w:val="ListParagraph"/>
        <w:numPr>
          <w:ilvl w:val="0"/>
          <w:numId w:val="98"/>
        </w:numPr>
        <w:ind w:left="426" w:hanging="426"/>
        <w:contextualSpacing/>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Adhesión de la República de Corea como Observador Permanente.</w:t>
      </w:r>
    </w:p>
    <w:p w14:paraId="3BD11CF6" w14:textId="77777777" w:rsidR="00E71E24" w:rsidRPr="00B62815" w:rsidRDefault="00E71E24" w:rsidP="00E67635">
      <w:pPr>
        <w:pStyle w:val="ListParagraph"/>
        <w:numPr>
          <w:ilvl w:val="0"/>
          <w:numId w:val="98"/>
        </w:numPr>
        <w:ind w:left="426" w:hanging="426"/>
        <w:contextualSpacing/>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 xml:space="preserve">Grupo de Asesoría Estratégica: Con el afán de modernizar al Instituto, se logró concretar un primer borrador del nuevo Estatuto Orgánico del IPGH. </w:t>
      </w:r>
    </w:p>
    <w:p w14:paraId="6050E3CE" w14:textId="77777777" w:rsidR="00E71E24" w:rsidRPr="00B62815" w:rsidRDefault="00E71E24" w:rsidP="00E71E24">
      <w:pPr>
        <w:jc w:val="both"/>
        <w:rPr>
          <w:rFonts w:asciiTheme="minorHAnsi" w:hAnsiTheme="minorHAnsi" w:cstheme="minorHAnsi"/>
          <w:spacing w:val="-6"/>
          <w:sz w:val="22"/>
          <w:szCs w:val="22"/>
          <w:lang w:val="es-US"/>
        </w:rPr>
      </w:pPr>
    </w:p>
    <w:p w14:paraId="1A4038E5" w14:textId="77777777" w:rsidR="00E71E24" w:rsidRPr="00B62815" w:rsidRDefault="00E71E24" w:rsidP="00E71E24">
      <w:pPr>
        <w:jc w:val="both"/>
        <w:rPr>
          <w:rFonts w:asciiTheme="minorHAnsi" w:hAnsiTheme="minorHAnsi" w:cstheme="minorHAnsi"/>
          <w:b/>
          <w:spacing w:val="-6"/>
          <w:sz w:val="22"/>
          <w:szCs w:val="22"/>
        </w:rPr>
      </w:pPr>
      <w:r w:rsidRPr="00B62815">
        <w:rPr>
          <w:rFonts w:asciiTheme="minorHAnsi" w:hAnsiTheme="minorHAnsi" w:cstheme="minorHAnsi"/>
          <w:b/>
          <w:spacing w:val="-6"/>
          <w:sz w:val="22"/>
          <w:szCs w:val="22"/>
        </w:rPr>
        <w:t>Ámbito Financiero</w:t>
      </w:r>
    </w:p>
    <w:p w14:paraId="2CD3619D" w14:textId="77777777" w:rsidR="00E71E24" w:rsidRPr="00B62815" w:rsidRDefault="00E71E24" w:rsidP="00E71E24">
      <w:pPr>
        <w:jc w:val="both"/>
        <w:rPr>
          <w:rFonts w:asciiTheme="minorHAnsi" w:hAnsiTheme="minorHAnsi" w:cstheme="minorHAnsi"/>
          <w:b/>
          <w:spacing w:val="-6"/>
          <w:sz w:val="22"/>
          <w:szCs w:val="22"/>
        </w:rPr>
      </w:pPr>
    </w:p>
    <w:p w14:paraId="44549542" w14:textId="77777777" w:rsidR="00E71E24" w:rsidRPr="00B62815" w:rsidRDefault="00E71E24" w:rsidP="00E67635">
      <w:pPr>
        <w:pStyle w:val="ListParagraph"/>
        <w:numPr>
          <w:ilvl w:val="0"/>
          <w:numId w:val="97"/>
        </w:numPr>
        <w:spacing w:after="160" w:line="252" w:lineRule="auto"/>
        <w:contextualSpacing/>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De los ingresos por cuotas de los Estados Miembros en 2019, se recibió el 79% de lo presupuestado.</w:t>
      </w:r>
    </w:p>
    <w:p w14:paraId="7BEEDAEA" w14:textId="77777777" w:rsidR="00E71E24" w:rsidRPr="00B62815" w:rsidRDefault="00E71E24" w:rsidP="00E67635">
      <w:pPr>
        <w:pStyle w:val="ListParagraph"/>
        <w:numPr>
          <w:ilvl w:val="0"/>
          <w:numId w:val="97"/>
        </w:numPr>
        <w:contextualSpacing/>
        <w:jc w:val="both"/>
        <w:rPr>
          <w:rFonts w:asciiTheme="minorHAnsi" w:hAnsiTheme="minorHAnsi" w:cstheme="minorHAnsi"/>
          <w:spacing w:val="-6"/>
          <w:sz w:val="22"/>
          <w:szCs w:val="22"/>
          <w:lang w:val="es-US"/>
        </w:rPr>
      </w:pPr>
      <w:r w:rsidRPr="00B62815">
        <w:rPr>
          <w:rFonts w:asciiTheme="minorHAnsi" w:hAnsiTheme="minorHAnsi" w:cstheme="minorHAnsi"/>
          <w:spacing w:val="-6"/>
          <w:sz w:val="22"/>
          <w:szCs w:val="22"/>
          <w:lang w:val="es-US"/>
        </w:rPr>
        <w:t>Del adeudo total de cuotas de los Estados Miembros en 2019, el 89% corresponde a la deuda acumulada de dos Estados Miembros.</w:t>
      </w:r>
      <w:r w:rsidRPr="00B62815">
        <w:rPr>
          <w:rStyle w:val="FootnoteReference"/>
          <w:rFonts w:asciiTheme="minorHAnsi" w:hAnsiTheme="minorHAnsi" w:cstheme="minorHAnsi"/>
          <w:spacing w:val="-6"/>
          <w:sz w:val="22"/>
          <w:szCs w:val="22"/>
        </w:rPr>
        <w:footnoteReference w:id="25"/>
      </w:r>
    </w:p>
    <w:p w14:paraId="15515053" w14:textId="77777777" w:rsidR="00E71E24" w:rsidRPr="00B62815" w:rsidRDefault="00E71E24" w:rsidP="00E67635">
      <w:pPr>
        <w:pStyle w:val="ListParagraph"/>
        <w:numPr>
          <w:ilvl w:val="0"/>
          <w:numId w:val="97"/>
        </w:numPr>
        <w:spacing w:line="276" w:lineRule="auto"/>
        <w:contextualSpacing/>
        <w:jc w:val="both"/>
        <w:rPr>
          <w:rFonts w:asciiTheme="minorHAnsi" w:hAnsiTheme="minorHAnsi" w:cstheme="minorHAnsi"/>
          <w:spacing w:val="-2"/>
          <w:sz w:val="22"/>
          <w:szCs w:val="22"/>
          <w:lang w:val="es-US"/>
        </w:rPr>
      </w:pPr>
      <w:r w:rsidRPr="00B62815">
        <w:rPr>
          <w:rFonts w:asciiTheme="minorHAnsi" w:hAnsiTheme="minorHAnsi" w:cstheme="minorHAnsi"/>
          <w:spacing w:val="-2"/>
          <w:sz w:val="22"/>
          <w:szCs w:val="22"/>
          <w:lang w:val="es-US"/>
        </w:rPr>
        <w:t>Los ingresos por membresía de Socios Cooperadores llegaron al 2.9% del ingreso total del IPGH, este significó un incremento del 151% respecto al 2018.</w:t>
      </w:r>
      <w:r w:rsidRPr="00B62815">
        <w:rPr>
          <w:rStyle w:val="FootnoteReference"/>
          <w:rFonts w:asciiTheme="minorHAnsi" w:hAnsiTheme="minorHAnsi" w:cstheme="minorHAnsi"/>
          <w:spacing w:val="-2"/>
          <w:sz w:val="22"/>
          <w:szCs w:val="22"/>
        </w:rPr>
        <w:footnoteReference w:id="26"/>
      </w:r>
    </w:p>
    <w:p w14:paraId="6B8349CE" w14:textId="77777777" w:rsidR="00E71E24" w:rsidRPr="00B62815" w:rsidRDefault="00E71E24" w:rsidP="00E71E24">
      <w:pPr>
        <w:pStyle w:val="ListParagraph"/>
        <w:spacing w:line="276" w:lineRule="auto"/>
        <w:ind w:left="360"/>
        <w:jc w:val="both"/>
        <w:rPr>
          <w:rFonts w:asciiTheme="minorHAnsi" w:hAnsiTheme="minorHAnsi" w:cstheme="minorHAnsi"/>
          <w:spacing w:val="-2"/>
          <w:sz w:val="22"/>
          <w:szCs w:val="22"/>
          <w:lang w:val="es-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71"/>
      </w:tblGrid>
      <w:tr w:rsidR="00E71E24" w:rsidRPr="00B62815" w14:paraId="5A088181" w14:textId="77777777" w:rsidTr="00E67635">
        <w:trPr>
          <w:jc w:val="center"/>
        </w:trPr>
        <w:tc>
          <w:tcPr>
            <w:tcW w:w="4471" w:type="dxa"/>
            <w:tcBorders>
              <w:top w:val="nil"/>
              <w:left w:val="nil"/>
              <w:bottom w:val="nil"/>
              <w:right w:val="nil"/>
            </w:tcBorders>
            <w:shd w:val="clear" w:color="auto" w:fill="auto"/>
          </w:tcPr>
          <w:p w14:paraId="26B352E2" w14:textId="77777777" w:rsidR="00E71E24" w:rsidRPr="00B62815" w:rsidRDefault="001C2CF3" w:rsidP="00E67635">
            <w:pPr>
              <w:spacing w:line="276" w:lineRule="auto"/>
              <w:rPr>
                <w:rFonts w:asciiTheme="minorHAnsi" w:eastAsia="Calibri" w:hAnsiTheme="minorHAnsi" w:cstheme="minorHAnsi"/>
                <w:spacing w:val="-2"/>
                <w:sz w:val="22"/>
                <w:szCs w:val="22"/>
              </w:rPr>
            </w:pPr>
            <w:r w:rsidRPr="00B62815">
              <w:rPr>
                <w:rFonts w:asciiTheme="minorHAnsi" w:eastAsia="Calibri" w:hAnsiTheme="minorHAnsi" w:cstheme="minorHAnsi"/>
                <w:noProof/>
                <w:spacing w:val="-2"/>
                <w:sz w:val="22"/>
                <w:szCs w:val="22"/>
              </w:rPr>
              <w:drawing>
                <wp:inline distT="0" distB="0" distL="0" distR="0" wp14:anchorId="2B33014D" wp14:editId="5EC59E7E">
                  <wp:extent cx="2736850" cy="1573530"/>
                  <wp:effectExtent l="0" t="0" r="0"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8" cstate="screen">
                            <a:extLst>
                              <a:ext uri="{28A0092B-C50C-407E-A947-70E740481C1C}">
                                <a14:useLocalDpi xmlns:a14="http://schemas.microsoft.com/office/drawing/2010/main"/>
                              </a:ext>
                            </a:extLst>
                          </a:blip>
                          <a:srcRect/>
                          <a:stretch>
                            <a:fillRect/>
                          </a:stretch>
                        </pic:blipFill>
                        <pic:spPr bwMode="auto">
                          <a:xfrm>
                            <a:off x="0" y="0"/>
                            <a:ext cx="2736850" cy="1573530"/>
                          </a:xfrm>
                          <a:prstGeom prst="rect">
                            <a:avLst/>
                          </a:prstGeom>
                          <a:noFill/>
                          <a:ln>
                            <a:noFill/>
                          </a:ln>
                        </pic:spPr>
                      </pic:pic>
                    </a:graphicData>
                  </a:graphic>
                </wp:inline>
              </w:drawing>
            </w:r>
          </w:p>
        </w:tc>
        <w:tc>
          <w:tcPr>
            <w:tcW w:w="4471" w:type="dxa"/>
            <w:tcBorders>
              <w:top w:val="nil"/>
              <w:left w:val="nil"/>
              <w:bottom w:val="nil"/>
              <w:right w:val="nil"/>
            </w:tcBorders>
            <w:shd w:val="clear" w:color="auto" w:fill="auto"/>
          </w:tcPr>
          <w:p w14:paraId="487F6312" w14:textId="77777777" w:rsidR="00E71E24" w:rsidRPr="00B62815" w:rsidRDefault="001C2CF3" w:rsidP="00E67635">
            <w:pPr>
              <w:spacing w:line="276" w:lineRule="auto"/>
              <w:jc w:val="right"/>
              <w:rPr>
                <w:rFonts w:asciiTheme="minorHAnsi" w:eastAsia="Calibri" w:hAnsiTheme="minorHAnsi" w:cstheme="minorHAnsi"/>
                <w:spacing w:val="-2"/>
                <w:sz w:val="22"/>
                <w:szCs w:val="22"/>
              </w:rPr>
            </w:pPr>
            <w:r w:rsidRPr="00B62815">
              <w:rPr>
                <w:rFonts w:asciiTheme="minorHAnsi" w:eastAsia="Calibri" w:hAnsiTheme="minorHAnsi" w:cstheme="minorHAnsi"/>
                <w:noProof/>
                <w:spacing w:val="-2"/>
                <w:sz w:val="22"/>
                <w:szCs w:val="22"/>
              </w:rPr>
              <w:drawing>
                <wp:inline distT="0" distB="0" distL="0" distR="0" wp14:anchorId="5E5E3877" wp14:editId="5FA90E43">
                  <wp:extent cx="2637155" cy="1592580"/>
                  <wp:effectExtent l="0" t="0" r="0" b="0"/>
                  <wp:docPr id="39" name="Picture 39" descr="IMG_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4018"/>
                          <pic:cNvPicPr>
                            <a:picLocks noChangeAspect="1" noChangeArrowheads="1"/>
                          </pic:cNvPicPr>
                        </pic:nvPicPr>
                        <pic:blipFill>
                          <a:blip r:embed="rId249" cstate="screen">
                            <a:extLst>
                              <a:ext uri="{28A0092B-C50C-407E-A947-70E740481C1C}">
                                <a14:useLocalDpi xmlns:a14="http://schemas.microsoft.com/office/drawing/2010/main"/>
                              </a:ext>
                            </a:extLst>
                          </a:blip>
                          <a:srcRect/>
                          <a:stretch>
                            <a:fillRect/>
                          </a:stretch>
                        </pic:blipFill>
                        <pic:spPr bwMode="auto">
                          <a:xfrm>
                            <a:off x="0" y="0"/>
                            <a:ext cx="2637155" cy="1592580"/>
                          </a:xfrm>
                          <a:prstGeom prst="rect">
                            <a:avLst/>
                          </a:prstGeom>
                          <a:noFill/>
                          <a:ln>
                            <a:noFill/>
                          </a:ln>
                        </pic:spPr>
                      </pic:pic>
                    </a:graphicData>
                  </a:graphic>
                </wp:inline>
              </w:drawing>
            </w:r>
          </w:p>
        </w:tc>
      </w:tr>
      <w:tr w:rsidR="00E71E24" w:rsidRPr="00625659" w14:paraId="417ABF6D" w14:textId="77777777" w:rsidTr="00E67635">
        <w:trPr>
          <w:jc w:val="center"/>
        </w:trPr>
        <w:tc>
          <w:tcPr>
            <w:tcW w:w="4471" w:type="dxa"/>
            <w:tcBorders>
              <w:top w:val="nil"/>
              <w:left w:val="nil"/>
              <w:bottom w:val="nil"/>
              <w:right w:val="nil"/>
            </w:tcBorders>
            <w:shd w:val="clear" w:color="auto" w:fill="auto"/>
          </w:tcPr>
          <w:p w14:paraId="135D1525" w14:textId="77777777" w:rsidR="00E71E24" w:rsidRPr="00B62815" w:rsidRDefault="00E71E24" w:rsidP="00E67635">
            <w:pPr>
              <w:spacing w:line="276" w:lineRule="auto"/>
              <w:jc w:val="center"/>
              <w:rPr>
                <w:rFonts w:asciiTheme="minorHAnsi" w:eastAsia="Calibri" w:hAnsiTheme="minorHAnsi" w:cstheme="minorHAnsi"/>
                <w:i/>
                <w:spacing w:val="-2"/>
                <w:sz w:val="22"/>
                <w:szCs w:val="22"/>
              </w:rPr>
            </w:pPr>
            <w:r w:rsidRPr="00B62815">
              <w:rPr>
                <w:rFonts w:asciiTheme="minorHAnsi" w:eastAsia="Calibri" w:hAnsiTheme="minorHAnsi" w:cstheme="minorHAnsi"/>
                <w:i/>
                <w:spacing w:val="-2"/>
                <w:sz w:val="22"/>
                <w:szCs w:val="22"/>
                <w:lang w:val="es-US"/>
              </w:rPr>
              <w:t xml:space="preserve">4ta Reunión Técnica de las Comisiones. </w:t>
            </w:r>
            <w:r w:rsidRPr="00B62815">
              <w:rPr>
                <w:rFonts w:asciiTheme="minorHAnsi" w:eastAsia="Calibri" w:hAnsiTheme="minorHAnsi" w:cstheme="minorHAnsi"/>
                <w:i/>
                <w:spacing w:val="-2"/>
                <w:sz w:val="22"/>
                <w:szCs w:val="22"/>
              </w:rPr>
              <w:t>8-10 julio.</w:t>
            </w:r>
          </w:p>
        </w:tc>
        <w:tc>
          <w:tcPr>
            <w:tcW w:w="4471" w:type="dxa"/>
            <w:tcBorders>
              <w:top w:val="nil"/>
              <w:left w:val="nil"/>
              <w:bottom w:val="nil"/>
              <w:right w:val="nil"/>
            </w:tcBorders>
            <w:shd w:val="clear" w:color="auto" w:fill="auto"/>
          </w:tcPr>
          <w:p w14:paraId="7500F9C4" w14:textId="77777777" w:rsidR="00E71E24" w:rsidRPr="00B62815" w:rsidRDefault="00E71E24" w:rsidP="00E67635">
            <w:pPr>
              <w:jc w:val="center"/>
              <w:rPr>
                <w:rFonts w:asciiTheme="minorHAnsi" w:eastAsia="Calibri" w:hAnsiTheme="minorHAnsi" w:cstheme="minorHAnsi"/>
                <w:i/>
                <w:spacing w:val="-2"/>
                <w:sz w:val="22"/>
                <w:szCs w:val="22"/>
                <w:lang w:val="es-US"/>
              </w:rPr>
            </w:pPr>
            <w:r w:rsidRPr="00B62815">
              <w:rPr>
                <w:rFonts w:asciiTheme="minorHAnsi" w:eastAsia="Calibri" w:hAnsiTheme="minorHAnsi" w:cstheme="minorHAnsi"/>
                <w:i/>
                <w:spacing w:val="-2"/>
                <w:sz w:val="22"/>
                <w:szCs w:val="22"/>
                <w:lang w:val="es-US"/>
              </w:rPr>
              <w:t>Grupo de Trabajo de Editores del IPGH.</w:t>
            </w:r>
          </w:p>
        </w:tc>
      </w:tr>
    </w:tbl>
    <w:p w14:paraId="1D0E8FBE" w14:textId="77777777" w:rsidR="00811D73" w:rsidRPr="00B62815" w:rsidRDefault="00811D73" w:rsidP="00CE4125">
      <w:pPr>
        <w:pStyle w:val="ListParagraph"/>
        <w:spacing w:after="200" w:line="276" w:lineRule="auto"/>
        <w:ind w:left="0"/>
        <w:contextualSpacing/>
        <w:jc w:val="both"/>
        <w:outlineLvl w:val="1"/>
        <w:rPr>
          <w:rFonts w:asciiTheme="minorHAnsi" w:hAnsiTheme="minorHAnsi" w:cstheme="minorHAnsi"/>
          <w:b/>
          <w:color w:val="1F497D"/>
          <w:sz w:val="22"/>
          <w:szCs w:val="22"/>
          <w:lang w:val="es-US"/>
        </w:rPr>
      </w:pPr>
    </w:p>
    <w:p w14:paraId="52AD2904" w14:textId="77777777" w:rsidR="00E71E24" w:rsidRPr="00B62815" w:rsidRDefault="00E71E24" w:rsidP="00E71E24">
      <w:pPr>
        <w:pStyle w:val="FootnoteText"/>
        <w:rPr>
          <w:rFonts w:asciiTheme="minorHAnsi" w:hAnsiTheme="minorHAnsi" w:cstheme="minorHAnsi"/>
          <w:sz w:val="22"/>
          <w:szCs w:val="22"/>
          <w:lang w:val="es-US"/>
        </w:rPr>
      </w:pPr>
      <w:r w:rsidRPr="00B62815">
        <w:rPr>
          <w:rStyle w:val="FootnoteReference"/>
          <w:rFonts w:asciiTheme="minorHAnsi" w:hAnsiTheme="minorHAnsi" w:cstheme="minorHAnsi"/>
          <w:sz w:val="22"/>
          <w:szCs w:val="22"/>
        </w:rPr>
        <w:footnoteRef/>
      </w:r>
      <w:r w:rsidRPr="00B62815">
        <w:rPr>
          <w:rFonts w:asciiTheme="minorHAnsi" w:hAnsiTheme="minorHAnsi" w:cstheme="minorHAnsi"/>
          <w:sz w:val="22"/>
          <w:szCs w:val="22"/>
          <w:lang w:val="es-US"/>
        </w:rPr>
        <w:t xml:space="preserve"> Documentos del Ámbito Financiero: </w:t>
      </w:r>
      <w:r w:rsidRPr="00B62815">
        <w:rPr>
          <w:rFonts w:asciiTheme="minorHAnsi" w:hAnsiTheme="minorHAnsi" w:cstheme="minorHAnsi"/>
          <w:sz w:val="22"/>
          <w:szCs w:val="22"/>
        </w:rPr>
        <w:sym w:font="Symbol" w:char="F03C"/>
      </w:r>
      <w:hyperlink r:id="rId250" w:anchor="cuotas" w:history="1">
        <w:r w:rsidRPr="00B62815">
          <w:rPr>
            <w:rStyle w:val="Hyperlink"/>
            <w:rFonts w:asciiTheme="minorHAnsi" w:hAnsiTheme="minorHAnsi" w:cstheme="minorHAnsi"/>
            <w:sz w:val="22"/>
            <w:szCs w:val="22"/>
            <w:lang w:val="es-US"/>
          </w:rPr>
          <w:t>https://ipgh.org/financiero.html#cuotas</w:t>
        </w:r>
      </w:hyperlink>
      <w:r w:rsidRPr="00B62815">
        <w:rPr>
          <w:rFonts w:asciiTheme="minorHAnsi" w:hAnsiTheme="minorHAnsi" w:cstheme="minorHAnsi"/>
          <w:sz w:val="22"/>
          <w:szCs w:val="22"/>
        </w:rPr>
        <w:sym w:font="Symbol" w:char="F03E"/>
      </w:r>
      <w:r w:rsidRPr="00B62815">
        <w:rPr>
          <w:rFonts w:asciiTheme="minorHAnsi" w:hAnsiTheme="minorHAnsi" w:cstheme="minorHAnsi"/>
          <w:sz w:val="22"/>
          <w:szCs w:val="22"/>
          <w:lang w:val="es-US"/>
        </w:rPr>
        <w:t>.</w:t>
      </w:r>
    </w:p>
    <w:p w14:paraId="580B52BF" w14:textId="77777777" w:rsidR="00811D73" w:rsidRPr="00B62815" w:rsidRDefault="00E71E24" w:rsidP="00C54AD3">
      <w:pPr>
        <w:pStyle w:val="ListParagraph"/>
        <w:spacing w:after="200" w:line="276" w:lineRule="auto"/>
        <w:ind w:left="0"/>
        <w:contextualSpacing/>
        <w:jc w:val="both"/>
        <w:rPr>
          <w:rFonts w:asciiTheme="minorHAnsi" w:hAnsiTheme="minorHAnsi" w:cstheme="minorHAnsi"/>
          <w:sz w:val="22"/>
          <w:szCs w:val="22"/>
          <w:lang w:val="es-US"/>
        </w:rPr>
      </w:pPr>
      <w:r w:rsidRPr="00B62815">
        <w:rPr>
          <w:rStyle w:val="FootnoteReference"/>
          <w:rFonts w:asciiTheme="minorHAnsi" w:hAnsiTheme="minorHAnsi" w:cstheme="minorHAnsi"/>
          <w:sz w:val="22"/>
          <w:szCs w:val="22"/>
        </w:rPr>
        <w:footnoteRef/>
      </w:r>
      <w:r w:rsidRPr="00B62815">
        <w:rPr>
          <w:rFonts w:asciiTheme="minorHAnsi" w:hAnsiTheme="minorHAnsi" w:cstheme="minorHAnsi"/>
          <w:sz w:val="22"/>
          <w:szCs w:val="22"/>
          <w:lang w:val="es-US"/>
        </w:rPr>
        <w:t xml:space="preserve"> Socios Cooperadores del IPGH: </w:t>
      </w:r>
      <w:r w:rsidRPr="00B62815">
        <w:rPr>
          <w:rFonts w:asciiTheme="minorHAnsi" w:hAnsiTheme="minorHAnsi" w:cstheme="minorHAnsi"/>
          <w:sz w:val="22"/>
          <w:szCs w:val="22"/>
        </w:rPr>
        <w:sym w:font="Symbol" w:char="F03C"/>
      </w:r>
      <w:hyperlink r:id="rId251" w:history="1">
        <w:r w:rsidRPr="00B62815">
          <w:rPr>
            <w:rStyle w:val="Hyperlink"/>
            <w:rFonts w:asciiTheme="minorHAnsi" w:hAnsiTheme="minorHAnsi" w:cstheme="minorHAnsi"/>
            <w:sz w:val="22"/>
            <w:szCs w:val="22"/>
            <w:lang w:val="es-US"/>
          </w:rPr>
          <w:t>https://ipgh.org/socios-cooperadores.html</w:t>
        </w:r>
      </w:hyperlink>
      <w:r w:rsidRPr="00B62815">
        <w:rPr>
          <w:rFonts w:asciiTheme="minorHAnsi" w:hAnsiTheme="minorHAnsi" w:cstheme="minorHAnsi"/>
          <w:sz w:val="22"/>
          <w:szCs w:val="22"/>
        </w:rPr>
        <w:sym w:font="Symbol" w:char="F03E"/>
      </w:r>
      <w:r w:rsidRPr="00B62815">
        <w:rPr>
          <w:rFonts w:asciiTheme="minorHAnsi" w:hAnsiTheme="minorHAnsi" w:cstheme="minorHAnsi"/>
          <w:sz w:val="22"/>
          <w:szCs w:val="22"/>
          <w:lang w:val="es-US"/>
        </w:rPr>
        <w:t>.</w:t>
      </w:r>
    </w:p>
    <w:p w14:paraId="4572507D" w14:textId="6EDB3B90" w:rsidR="00811D73" w:rsidRDefault="00811D73" w:rsidP="00CE4125">
      <w:pPr>
        <w:pStyle w:val="ListParagraph"/>
        <w:spacing w:after="200" w:line="276" w:lineRule="auto"/>
        <w:ind w:left="0"/>
        <w:contextualSpacing/>
        <w:jc w:val="both"/>
        <w:outlineLvl w:val="1"/>
        <w:rPr>
          <w:rFonts w:asciiTheme="minorHAnsi" w:hAnsiTheme="minorHAnsi" w:cstheme="minorHAnsi"/>
          <w:b/>
          <w:color w:val="1F497D"/>
          <w:sz w:val="22"/>
          <w:szCs w:val="22"/>
          <w:lang w:val="es-ES"/>
        </w:rPr>
      </w:pPr>
    </w:p>
    <w:p w14:paraId="6B88F115" w14:textId="6535041D" w:rsidR="00625659" w:rsidRDefault="00625659">
      <w:pPr>
        <w:rPr>
          <w:rFonts w:asciiTheme="minorHAnsi" w:hAnsiTheme="minorHAnsi" w:cstheme="minorHAnsi"/>
          <w:b/>
          <w:color w:val="1F497D"/>
          <w:sz w:val="22"/>
          <w:szCs w:val="22"/>
          <w:lang w:val="es-ES"/>
        </w:rPr>
      </w:pPr>
      <w:r>
        <w:rPr>
          <w:rFonts w:asciiTheme="minorHAnsi" w:hAnsiTheme="minorHAnsi" w:cstheme="minorHAnsi"/>
          <w:b/>
          <w:color w:val="1F497D"/>
          <w:sz w:val="22"/>
          <w:szCs w:val="22"/>
          <w:lang w:val="es-ES"/>
        </w:rPr>
        <w:br w:type="page"/>
      </w:r>
    </w:p>
    <w:p w14:paraId="4D86A2DA" w14:textId="77777777" w:rsidR="00D2474B" w:rsidRPr="00B62815" w:rsidRDefault="00127EBB" w:rsidP="0037172C">
      <w:pPr>
        <w:shd w:val="clear" w:color="auto" w:fill="E36C0A"/>
        <w:outlineLvl w:val="0"/>
        <w:rPr>
          <w:rFonts w:asciiTheme="minorHAnsi" w:eastAsia="Calibri" w:hAnsiTheme="minorHAnsi" w:cstheme="minorHAnsi"/>
          <w:b/>
          <w:color w:val="FFFFFF"/>
          <w:sz w:val="22"/>
          <w:szCs w:val="22"/>
          <w:lang w:val="es-ES"/>
        </w:rPr>
      </w:pPr>
      <w:bookmarkStart w:id="130" w:name="_Toc39675876"/>
      <w:bookmarkStart w:id="131" w:name="_Toc40191099"/>
      <w:r w:rsidRPr="00B62815">
        <w:rPr>
          <w:rFonts w:asciiTheme="minorHAnsi" w:hAnsiTheme="minorHAnsi" w:cstheme="minorHAnsi"/>
          <w:b/>
          <w:color w:val="FFFFFF"/>
          <w:sz w:val="22"/>
          <w:szCs w:val="22"/>
          <w:lang w:val="es-ES"/>
        </w:rPr>
        <w:t>5.</w:t>
      </w:r>
      <w:r w:rsidR="00D2474B" w:rsidRPr="00B62815">
        <w:rPr>
          <w:rFonts w:asciiTheme="minorHAnsi" w:hAnsiTheme="minorHAnsi" w:cstheme="minorHAnsi"/>
          <w:b/>
          <w:sz w:val="22"/>
          <w:szCs w:val="22"/>
          <w:lang w:val="es-ES"/>
        </w:rPr>
        <w:tab/>
      </w:r>
      <w:r w:rsidR="00D2474B" w:rsidRPr="00B62815">
        <w:rPr>
          <w:rFonts w:asciiTheme="minorHAnsi" w:eastAsia="Calibri" w:hAnsiTheme="minorHAnsi" w:cstheme="minorHAnsi"/>
          <w:b/>
          <w:color w:val="FFFFFF"/>
          <w:sz w:val="22"/>
          <w:szCs w:val="22"/>
          <w:lang w:val="es-ES"/>
        </w:rPr>
        <w:t>ACTIVIDADES DEL SECRETARIO GENERAL Y SECRETARIO GENERAL ADJUNTO FUERA DE LA SEDE</w:t>
      </w:r>
      <w:bookmarkEnd w:id="130"/>
      <w:bookmarkEnd w:id="131"/>
    </w:p>
    <w:p w14:paraId="41225E0F" w14:textId="77777777" w:rsidR="00D2474B" w:rsidRPr="00B62815" w:rsidRDefault="00D2474B" w:rsidP="00D2474B">
      <w:pPr>
        <w:ind w:left="720"/>
        <w:outlineLvl w:val="1"/>
        <w:rPr>
          <w:rFonts w:asciiTheme="minorHAnsi" w:eastAsia="Times New Roman" w:hAnsiTheme="minorHAnsi" w:cstheme="minorHAnsi"/>
          <w:b/>
          <w:color w:val="1F497D"/>
          <w:sz w:val="22"/>
          <w:szCs w:val="22"/>
          <w:lang w:val="es-ES"/>
        </w:rPr>
      </w:pPr>
      <w:bookmarkStart w:id="132" w:name="_Toc482358065"/>
      <w:bookmarkStart w:id="133" w:name="_Toc511207718"/>
      <w:bookmarkStart w:id="134" w:name="_Toc513122745"/>
    </w:p>
    <w:p w14:paraId="5E7F4F9F" w14:textId="77777777" w:rsidR="00D2474B" w:rsidRPr="00B62815" w:rsidRDefault="00D2474B" w:rsidP="00CE4125">
      <w:pPr>
        <w:outlineLvl w:val="1"/>
        <w:rPr>
          <w:rFonts w:asciiTheme="minorHAnsi" w:eastAsia="Times New Roman" w:hAnsiTheme="minorHAnsi" w:cstheme="minorHAnsi"/>
          <w:b/>
          <w:color w:val="1F497D"/>
          <w:sz w:val="22"/>
          <w:szCs w:val="22"/>
          <w:lang w:val="es-ES"/>
        </w:rPr>
      </w:pPr>
      <w:bookmarkStart w:id="135" w:name="_Toc39675877"/>
      <w:bookmarkStart w:id="136" w:name="_Toc40191100"/>
      <w:r w:rsidRPr="00B62815">
        <w:rPr>
          <w:rFonts w:asciiTheme="minorHAnsi" w:eastAsia="Times New Roman" w:hAnsiTheme="minorHAnsi" w:cstheme="minorHAnsi"/>
          <w:b/>
          <w:color w:val="1F497D"/>
          <w:sz w:val="22"/>
          <w:szCs w:val="22"/>
          <w:lang w:val="es-ES"/>
        </w:rPr>
        <w:t>5.1</w:t>
      </w:r>
      <w:r w:rsidR="00BC78D5" w:rsidRPr="00B62815">
        <w:rPr>
          <w:rFonts w:asciiTheme="minorHAnsi" w:eastAsia="Times New Roman" w:hAnsiTheme="minorHAnsi" w:cstheme="minorHAnsi"/>
          <w:b/>
          <w:color w:val="1F497D"/>
          <w:sz w:val="22"/>
          <w:szCs w:val="22"/>
          <w:lang w:val="es-ES"/>
        </w:rPr>
        <w:tab/>
      </w:r>
      <w:r w:rsidRPr="00B62815">
        <w:rPr>
          <w:rFonts w:asciiTheme="minorHAnsi" w:eastAsia="Times New Roman" w:hAnsiTheme="minorHAnsi" w:cstheme="minorHAnsi"/>
          <w:b/>
          <w:color w:val="1F497D"/>
          <w:sz w:val="22"/>
          <w:szCs w:val="22"/>
          <w:lang w:val="es-ES"/>
        </w:rPr>
        <w:t xml:space="preserve"> ACTIVIDADES DEL SECRETARIO GENERAL FUERA DE LA SEDE</w:t>
      </w:r>
      <w:bookmarkEnd w:id="132"/>
      <w:bookmarkEnd w:id="133"/>
      <w:bookmarkEnd w:id="134"/>
      <w:bookmarkEnd w:id="135"/>
      <w:bookmarkEnd w:id="136"/>
    </w:p>
    <w:p w14:paraId="551E6F5C" w14:textId="77777777" w:rsidR="00E23083" w:rsidRPr="00B62815" w:rsidRDefault="00E23083" w:rsidP="00CE4125">
      <w:pPr>
        <w:outlineLvl w:val="1"/>
        <w:rPr>
          <w:rFonts w:asciiTheme="minorHAnsi" w:eastAsia="Times New Roman" w:hAnsiTheme="minorHAnsi" w:cstheme="minorHAnsi"/>
          <w:b/>
          <w:color w:val="1F497D"/>
          <w:sz w:val="22"/>
          <w:szCs w:val="22"/>
          <w:lang w:val="es-ES"/>
        </w:rPr>
      </w:pPr>
    </w:p>
    <w:p w14:paraId="0BA30C25" w14:textId="77777777" w:rsidR="00E956EF" w:rsidRPr="00B62815" w:rsidRDefault="00E956EF" w:rsidP="00E956EF">
      <w:pPr>
        <w:rPr>
          <w:rFonts w:asciiTheme="minorHAnsi" w:hAnsiTheme="minorHAnsi" w:cstheme="minorHAnsi"/>
          <w:b/>
          <w:sz w:val="22"/>
          <w:szCs w:val="22"/>
          <w:u w:val="single"/>
          <w:lang w:val="es-ES"/>
        </w:rPr>
      </w:pPr>
    </w:p>
    <w:p w14:paraId="09159441" w14:textId="77777777" w:rsidR="00E956EF" w:rsidRPr="00B62815" w:rsidRDefault="00E956EF" w:rsidP="00E956EF">
      <w:pPr>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Enero</w:t>
      </w:r>
    </w:p>
    <w:p w14:paraId="1BE5268E" w14:textId="77777777" w:rsidR="00E956EF" w:rsidRPr="00B62815" w:rsidRDefault="00E956EF" w:rsidP="00E956EF">
      <w:pPr>
        <w:rPr>
          <w:rFonts w:asciiTheme="minorHAnsi" w:hAnsiTheme="minorHAnsi" w:cstheme="minorHAnsi"/>
          <w:b/>
          <w:sz w:val="22"/>
          <w:szCs w:val="22"/>
          <w:u w:val="single"/>
          <w:lang w:val="es-ES"/>
        </w:rPr>
      </w:pPr>
    </w:p>
    <w:p w14:paraId="4104DE1E" w14:textId="77777777" w:rsidR="00E956EF" w:rsidRPr="00B62815" w:rsidRDefault="00E956EF" w:rsidP="00E956EF">
      <w:pPr>
        <w:rPr>
          <w:rFonts w:asciiTheme="minorHAnsi" w:hAnsiTheme="minorHAnsi" w:cstheme="minorHAnsi"/>
          <w:sz w:val="22"/>
          <w:szCs w:val="22"/>
          <w:lang w:val="es-PE"/>
        </w:rPr>
      </w:pPr>
      <w:r w:rsidRPr="00B62815">
        <w:rPr>
          <w:rFonts w:asciiTheme="minorHAnsi" w:hAnsiTheme="minorHAnsi" w:cstheme="minorHAnsi"/>
          <w:sz w:val="22"/>
          <w:szCs w:val="22"/>
          <w:lang w:val="es-ES"/>
        </w:rPr>
        <w:t>No hubo viajes.</w:t>
      </w:r>
    </w:p>
    <w:p w14:paraId="494175B6" w14:textId="7D649573" w:rsidR="00E956EF" w:rsidRPr="00B62815" w:rsidRDefault="00E956EF" w:rsidP="00E956EF">
      <w:pPr>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 </w:t>
      </w:r>
    </w:p>
    <w:p w14:paraId="6F4DB20A" w14:textId="77777777" w:rsidR="00E956EF" w:rsidRPr="00B62815" w:rsidRDefault="00E956EF" w:rsidP="00E956EF">
      <w:pPr>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Febrero</w:t>
      </w:r>
    </w:p>
    <w:p w14:paraId="12B40B31" w14:textId="77777777" w:rsidR="00E956EF" w:rsidRPr="00B62815" w:rsidRDefault="00E956EF" w:rsidP="00E956EF">
      <w:pPr>
        <w:rPr>
          <w:rFonts w:asciiTheme="minorHAnsi" w:hAnsiTheme="minorHAnsi" w:cstheme="minorHAnsi"/>
          <w:b/>
          <w:sz w:val="22"/>
          <w:szCs w:val="22"/>
          <w:u w:val="single"/>
          <w:lang w:val="es-ES"/>
        </w:rPr>
      </w:pPr>
    </w:p>
    <w:p w14:paraId="201E1D76"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17-21</w:t>
      </w:r>
      <w:r w:rsidRPr="00B62815">
        <w:rPr>
          <w:rFonts w:asciiTheme="minorHAnsi" w:hAnsiTheme="minorHAnsi" w:cstheme="minorHAnsi"/>
          <w:sz w:val="22"/>
          <w:szCs w:val="22"/>
          <w:lang w:val="es-US"/>
        </w:rPr>
        <w:tab/>
        <w:t>Madrid and Pamplona, Spain.</w:t>
      </w:r>
    </w:p>
    <w:p w14:paraId="3E5CF65C"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26 Congreso (WJA) en Madrid.</w:t>
      </w:r>
    </w:p>
    <w:p w14:paraId="0F63EDA2"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Firma de Acuerdo con Universidad de Navarra.</w:t>
      </w:r>
    </w:p>
    <w:p w14:paraId="07A01AE6" w14:textId="77777777" w:rsidR="00E956EF" w:rsidRPr="00B62815" w:rsidRDefault="00E956EF" w:rsidP="00E956EF">
      <w:pPr>
        <w:ind w:left="1080" w:firstLine="720"/>
        <w:rPr>
          <w:rFonts w:asciiTheme="minorHAnsi" w:hAnsiTheme="minorHAnsi" w:cstheme="minorHAnsi"/>
          <w:sz w:val="22"/>
          <w:szCs w:val="22"/>
          <w:lang w:val="es-US"/>
        </w:rPr>
      </w:pPr>
    </w:p>
    <w:p w14:paraId="2434A221"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21-25</w:t>
      </w:r>
      <w:r w:rsidRPr="00B62815">
        <w:rPr>
          <w:rFonts w:asciiTheme="minorHAnsi" w:hAnsiTheme="minorHAnsi" w:cstheme="minorHAnsi"/>
          <w:sz w:val="22"/>
          <w:szCs w:val="22"/>
          <w:lang w:val="es-US"/>
        </w:rPr>
        <w:tab/>
        <w:t>Bogotá, Colombia,</w:t>
      </w:r>
    </w:p>
    <w:p w14:paraId="123C84C9" w14:textId="77777777" w:rsidR="00E956EF" w:rsidRPr="00B62815" w:rsidRDefault="00E956EF" w:rsidP="00E956EF">
      <w:pPr>
        <w:tabs>
          <w:tab w:val="left" w:pos="1980"/>
        </w:tabs>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ab/>
        <w:t>Grupo de Lima.</w:t>
      </w:r>
    </w:p>
    <w:p w14:paraId="36BEE0B9" w14:textId="77777777" w:rsidR="00E956EF" w:rsidRPr="00B62815" w:rsidRDefault="00E956EF" w:rsidP="00E956EF">
      <w:pPr>
        <w:ind w:left="1080" w:firstLine="720"/>
        <w:rPr>
          <w:rFonts w:asciiTheme="minorHAnsi" w:hAnsiTheme="minorHAnsi" w:cstheme="minorHAnsi"/>
          <w:sz w:val="22"/>
          <w:szCs w:val="22"/>
          <w:lang w:val="es-US"/>
        </w:rPr>
      </w:pPr>
    </w:p>
    <w:p w14:paraId="53BFDA8B"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25-26</w:t>
      </w:r>
      <w:r w:rsidRPr="00B62815">
        <w:rPr>
          <w:rFonts w:asciiTheme="minorHAnsi" w:hAnsiTheme="minorHAnsi" w:cstheme="minorHAnsi"/>
          <w:sz w:val="22"/>
          <w:szCs w:val="22"/>
          <w:lang w:val="es-US"/>
        </w:rPr>
        <w:tab/>
        <w:t>Ciudad de Mexico,</w:t>
      </w:r>
    </w:p>
    <w:p w14:paraId="022FEF53" w14:textId="77777777" w:rsidR="00E956EF" w:rsidRPr="00673757" w:rsidRDefault="00E956EF" w:rsidP="00E956EF">
      <w:pPr>
        <w:ind w:left="1800"/>
        <w:rPr>
          <w:rFonts w:asciiTheme="minorHAnsi" w:hAnsiTheme="minorHAnsi" w:cstheme="minorHAnsi"/>
          <w:sz w:val="22"/>
          <w:szCs w:val="22"/>
          <w:lang w:val="es-PE"/>
        </w:rPr>
      </w:pPr>
      <w:r w:rsidRPr="00673757">
        <w:rPr>
          <w:rFonts w:asciiTheme="minorHAnsi" w:hAnsiTheme="minorHAnsi" w:cstheme="minorHAnsi"/>
          <w:sz w:val="22"/>
          <w:szCs w:val="22"/>
          <w:lang w:val="es-PE"/>
        </w:rPr>
        <w:t>Oslo Freedom Forum. Premio Rómulo Betancourt a la Diplomacia Democrática.</w:t>
      </w:r>
    </w:p>
    <w:p w14:paraId="1B37E889" w14:textId="16C65856" w:rsidR="00E956EF" w:rsidRPr="00B62815" w:rsidRDefault="00E956EF" w:rsidP="00030F66">
      <w:pPr>
        <w:ind w:left="1800"/>
        <w:rPr>
          <w:rFonts w:asciiTheme="minorHAnsi" w:hAnsiTheme="minorHAnsi" w:cstheme="minorHAnsi"/>
          <w:sz w:val="22"/>
          <w:szCs w:val="22"/>
          <w:lang w:val="es-US"/>
        </w:rPr>
      </w:pPr>
      <w:r w:rsidRPr="00B62815">
        <w:rPr>
          <w:rFonts w:asciiTheme="minorHAnsi" w:hAnsiTheme="minorHAnsi" w:cstheme="minorHAnsi"/>
          <w:sz w:val="22"/>
          <w:szCs w:val="22"/>
          <w:lang w:val="es-US"/>
        </w:rPr>
        <w:tab/>
      </w:r>
      <w:r w:rsidRPr="00B62815">
        <w:rPr>
          <w:rFonts w:asciiTheme="minorHAnsi" w:hAnsiTheme="minorHAnsi" w:cstheme="minorHAnsi"/>
          <w:sz w:val="22"/>
          <w:szCs w:val="22"/>
          <w:lang w:val="es-US"/>
        </w:rPr>
        <w:tab/>
        <w:t xml:space="preserve">    </w:t>
      </w:r>
      <w:r w:rsidRPr="00B62815">
        <w:rPr>
          <w:rFonts w:asciiTheme="minorHAnsi" w:hAnsiTheme="minorHAnsi" w:cstheme="minorHAnsi"/>
          <w:sz w:val="22"/>
          <w:szCs w:val="22"/>
          <w:lang w:val="es-US"/>
        </w:rPr>
        <w:tab/>
      </w:r>
    </w:p>
    <w:p w14:paraId="4AE08CD4" w14:textId="77777777" w:rsidR="00E956EF" w:rsidRPr="00F43808" w:rsidRDefault="00E956EF" w:rsidP="00E956EF">
      <w:pPr>
        <w:rPr>
          <w:rFonts w:asciiTheme="minorHAnsi" w:hAnsiTheme="minorHAnsi" w:cstheme="minorHAnsi"/>
          <w:b/>
          <w:sz w:val="22"/>
          <w:szCs w:val="22"/>
          <w:u w:val="single"/>
        </w:rPr>
      </w:pPr>
      <w:r w:rsidRPr="00F43808">
        <w:rPr>
          <w:rFonts w:asciiTheme="minorHAnsi" w:hAnsiTheme="minorHAnsi" w:cstheme="minorHAnsi"/>
          <w:b/>
          <w:sz w:val="22"/>
          <w:szCs w:val="22"/>
          <w:u w:val="single"/>
        </w:rPr>
        <w:t>Marzo</w:t>
      </w:r>
    </w:p>
    <w:p w14:paraId="23876D08" w14:textId="77777777" w:rsidR="00E956EF" w:rsidRPr="00F43808" w:rsidRDefault="00E956EF" w:rsidP="00E956EF">
      <w:pPr>
        <w:rPr>
          <w:rFonts w:asciiTheme="minorHAnsi" w:hAnsiTheme="minorHAnsi" w:cstheme="minorHAnsi"/>
          <w:sz w:val="22"/>
          <w:szCs w:val="22"/>
          <w:u w:val="single"/>
        </w:rPr>
      </w:pPr>
    </w:p>
    <w:p w14:paraId="1D6E9D22" w14:textId="77777777" w:rsidR="00E956EF" w:rsidRPr="00B62815" w:rsidRDefault="00E956EF" w:rsidP="00E956EF">
      <w:pPr>
        <w:ind w:left="1800" w:hanging="1800"/>
        <w:rPr>
          <w:rFonts w:asciiTheme="minorHAnsi" w:hAnsiTheme="minorHAnsi" w:cstheme="minorHAnsi"/>
          <w:sz w:val="22"/>
          <w:szCs w:val="22"/>
        </w:rPr>
      </w:pPr>
      <w:r w:rsidRPr="00B62815">
        <w:rPr>
          <w:rFonts w:asciiTheme="minorHAnsi" w:hAnsiTheme="minorHAnsi" w:cstheme="minorHAnsi"/>
          <w:sz w:val="22"/>
          <w:szCs w:val="22"/>
        </w:rPr>
        <w:t>1-2</w:t>
      </w:r>
      <w:r w:rsidRPr="00B62815">
        <w:rPr>
          <w:rFonts w:asciiTheme="minorHAnsi" w:hAnsiTheme="minorHAnsi" w:cstheme="minorHAnsi"/>
          <w:sz w:val="22"/>
          <w:szCs w:val="22"/>
        </w:rPr>
        <w:tab/>
        <w:t>Boston, MA.</w:t>
      </w:r>
    </w:p>
    <w:p w14:paraId="378ED0EF" w14:textId="77777777" w:rsidR="00E956EF" w:rsidRPr="00B62815" w:rsidRDefault="00E956EF" w:rsidP="00E956EF">
      <w:pPr>
        <w:ind w:left="1800"/>
        <w:rPr>
          <w:rFonts w:asciiTheme="minorHAnsi" w:hAnsiTheme="minorHAnsi" w:cstheme="minorHAnsi"/>
          <w:sz w:val="22"/>
          <w:szCs w:val="22"/>
        </w:rPr>
      </w:pPr>
      <w:r w:rsidRPr="00B62815">
        <w:rPr>
          <w:rFonts w:asciiTheme="minorHAnsi" w:hAnsiTheme="minorHAnsi" w:cstheme="minorHAnsi"/>
          <w:sz w:val="22"/>
          <w:szCs w:val="22"/>
        </w:rPr>
        <w:t xml:space="preserve">Agenda Latin American Conf. Harvard Kennedy School of Government. </w:t>
      </w:r>
    </w:p>
    <w:p w14:paraId="7CF22169" w14:textId="77777777" w:rsidR="00E956EF" w:rsidRPr="00B62815" w:rsidRDefault="00E956EF" w:rsidP="00E956EF">
      <w:pPr>
        <w:ind w:left="1080" w:firstLine="720"/>
        <w:rPr>
          <w:rFonts w:asciiTheme="minorHAnsi" w:hAnsiTheme="minorHAnsi" w:cstheme="minorHAnsi"/>
          <w:sz w:val="22"/>
          <w:szCs w:val="22"/>
        </w:rPr>
      </w:pPr>
    </w:p>
    <w:p w14:paraId="6FF8A903"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25-27</w:t>
      </w:r>
      <w:r w:rsidRPr="00B62815">
        <w:rPr>
          <w:rFonts w:asciiTheme="minorHAnsi" w:hAnsiTheme="minorHAnsi" w:cstheme="minorHAnsi"/>
          <w:sz w:val="22"/>
          <w:szCs w:val="22"/>
          <w:lang w:val="es-US"/>
        </w:rPr>
        <w:tab/>
        <w:t>Buenos Aires, Argentina.</w:t>
      </w:r>
    </w:p>
    <w:p w14:paraId="3178B946" w14:textId="77777777" w:rsidR="00E956EF" w:rsidRPr="00B62815" w:rsidRDefault="00E956EF" w:rsidP="00E956EF">
      <w:pPr>
        <w:ind w:left="1800"/>
        <w:rPr>
          <w:rFonts w:asciiTheme="minorHAnsi" w:hAnsiTheme="minorHAnsi" w:cstheme="minorHAnsi"/>
          <w:sz w:val="22"/>
          <w:szCs w:val="22"/>
          <w:lang w:val="es-US"/>
        </w:rPr>
      </w:pPr>
      <w:r w:rsidRPr="00B62815">
        <w:rPr>
          <w:rFonts w:asciiTheme="minorHAnsi" w:hAnsiTheme="minorHAnsi" w:cstheme="minorHAnsi"/>
          <w:sz w:val="22"/>
          <w:szCs w:val="22"/>
          <w:lang w:val="es-US"/>
        </w:rPr>
        <w:t>Viaje Oficial.</w:t>
      </w:r>
    </w:p>
    <w:p w14:paraId="7F687C88" w14:textId="77777777" w:rsidR="00E956EF" w:rsidRPr="00B62815" w:rsidRDefault="00E956EF" w:rsidP="00E956EF">
      <w:pPr>
        <w:ind w:left="1080" w:firstLine="720"/>
        <w:rPr>
          <w:rFonts w:asciiTheme="minorHAnsi" w:hAnsiTheme="minorHAnsi" w:cstheme="minorHAnsi"/>
          <w:sz w:val="22"/>
          <w:szCs w:val="22"/>
          <w:lang w:val="es-US"/>
        </w:rPr>
      </w:pPr>
    </w:p>
    <w:p w14:paraId="667E5FE5"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27-28</w:t>
      </w:r>
      <w:r w:rsidRPr="00B62815">
        <w:rPr>
          <w:rFonts w:asciiTheme="minorHAnsi" w:hAnsiTheme="minorHAnsi" w:cstheme="minorHAnsi"/>
          <w:sz w:val="22"/>
          <w:szCs w:val="22"/>
          <w:lang w:val="es-US"/>
        </w:rPr>
        <w:tab/>
        <w:t>Ciudad de Guatemala.</w:t>
      </w:r>
    </w:p>
    <w:p w14:paraId="1931C303" w14:textId="77777777" w:rsidR="00E956EF" w:rsidRPr="00B62815" w:rsidRDefault="00E956EF" w:rsidP="00E956EF">
      <w:pPr>
        <w:ind w:left="1800"/>
        <w:rPr>
          <w:rFonts w:asciiTheme="minorHAnsi" w:hAnsiTheme="minorHAnsi" w:cstheme="minorHAnsi"/>
          <w:sz w:val="22"/>
          <w:szCs w:val="22"/>
          <w:lang w:val="es-US"/>
        </w:rPr>
      </w:pPr>
      <w:r w:rsidRPr="00B62815">
        <w:rPr>
          <w:rFonts w:asciiTheme="minorHAnsi" w:hAnsiTheme="minorHAnsi" w:cstheme="minorHAnsi"/>
          <w:sz w:val="22"/>
          <w:szCs w:val="22"/>
          <w:lang w:val="es-US"/>
        </w:rPr>
        <w:t>IV Reunión de Ministros y Altas Autoridades de Desarrollo Social. REMDES.</w:t>
      </w:r>
    </w:p>
    <w:p w14:paraId="2513165E" w14:textId="77777777" w:rsidR="00E956EF" w:rsidRPr="00B62815" w:rsidRDefault="00E956EF" w:rsidP="00E956EF">
      <w:pPr>
        <w:ind w:left="1080" w:firstLine="720"/>
        <w:rPr>
          <w:rFonts w:asciiTheme="minorHAnsi" w:hAnsiTheme="minorHAnsi" w:cstheme="minorHAnsi"/>
          <w:sz w:val="22"/>
          <w:szCs w:val="22"/>
          <w:lang w:val="es-US"/>
        </w:rPr>
      </w:pPr>
    </w:p>
    <w:p w14:paraId="684DEA8A"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28-29</w:t>
      </w:r>
      <w:r w:rsidRPr="00B62815">
        <w:rPr>
          <w:rFonts w:asciiTheme="minorHAnsi" w:hAnsiTheme="minorHAnsi" w:cstheme="minorHAnsi"/>
          <w:sz w:val="22"/>
          <w:szCs w:val="22"/>
          <w:lang w:val="es-US"/>
        </w:rPr>
        <w:tab/>
        <w:t>Cartagena, Colombia.</w:t>
      </w:r>
    </w:p>
    <w:p w14:paraId="102B9A89" w14:textId="77777777" w:rsidR="00E956EF" w:rsidRPr="00B62815" w:rsidRDefault="00E956EF" w:rsidP="00E956EF">
      <w:pPr>
        <w:ind w:left="1080" w:firstLine="720"/>
        <w:rPr>
          <w:rFonts w:asciiTheme="minorHAnsi" w:hAnsiTheme="minorHAnsi" w:cstheme="minorHAnsi"/>
          <w:sz w:val="22"/>
          <w:szCs w:val="22"/>
          <w:lang w:val="es-ES"/>
        </w:rPr>
      </w:pPr>
      <w:r w:rsidRPr="00B62815">
        <w:rPr>
          <w:rFonts w:asciiTheme="minorHAnsi" w:hAnsiTheme="minorHAnsi" w:cstheme="minorHAnsi"/>
          <w:sz w:val="22"/>
          <w:szCs w:val="22"/>
          <w:lang w:val="es-ES"/>
        </w:rPr>
        <w:t xml:space="preserve">Sociedad Interamericana de Prensa. SIPIAPA. </w:t>
      </w:r>
    </w:p>
    <w:p w14:paraId="2D712037" w14:textId="77777777" w:rsidR="00E956EF" w:rsidRPr="00B62815" w:rsidRDefault="00E956EF" w:rsidP="00E956EF">
      <w:pPr>
        <w:rPr>
          <w:rFonts w:asciiTheme="minorHAnsi" w:hAnsiTheme="minorHAnsi" w:cstheme="minorHAnsi"/>
          <w:sz w:val="22"/>
          <w:szCs w:val="22"/>
          <w:lang w:val="es-US"/>
        </w:rPr>
      </w:pPr>
    </w:p>
    <w:p w14:paraId="67EDB26C" w14:textId="77777777" w:rsidR="00E956EF" w:rsidRPr="00B62815" w:rsidRDefault="00E956EF" w:rsidP="00E956EF">
      <w:pPr>
        <w:rPr>
          <w:rFonts w:asciiTheme="minorHAnsi" w:hAnsiTheme="minorHAnsi" w:cstheme="minorHAnsi"/>
          <w:sz w:val="22"/>
          <w:szCs w:val="22"/>
          <w:lang w:val="es-ES"/>
        </w:rPr>
      </w:pPr>
      <w:r w:rsidRPr="00B62815">
        <w:rPr>
          <w:rFonts w:asciiTheme="minorHAnsi" w:hAnsiTheme="minorHAnsi" w:cstheme="minorHAnsi"/>
          <w:b/>
          <w:sz w:val="22"/>
          <w:szCs w:val="22"/>
          <w:u w:val="single"/>
          <w:lang w:val="es-ES"/>
        </w:rPr>
        <w:t>Abril</w:t>
      </w:r>
      <w:r w:rsidRPr="00B62815">
        <w:rPr>
          <w:rFonts w:asciiTheme="minorHAnsi" w:hAnsiTheme="minorHAnsi" w:cstheme="minorHAnsi"/>
          <w:sz w:val="22"/>
          <w:szCs w:val="22"/>
          <w:lang w:val="es-ES"/>
        </w:rPr>
        <w:tab/>
      </w:r>
      <w:r w:rsidRPr="00B62815">
        <w:rPr>
          <w:rFonts w:asciiTheme="minorHAnsi" w:hAnsiTheme="minorHAnsi" w:cstheme="minorHAnsi"/>
          <w:sz w:val="22"/>
          <w:szCs w:val="22"/>
          <w:lang w:val="es-ES"/>
        </w:rPr>
        <w:tab/>
      </w:r>
      <w:r w:rsidRPr="00B62815">
        <w:rPr>
          <w:rFonts w:asciiTheme="minorHAnsi" w:hAnsiTheme="minorHAnsi" w:cstheme="minorHAnsi"/>
          <w:sz w:val="22"/>
          <w:szCs w:val="22"/>
          <w:lang w:val="es-ES"/>
        </w:rPr>
        <w:tab/>
      </w:r>
    </w:p>
    <w:p w14:paraId="24E2CE46" w14:textId="77777777" w:rsidR="00E956EF" w:rsidRPr="00B62815" w:rsidRDefault="00E956EF" w:rsidP="00E956EF">
      <w:pPr>
        <w:rPr>
          <w:rFonts w:asciiTheme="minorHAnsi" w:hAnsiTheme="minorHAnsi" w:cstheme="minorHAnsi"/>
          <w:sz w:val="22"/>
          <w:szCs w:val="22"/>
          <w:u w:val="single"/>
          <w:lang w:val="es-ES"/>
        </w:rPr>
      </w:pPr>
    </w:p>
    <w:p w14:paraId="2C1022A1" w14:textId="77777777" w:rsidR="00E956EF" w:rsidRPr="00B62815" w:rsidRDefault="00E956EF" w:rsidP="00E956EF">
      <w:pPr>
        <w:rPr>
          <w:rFonts w:asciiTheme="minorHAnsi" w:hAnsiTheme="minorHAnsi" w:cstheme="minorHAnsi"/>
          <w:sz w:val="22"/>
          <w:szCs w:val="22"/>
          <w:lang w:val="es-US"/>
        </w:rPr>
      </w:pPr>
      <w:r w:rsidRPr="00B62815">
        <w:rPr>
          <w:rFonts w:asciiTheme="minorHAnsi" w:hAnsiTheme="minorHAnsi" w:cstheme="minorHAnsi"/>
          <w:sz w:val="22"/>
          <w:szCs w:val="22"/>
          <w:lang w:val="es-US"/>
        </w:rPr>
        <w:t>28-29</w:t>
      </w:r>
      <w:r w:rsidRPr="00B62815">
        <w:rPr>
          <w:rFonts w:asciiTheme="minorHAnsi" w:hAnsiTheme="minorHAnsi" w:cstheme="minorHAnsi"/>
          <w:sz w:val="22"/>
          <w:szCs w:val="22"/>
          <w:lang w:val="es-US"/>
        </w:rPr>
        <w:tab/>
      </w:r>
      <w:r w:rsidRPr="00B62815">
        <w:rPr>
          <w:rFonts w:asciiTheme="minorHAnsi" w:hAnsiTheme="minorHAnsi" w:cstheme="minorHAnsi"/>
          <w:sz w:val="22"/>
          <w:szCs w:val="22"/>
          <w:lang w:val="es-US"/>
        </w:rPr>
        <w:tab/>
        <w:t xml:space="preserve">      Lima, Perú.</w:t>
      </w:r>
    </w:p>
    <w:p w14:paraId="020D541B" w14:textId="77777777" w:rsidR="00E956EF" w:rsidRPr="00B62815" w:rsidRDefault="00E956EF" w:rsidP="00E956EF">
      <w:pPr>
        <w:tabs>
          <w:tab w:val="left" w:pos="1782"/>
        </w:tabs>
        <w:rPr>
          <w:rFonts w:asciiTheme="minorHAnsi" w:hAnsiTheme="minorHAnsi" w:cstheme="minorHAnsi"/>
          <w:sz w:val="22"/>
          <w:szCs w:val="22"/>
          <w:lang w:val="es-US"/>
        </w:rPr>
      </w:pPr>
      <w:r w:rsidRPr="00B62815">
        <w:rPr>
          <w:rFonts w:asciiTheme="minorHAnsi" w:hAnsiTheme="minorHAnsi" w:cstheme="minorHAnsi"/>
          <w:sz w:val="22"/>
          <w:szCs w:val="22"/>
          <w:lang w:val="es-US"/>
        </w:rPr>
        <w:tab/>
        <w:t xml:space="preserve">Ministerial de Salud. Mejorando la Coordinación Regional en Respuesta a los </w:t>
      </w:r>
    </w:p>
    <w:p w14:paraId="54604C93" w14:textId="77777777" w:rsidR="00E956EF" w:rsidRPr="00B62815" w:rsidRDefault="00E956EF" w:rsidP="00E956EF">
      <w:pPr>
        <w:tabs>
          <w:tab w:val="left" w:pos="1782"/>
        </w:tabs>
        <w:rPr>
          <w:rFonts w:asciiTheme="minorHAnsi" w:hAnsiTheme="minorHAnsi" w:cstheme="minorHAnsi"/>
          <w:sz w:val="22"/>
          <w:szCs w:val="22"/>
          <w:lang w:val="es-US"/>
        </w:rPr>
      </w:pPr>
      <w:r w:rsidRPr="00B62815">
        <w:rPr>
          <w:rFonts w:asciiTheme="minorHAnsi" w:hAnsiTheme="minorHAnsi" w:cstheme="minorHAnsi"/>
          <w:sz w:val="22"/>
          <w:szCs w:val="22"/>
          <w:lang w:val="es-US"/>
        </w:rPr>
        <w:tab/>
        <w:t>Impactos del Desplazamiento Forzado.</w:t>
      </w:r>
    </w:p>
    <w:p w14:paraId="2E33E578" w14:textId="77777777" w:rsidR="00E956EF" w:rsidRPr="00B62815" w:rsidRDefault="00E956EF" w:rsidP="00E956EF">
      <w:pPr>
        <w:rPr>
          <w:rFonts w:asciiTheme="minorHAnsi" w:hAnsiTheme="minorHAnsi" w:cstheme="minorHAnsi"/>
          <w:b/>
          <w:sz w:val="22"/>
          <w:szCs w:val="22"/>
          <w:u w:val="single"/>
          <w:lang w:val="es-US"/>
        </w:rPr>
      </w:pPr>
    </w:p>
    <w:p w14:paraId="17F6EA7D" w14:textId="77777777" w:rsidR="00E956EF" w:rsidRPr="00673757" w:rsidRDefault="00E956EF" w:rsidP="00E956EF">
      <w:pPr>
        <w:rPr>
          <w:rFonts w:asciiTheme="minorHAnsi" w:hAnsiTheme="minorHAnsi" w:cstheme="minorHAnsi"/>
          <w:b/>
          <w:sz w:val="22"/>
          <w:szCs w:val="22"/>
          <w:u w:val="single"/>
          <w:lang w:val="es-PE"/>
        </w:rPr>
      </w:pPr>
      <w:r w:rsidRPr="00673757">
        <w:rPr>
          <w:rFonts w:asciiTheme="minorHAnsi" w:hAnsiTheme="minorHAnsi" w:cstheme="minorHAnsi"/>
          <w:b/>
          <w:sz w:val="22"/>
          <w:szCs w:val="22"/>
          <w:u w:val="single"/>
          <w:lang w:val="es-PE"/>
        </w:rPr>
        <w:t>Mayo</w:t>
      </w:r>
    </w:p>
    <w:p w14:paraId="768E723B" w14:textId="77777777" w:rsidR="00E956EF" w:rsidRPr="00673757" w:rsidRDefault="00E956EF" w:rsidP="00E956EF">
      <w:pPr>
        <w:rPr>
          <w:rFonts w:asciiTheme="minorHAnsi" w:hAnsiTheme="minorHAnsi" w:cstheme="minorHAnsi"/>
          <w:sz w:val="22"/>
          <w:szCs w:val="22"/>
          <w:u w:val="single"/>
          <w:lang w:val="es-PE"/>
        </w:rPr>
      </w:pPr>
    </w:p>
    <w:p w14:paraId="51C143CF"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16-18</w:t>
      </w:r>
      <w:r w:rsidRPr="00B62815">
        <w:rPr>
          <w:rFonts w:asciiTheme="minorHAnsi" w:hAnsiTheme="minorHAnsi" w:cstheme="minorHAnsi"/>
          <w:sz w:val="22"/>
          <w:szCs w:val="22"/>
          <w:lang w:val="es-US"/>
        </w:rPr>
        <w:tab/>
        <w:t>La Paz, Bolivia.</w:t>
      </w:r>
    </w:p>
    <w:p w14:paraId="7E533822"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Visita Oficial.</w:t>
      </w:r>
    </w:p>
    <w:p w14:paraId="599D6BAF" w14:textId="77777777" w:rsidR="00E956EF" w:rsidRPr="00B62815" w:rsidRDefault="00E956EF" w:rsidP="00E956EF">
      <w:pPr>
        <w:ind w:left="1080" w:firstLine="720"/>
        <w:rPr>
          <w:rFonts w:asciiTheme="minorHAnsi" w:hAnsiTheme="minorHAnsi" w:cstheme="minorHAnsi"/>
          <w:sz w:val="22"/>
          <w:szCs w:val="22"/>
          <w:lang w:val="es-US"/>
        </w:rPr>
      </w:pPr>
    </w:p>
    <w:p w14:paraId="0738F1D1"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18-21</w:t>
      </w:r>
      <w:r w:rsidRPr="00B62815">
        <w:rPr>
          <w:rFonts w:asciiTheme="minorHAnsi" w:hAnsiTheme="minorHAnsi" w:cstheme="minorHAnsi"/>
          <w:sz w:val="22"/>
          <w:szCs w:val="22"/>
          <w:lang w:val="es-US"/>
        </w:rPr>
        <w:tab/>
        <w:t>Buenos Aires, Argentina.</w:t>
      </w:r>
    </w:p>
    <w:p w14:paraId="2EA19F37"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Consejo Interamericano de Comercio y Protección.</w:t>
      </w:r>
    </w:p>
    <w:p w14:paraId="0965D4FB" w14:textId="77777777" w:rsidR="00E956EF" w:rsidRPr="00B62815" w:rsidRDefault="00E956EF" w:rsidP="00E956EF">
      <w:pPr>
        <w:ind w:left="1080" w:firstLine="720"/>
        <w:rPr>
          <w:rFonts w:asciiTheme="minorHAnsi" w:hAnsiTheme="minorHAnsi" w:cstheme="minorHAnsi"/>
          <w:sz w:val="22"/>
          <w:szCs w:val="22"/>
          <w:lang w:val="es-US"/>
        </w:rPr>
      </w:pPr>
    </w:p>
    <w:p w14:paraId="22A8460D"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21-22</w:t>
      </w:r>
      <w:r w:rsidRPr="00B62815">
        <w:rPr>
          <w:rFonts w:asciiTheme="minorHAnsi" w:hAnsiTheme="minorHAnsi" w:cstheme="minorHAnsi"/>
          <w:sz w:val="22"/>
          <w:szCs w:val="22"/>
          <w:lang w:val="es-US"/>
        </w:rPr>
        <w:tab/>
        <w:t>Santiago de Chile.</w:t>
      </w:r>
    </w:p>
    <w:p w14:paraId="2C942249"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Viaje Oficial y Charla en Consejo Chileno.</w:t>
      </w:r>
    </w:p>
    <w:p w14:paraId="49F421E3" w14:textId="77777777" w:rsidR="00E956EF" w:rsidRPr="00B62815" w:rsidRDefault="00E956EF" w:rsidP="00E956EF">
      <w:pPr>
        <w:ind w:left="1080" w:firstLine="720"/>
        <w:rPr>
          <w:rFonts w:asciiTheme="minorHAnsi" w:hAnsiTheme="minorHAnsi" w:cstheme="minorHAnsi"/>
          <w:sz w:val="22"/>
          <w:szCs w:val="22"/>
          <w:lang w:val="es-US"/>
        </w:rPr>
      </w:pPr>
    </w:p>
    <w:p w14:paraId="35C4D35D"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26-28</w:t>
      </w:r>
      <w:r w:rsidRPr="00B62815">
        <w:rPr>
          <w:rFonts w:asciiTheme="minorHAnsi" w:hAnsiTheme="minorHAnsi" w:cstheme="minorHAnsi"/>
          <w:sz w:val="22"/>
          <w:szCs w:val="22"/>
          <w:lang w:val="es-US"/>
        </w:rPr>
        <w:tab/>
        <w:t>Medellin, Colombia.</w:t>
      </w:r>
    </w:p>
    <w:p w14:paraId="5AED5EB7"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Viaje Oficial y Memorando de Entendimiento Universidad EAFIT-OEA</w:t>
      </w:r>
    </w:p>
    <w:p w14:paraId="3A0B3EA2" w14:textId="77777777" w:rsidR="00E956EF" w:rsidRPr="00B62815" w:rsidRDefault="00E956EF" w:rsidP="00E956EF">
      <w:pPr>
        <w:rPr>
          <w:rFonts w:asciiTheme="minorHAnsi" w:hAnsiTheme="minorHAnsi" w:cstheme="minorHAnsi"/>
          <w:sz w:val="22"/>
          <w:szCs w:val="22"/>
          <w:lang w:val="es-US"/>
        </w:rPr>
      </w:pPr>
      <w:r w:rsidRPr="00B62815">
        <w:rPr>
          <w:rFonts w:asciiTheme="minorHAnsi" w:hAnsiTheme="minorHAnsi" w:cstheme="minorHAnsi"/>
          <w:sz w:val="22"/>
          <w:szCs w:val="22"/>
          <w:lang w:val="es-US"/>
        </w:rPr>
        <w:tab/>
      </w:r>
    </w:p>
    <w:p w14:paraId="5C6E8E43" w14:textId="77777777" w:rsidR="00E956EF" w:rsidRPr="00B62815" w:rsidRDefault="00E956EF" w:rsidP="00E956EF">
      <w:pPr>
        <w:rPr>
          <w:rFonts w:asciiTheme="minorHAnsi" w:hAnsiTheme="minorHAnsi" w:cstheme="minorHAnsi"/>
          <w:b/>
          <w:sz w:val="22"/>
          <w:szCs w:val="22"/>
          <w:u w:val="single"/>
        </w:rPr>
      </w:pPr>
      <w:r w:rsidRPr="00B62815">
        <w:rPr>
          <w:rFonts w:asciiTheme="minorHAnsi" w:hAnsiTheme="minorHAnsi" w:cstheme="minorHAnsi"/>
          <w:b/>
          <w:sz w:val="22"/>
          <w:szCs w:val="22"/>
          <w:u w:val="single"/>
        </w:rPr>
        <w:t>Junio</w:t>
      </w:r>
    </w:p>
    <w:p w14:paraId="18549023" w14:textId="77777777" w:rsidR="00E956EF" w:rsidRPr="00B62815" w:rsidRDefault="00E956EF" w:rsidP="00E956EF">
      <w:pPr>
        <w:rPr>
          <w:rFonts w:asciiTheme="minorHAnsi" w:hAnsiTheme="minorHAnsi" w:cstheme="minorHAnsi"/>
          <w:sz w:val="22"/>
          <w:szCs w:val="22"/>
        </w:rPr>
      </w:pPr>
    </w:p>
    <w:p w14:paraId="7F2A427D" w14:textId="77777777" w:rsidR="00E956EF" w:rsidRPr="00B62815" w:rsidRDefault="00E956EF" w:rsidP="00E956EF">
      <w:pPr>
        <w:ind w:left="1800" w:hanging="1800"/>
        <w:rPr>
          <w:rFonts w:asciiTheme="minorHAnsi" w:hAnsiTheme="minorHAnsi" w:cstheme="minorHAnsi"/>
          <w:sz w:val="22"/>
          <w:szCs w:val="22"/>
        </w:rPr>
      </w:pPr>
      <w:r w:rsidRPr="00B62815">
        <w:rPr>
          <w:rFonts w:asciiTheme="minorHAnsi" w:hAnsiTheme="minorHAnsi" w:cstheme="minorHAnsi"/>
          <w:sz w:val="22"/>
          <w:szCs w:val="22"/>
        </w:rPr>
        <w:t>11-12</w:t>
      </w:r>
      <w:r w:rsidRPr="00B62815">
        <w:rPr>
          <w:rFonts w:asciiTheme="minorHAnsi" w:hAnsiTheme="minorHAnsi" w:cstheme="minorHAnsi"/>
          <w:sz w:val="22"/>
          <w:szCs w:val="22"/>
        </w:rPr>
        <w:tab/>
        <w:t>New York, NY.</w:t>
      </w:r>
    </w:p>
    <w:p w14:paraId="1345A2F5" w14:textId="77777777" w:rsidR="00E956EF" w:rsidRPr="00F43808" w:rsidRDefault="00E956EF" w:rsidP="00E956EF">
      <w:pPr>
        <w:ind w:left="1800"/>
        <w:rPr>
          <w:rFonts w:asciiTheme="minorHAnsi" w:hAnsiTheme="minorHAnsi" w:cstheme="minorHAnsi"/>
          <w:sz w:val="22"/>
          <w:szCs w:val="22"/>
          <w:lang w:val="es-PE"/>
        </w:rPr>
      </w:pPr>
      <w:r w:rsidRPr="00B62815">
        <w:rPr>
          <w:rFonts w:asciiTheme="minorHAnsi" w:hAnsiTheme="minorHAnsi" w:cstheme="minorHAnsi"/>
          <w:sz w:val="22"/>
          <w:szCs w:val="22"/>
        </w:rPr>
        <w:t xml:space="preserve">Americas Society/Council of the Americas Symposium. </w:t>
      </w:r>
      <w:r w:rsidRPr="00F43808">
        <w:rPr>
          <w:rFonts w:asciiTheme="minorHAnsi" w:hAnsiTheme="minorHAnsi" w:cstheme="minorHAnsi"/>
          <w:sz w:val="22"/>
          <w:szCs w:val="22"/>
          <w:lang w:val="es-PE"/>
        </w:rPr>
        <w:t xml:space="preserve">Premio </w:t>
      </w:r>
      <w:r w:rsidRPr="00F43808">
        <w:rPr>
          <w:rFonts w:asciiTheme="minorHAnsi" w:hAnsiTheme="minorHAnsi" w:cstheme="minorHAnsi"/>
          <w:i/>
          <w:sz w:val="22"/>
          <w:szCs w:val="22"/>
          <w:lang w:val="es-PE"/>
        </w:rPr>
        <w:t>2019 Gold Medal</w:t>
      </w:r>
      <w:r w:rsidRPr="00F43808">
        <w:rPr>
          <w:rFonts w:asciiTheme="minorHAnsi" w:hAnsiTheme="minorHAnsi" w:cstheme="minorHAnsi"/>
          <w:sz w:val="22"/>
          <w:szCs w:val="22"/>
          <w:lang w:val="es-PE"/>
        </w:rPr>
        <w:t>.</w:t>
      </w:r>
    </w:p>
    <w:p w14:paraId="71895A0E" w14:textId="77777777" w:rsidR="00E956EF" w:rsidRPr="00F43808" w:rsidRDefault="00E956EF" w:rsidP="00E956EF">
      <w:pPr>
        <w:ind w:left="1800"/>
        <w:rPr>
          <w:rFonts w:asciiTheme="minorHAnsi" w:hAnsiTheme="minorHAnsi" w:cstheme="minorHAnsi"/>
          <w:sz w:val="22"/>
          <w:szCs w:val="22"/>
          <w:lang w:val="es-PE"/>
        </w:rPr>
      </w:pPr>
    </w:p>
    <w:p w14:paraId="3D50CF1C" w14:textId="77777777" w:rsidR="00E956EF" w:rsidRPr="00F43808" w:rsidRDefault="00E956EF" w:rsidP="00E956EF">
      <w:pPr>
        <w:ind w:left="1800" w:hanging="1800"/>
        <w:rPr>
          <w:rFonts w:asciiTheme="minorHAnsi" w:hAnsiTheme="minorHAnsi" w:cstheme="minorHAnsi"/>
          <w:sz w:val="22"/>
          <w:szCs w:val="22"/>
          <w:lang w:val="es-PE"/>
        </w:rPr>
      </w:pPr>
      <w:r w:rsidRPr="00F43808">
        <w:rPr>
          <w:rFonts w:asciiTheme="minorHAnsi" w:hAnsiTheme="minorHAnsi" w:cstheme="minorHAnsi"/>
          <w:sz w:val="22"/>
          <w:szCs w:val="22"/>
          <w:lang w:val="es-PE"/>
        </w:rPr>
        <w:t>15-18</w:t>
      </w:r>
      <w:r w:rsidRPr="00F43808">
        <w:rPr>
          <w:rFonts w:asciiTheme="minorHAnsi" w:hAnsiTheme="minorHAnsi" w:cstheme="minorHAnsi"/>
          <w:sz w:val="22"/>
          <w:szCs w:val="22"/>
          <w:lang w:val="es-PE"/>
        </w:rPr>
        <w:tab/>
        <w:t>Florencia, Italia.</w:t>
      </w:r>
    </w:p>
    <w:p w14:paraId="6026411B" w14:textId="77777777" w:rsidR="00E956EF" w:rsidRPr="00B62815" w:rsidRDefault="00E956EF" w:rsidP="00E956EF">
      <w:pPr>
        <w:ind w:left="1800"/>
        <w:rPr>
          <w:rFonts w:asciiTheme="minorHAnsi" w:hAnsiTheme="minorHAnsi" w:cstheme="minorHAnsi"/>
          <w:sz w:val="22"/>
          <w:szCs w:val="22"/>
        </w:rPr>
      </w:pPr>
      <w:r w:rsidRPr="00B62815">
        <w:rPr>
          <w:rFonts w:asciiTheme="minorHAnsi" w:hAnsiTheme="minorHAnsi" w:cstheme="minorHAnsi"/>
          <w:sz w:val="22"/>
          <w:szCs w:val="22"/>
        </w:rPr>
        <w:t>EUI School of Transnational Governance</w:t>
      </w:r>
    </w:p>
    <w:p w14:paraId="369CA424" w14:textId="77777777" w:rsidR="00E956EF" w:rsidRPr="00B62815" w:rsidRDefault="00E956EF" w:rsidP="00E956EF">
      <w:pPr>
        <w:ind w:left="1800"/>
        <w:rPr>
          <w:rFonts w:asciiTheme="minorHAnsi" w:hAnsiTheme="minorHAnsi" w:cstheme="minorHAnsi"/>
          <w:sz w:val="22"/>
          <w:szCs w:val="22"/>
        </w:rPr>
      </w:pPr>
    </w:p>
    <w:p w14:paraId="3251D22B" w14:textId="77777777" w:rsidR="00E956EF" w:rsidRPr="00F43808" w:rsidRDefault="00E956EF" w:rsidP="00E956EF">
      <w:pPr>
        <w:ind w:left="1800" w:hanging="1800"/>
        <w:rPr>
          <w:rFonts w:asciiTheme="minorHAnsi" w:hAnsiTheme="minorHAnsi" w:cstheme="minorHAnsi"/>
          <w:sz w:val="22"/>
          <w:szCs w:val="22"/>
        </w:rPr>
      </w:pPr>
      <w:r w:rsidRPr="00F43808">
        <w:rPr>
          <w:rFonts w:asciiTheme="minorHAnsi" w:hAnsiTheme="minorHAnsi" w:cstheme="minorHAnsi"/>
          <w:sz w:val="22"/>
          <w:szCs w:val="22"/>
        </w:rPr>
        <w:t>23-29</w:t>
      </w:r>
      <w:r w:rsidRPr="00F43808">
        <w:rPr>
          <w:rFonts w:asciiTheme="minorHAnsi" w:hAnsiTheme="minorHAnsi" w:cstheme="minorHAnsi"/>
          <w:sz w:val="22"/>
          <w:szCs w:val="22"/>
        </w:rPr>
        <w:tab/>
        <w:t>Medellin, Colombia.</w:t>
      </w:r>
    </w:p>
    <w:p w14:paraId="07F89457" w14:textId="77777777" w:rsidR="00E956EF" w:rsidRPr="00B62815" w:rsidRDefault="00E956EF" w:rsidP="00E956EF">
      <w:pPr>
        <w:ind w:left="1800"/>
        <w:rPr>
          <w:rFonts w:asciiTheme="minorHAnsi" w:hAnsiTheme="minorHAnsi" w:cstheme="minorHAnsi"/>
          <w:sz w:val="22"/>
          <w:szCs w:val="22"/>
          <w:lang w:val="es-PE"/>
        </w:rPr>
      </w:pPr>
      <w:r w:rsidRPr="00B62815">
        <w:rPr>
          <w:rFonts w:asciiTheme="minorHAnsi" w:hAnsiTheme="minorHAnsi" w:cstheme="minorHAnsi"/>
          <w:sz w:val="22"/>
          <w:szCs w:val="22"/>
          <w:lang w:val="es-PE"/>
        </w:rPr>
        <w:t>49 Periodo Ordinario de Sesiones de la Asamblea General de la OEA</w:t>
      </w:r>
    </w:p>
    <w:p w14:paraId="7943D029" w14:textId="77777777" w:rsidR="00E956EF" w:rsidRPr="00B62815" w:rsidRDefault="00E956EF" w:rsidP="00030F66">
      <w:pPr>
        <w:rPr>
          <w:rFonts w:asciiTheme="minorHAnsi" w:hAnsiTheme="minorHAnsi" w:cstheme="minorHAnsi"/>
          <w:sz w:val="22"/>
          <w:szCs w:val="22"/>
          <w:lang w:val="es-US"/>
        </w:rPr>
      </w:pPr>
      <w:r w:rsidRPr="00B62815">
        <w:rPr>
          <w:rFonts w:asciiTheme="minorHAnsi" w:hAnsiTheme="minorHAnsi" w:cstheme="minorHAnsi"/>
          <w:sz w:val="22"/>
          <w:szCs w:val="22"/>
          <w:lang w:val="es-US"/>
        </w:rPr>
        <w:tab/>
        <w:t xml:space="preserve">           </w:t>
      </w:r>
    </w:p>
    <w:p w14:paraId="3995A3DD" w14:textId="777E0AD0" w:rsidR="00E956EF" w:rsidRPr="00B62815" w:rsidRDefault="00E956EF" w:rsidP="00E956EF">
      <w:pPr>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Julio</w:t>
      </w:r>
    </w:p>
    <w:p w14:paraId="3CBC2F93" w14:textId="77777777" w:rsidR="00E956EF" w:rsidRPr="00B62815" w:rsidRDefault="00E956EF" w:rsidP="00E956EF">
      <w:pPr>
        <w:rPr>
          <w:rFonts w:asciiTheme="minorHAnsi" w:hAnsiTheme="minorHAnsi" w:cstheme="minorHAnsi"/>
          <w:sz w:val="22"/>
          <w:szCs w:val="22"/>
          <w:u w:val="single"/>
          <w:lang w:val="es-ES"/>
        </w:rPr>
      </w:pPr>
    </w:p>
    <w:p w14:paraId="1A79EF86"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2-4</w:t>
      </w:r>
      <w:r w:rsidRPr="00B62815">
        <w:rPr>
          <w:rFonts w:asciiTheme="minorHAnsi" w:hAnsiTheme="minorHAnsi" w:cstheme="minorHAnsi"/>
          <w:sz w:val="22"/>
          <w:szCs w:val="22"/>
          <w:lang w:val="es-US"/>
        </w:rPr>
        <w:tab/>
        <w:t>Santa Lucia.</w:t>
      </w:r>
    </w:p>
    <w:p w14:paraId="52E6A858"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Reunión de Jefes de Estado de CARICOM</w:t>
      </w:r>
    </w:p>
    <w:p w14:paraId="75D50870" w14:textId="77777777" w:rsidR="00E956EF" w:rsidRPr="00B62815" w:rsidRDefault="00E956EF" w:rsidP="00E956EF">
      <w:pPr>
        <w:ind w:left="1080" w:firstLine="720"/>
        <w:rPr>
          <w:rFonts w:asciiTheme="minorHAnsi" w:hAnsiTheme="minorHAnsi" w:cstheme="minorHAnsi"/>
          <w:sz w:val="22"/>
          <w:szCs w:val="22"/>
          <w:lang w:val="es-US"/>
        </w:rPr>
      </w:pPr>
    </w:p>
    <w:p w14:paraId="08B1B40A" w14:textId="77777777" w:rsidR="00E956EF" w:rsidRPr="00B62815" w:rsidRDefault="00E956EF" w:rsidP="00E956EF">
      <w:pPr>
        <w:ind w:left="1800" w:hanging="1800"/>
        <w:rPr>
          <w:rFonts w:asciiTheme="minorHAnsi" w:hAnsiTheme="minorHAnsi" w:cstheme="minorHAnsi"/>
          <w:sz w:val="22"/>
          <w:szCs w:val="22"/>
          <w:lang w:val="pt-BR"/>
        </w:rPr>
      </w:pPr>
      <w:r w:rsidRPr="00B62815">
        <w:rPr>
          <w:rFonts w:asciiTheme="minorHAnsi" w:hAnsiTheme="minorHAnsi" w:cstheme="minorHAnsi"/>
          <w:sz w:val="22"/>
          <w:szCs w:val="22"/>
          <w:lang w:val="pt-BR"/>
        </w:rPr>
        <w:t>5-7</w:t>
      </w:r>
      <w:r w:rsidRPr="00B62815">
        <w:rPr>
          <w:rFonts w:asciiTheme="minorHAnsi" w:hAnsiTheme="minorHAnsi" w:cstheme="minorHAnsi"/>
          <w:sz w:val="22"/>
          <w:szCs w:val="22"/>
          <w:lang w:val="pt-BR"/>
        </w:rPr>
        <w:tab/>
        <w:t>Luxemburgo.</w:t>
      </w:r>
    </w:p>
    <w:p w14:paraId="2454A725" w14:textId="77777777" w:rsidR="00E956EF" w:rsidRPr="00B62815" w:rsidRDefault="00E956EF" w:rsidP="00E956EF">
      <w:pPr>
        <w:ind w:left="1080" w:firstLine="720"/>
        <w:rPr>
          <w:rFonts w:asciiTheme="minorHAnsi" w:hAnsiTheme="minorHAnsi" w:cstheme="minorHAnsi"/>
          <w:sz w:val="22"/>
          <w:szCs w:val="22"/>
          <w:lang w:val="pt-BR"/>
        </w:rPr>
      </w:pPr>
      <w:r w:rsidRPr="00B62815">
        <w:rPr>
          <w:rFonts w:asciiTheme="minorHAnsi" w:hAnsiTheme="minorHAnsi" w:cstheme="minorHAnsi"/>
          <w:sz w:val="22"/>
          <w:szCs w:val="22"/>
          <w:lang w:val="pt-BR"/>
        </w:rPr>
        <w:t>Asamblea Parlamentaria de la OSCE.</w:t>
      </w:r>
    </w:p>
    <w:p w14:paraId="5E9D032B" w14:textId="77777777" w:rsidR="00E956EF" w:rsidRPr="00B62815" w:rsidRDefault="00E956EF" w:rsidP="00E956EF">
      <w:pPr>
        <w:ind w:left="1080" w:firstLine="720"/>
        <w:rPr>
          <w:rFonts w:asciiTheme="minorHAnsi" w:hAnsiTheme="minorHAnsi" w:cstheme="minorHAnsi"/>
          <w:sz w:val="22"/>
          <w:szCs w:val="22"/>
          <w:lang w:val="pt-BR"/>
        </w:rPr>
      </w:pPr>
    </w:p>
    <w:p w14:paraId="488F6276"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28-29</w:t>
      </w:r>
      <w:r w:rsidRPr="00B62815">
        <w:rPr>
          <w:rFonts w:asciiTheme="minorHAnsi" w:hAnsiTheme="minorHAnsi" w:cstheme="minorHAnsi"/>
          <w:sz w:val="22"/>
          <w:szCs w:val="22"/>
          <w:lang w:val="es-US"/>
        </w:rPr>
        <w:tab/>
      </w:r>
      <w:r w:rsidR="00FE7BD7" w:rsidRPr="00B62815">
        <w:rPr>
          <w:rFonts w:asciiTheme="minorHAnsi" w:hAnsiTheme="minorHAnsi" w:cstheme="minorHAnsi"/>
          <w:sz w:val="22"/>
          <w:szCs w:val="22"/>
          <w:lang w:val="es-US"/>
        </w:rPr>
        <w:t xml:space="preserve">Ciudad de </w:t>
      </w:r>
      <w:r w:rsidRPr="00B62815">
        <w:rPr>
          <w:rFonts w:asciiTheme="minorHAnsi" w:hAnsiTheme="minorHAnsi" w:cstheme="minorHAnsi"/>
          <w:sz w:val="22"/>
          <w:szCs w:val="22"/>
          <w:lang w:val="es-US"/>
        </w:rPr>
        <w:t>Panam</w:t>
      </w:r>
      <w:r w:rsidR="00FE7BD7" w:rsidRPr="00B62815">
        <w:rPr>
          <w:rFonts w:asciiTheme="minorHAnsi" w:hAnsiTheme="minorHAnsi" w:cstheme="minorHAnsi"/>
          <w:sz w:val="22"/>
          <w:szCs w:val="22"/>
          <w:lang w:val="es-US"/>
        </w:rPr>
        <w:t>á, Panamá</w:t>
      </w:r>
      <w:r w:rsidRPr="00B62815">
        <w:rPr>
          <w:rFonts w:asciiTheme="minorHAnsi" w:hAnsiTheme="minorHAnsi" w:cstheme="minorHAnsi"/>
          <w:sz w:val="22"/>
          <w:szCs w:val="22"/>
          <w:lang w:val="es-US"/>
        </w:rPr>
        <w:t>.</w:t>
      </w:r>
    </w:p>
    <w:p w14:paraId="3FC11A8A" w14:textId="77777777" w:rsidR="00E956EF" w:rsidRPr="00B62815" w:rsidRDefault="00E956EF" w:rsidP="00E956EF">
      <w:pPr>
        <w:ind w:left="1800"/>
        <w:rPr>
          <w:rFonts w:asciiTheme="minorHAnsi" w:hAnsiTheme="minorHAnsi" w:cstheme="minorHAnsi"/>
          <w:sz w:val="22"/>
          <w:szCs w:val="22"/>
          <w:lang w:val="es-US"/>
        </w:rPr>
      </w:pPr>
      <w:r w:rsidRPr="00B62815">
        <w:rPr>
          <w:rFonts w:asciiTheme="minorHAnsi" w:hAnsiTheme="minorHAnsi" w:cstheme="minorHAnsi"/>
          <w:sz w:val="22"/>
          <w:szCs w:val="22"/>
          <w:lang w:val="es-US"/>
        </w:rPr>
        <w:t>25 Años d</w:t>
      </w:r>
      <w:r w:rsidR="00FE7BD7" w:rsidRPr="00B62815">
        <w:rPr>
          <w:rFonts w:asciiTheme="minorHAnsi" w:hAnsiTheme="minorHAnsi" w:cstheme="minorHAnsi"/>
          <w:sz w:val="22"/>
          <w:szCs w:val="22"/>
          <w:lang w:val="es-US"/>
        </w:rPr>
        <w:t>e la Convención de Belem do Pará</w:t>
      </w:r>
      <w:r w:rsidRPr="00B62815">
        <w:rPr>
          <w:rFonts w:asciiTheme="minorHAnsi" w:hAnsiTheme="minorHAnsi" w:cstheme="minorHAnsi"/>
          <w:sz w:val="22"/>
          <w:szCs w:val="22"/>
          <w:lang w:val="es-US"/>
        </w:rPr>
        <w:t>.</w:t>
      </w:r>
    </w:p>
    <w:p w14:paraId="752857E7" w14:textId="77777777" w:rsidR="00E956EF" w:rsidRPr="00B62815" w:rsidRDefault="00E956EF" w:rsidP="00030F66">
      <w:pPr>
        <w:rPr>
          <w:rFonts w:asciiTheme="minorHAnsi" w:hAnsiTheme="minorHAnsi" w:cstheme="minorHAnsi"/>
          <w:sz w:val="22"/>
          <w:szCs w:val="22"/>
          <w:lang w:val="es-US"/>
        </w:rPr>
      </w:pPr>
    </w:p>
    <w:p w14:paraId="27C12B09" w14:textId="77777777" w:rsidR="00E956EF" w:rsidRPr="00673757" w:rsidRDefault="00E956EF" w:rsidP="00E956EF">
      <w:pPr>
        <w:rPr>
          <w:rFonts w:asciiTheme="minorHAnsi" w:hAnsiTheme="minorHAnsi" w:cstheme="minorHAnsi"/>
          <w:sz w:val="22"/>
          <w:szCs w:val="22"/>
          <w:lang w:val="pt-BR"/>
        </w:rPr>
      </w:pPr>
      <w:r w:rsidRPr="00673757">
        <w:rPr>
          <w:rFonts w:asciiTheme="minorHAnsi" w:hAnsiTheme="minorHAnsi" w:cstheme="minorHAnsi"/>
          <w:b/>
          <w:sz w:val="22"/>
          <w:szCs w:val="22"/>
          <w:u w:val="single"/>
          <w:lang w:val="pt-BR"/>
        </w:rPr>
        <w:t>Agosto</w:t>
      </w:r>
    </w:p>
    <w:p w14:paraId="389CC453" w14:textId="77777777" w:rsidR="00E956EF" w:rsidRPr="00673757" w:rsidRDefault="00E956EF" w:rsidP="00E956EF">
      <w:pPr>
        <w:ind w:left="1800" w:hanging="1800"/>
        <w:rPr>
          <w:rFonts w:asciiTheme="minorHAnsi" w:hAnsiTheme="minorHAnsi" w:cstheme="minorHAnsi"/>
          <w:sz w:val="22"/>
          <w:szCs w:val="22"/>
          <w:lang w:val="pt-BR"/>
        </w:rPr>
      </w:pPr>
    </w:p>
    <w:p w14:paraId="712465A3" w14:textId="77777777" w:rsidR="00E956EF" w:rsidRPr="00673757" w:rsidRDefault="00E956EF" w:rsidP="00E956EF">
      <w:pPr>
        <w:ind w:left="1800" w:hanging="1800"/>
        <w:rPr>
          <w:rFonts w:asciiTheme="minorHAnsi" w:hAnsiTheme="minorHAnsi" w:cstheme="minorHAnsi"/>
          <w:sz w:val="22"/>
          <w:szCs w:val="22"/>
          <w:lang w:val="pt-BR"/>
        </w:rPr>
      </w:pPr>
      <w:r w:rsidRPr="00673757">
        <w:rPr>
          <w:rFonts w:asciiTheme="minorHAnsi" w:hAnsiTheme="minorHAnsi" w:cstheme="minorHAnsi"/>
          <w:sz w:val="22"/>
          <w:szCs w:val="22"/>
          <w:lang w:val="pt-BR"/>
        </w:rPr>
        <w:t>6-9</w:t>
      </w:r>
      <w:r w:rsidRPr="00673757">
        <w:rPr>
          <w:rFonts w:asciiTheme="minorHAnsi" w:hAnsiTheme="minorHAnsi" w:cstheme="minorHAnsi"/>
          <w:sz w:val="22"/>
          <w:szCs w:val="22"/>
          <w:lang w:val="pt-BR"/>
        </w:rPr>
        <w:tab/>
        <w:t>Rio de Janeiro, Brasil.</w:t>
      </w:r>
    </w:p>
    <w:p w14:paraId="1C5C14FB" w14:textId="77777777" w:rsidR="00E956EF" w:rsidRPr="00B62815" w:rsidRDefault="00E956EF" w:rsidP="00E956EF">
      <w:pPr>
        <w:ind w:left="1800" w:hanging="1800"/>
        <w:rPr>
          <w:rFonts w:asciiTheme="minorHAnsi" w:hAnsiTheme="minorHAnsi" w:cstheme="minorHAnsi"/>
          <w:sz w:val="22"/>
          <w:szCs w:val="22"/>
          <w:lang w:val="es-US"/>
        </w:rPr>
      </w:pPr>
      <w:r w:rsidRPr="00673757">
        <w:rPr>
          <w:rFonts w:asciiTheme="minorHAnsi" w:hAnsiTheme="minorHAnsi" w:cstheme="minorHAnsi"/>
          <w:sz w:val="22"/>
          <w:szCs w:val="22"/>
          <w:lang w:val="pt-BR"/>
        </w:rPr>
        <w:tab/>
      </w:r>
      <w:r w:rsidRPr="00B62815">
        <w:rPr>
          <w:rFonts w:asciiTheme="minorHAnsi" w:hAnsiTheme="minorHAnsi" w:cstheme="minorHAnsi"/>
          <w:sz w:val="22"/>
          <w:szCs w:val="22"/>
          <w:lang w:val="es-US"/>
        </w:rPr>
        <w:t>95 Periodo Ordinario de Sesiones del Comité Jurídico Interamericano.</w:t>
      </w:r>
    </w:p>
    <w:p w14:paraId="139D90EA" w14:textId="77777777" w:rsidR="00E956EF" w:rsidRPr="00B62815" w:rsidRDefault="00E956EF" w:rsidP="00E956EF">
      <w:pPr>
        <w:rPr>
          <w:rFonts w:asciiTheme="minorHAnsi" w:hAnsiTheme="minorHAnsi" w:cstheme="minorHAnsi"/>
          <w:sz w:val="22"/>
          <w:szCs w:val="22"/>
          <w:lang w:val="es-PE"/>
        </w:rPr>
      </w:pPr>
    </w:p>
    <w:p w14:paraId="1ECD2F89"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18-19</w:t>
      </w:r>
      <w:r w:rsidRPr="00B62815">
        <w:rPr>
          <w:rFonts w:asciiTheme="minorHAnsi" w:hAnsiTheme="minorHAnsi" w:cstheme="minorHAnsi"/>
          <w:sz w:val="22"/>
          <w:szCs w:val="22"/>
          <w:lang w:val="es-US"/>
        </w:rPr>
        <w:tab/>
        <w:t>Ciudad de Mexico.</w:t>
      </w:r>
    </w:p>
    <w:p w14:paraId="40A55C08" w14:textId="77777777" w:rsidR="00E956EF" w:rsidRPr="00B62815" w:rsidRDefault="00E956EF" w:rsidP="00E956EF">
      <w:pPr>
        <w:ind w:left="1800"/>
        <w:rPr>
          <w:rFonts w:asciiTheme="minorHAnsi" w:hAnsiTheme="minorHAnsi" w:cstheme="minorHAnsi"/>
          <w:sz w:val="22"/>
          <w:szCs w:val="22"/>
          <w:lang w:val="es-US"/>
        </w:rPr>
      </w:pPr>
      <w:r w:rsidRPr="00B62815">
        <w:rPr>
          <w:rFonts w:asciiTheme="minorHAnsi" w:hAnsiTheme="minorHAnsi" w:cstheme="minorHAnsi"/>
          <w:sz w:val="22"/>
          <w:szCs w:val="22"/>
          <w:lang w:val="es-US"/>
        </w:rPr>
        <w:t>Congreso Internacional de Organismos Certificados en Normas de Calidad.</w:t>
      </w:r>
    </w:p>
    <w:p w14:paraId="22C880C4" w14:textId="77777777" w:rsidR="00E956EF" w:rsidRPr="00B62815" w:rsidRDefault="00E956EF" w:rsidP="00E956EF">
      <w:pPr>
        <w:ind w:left="1080" w:firstLine="720"/>
        <w:rPr>
          <w:rFonts w:asciiTheme="minorHAnsi" w:hAnsiTheme="minorHAnsi" w:cstheme="minorHAnsi"/>
          <w:sz w:val="22"/>
          <w:szCs w:val="22"/>
          <w:lang w:val="es-ES"/>
        </w:rPr>
      </w:pPr>
    </w:p>
    <w:p w14:paraId="01009B3A" w14:textId="77777777" w:rsidR="00E956EF" w:rsidRPr="00B62815" w:rsidRDefault="00E956EF" w:rsidP="00E956EF">
      <w:pPr>
        <w:ind w:left="1800" w:hanging="1800"/>
        <w:rPr>
          <w:rFonts w:asciiTheme="minorHAnsi" w:hAnsiTheme="minorHAnsi" w:cstheme="minorHAnsi"/>
          <w:sz w:val="22"/>
          <w:szCs w:val="22"/>
          <w:lang w:val="es-US"/>
        </w:rPr>
      </w:pPr>
    </w:p>
    <w:p w14:paraId="0F4FA025"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20-21</w:t>
      </w:r>
      <w:r w:rsidRPr="00B62815">
        <w:rPr>
          <w:rFonts w:asciiTheme="minorHAnsi" w:hAnsiTheme="minorHAnsi" w:cstheme="minorHAnsi"/>
          <w:sz w:val="22"/>
          <w:szCs w:val="22"/>
          <w:lang w:val="es-US"/>
        </w:rPr>
        <w:tab/>
        <w:t>Santiago de Chile.</w:t>
      </w:r>
    </w:p>
    <w:p w14:paraId="7CBF5506" w14:textId="77777777" w:rsidR="00E956EF" w:rsidRPr="00B62815" w:rsidRDefault="00E956EF" w:rsidP="00E956EF">
      <w:pPr>
        <w:ind w:left="1800"/>
        <w:rPr>
          <w:rFonts w:asciiTheme="minorHAnsi" w:hAnsiTheme="minorHAnsi" w:cstheme="minorHAnsi"/>
          <w:sz w:val="22"/>
          <w:szCs w:val="22"/>
          <w:lang w:val="es-US"/>
        </w:rPr>
      </w:pPr>
      <w:r w:rsidRPr="00B62815">
        <w:rPr>
          <w:rFonts w:asciiTheme="minorHAnsi" w:hAnsiTheme="minorHAnsi" w:cstheme="minorHAnsi"/>
          <w:sz w:val="22"/>
          <w:szCs w:val="22"/>
          <w:lang w:val="es-US"/>
        </w:rPr>
        <w:t>Seminario Internacional ODCA-KAS “Relaciones América Latina-Europa: Fortalecimiento y Nuevas Perspectivas”.</w:t>
      </w:r>
    </w:p>
    <w:p w14:paraId="1EE93502" w14:textId="77777777" w:rsidR="00E956EF" w:rsidRPr="00B62815" w:rsidRDefault="00E956EF" w:rsidP="00E956EF">
      <w:pPr>
        <w:rPr>
          <w:rFonts w:asciiTheme="minorHAnsi" w:hAnsiTheme="minorHAnsi" w:cstheme="minorHAnsi"/>
          <w:sz w:val="22"/>
          <w:szCs w:val="22"/>
          <w:lang w:val="es-ES"/>
        </w:rPr>
      </w:pPr>
      <w:r w:rsidRPr="00B62815">
        <w:rPr>
          <w:rFonts w:asciiTheme="minorHAnsi" w:hAnsiTheme="minorHAnsi" w:cstheme="minorHAnsi"/>
          <w:sz w:val="22"/>
          <w:szCs w:val="22"/>
          <w:lang w:val="es-ES"/>
        </w:rPr>
        <w:tab/>
      </w:r>
      <w:r w:rsidRPr="00B62815">
        <w:rPr>
          <w:rFonts w:asciiTheme="minorHAnsi" w:hAnsiTheme="minorHAnsi" w:cstheme="minorHAnsi"/>
          <w:sz w:val="22"/>
          <w:szCs w:val="22"/>
          <w:lang w:val="es-ES"/>
        </w:rPr>
        <w:tab/>
      </w:r>
      <w:r w:rsidRPr="00B62815">
        <w:rPr>
          <w:rFonts w:asciiTheme="minorHAnsi" w:hAnsiTheme="minorHAnsi" w:cstheme="minorHAnsi"/>
          <w:sz w:val="22"/>
          <w:szCs w:val="22"/>
          <w:lang w:val="es-ES"/>
        </w:rPr>
        <w:tab/>
      </w:r>
    </w:p>
    <w:p w14:paraId="73A34193" w14:textId="77777777" w:rsidR="00E956EF" w:rsidRPr="00B62815" w:rsidRDefault="00E956EF" w:rsidP="00E956EF">
      <w:pPr>
        <w:rPr>
          <w:rFonts w:asciiTheme="minorHAnsi" w:hAnsiTheme="minorHAnsi" w:cstheme="minorHAnsi"/>
          <w:b/>
          <w:sz w:val="22"/>
          <w:szCs w:val="22"/>
          <w:u w:val="single"/>
        </w:rPr>
      </w:pPr>
      <w:r w:rsidRPr="00B62815">
        <w:rPr>
          <w:rFonts w:asciiTheme="minorHAnsi" w:hAnsiTheme="minorHAnsi" w:cstheme="minorHAnsi"/>
          <w:b/>
          <w:sz w:val="22"/>
          <w:szCs w:val="22"/>
          <w:u w:val="single"/>
        </w:rPr>
        <w:t>Septiembre</w:t>
      </w:r>
    </w:p>
    <w:p w14:paraId="591798EA" w14:textId="77777777" w:rsidR="00E956EF" w:rsidRPr="00B62815" w:rsidRDefault="00E956EF" w:rsidP="00E956EF">
      <w:pPr>
        <w:rPr>
          <w:rFonts w:asciiTheme="minorHAnsi" w:hAnsiTheme="minorHAnsi" w:cstheme="minorHAnsi"/>
          <w:sz w:val="22"/>
          <w:szCs w:val="22"/>
          <w:u w:val="single"/>
        </w:rPr>
      </w:pPr>
    </w:p>
    <w:p w14:paraId="7952343A" w14:textId="77777777" w:rsidR="00E956EF" w:rsidRPr="00B62815" w:rsidRDefault="00E956EF" w:rsidP="00E956EF">
      <w:pPr>
        <w:ind w:left="1800" w:hanging="1800"/>
        <w:rPr>
          <w:rFonts w:asciiTheme="minorHAnsi" w:hAnsiTheme="minorHAnsi" w:cstheme="minorHAnsi"/>
          <w:sz w:val="22"/>
          <w:szCs w:val="22"/>
        </w:rPr>
      </w:pPr>
      <w:r w:rsidRPr="00B62815">
        <w:rPr>
          <w:rFonts w:asciiTheme="minorHAnsi" w:hAnsiTheme="minorHAnsi" w:cstheme="minorHAnsi"/>
          <w:sz w:val="22"/>
          <w:szCs w:val="22"/>
        </w:rPr>
        <w:t>5-6</w:t>
      </w:r>
      <w:r w:rsidRPr="00B62815">
        <w:rPr>
          <w:rFonts w:asciiTheme="minorHAnsi" w:hAnsiTheme="minorHAnsi" w:cstheme="minorHAnsi"/>
          <w:sz w:val="22"/>
          <w:szCs w:val="22"/>
        </w:rPr>
        <w:tab/>
        <w:t>Toronto, Canada.</w:t>
      </w:r>
    </w:p>
    <w:p w14:paraId="61AA9280" w14:textId="77777777" w:rsidR="00E956EF" w:rsidRPr="00B62815" w:rsidRDefault="00E956EF" w:rsidP="00E956EF">
      <w:pPr>
        <w:ind w:left="1800"/>
        <w:rPr>
          <w:rFonts w:asciiTheme="minorHAnsi" w:hAnsiTheme="minorHAnsi" w:cstheme="minorHAnsi"/>
          <w:sz w:val="22"/>
          <w:szCs w:val="22"/>
        </w:rPr>
      </w:pPr>
      <w:r w:rsidRPr="00B62815">
        <w:rPr>
          <w:rFonts w:asciiTheme="minorHAnsi" w:hAnsiTheme="minorHAnsi" w:cstheme="minorHAnsi"/>
          <w:sz w:val="22"/>
          <w:szCs w:val="22"/>
        </w:rPr>
        <w:t xml:space="preserve">International Economic Forum of the Americas “Leading the New Economy”.  </w:t>
      </w:r>
    </w:p>
    <w:p w14:paraId="67C31509" w14:textId="77777777" w:rsidR="00E956EF" w:rsidRPr="00B62815" w:rsidRDefault="00E956EF" w:rsidP="00E956EF">
      <w:pPr>
        <w:ind w:left="1800"/>
        <w:rPr>
          <w:rFonts w:asciiTheme="minorHAnsi" w:hAnsiTheme="minorHAnsi" w:cstheme="minorHAnsi"/>
          <w:sz w:val="22"/>
          <w:szCs w:val="22"/>
        </w:rPr>
      </w:pPr>
    </w:p>
    <w:p w14:paraId="78168F39" w14:textId="77777777" w:rsidR="00625659" w:rsidRDefault="00625659" w:rsidP="00E956EF">
      <w:pPr>
        <w:ind w:left="1800" w:hanging="1800"/>
        <w:rPr>
          <w:rFonts w:asciiTheme="minorHAnsi" w:hAnsiTheme="minorHAnsi" w:cstheme="minorHAnsi"/>
          <w:sz w:val="22"/>
          <w:szCs w:val="22"/>
          <w:lang w:val="es-ES"/>
        </w:rPr>
      </w:pPr>
    </w:p>
    <w:p w14:paraId="420AE09F" w14:textId="0E2D39FE"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ES"/>
        </w:rPr>
        <w:t>9-13</w:t>
      </w:r>
      <w:r w:rsidRPr="00B62815">
        <w:rPr>
          <w:rFonts w:asciiTheme="minorHAnsi" w:hAnsiTheme="minorHAnsi" w:cstheme="minorHAnsi"/>
          <w:sz w:val="22"/>
          <w:szCs w:val="22"/>
          <w:lang w:val="es-US"/>
        </w:rPr>
        <w:tab/>
        <w:t>Varsovia, Polonia.</w:t>
      </w:r>
    </w:p>
    <w:p w14:paraId="3658123F"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Segunda Edición “Día de Latinoamérica”.</w:t>
      </w:r>
    </w:p>
    <w:p w14:paraId="6BC0D699" w14:textId="77777777" w:rsidR="00E956EF" w:rsidRPr="00B62815" w:rsidRDefault="00E956EF" w:rsidP="00E956EF">
      <w:pPr>
        <w:ind w:left="1080" w:firstLine="720"/>
        <w:rPr>
          <w:rFonts w:asciiTheme="minorHAnsi" w:hAnsiTheme="minorHAnsi" w:cstheme="minorHAnsi"/>
          <w:sz w:val="22"/>
          <w:szCs w:val="22"/>
          <w:lang w:val="es-US"/>
        </w:rPr>
      </w:pPr>
    </w:p>
    <w:p w14:paraId="5FF59202"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18-19</w:t>
      </w:r>
      <w:r w:rsidRPr="00B62815">
        <w:rPr>
          <w:rFonts w:asciiTheme="minorHAnsi" w:hAnsiTheme="minorHAnsi" w:cstheme="minorHAnsi"/>
          <w:sz w:val="22"/>
          <w:szCs w:val="22"/>
          <w:lang w:val="es-US"/>
        </w:rPr>
        <w:tab/>
        <w:t>Bridgetown, Barbados.</w:t>
      </w:r>
    </w:p>
    <w:p w14:paraId="6AEF3C41"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Octava Conferencia Ministerial de Cultura en Barbados. </w:t>
      </w:r>
    </w:p>
    <w:p w14:paraId="76E7682B" w14:textId="77777777" w:rsidR="00E956EF" w:rsidRPr="00B62815" w:rsidRDefault="00E956EF" w:rsidP="00E956EF">
      <w:pPr>
        <w:ind w:left="1080" w:firstLine="720"/>
        <w:rPr>
          <w:rFonts w:asciiTheme="minorHAnsi" w:hAnsiTheme="minorHAnsi" w:cstheme="minorHAnsi"/>
          <w:sz w:val="22"/>
          <w:szCs w:val="22"/>
          <w:lang w:val="es-US"/>
        </w:rPr>
      </w:pPr>
    </w:p>
    <w:p w14:paraId="269442D1"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23</w:t>
      </w:r>
      <w:r w:rsidRPr="00B62815">
        <w:rPr>
          <w:rFonts w:asciiTheme="minorHAnsi" w:hAnsiTheme="minorHAnsi" w:cstheme="minorHAnsi"/>
          <w:sz w:val="22"/>
          <w:szCs w:val="22"/>
          <w:lang w:val="es-US"/>
        </w:rPr>
        <w:tab/>
        <w:t>New York, NY.</w:t>
      </w:r>
    </w:p>
    <w:p w14:paraId="20D415E2"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Reunión de Cancilleres del Grupo de Lima. </w:t>
      </w:r>
    </w:p>
    <w:p w14:paraId="03583D4C" w14:textId="77777777" w:rsidR="00E956EF" w:rsidRPr="00B62815" w:rsidRDefault="00E956EF" w:rsidP="00E956EF">
      <w:pPr>
        <w:rPr>
          <w:rFonts w:asciiTheme="minorHAnsi" w:hAnsiTheme="minorHAnsi" w:cstheme="minorHAnsi"/>
          <w:sz w:val="22"/>
          <w:szCs w:val="22"/>
          <w:lang w:val="es-US"/>
        </w:rPr>
      </w:pPr>
    </w:p>
    <w:p w14:paraId="4D2CAD71" w14:textId="77777777" w:rsidR="00E956EF" w:rsidRPr="00B62815" w:rsidRDefault="00E956EF" w:rsidP="00E956EF">
      <w:pPr>
        <w:rPr>
          <w:rFonts w:asciiTheme="minorHAnsi" w:hAnsiTheme="minorHAnsi" w:cstheme="minorHAnsi"/>
          <w:b/>
          <w:sz w:val="22"/>
          <w:szCs w:val="22"/>
          <w:u w:val="single"/>
          <w:lang w:val="es-PE"/>
        </w:rPr>
      </w:pPr>
      <w:r w:rsidRPr="00B62815">
        <w:rPr>
          <w:rFonts w:asciiTheme="minorHAnsi" w:hAnsiTheme="minorHAnsi" w:cstheme="minorHAnsi"/>
          <w:b/>
          <w:sz w:val="22"/>
          <w:szCs w:val="22"/>
          <w:u w:val="single"/>
          <w:lang w:val="es-PE"/>
        </w:rPr>
        <w:t>Octubre</w:t>
      </w:r>
    </w:p>
    <w:p w14:paraId="4606A57C" w14:textId="77777777" w:rsidR="00E956EF" w:rsidRPr="00B62815" w:rsidRDefault="00E956EF" w:rsidP="00E956EF">
      <w:pPr>
        <w:rPr>
          <w:rFonts w:asciiTheme="minorHAnsi" w:hAnsiTheme="minorHAnsi" w:cstheme="minorHAnsi"/>
          <w:sz w:val="22"/>
          <w:szCs w:val="22"/>
          <w:u w:val="single"/>
          <w:lang w:val="es-PE"/>
        </w:rPr>
      </w:pPr>
    </w:p>
    <w:p w14:paraId="0807734C" w14:textId="77777777" w:rsidR="00E956EF" w:rsidRPr="00B62815" w:rsidRDefault="00E956EF" w:rsidP="00E956EF">
      <w:pPr>
        <w:ind w:left="1800" w:hanging="1800"/>
        <w:rPr>
          <w:rFonts w:asciiTheme="minorHAnsi" w:hAnsiTheme="minorHAnsi" w:cstheme="minorHAnsi"/>
          <w:sz w:val="22"/>
          <w:szCs w:val="22"/>
          <w:lang w:val="es-PE"/>
        </w:rPr>
      </w:pPr>
      <w:r w:rsidRPr="00B62815">
        <w:rPr>
          <w:rFonts w:asciiTheme="minorHAnsi" w:hAnsiTheme="minorHAnsi" w:cstheme="minorHAnsi"/>
          <w:sz w:val="22"/>
          <w:szCs w:val="22"/>
          <w:lang w:val="es-PE"/>
        </w:rPr>
        <w:t>07</w:t>
      </w:r>
      <w:r w:rsidRPr="00B62815">
        <w:rPr>
          <w:rFonts w:asciiTheme="minorHAnsi" w:hAnsiTheme="minorHAnsi" w:cstheme="minorHAnsi"/>
          <w:sz w:val="22"/>
          <w:szCs w:val="22"/>
          <w:lang w:val="es-PE"/>
        </w:rPr>
        <w:tab/>
        <w:t>Boston, MA.</w:t>
      </w:r>
    </w:p>
    <w:p w14:paraId="20DED7A5" w14:textId="77777777" w:rsidR="00E956EF" w:rsidRPr="00B62815" w:rsidRDefault="00E956EF" w:rsidP="00E956EF">
      <w:pPr>
        <w:ind w:left="1800"/>
        <w:rPr>
          <w:rFonts w:asciiTheme="minorHAnsi" w:hAnsiTheme="minorHAnsi" w:cstheme="minorHAnsi"/>
          <w:sz w:val="22"/>
          <w:szCs w:val="22"/>
        </w:rPr>
      </w:pPr>
      <w:r w:rsidRPr="00B62815">
        <w:rPr>
          <w:rFonts w:asciiTheme="minorHAnsi" w:hAnsiTheme="minorHAnsi" w:cstheme="minorHAnsi"/>
          <w:sz w:val="22"/>
          <w:szCs w:val="22"/>
          <w:lang w:val="es-PE"/>
        </w:rPr>
        <w:t>Conferencia</w:t>
      </w:r>
      <w:r w:rsidR="00FE7BD7" w:rsidRPr="00B62815">
        <w:rPr>
          <w:rFonts w:asciiTheme="minorHAnsi" w:hAnsiTheme="minorHAnsi" w:cstheme="minorHAnsi"/>
          <w:sz w:val="22"/>
          <w:szCs w:val="22"/>
          <w:lang w:val="es-PE"/>
        </w:rPr>
        <w:t>:</w:t>
      </w:r>
      <w:r w:rsidRPr="00B62815">
        <w:rPr>
          <w:rFonts w:asciiTheme="minorHAnsi" w:hAnsiTheme="minorHAnsi" w:cstheme="minorHAnsi"/>
          <w:sz w:val="22"/>
          <w:szCs w:val="22"/>
          <w:lang w:val="es-PE"/>
        </w:rPr>
        <w:t xml:space="preserve"> </w:t>
      </w:r>
      <w:r w:rsidRPr="00B62815">
        <w:rPr>
          <w:rFonts w:asciiTheme="minorHAnsi" w:hAnsiTheme="minorHAnsi" w:cstheme="minorHAnsi"/>
          <w:sz w:val="22"/>
          <w:szCs w:val="22"/>
          <w:lang w:val="es-US"/>
        </w:rPr>
        <w:t xml:space="preserve">Balance y Perspectivas de la Democracia en la Región.  </w:t>
      </w:r>
      <w:r w:rsidRPr="00B62815">
        <w:rPr>
          <w:rFonts w:asciiTheme="minorHAnsi" w:hAnsiTheme="minorHAnsi" w:cstheme="minorHAnsi"/>
          <w:sz w:val="22"/>
          <w:szCs w:val="22"/>
        </w:rPr>
        <w:t>Boston College Law School</w:t>
      </w:r>
    </w:p>
    <w:p w14:paraId="20038ECA" w14:textId="77777777" w:rsidR="00E956EF" w:rsidRPr="00B62815" w:rsidRDefault="00E956EF" w:rsidP="00E956EF">
      <w:pPr>
        <w:ind w:left="1800"/>
        <w:rPr>
          <w:rFonts w:asciiTheme="minorHAnsi" w:hAnsiTheme="minorHAnsi" w:cstheme="minorHAnsi"/>
          <w:sz w:val="22"/>
          <w:szCs w:val="22"/>
        </w:rPr>
      </w:pPr>
    </w:p>
    <w:p w14:paraId="4389978D" w14:textId="77777777" w:rsidR="00E956EF" w:rsidRPr="00B62815" w:rsidRDefault="00E956EF" w:rsidP="00E956EF">
      <w:pPr>
        <w:ind w:left="1800" w:hanging="1800"/>
        <w:rPr>
          <w:rFonts w:asciiTheme="minorHAnsi" w:hAnsiTheme="minorHAnsi" w:cstheme="minorHAnsi"/>
          <w:sz w:val="22"/>
          <w:szCs w:val="22"/>
        </w:rPr>
      </w:pPr>
      <w:r w:rsidRPr="00B62815">
        <w:rPr>
          <w:rFonts w:asciiTheme="minorHAnsi" w:hAnsiTheme="minorHAnsi" w:cstheme="minorHAnsi"/>
          <w:sz w:val="22"/>
          <w:szCs w:val="22"/>
        </w:rPr>
        <w:t>13-14</w:t>
      </w:r>
      <w:r w:rsidRPr="00B62815">
        <w:rPr>
          <w:rFonts w:asciiTheme="minorHAnsi" w:hAnsiTheme="minorHAnsi" w:cstheme="minorHAnsi"/>
          <w:sz w:val="22"/>
          <w:szCs w:val="22"/>
        </w:rPr>
        <w:tab/>
      </w:r>
      <w:r w:rsidR="00FE7BD7" w:rsidRPr="00B62815">
        <w:rPr>
          <w:rFonts w:asciiTheme="minorHAnsi" w:hAnsiTheme="minorHAnsi" w:cstheme="minorHAnsi"/>
          <w:sz w:val="22"/>
          <w:szCs w:val="22"/>
        </w:rPr>
        <w:t>San José</w:t>
      </w:r>
      <w:r w:rsidRPr="00B62815">
        <w:rPr>
          <w:rFonts w:asciiTheme="minorHAnsi" w:hAnsiTheme="minorHAnsi" w:cstheme="minorHAnsi"/>
          <w:sz w:val="22"/>
          <w:szCs w:val="22"/>
        </w:rPr>
        <w:t>, Costa Rica.</w:t>
      </w:r>
    </w:p>
    <w:p w14:paraId="1087D098" w14:textId="77777777" w:rsidR="00E956EF" w:rsidRPr="00B62815" w:rsidRDefault="00E956EF" w:rsidP="00E956EF">
      <w:pPr>
        <w:ind w:left="1080" w:firstLine="720"/>
        <w:rPr>
          <w:rFonts w:asciiTheme="minorHAnsi" w:hAnsiTheme="minorHAnsi" w:cstheme="minorHAnsi"/>
          <w:sz w:val="22"/>
          <w:szCs w:val="22"/>
        </w:rPr>
      </w:pPr>
      <w:r w:rsidRPr="00B62815">
        <w:rPr>
          <w:rFonts w:asciiTheme="minorHAnsi" w:hAnsiTheme="minorHAnsi" w:cstheme="minorHAnsi"/>
          <w:sz w:val="22"/>
          <w:szCs w:val="22"/>
        </w:rPr>
        <w:t>World Business Forum</w:t>
      </w:r>
      <w:r w:rsidRPr="00B62815">
        <w:rPr>
          <w:rFonts w:asciiTheme="minorHAnsi" w:hAnsiTheme="minorHAnsi" w:cstheme="minorHAnsi"/>
          <w:i/>
          <w:sz w:val="22"/>
          <w:szCs w:val="22"/>
        </w:rPr>
        <w:t xml:space="preserve"> </w:t>
      </w:r>
      <w:r w:rsidRPr="00B62815">
        <w:rPr>
          <w:rFonts w:asciiTheme="minorHAnsi" w:hAnsiTheme="minorHAnsi" w:cstheme="minorHAnsi"/>
          <w:sz w:val="22"/>
          <w:szCs w:val="22"/>
        </w:rPr>
        <w:t>Latinoamérica 2019.</w:t>
      </w:r>
    </w:p>
    <w:p w14:paraId="455A1EED" w14:textId="77777777" w:rsidR="00E956EF" w:rsidRPr="00B62815" w:rsidRDefault="00E956EF" w:rsidP="00E956EF">
      <w:pPr>
        <w:ind w:left="1080" w:firstLine="720"/>
        <w:rPr>
          <w:rFonts w:asciiTheme="minorHAnsi" w:hAnsiTheme="minorHAnsi" w:cstheme="minorHAnsi"/>
          <w:sz w:val="22"/>
          <w:szCs w:val="22"/>
        </w:rPr>
      </w:pPr>
    </w:p>
    <w:p w14:paraId="7928A47F" w14:textId="77777777" w:rsidR="00DD4A29" w:rsidRPr="00680F63" w:rsidRDefault="00DD4A29" w:rsidP="00E956EF">
      <w:pPr>
        <w:ind w:left="1800" w:hanging="1800"/>
        <w:rPr>
          <w:rFonts w:asciiTheme="minorHAnsi" w:hAnsiTheme="minorHAnsi" w:cstheme="minorHAnsi"/>
          <w:sz w:val="22"/>
          <w:szCs w:val="22"/>
        </w:rPr>
      </w:pPr>
    </w:p>
    <w:p w14:paraId="2D613D6B" w14:textId="7B11E91B"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17-18</w:t>
      </w:r>
      <w:r w:rsidRPr="00B62815">
        <w:rPr>
          <w:rFonts w:asciiTheme="minorHAnsi" w:hAnsiTheme="minorHAnsi" w:cstheme="minorHAnsi"/>
          <w:sz w:val="22"/>
          <w:szCs w:val="22"/>
          <w:lang w:val="es-US"/>
        </w:rPr>
        <w:tab/>
        <w:t>Nassau, Bahamas.</w:t>
      </w:r>
    </w:p>
    <w:p w14:paraId="067E0B1D"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Audiencia con el Primer Ministro de Bahamas, Dr. Hubert Minnis</w:t>
      </w:r>
    </w:p>
    <w:p w14:paraId="2C7D17D3" w14:textId="77777777" w:rsidR="00E956EF" w:rsidRPr="00B62815" w:rsidRDefault="00E956EF" w:rsidP="00E956EF">
      <w:pPr>
        <w:ind w:left="1080" w:firstLine="720"/>
        <w:rPr>
          <w:rFonts w:asciiTheme="minorHAnsi" w:hAnsiTheme="minorHAnsi" w:cstheme="minorHAnsi"/>
          <w:sz w:val="22"/>
          <w:szCs w:val="22"/>
          <w:lang w:val="es-US"/>
        </w:rPr>
      </w:pPr>
    </w:p>
    <w:p w14:paraId="5607CDA5" w14:textId="77777777" w:rsidR="00E956EF" w:rsidRPr="00B62815" w:rsidRDefault="00E956EF" w:rsidP="00E956EF">
      <w:pPr>
        <w:ind w:left="1800" w:hanging="1800"/>
        <w:rPr>
          <w:rFonts w:asciiTheme="minorHAnsi" w:hAnsiTheme="minorHAnsi" w:cstheme="minorHAnsi"/>
          <w:sz w:val="22"/>
          <w:szCs w:val="22"/>
        </w:rPr>
      </w:pPr>
      <w:r w:rsidRPr="00B62815">
        <w:rPr>
          <w:rFonts w:asciiTheme="minorHAnsi" w:hAnsiTheme="minorHAnsi" w:cstheme="minorHAnsi"/>
          <w:sz w:val="22"/>
          <w:szCs w:val="22"/>
        </w:rPr>
        <w:t>19</w:t>
      </w:r>
      <w:r w:rsidRPr="00B62815">
        <w:rPr>
          <w:rFonts w:asciiTheme="minorHAnsi" w:hAnsiTheme="minorHAnsi" w:cstheme="minorHAnsi"/>
          <w:sz w:val="22"/>
          <w:szCs w:val="22"/>
        </w:rPr>
        <w:tab/>
        <w:t>Miami, FL.</w:t>
      </w:r>
    </w:p>
    <w:p w14:paraId="04692489" w14:textId="77777777" w:rsidR="00E956EF" w:rsidRPr="00B62815" w:rsidRDefault="00E956EF" w:rsidP="00E956EF">
      <w:pPr>
        <w:ind w:left="1800"/>
        <w:rPr>
          <w:rFonts w:asciiTheme="minorHAnsi" w:hAnsiTheme="minorHAnsi" w:cstheme="minorHAnsi"/>
          <w:sz w:val="22"/>
          <w:szCs w:val="22"/>
        </w:rPr>
      </w:pPr>
      <w:r w:rsidRPr="00B62815">
        <w:rPr>
          <w:rFonts w:asciiTheme="minorHAnsi" w:hAnsiTheme="minorHAnsi" w:cstheme="minorHAnsi"/>
          <w:sz w:val="22"/>
          <w:szCs w:val="22"/>
        </w:rPr>
        <w:t>Conferencia “The Future of Democracy in the Americas” y Premio Executive Mastermind Latino 2019.</w:t>
      </w:r>
    </w:p>
    <w:p w14:paraId="50AB5D55" w14:textId="77777777" w:rsidR="00E956EF" w:rsidRPr="00B62815" w:rsidRDefault="00E956EF" w:rsidP="00E956EF">
      <w:pPr>
        <w:ind w:left="1800"/>
        <w:rPr>
          <w:rFonts w:asciiTheme="minorHAnsi" w:hAnsiTheme="minorHAnsi" w:cstheme="minorHAnsi"/>
          <w:sz w:val="22"/>
          <w:szCs w:val="22"/>
        </w:rPr>
      </w:pPr>
    </w:p>
    <w:p w14:paraId="59285D3E"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25</w:t>
      </w:r>
      <w:r w:rsidRPr="00B62815">
        <w:rPr>
          <w:rFonts w:asciiTheme="minorHAnsi" w:hAnsiTheme="minorHAnsi" w:cstheme="minorHAnsi"/>
          <w:sz w:val="22"/>
          <w:szCs w:val="22"/>
          <w:lang w:val="es-US"/>
        </w:rPr>
        <w:tab/>
        <w:t>Miami, FL.</w:t>
      </w:r>
    </w:p>
    <w:p w14:paraId="7C8E0BC8" w14:textId="77777777" w:rsidR="00E956EF" w:rsidRPr="00B62815" w:rsidRDefault="00E956EF" w:rsidP="00E956EF">
      <w:pPr>
        <w:ind w:left="1800"/>
        <w:rPr>
          <w:rFonts w:asciiTheme="minorHAnsi" w:hAnsiTheme="minorHAnsi" w:cstheme="minorHAnsi"/>
          <w:sz w:val="22"/>
          <w:szCs w:val="22"/>
          <w:lang w:val="es-US"/>
        </w:rPr>
      </w:pPr>
      <w:r w:rsidRPr="00B62815">
        <w:rPr>
          <w:rFonts w:asciiTheme="minorHAnsi" w:hAnsiTheme="minorHAnsi" w:cstheme="minorHAnsi"/>
          <w:sz w:val="22"/>
          <w:szCs w:val="22"/>
          <w:lang w:val="es-US"/>
        </w:rPr>
        <w:t>Ceremonia de Ratificación del Acuerdo por la Democracia Lincoln Diaz-Balart y el Comité Organización de la Oposición Cubana y Resistencia en el Exilio</w:t>
      </w:r>
    </w:p>
    <w:p w14:paraId="7066E5F3" w14:textId="77777777" w:rsidR="00E956EF" w:rsidRPr="00B62815" w:rsidRDefault="00E956EF" w:rsidP="00E956EF">
      <w:pPr>
        <w:ind w:left="1800"/>
        <w:rPr>
          <w:rFonts w:asciiTheme="minorHAnsi" w:hAnsiTheme="minorHAnsi" w:cstheme="minorHAnsi"/>
          <w:sz w:val="22"/>
          <w:szCs w:val="22"/>
          <w:lang w:val="es-US"/>
        </w:rPr>
      </w:pPr>
    </w:p>
    <w:p w14:paraId="36908381"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29-31</w:t>
      </w:r>
      <w:r w:rsidRPr="00B62815">
        <w:rPr>
          <w:rFonts w:asciiTheme="minorHAnsi" w:hAnsiTheme="minorHAnsi" w:cstheme="minorHAnsi"/>
          <w:sz w:val="22"/>
          <w:szCs w:val="22"/>
          <w:lang w:val="es-US"/>
        </w:rPr>
        <w:tab/>
        <w:t>Quito, Ecuador.</w:t>
      </w:r>
    </w:p>
    <w:p w14:paraId="6111B8D0" w14:textId="77777777" w:rsidR="00E956EF" w:rsidRPr="00B62815" w:rsidRDefault="00E956EF" w:rsidP="00E956EF">
      <w:pPr>
        <w:ind w:left="1800"/>
        <w:rPr>
          <w:rFonts w:asciiTheme="minorHAnsi" w:hAnsiTheme="minorHAnsi" w:cstheme="minorHAnsi"/>
          <w:b/>
          <w:sz w:val="22"/>
          <w:szCs w:val="22"/>
          <w:u w:val="single"/>
          <w:lang w:val="es-US"/>
        </w:rPr>
      </w:pPr>
      <w:r w:rsidRPr="00B62815">
        <w:rPr>
          <w:rFonts w:asciiTheme="minorHAnsi" w:hAnsiTheme="minorHAnsi" w:cstheme="minorHAnsi"/>
          <w:sz w:val="22"/>
          <w:szCs w:val="22"/>
          <w:lang w:val="es-US"/>
        </w:rPr>
        <w:t>VII Reunión de Ministros de Seguridad Pública. MISPA VII.</w:t>
      </w:r>
    </w:p>
    <w:p w14:paraId="7FEBF24E" w14:textId="77777777" w:rsidR="00E956EF" w:rsidRPr="00B62815" w:rsidRDefault="00E956EF" w:rsidP="00E956EF">
      <w:pPr>
        <w:ind w:left="1800" w:hanging="1800"/>
        <w:rPr>
          <w:rFonts w:asciiTheme="minorHAnsi" w:hAnsiTheme="minorHAnsi" w:cstheme="minorHAnsi"/>
          <w:b/>
          <w:sz w:val="22"/>
          <w:szCs w:val="22"/>
          <w:u w:val="single"/>
          <w:lang w:val="es-US"/>
        </w:rPr>
      </w:pPr>
    </w:p>
    <w:p w14:paraId="19BB8603" w14:textId="77777777" w:rsidR="00E956EF" w:rsidRPr="00B62815" w:rsidRDefault="00E956EF" w:rsidP="00E956EF">
      <w:pPr>
        <w:ind w:left="1800" w:hanging="1800"/>
        <w:rPr>
          <w:rFonts w:asciiTheme="minorHAnsi" w:hAnsiTheme="minorHAnsi" w:cstheme="minorHAnsi"/>
          <w:b/>
          <w:sz w:val="22"/>
          <w:szCs w:val="22"/>
          <w:u w:val="single"/>
          <w:lang w:val="es-PE"/>
        </w:rPr>
      </w:pPr>
      <w:r w:rsidRPr="00B62815">
        <w:rPr>
          <w:rFonts w:asciiTheme="minorHAnsi" w:hAnsiTheme="minorHAnsi" w:cstheme="minorHAnsi"/>
          <w:b/>
          <w:sz w:val="22"/>
          <w:szCs w:val="22"/>
          <w:u w:val="single"/>
          <w:lang w:val="es-PE"/>
        </w:rPr>
        <w:t xml:space="preserve">Noviembre </w:t>
      </w:r>
    </w:p>
    <w:p w14:paraId="4A10D551" w14:textId="77777777" w:rsidR="00E956EF" w:rsidRPr="00B62815" w:rsidRDefault="00E956EF" w:rsidP="00E956EF">
      <w:pPr>
        <w:rPr>
          <w:rFonts w:asciiTheme="minorHAnsi" w:hAnsiTheme="minorHAnsi" w:cstheme="minorHAnsi"/>
          <w:sz w:val="22"/>
          <w:szCs w:val="22"/>
          <w:lang w:val="es-PE"/>
        </w:rPr>
      </w:pPr>
    </w:p>
    <w:p w14:paraId="02D44F0F"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3-5</w:t>
      </w:r>
      <w:r w:rsidRPr="00B62815">
        <w:rPr>
          <w:rFonts w:asciiTheme="minorHAnsi" w:hAnsiTheme="minorHAnsi" w:cstheme="minorHAnsi"/>
          <w:sz w:val="22"/>
          <w:szCs w:val="22"/>
          <w:lang w:val="es-US"/>
        </w:rPr>
        <w:tab/>
        <w:t>Berlín, Alemania.</w:t>
      </w:r>
    </w:p>
    <w:p w14:paraId="25E9A2A1" w14:textId="77777777" w:rsidR="00E956EF" w:rsidRPr="00B62815" w:rsidRDefault="00E956EF" w:rsidP="00E956EF">
      <w:pPr>
        <w:ind w:left="1800"/>
        <w:rPr>
          <w:rFonts w:asciiTheme="minorHAnsi" w:hAnsiTheme="minorHAnsi" w:cstheme="minorHAnsi"/>
          <w:b/>
          <w:sz w:val="22"/>
          <w:szCs w:val="22"/>
          <w:u w:val="single"/>
          <w:lang w:val="es-US"/>
        </w:rPr>
      </w:pPr>
      <w:r w:rsidRPr="00B62815">
        <w:rPr>
          <w:rFonts w:asciiTheme="minorHAnsi" w:hAnsiTheme="minorHAnsi" w:cstheme="minorHAnsi"/>
          <w:sz w:val="22"/>
          <w:szCs w:val="22"/>
          <w:lang w:val="es-US"/>
        </w:rPr>
        <w:t>Conferencia sobre el Estado de la Democracia y el Desarrollo Sostenible en América Latina.</w:t>
      </w:r>
    </w:p>
    <w:p w14:paraId="0F10CC77" w14:textId="77777777" w:rsidR="00E956EF" w:rsidRPr="00B62815" w:rsidRDefault="00E956EF" w:rsidP="00E956EF">
      <w:pPr>
        <w:rPr>
          <w:rFonts w:asciiTheme="minorHAnsi" w:hAnsiTheme="minorHAnsi" w:cstheme="minorHAnsi"/>
          <w:b/>
          <w:sz w:val="22"/>
          <w:szCs w:val="22"/>
          <w:u w:val="single"/>
          <w:lang w:val="es-US"/>
        </w:rPr>
      </w:pPr>
    </w:p>
    <w:p w14:paraId="1280B0C6" w14:textId="77777777" w:rsidR="00E956EF" w:rsidRPr="00B62815" w:rsidRDefault="00E956EF" w:rsidP="00E956EF">
      <w:pPr>
        <w:ind w:left="1800" w:hanging="1800"/>
        <w:rPr>
          <w:rFonts w:asciiTheme="minorHAnsi" w:hAnsiTheme="minorHAnsi" w:cstheme="minorHAnsi"/>
          <w:sz w:val="22"/>
          <w:szCs w:val="22"/>
        </w:rPr>
      </w:pPr>
      <w:r w:rsidRPr="00B62815">
        <w:rPr>
          <w:rFonts w:asciiTheme="minorHAnsi" w:hAnsiTheme="minorHAnsi" w:cstheme="minorHAnsi"/>
          <w:sz w:val="22"/>
          <w:szCs w:val="22"/>
        </w:rPr>
        <w:t>5-7</w:t>
      </w:r>
      <w:r w:rsidRPr="00B62815">
        <w:rPr>
          <w:rFonts w:asciiTheme="minorHAnsi" w:hAnsiTheme="minorHAnsi" w:cstheme="minorHAnsi"/>
          <w:sz w:val="22"/>
          <w:szCs w:val="22"/>
        </w:rPr>
        <w:tab/>
        <w:t>Londres, Inglaterra.</w:t>
      </w:r>
    </w:p>
    <w:p w14:paraId="6E0A509A" w14:textId="77777777" w:rsidR="00E956EF" w:rsidRPr="00B62815" w:rsidRDefault="00E956EF" w:rsidP="00E956EF">
      <w:pPr>
        <w:ind w:left="1800"/>
        <w:rPr>
          <w:rFonts w:asciiTheme="minorHAnsi" w:hAnsiTheme="minorHAnsi" w:cstheme="minorHAnsi"/>
          <w:sz w:val="22"/>
          <w:szCs w:val="22"/>
          <w:lang w:val="es-US"/>
        </w:rPr>
      </w:pPr>
      <w:r w:rsidRPr="00B62815">
        <w:rPr>
          <w:rFonts w:asciiTheme="minorHAnsi" w:hAnsiTheme="minorHAnsi" w:cstheme="minorHAnsi"/>
          <w:sz w:val="22"/>
          <w:szCs w:val="22"/>
        </w:rPr>
        <w:t xml:space="preserve">Conferencia: </w:t>
      </w:r>
      <w:r w:rsidRPr="00B62815">
        <w:rPr>
          <w:rFonts w:asciiTheme="minorHAnsi" w:hAnsiTheme="minorHAnsi" w:cstheme="minorHAnsi"/>
          <w:i/>
          <w:sz w:val="22"/>
          <w:szCs w:val="22"/>
        </w:rPr>
        <w:t xml:space="preserve">Cannin House and All Party Parliamentary Group: “Update on Human Rights in Venezuela”. </w:t>
      </w:r>
      <w:r w:rsidRPr="00B62815">
        <w:rPr>
          <w:rFonts w:asciiTheme="minorHAnsi" w:hAnsiTheme="minorHAnsi" w:cstheme="minorHAnsi"/>
          <w:sz w:val="22"/>
          <w:szCs w:val="22"/>
          <w:lang w:val="es-US"/>
        </w:rPr>
        <w:t>Y Universidad de Cambridge: presentación sobre “La Defensa de la Democracia y Derechos Humanos en Latinoamérica”</w:t>
      </w:r>
    </w:p>
    <w:p w14:paraId="1CC31863" w14:textId="77777777" w:rsidR="00E956EF" w:rsidRPr="00B62815" w:rsidRDefault="00E956EF" w:rsidP="00E956EF">
      <w:pPr>
        <w:ind w:left="1800"/>
        <w:rPr>
          <w:rFonts w:asciiTheme="minorHAnsi" w:hAnsiTheme="minorHAnsi" w:cstheme="minorHAnsi"/>
          <w:b/>
          <w:sz w:val="22"/>
          <w:szCs w:val="22"/>
          <w:u w:val="single"/>
          <w:lang w:val="es-US"/>
        </w:rPr>
      </w:pPr>
    </w:p>
    <w:p w14:paraId="038B4BEF" w14:textId="77777777" w:rsidR="00E956EF" w:rsidRPr="00673757" w:rsidRDefault="00E956EF" w:rsidP="00E956EF">
      <w:pPr>
        <w:ind w:left="1800" w:hanging="1800"/>
        <w:rPr>
          <w:rFonts w:asciiTheme="minorHAnsi" w:hAnsiTheme="minorHAnsi" w:cstheme="minorHAnsi"/>
          <w:sz w:val="22"/>
          <w:szCs w:val="22"/>
          <w:lang w:val="pt-BR"/>
        </w:rPr>
      </w:pPr>
      <w:r w:rsidRPr="00673757">
        <w:rPr>
          <w:rFonts w:asciiTheme="minorHAnsi" w:hAnsiTheme="minorHAnsi" w:cstheme="minorHAnsi"/>
          <w:sz w:val="22"/>
          <w:szCs w:val="22"/>
          <w:lang w:val="pt-BR"/>
        </w:rPr>
        <w:t>9-10</w:t>
      </w:r>
      <w:r w:rsidRPr="00673757">
        <w:rPr>
          <w:rFonts w:asciiTheme="minorHAnsi" w:hAnsiTheme="minorHAnsi" w:cstheme="minorHAnsi"/>
          <w:sz w:val="22"/>
          <w:szCs w:val="22"/>
          <w:lang w:val="pt-BR"/>
        </w:rPr>
        <w:tab/>
        <w:t>Nassau, Bahamas.</w:t>
      </w:r>
    </w:p>
    <w:p w14:paraId="11ECCB9F" w14:textId="77777777" w:rsidR="00E956EF" w:rsidRPr="00B62815" w:rsidRDefault="00E956EF" w:rsidP="00E956EF">
      <w:pPr>
        <w:ind w:left="1800"/>
        <w:rPr>
          <w:rFonts w:asciiTheme="minorHAnsi" w:hAnsiTheme="minorHAnsi" w:cstheme="minorHAnsi"/>
          <w:sz w:val="22"/>
          <w:szCs w:val="22"/>
          <w:lang w:val="es-US"/>
        </w:rPr>
      </w:pPr>
      <w:r w:rsidRPr="00B62815">
        <w:rPr>
          <w:rFonts w:asciiTheme="minorHAnsi" w:hAnsiTheme="minorHAnsi" w:cstheme="minorHAnsi"/>
          <w:sz w:val="22"/>
          <w:szCs w:val="22"/>
          <w:lang w:val="pt-BR"/>
        </w:rPr>
        <w:t xml:space="preserve">Visita a las zonas de desastre. </w:t>
      </w:r>
      <w:r w:rsidRPr="00B62815">
        <w:rPr>
          <w:rFonts w:asciiTheme="minorHAnsi" w:hAnsiTheme="minorHAnsi" w:cstheme="minorHAnsi"/>
          <w:sz w:val="22"/>
          <w:szCs w:val="22"/>
          <w:lang w:val="es-US"/>
        </w:rPr>
        <w:t>Evaluación de los daños ocasionados por el Huracán Dorian.</w:t>
      </w:r>
    </w:p>
    <w:p w14:paraId="444C444A" w14:textId="77777777" w:rsidR="00E956EF" w:rsidRPr="00B62815" w:rsidRDefault="00E956EF" w:rsidP="00E956EF">
      <w:pPr>
        <w:ind w:left="1800"/>
        <w:rPr>
          <w:rFonts w:asciiTheme="minorHAnsi" w:hAnsiTheme="minorHAnsi" w:cstheme="minorHAnsi"/>
          <w:b/>
          <w:sz w:val="22"/>
          <w:szCs w:val="22"/>
          <w:u w:val="single"/>
          <w:lang w:val="es-US"/>
        </w:rPr>
      </w:pPr>
    </w:p>
    <w:p w14:paraId="3CE4A732"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18-19</w:t>
      </w:r>
      <w:r w:rsidRPr="00B62815">
        <w:rPr>
          <w:rFonts w:asciiTheme="minorHAnsi" w:hAnsiTheme="minorHAnsi" w:cstheme="minorHAnsi"/>
          <w:sz w:val="22"/>
          <w:szCs w:val="22"/>
          <w:lang w:val="es-US"/>
        </w:rPr>
        <w:tab/>
        <w:t>Asunción, Paraguay.</w:t>
      </w:r>
    </w:p>
    <w:p w14:paraId="2AEEFA9D" w14:textId="77777777" w:rsidR="00E956EF" w:rsidRPr="00B62815" w:rsidRDefault="00E956EF" w:rsidP="00E956EF">
      <w:pPr>
        <w:ind w:left="1800"/>
        <w:rPr>
          <w:rFonts w:asciiTheme="minorHAnsi" w:hAnsiTheme="minorHAnsi" w:cstheme="minorHAnsi"/>
          <w:b/>
          <w:sz w:val="22"/>
          <w:szCs w:val="22"/>
          <w:u w:val="single"/>
          <w:lang w:val="es-US"/>
        </w:rPr>
      </w:pPr>
      <w:r w:rsidRPr="00B62815">
        <w:rPr>
          <w:rFonts w:asciiTheme="minorHAnsi" w:hAnsiTheme="minorHAnsi" w:cstheme="minorHAnsi"/>
          <w:sz w:val="22"/>
          <w:szCs w:val="22"/>
          <w:lang w:val="es-US"/>
        </w:rPr>
        <w:t>Foro Internacional “Paraguay Dialoga: Gestión de Gobierno, Desarrollo y Transparencia”. Lanzamiento de OEA-News en Paraguay.</w:t>
      </w:r>
    </w:p>
    <w:p w14:paraId="2D111D85" w14:textId="77777777" w:rsidR="00E956EF" w:rsidRPr="00B62815" w:rsidRDefault="00E956EF" w:rsidP="00E956EF">
      <w:pPr>
        <w:ind w:left="1800" w:hanging="1800"/>
        <w:rPr>
          <w:rFonts w:asciiTheme="minorHAnsi" w:hAnsiTheme="minorHAnsi" w:cstheme="minorHAnsi"/>
          <w:b/>
          <w:sz w:val="22"/>
          <w:szCs w:val="22"/>
          <w:u w:val="single"/>
          <w:lang w:val="es-US"/>
        </w:rPr>
      </w:pPr>
    </w:p>
    <w:p w14:paraId="04A651E9" w14:textId="77777777" w:rsidR="00E956EF" w:rsidRPr="00B62815" w:rsidRDefault="00E956EF" w:rsidP="00E956EF">
      <w:pPr>
        <w:ind w:left="1800" w:hanging="1800"/>
        <w:rPr>
          <w:rFonts w:asciiTheme="minorHAnsi" w:hAnsiTheme="minorHAnsi" w:cstheme="minorHAnsi"/>
          <w:b/>
          <w:sz w:val="22"/>
          <w:szCs w:val="22"/>
          <w:u w:val="single"/>
          <w:lang w:val="es-US"/>
        </w:rPr>
      </w:pPr>
      <w:r w:rsidRPr="00B62815">
        <w:rPr>
          <w:rFonts w:asciiTheme="minorHAnsi" w:hAnsiTheme="minorHAnsi" w:cstheme="minorHAnsi"/>
          <w:b/>
          <w:sz w:val="22"/>
          <w:szCs w:val="22"/>
          <w:u w:val="single"/>
          <w:lang w:val="es-US"/>
        </w:rPr>
        <w:t>Diciembre</w:t>
      </w:r>
    </w:p>
    <w:p w14:paraId="7BA0FBE8" w14:textId="77777777" w:rsidR="00E956EF" w:rsidRPr="00B62815" w:rsidRDefault="00E956EF" w:rsidP="00E956EF">
      <w:pPr>
        <w:ind w:left="1800" w:hanging="1800"/>
        <w:rPr>
          <w:rFonts w:asciiTheme="minorHAnsi" w:hAnsiTheme="minorHAnsi" w:cstheme="minorHAnsi"/>
          <w:sz w:val="22"/>
          <w:szCs w:val="22"/>
          <w:lang w:val="es-US"/>
        </w:rPr>
      </w:pPr>
    </w:p>
    <w:p w14:paraId="69ECF02F" w14:textId="77777777" w:rsidR="00E956EF" w:rsidRPr="00B62815" w:rsidRDefault="00E956EF" w:rsidP="00E956EF">
      <w:pPr>
        <w:ind w:left="1800" w:hanging="1800"/>
        <w:rPr>
          <w:rFonts w:asciiTheme="minorHAnsi" w:hAnsiTheme="minorHAnsi" w:cstheme="minorHAnsi"/>
          <w:sz w:val="22"/>
          <w:szCs w:val="22"/>
          <w:lang w:val="es-PE"/>
        </w:rPr>
      </w:pPr>
      <w:r w:rsidRPr="00B62815">
        <w:rPr>
          <w:rFonts w:asciiTheme="minorHAnsi" w:hAnsiTheme="minorHAnsi" w:cstheme="minorHAnsi"/>
          <w:sz w:val="22"/>
          <w:szCs w:val="22"/>
          <w:lang w:val="es-PE"/>
        </w:rPr>
        <w:t>3-4</w:t>
      </w:r>
      <w:r w:rsidRPr="00B62815">
        <w:rPr>
          <w:rFonts w:asciiTheme="minorHAnsi" w:hAnsiTheme="minorHAnsi" w:cstheme="minorHAnsi"/>
          <w:sz w:val="22"/>
          <w:szCs w:val="22"/>
          <w:lang w:val="es-PE"/>
        </w:rPr>
        <w:tab/>
      </w:r>
      <w:r w:rsidR="00FE7BD7" w:rsidRPr="00B62815">
        <w:rPr>
          <w:rFonts w:asciiTheme="minorHAnsi" w:hAnsiTheme="minorHAnsi" w:cstheme="minorHAnsi"/>
          <w:sz w:val="22"/>
          <w:szCs w:val="22"/>
          <w:lang w:val="es-PE"/>
        </w:rPr>
        <w:t>Bogotá</w:t>
      </w:r>
      <w:r w:rsidRPr="00B62815">
        <w:rPr>
          <w:rFonts w:asciiTheme="minorHAnsi" w:hAnsiTheme="minorHAnsi" w:cstheme="minorHAnsi"/>
          <w:sz w:val="22"/>
          <w:szCs w:val="22"/>
          <w:lang w:val="es-PE"/>
        </w:rPr>
        <w:t>, Colombia.</w:t>
      </w:r>
    </w:p>
    <w:p w14:paraId="41C7337C"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 xml:space="preserve">Reunión de Cancilleres del Grupo de Lima.  </w:t>
      </w:r>
    </w:p>
    <w:p w14:paraId="120EF1EB" w14:textId="77777777" w:rsidR="00E956EF" w:rsidRPr="00B62815" w:rsidRDefault="00E956EF" w:rsidP="00E956EF">
      <w:pPr>
        <w:ind w:left="1080" w:firstLine="720"/>
        <w:rPr>
          <w:rFonts w:asciiTheme="minorHAnsi" w:hAnsiTheme="minorHAnsi" w:cstheme="minorHAnsi"/>
          <w:b/>
          <w:sz w:val="22"/>
          <w:szCs w:val="22"/>
          <w:lang w:val="es-US"/>
        </w:rPr>
      </w:pPr>
    </w:p>
    <w:p w14:paraId="62637DFD"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4-6</w:t>
      </w:r>
      <w:r w:rsidRPr="00B62815">
        <w:rPr>
          <w:rFonts w:asciiTheme="minorHAnsi" w:hAnsiTheme="minorHAnsi" w:cstheme="minorHAnsi"/>
          <w:sz w:val="22"/>
          <w:szCs w:val="22"/>
          <w:lang w:val="es-US"/>
        </w:rPr>
        <w:tab/>
        <w:t>Ottawa, Canada.</w:t>
      </w:r>
    </w:p>
    <w:p w14:paraId="1DE546E7" w14:textId="77777777" w:rsidR="00E956EF" w:rsidRPr="00B62815" w:rsidRDefault="00E956EF" w:rsidP="00E956EF">
      <w:pPr>
        <w:ind w:left="1800"/>
        <w:rPr>
          <w:rFonts w:asciiTheme="minorHAnsi" w:hAnsiTheme="minorHAnsi" w:cstheme="minorHAnsi"/>
          <w:b/>
          <w:sz w:val="22"/>
          <w:szCs w:val="22"/>
          <w:u w:val="single"/>
          <w:lang w:val="es-US"/>
        </w:rPr>
      </w:pPr>
      <w:r w:rsidRPr="00B62815">
        <w:rPr>
          <w:rFonts w:asciiTheme="minorHAnsi" w:hAnsiTheme="minorHAnsi" w:cstheme="minorHAnsi"/>
          <w:sz w:val="22"/>
          <w:szCs w:val="22"/>
          <w:lang w:val="es-US"/>
        </w:rPr>
        <w:t xml:space="preserve">Visita a Comunidades Indígenas. Asociación de Mujeres Nativas de Canada. </w:t>
      </w:r>
    </w:p>
    <w:p w14:paraId="7FDDC649" w14:textId="77777777" w:rsidR="00E956EF" w:rsidRPr="00B62815" w:rsidRDefault="00E956EF" w:rsidP="00E956EF">
      <w:pPr>
        <w:rPr>
          <w:rFonts w:asciiTheme="minorHAnsi" w:hAnsiTheme="minorHAnsi" w:cstheme="minorHAnsi"/>
          <w:sz w:val="22"/>
          <w:szCs w:val="22"/>
          <w:lang w:val="es-US"/>
        </w:rPr>
      </w:pPr>
    </w:p>
    <w:p w14:paraId="7A0CCB76" w14:textId="77777777" w:rsidR="00E956EF" w:rsidRPr="00B62815" w:rsidRDefault="00E956EF" w:rsidP="00E956EF">
      <w:pPr>
        <w:ind w:left="1800" w:hanging="1800"/>
        <w:rPr>
          <w:rFonts w:asciiTheme="minorHAnsi" w:hAnsiTheme="minorHAnsi" w:cstheme="minorHAnsi"/>
          <w:sz w:val="22"/>
          <w:szCs w:val="22"/>
          <w:lang w:val="es-US"/>
        </w:rPr>
      </w:pPr>
      <w:r w:rsidRPr="00B62815">
        <w:rPr>
          <w:rFonts w:asciiTheme="minorHAnsi" w:hAnsiTheme="minorHAnsi" w:cstheme="minorHAnsi"/>
          <w:sz w:val="22"/>
          <w:szCs w:val="22"/>
          <w:lang w:val="es-US"/>
        </w:rPr>
        <w:t>9-10</w:t>
      </w:r>
      <w:r w:rsidRPr="00B62815">
        <w:rPr>
          <w:rFonts w:asciiTheme="minorHAnsi" w:hAnsiTheme="minorHAnsi" w:cstheme="minorHAnsi"/>
          <w:sz w:val="22"/>
          <w:szCs w:val="22"/>
          <w:lang w:val="es-US"/>
        </w:rPr>
        <w:tab/>
        <w:t>Cartagena, Colombia.</w:t>
      </w:r>
    </w:p>
    <w:p w14:paraId="57E67244" w14:textId="77777777" w:rsidR="00E956EF" w:rsidRPr="00B62815" w:rsidRDefault="00E956EF" w:rsidP="00E956EF">
      <w:pPr>
        <w:ind w:left="1080" w:firstLine="720"/>
        <w:rPr>
          <w:rFonts w:asciiTheme="minorHAnsi" w:hAnsiTheme="minorHAnsi" w:cstheme="minorHAnsi"/>
          <w:sz w:val="22"/>
          <w:szCs w:val="22"/>
          <w:lang w:val="es-US"/>
        </w:rPr>
      </w:pPr>
      <w:r w:rsidRPr="00B62815">
        <w:rPr>
          <w:rFonts w:asciiTheme="minorHAnsi" w:hAnsiTheme="minorHAnsi" w:cstheme="minorHAnsi"/>
          <w:sz w:val="22"/>
          <w:szCs w:val="22"/>
          <w:lang w:val="es-US"/>
        </w:rPr>
        <w:t>Conmemoración del Día Internacional de los Derechos Humanos.</w:t>
      </w:r>
    </w:p>
    <w:p w14:paraId="3EBA730B" w14:textId="77777777" w:rsidR="00E23083" w:rsidRPr="00B62815" w:rsidRDefault="00E23083" w:rsidP="00CE4125">
      <w:pPr>
        <w:outlineLvl w:val="1"/>
        <w:rPr>
          <w:rFonts w:asciiTheme="minorHAnsi" w:eastAsia="Times New Roman" w:hAnsiTheme="minorHAnsi" w:cstheme="minorHAnsi"/>
          <w:b/>
          <w:color w:val="1F497D"/>
          <w:sz w:val="22"/>
          <w:szCs w:val="22"/>
          <w:lang w:val="es-US"/>
        </w:rPr>
      </w:pPr>
    </w:p>
    <w:p w14:paraId="11DC4CC2" w14:textId="77777777" w:rsidR="00922119" w:rsidRPr="00B62815" w:rsidRDefault="00922119" w:rsidP="00C42F60">
      <w:pPr>
        <w:jc w:val="both"/>
        <w:rPr>
          <w:rFonts w:asciiTheme="minorHAnsi" w:eastAsia="Times New Roman" w:hAnsiTheme="minorHAnsi" w:cstheme="minorHAnsi"/>
          <w:b/>
          <w:sz w:val="22"/>
          <w:szCs w:val="22"/>
          <w:u w:val="single"/>
          <w:lang w:val="es-ES"/>
        </w:rPr>
      </w:pPr>
    </w:p>
    <w:p w14:paraId="4B796732" w14:textId="77777777" w:rsidR="00D2474B" w:rsidRPr="00B62815" w:rsidRDefault="005229AA" w:rsidP="00CE4125">
      <w:pPr>
        <w:pStyle w:val="ListParagraph"/>
        <w:ind w:left="0"/>
        <w:outlineLvl w:val="1"/>
        <w:rPr>
          <w:rFonts w:asciiTheme="minorHAnsi" w:eastAsia="Times New Roman" w:hAnsiTheme="minorHAnsi" w:cstheme="minorHAnsi"/>
          <w:b/>
          <w:color w:val="1F497D"/>
          <w:sz w:val="22"/>
          <w:szCs w:val="22"/>
          <w:lang w:val="es-ES"/>
        </w:rPr>
      </w:pPr>
      <w:r w:rsidRPr="00B62815">
        <w:rPr>
          <w:rFonts w:asciiTheme="minorHAnsi" w:eastAsia="Times New Roman" w:hAnsiTheme="minorHAnsi" w:cstheme="minorHAnsi"/>
          <w:b/>
          <w:sz w:val="22"/>
          <w:szCs w:val="22"/>
          <w:lang w:val="es-US"/>
        </w:rPr>
        <w:br w:type="page"/>
      </w:r>
      <w:bookmarkStart w:id="137" w:name="_Toc39675878"/>
      <w:bookmarkStart w:id="138" w:name="_Toc40191101"/>
      <w:r w:rsidR="00D2474B" w:rsidRPr="00B62815">
        <w:rPr>
          <w:rFonts w:asciiTheme="minorHAnsi" w:eastAsia="Times New Roman" w:hAnsiTheme="minorHAnsi" w:cstheme="minorHAnsi"/>
          <w:b/>
          <w:color w:val="1F497D"/>
          <w:sz w:val="22"/>
          <w:szCs w:val="22"/>
          <w:lang w:val="es-ES"/>
        </w:rPr>
        <w:t xml:space="preserve">5.2 </w:t>
      </w:r>
      <w:r w:rsidR="00BC78D5" w:rsidRPr="00B62815">
        <w:rPr>
          <w:rFonts w:asciiTheme="minorHAnsi" w:eastAsia="Times New Roman" w:hAnsiTheme="minorHAnsi" w:cstheme="minorHAnsi"/>
          <w:b/>
          <w:color w:val="1F497D"/>
          <w:sz w:val="22"/>
          <w:szCs w:val="22"/>
          <w:lang w:val="es-ES"/>
        </w:rPr>
        <w:tab/>
      </w:r>
      <w:r w:rsidR="00D2474B" w:rsidRPr="00B62815">
        <w:rPr>
          <w:rFonts w:asciiTheme="minorHAnsi" w:eastAsia="Times New Roman" w:hAnsiTheme="minorHAnsi" w:cstheme="minorHAnsi"/>
          <w:b/>
          <w:color w:val="1F497D"/>
          <w:sz w:val="22"/>
          <w:szCs w:val="22"/>
          <w:lang w:val="es-ES"/>
        </w:rPr>
        <w:t>ACTIVIDADES DEL SECRETARIO GENERAL ADJUNTO FUERA DE LA SEDE</w:t>
      </w:r>
      <w:bookmarkEnd w:id="137"/>
      <w:bookmarkEnd w:id="138"/>
    </w:p>
    <w:p w14:paraId="0B78D643" w14:textId="77777777" w:rsidR="007446D0" w:rsidRPr="00B62815" w:rsidRDefault="007446D0" w:rsidP="00CE4125">
      <w:pPr>
        <w:pStyle w:val="ListParagraph"/>
        <w:ind w:left="0"/>
        <w:outlineLvl w:val="1"/>
        <w:rPr>
          <w:rFonts w:asciiTheme="minorHAnsi" w:eastAsia="Times New Roman" w:hAnsiTheme="minorHAnsi" w:cstheme="minorHAnsi"/>
          <w:b/>
          <w:color w:val="1F497D"/>
          <w:sz w:val="22"/>
          <w:szCs w:val="22"/>
          <w:lang w:val="es-ES"/>
        </w:rPr>
      </w:pPr>
    </w:p>
    <w:p w14:paraId="35C08DCD" w14:textId="77777777" w:rsidR="007446D0" w:rsidRPr="00B62815" w:rsidRDefault="007446D0" w:rsidP="007446D0">
      <w:pPr>
        <w:jc w:val="both"/>
        <w:rPr>
          <w:rFonts w:asciiTheme="minorHAnsi" w:eastAsia="Times New Roman" w:hAnsiTheme="minorHAnsi" w:cstheme="minorHAnsi"/>
          <w:b/>
          <w:sz w:val="22"/>
          <w:szCs w:val="22"/>
          <w:u w:val="single"/>
          <w:lang w:val="es-ES"/>
        </w:rPr>
      </w:pPr>
      <w:r w:rsidRPr="00B62815">
        <w:rPr>
          <w:rFonts w:asciiTheme="minorHAnsi" w:eastAsia="Times New Roman" w:hAnsiTheme="minorHAnsi" w:cstheme="minorHAnsi"/>
          <w:b/>
          <w:sz w:val="22"/>
          <w:szCs w:val="22"/>
          <w:u w:val="single"/>
          <w:lang w:val="es-ES"/>
        </w:rPr>
        <w:t>Enero</w:t>
      </w:r>
    </w:p>
    <w:p w14:paraId="370CB38F" w14:textId="77777777" w:rsidR="007446D0" w:rsidRPr="00B62815" w:rsidRDefault="007446D0" w:rsidP="007446D0">
      <w:pPr>
        <w:jc w:val="both"/>
        <w:rPr>
          <w:rFonts w:asciiTheme="minorHAnsi" w:eastAsia="Times New Roman" w:hAnsiTheme="minorHAnsi" w:cstheme="minorHAnsi"/>
          <w:b/>
          <w:sz w:val="22"/>
          <w:szCs w:val="22"/>
          <w:u w:val="single"/>
          <w:lang w:val="es-ES"/>
        </w:rPr>
      </w:pPr>
    </w:p>
    <w:p w14:paraId="7D5156BA"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15 - 18</w:t>
      </w:r>
      <w:r w:rsidRPr="00B62815">
        <w:rPr>
          <w:rFonts w:asciiTheme="minorHAnsi" w:eastAsia="Times New Roman" w:hAnsiTheme="minorHAnsi" w:cstheme="minorHAnsi"/>
          <w:sz w:val="22"/>
          <w:szCs w:val="22"/>
          <w:lang w:val="es-ES"/>
        </w:rPr>
        <w:tab/>
        <w:t>Medellín, Colombia</w:t>
      </w:r>
    </w:p>
    <w:p w14:paraId="34791F59"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realizó una visita anticipada en preparación para la 49ª Sesión Ordinaria de la Asamblea General. Esta fue una de las visitas pre-programadas como parte de los preparativos para la Asamblea General, y se realizó para examinar el lugar y evaluar los preparativos para la misma. EL Secretario General Adjunto viajó acompañado por el Director de Gestión de Conferencias y Reuniones, Francisco Lainez, y sostuvieron reuniones con varios representantes dentro del Ministerio de Relaciones Exteriores de Colombia, incluida la Viceministra, Adriana Mejía. El Secretario General Adjunto también se reunió con el alcalde de Medellín, Federico Gutiérrez y el gobernador de Antioquia, Luis Pérez Gutiérrez, y visitó dos universidades locales para identificar un anfitrión para el MOAS.</w:t>
      </w:r>
    </w:p>
    <w:p w14:paraId="25B463E3"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1468CB0B" w14:textId="77777777" w:rsidR="007446D0" w:rsidRPr="00B62815" w:rsidRDefault="007446D0" w:rsidP="007446D0">
      <w:pPr>
        <w:ind w:left="1800" w:hanging="1800"/>
        <w:jc w:val="both"/>
        <w:rPr>
          <w:rFonts w:asciiTheme="minorHAnsi" w:eastAsia="Times New Roman" w:hAnsiTheme="minorHAnsi" w:cstheme="minorHAnsi"/>
          <w:sz w:val="22"/>
          <w:szCs w:val="22"/>
          <w:lang w:val="es-US"/>
        </w:rPr>
      </w:pPr>
      <w:r w:rsidRPr="00B62815">
        <w:rPr>
          <w:rFonts w:asciiTheme="minorHAnsi" w:eastAsia="Times New Roman" w:hAnsiTheme="minorHAnsi" w:cstheme="minorHAnsi"/>
          <w:sz w:val="22"/>
          <w:szCs w:val="22"/>
          <w:lang w:val="es-US"/>
        </w:rPr>
        <w:t>29 – 30</w:t>
      </w:r>
      <w:r w:rsidRPr="00B62815">
        <w:rPr>
          <w:rFonts w:asciiTheme="minorHAnsi" w:eastAsia="Times New Roman" w:hAnsiTheme="minorHAnsi" w:cstheme="minorHAnsi"/>
          <w:sz w:val="22"/>
          <w:szCs w:val="22"/>
          <w:lang w:val="es-US"/>
        </w:rPr>
        <w:tab/>
        <w:t>Kingston, Jamaica</w:t>
      </w:r>
    </w:p>
    <w:p w14:paraId="134214BA"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Por invitación del Ministro de Turismo de Jamaica, ASG Méndez viajó a Montego Bay, Jamaica, para hacer un discurso de apertura en la "Conferencia Mundial sobre Empleo y Crecimiento Inclusivo de la Organización Mundial de Turismo de las Naciones Unidas y el Gobierno de Jamaica" y el "Lanzamiento de la Global Centro de gestión de crisis y resiliencia turística”, celebrado los días 29 y 30 de enero, respectivamente. ASG Méndez también hizo un discurso de apertura en la inauguración de la iniciativa de la OEA, "Construyendo la resiliencia de las pequeñas empresas de turismo en el Caribe", celebrada al margen de la Conferencia. Además, el ASG participó en el lanzamiento de una exposición itinerante con el 70 Aniversario de la OEA organizada por la Biblioteca Nacional de Jamaica en colaboración con la Oficina de País de la OEA en Jamaica, y también se dirigió a un grupo de estudiantes de secundaria en Kingston sobre el trabajo de La OEA en el hemisferio.</w:t>
      </w:r>
    </w:p>
    <w:p w14:paraId="6921F218"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Durante su visita, ASG Méndez se reunió con el Ministro de Turismo de Jamaica, Excmo. Edmund Bartlett, así como con el Ministro de Estado en el Ministerio de Asuntos Exteriores y Comercio Exterior, el Senador el Honorable Pearnel Charles Jr. con los cuales discutió temas de interés común. Kendall Belisle, Asesor, acompañó al ASG Méndez en este viaje.</w:t>
      </w:r>
    </w:p>
    <w:p w14:paraId="56516A58" w14:textId="77777777" w:rsidR="007446D0" w:rsidRPr="00B62815" w:rsidRDefault="007446D0" w:rsidP="007446D0">
      <w:pPr>
        <w:jc w:val="both"/>
        <w:rPr>
          <w:rFonts w:asciiTheme="minorHAnsi" w:eastAsia="Times New Roman" w:hAnsiTheme="minorHAnsi" w:cstheme="minorHAnsi"/>
          <w:b/>
          <w:sz w:val="22"/>
          <w:szCs w:val="22"/>
          <w:u w:val="single"/>
          <w:lang w:val="es-ES"/>
        </w:rPr>
      </w:pPr>
      <w:r w:rsidRPr="00B62815">
        <w:rPr>
          <w:rFonts w:asciiTheme="minorHAnsi" w:eastAsia="Times New Roman" w:hAnsiTheme="minorHAnsi" w:cstheme="minorHAnsi"/>
          <w:b/>
          <w:sz w:val="22"/>
          <w:szCs w:val="22"/>
          <w:u w:val="single"/>
          <w:lang w:val="es-ES"/>
        </w:rPr>
        <w:t>Febrero</w:t>
      </w:r>
    </w:p>
    <w:p w14:paraId="0C6993D4" w14:textId="77777777" w:rsidR="007446D0" w:rsidRPr="00B62815" w:rsidRDefault="007446D0" w:rsidP="007446D0">
      <w:pPr>
        <w:jc w:val="both"/>
        <w:rPr>
          <w:rFonts w:asciiTheme="minorHAnsi" w:eastAsia="Times New Roman" w:hAnsiTheme="minorHAnsi" w:cstheme="minorHAnsi"/>
          <w:b/>
          <w:sz w:val="22"/>
          <w:szCs w:val="22"/>
          <w:u w:val="single"/>
          <w:lang w:val="es-ES"/>
        </w:rPr>
      </w:pPr>
    </w:p>
    <w:p w14:paraId="4958E808"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07 - 08</w:t>
      </w:r>
      <w:r w:rsidRPr="00B62815">
        <w:rPr>
          <w:rFonts w:asciiTheme="minorHAnsi" w:eastAsia="Times New Roman" w:hAnsiTheme="minorHAnsi" w:cstheme="minorHAnsi"/>
          <w:sz w:val="22"/>
          <w:szCs w:val="22"/>
          <w:lang w:val="es-ES"/>
        </w:rPr>
        <w:tab/>
        <w:t>Mexico City, Mexico</w:t>
      </w:r>
    </w:p>
    <w:p w14:paraId="72CA67B3"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como Presidente de la Comisión de Alto Nivel de la Organización Panamericana de la Salud "Salud universal en el siglo XXI: 40 años de Alma-Ata", viajó a México para revisar y finalizar junto con los otros Comisionados, el informe de la Comisión de Alto Nivel sobre salud universal (este informe se lanzó formalmente el 9 de abril de 2019). El ASG abrió el evento junto con el Secretario de Salud de México, Dr. Jorge Alcocer y el Representante de la OPS/OMS en México, Cristian Morales. Finalmente, el ASG moderó las discusiones de los grupos de trabajo de los comisionados.</w:t>
      </w:r>
    </w:p>
    <w:p w14:paraId="59F93456"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4859C040" w14:textId="77777777" w:rsidR="005229AA" w:rsidRPr="00B62815" w:rsidRDefault="005229AA" w:rsidP="007446D0">
      <w:pPr>
        <w:ind w:left="1800"/>
        <w:jc w:val="both"/>
        <w:rPr>
          <w:rFonts w:asciiTheme="minorHAnsi" w:eastAsia="Times New Roman" w:hAnsiTheme="minorHAnsi" w:cstheme="minorHAnsi"/>
          <w:b/>
          <w:sz w:val="22"/>
          <w:szCs w:val="22"/>
          <w:u w:val="single"/>
          <w:lang w:val="es-ES"/>
        </w:rPr>
      </w:pPr>
    </w:p>
    <w:p w14:paraId="36313E81" w14:textId="77777777" w:rsidR="005229AA" w:rsidRPr="00B62815" w:rsidRDefault="005229AA" w:rsidP="007446D0">
      <w:pPr>
        <w:ind w:left="1800"/>
        <w:jc w:val="both"/>
        <w:rPr>
          <w:rFonts w:asciiTheme="minorHAnsi" w:eastAsia="Times New Roman" w:hAnsiTheme="minorHAnsi" w:cstheme="minorHAnsi"/>
          <w:b/>
          <w:sz w:val="22"/>
          <w:szCs w:val="22"/>
          <w:u w:val="single"/>
          <w:lang w:val="es-ES"/>
        </w:rPr>
      </w:pPr>
    </w:p>
    <w:p w14:paraId="1A3799E1" w14:textId="77777777" w:rsidR="007446D0" w:rsidRPr="00B62815" w:rsidRDefault="007446D0" w:rsidP="007446D0">
      <w:pPr>
        <w:ind w:left="1800"/>
        <w:jc w:val="both"/>
        <w:rPr>
          <w:rFonts w:asciiTheme="minorHAnsi" w:eastAsia="Times New Roman" w:hAnsiTheme="minorHAnsi" w:cstheme="minorHAnsi"/>
          <w:b/>
          <w:sz w:val="22"/>
          <w:szCs w:val="22"/>
          <w:u w:val="single"/>
          <w:lang w:val="es-ES"/>
        </w:rPr>
      </w:pPr>
      <w:r w:rsidRPr="00B62815">
        <w:rPr>
          <w:rFonts w:asciiTheme="minorHAnsi" w:eastAsia="Times New Roman" w:hAnsiTheme="minorHAnsi" w:cstheme="minorHAnsi"/>
          <w:b/>
          <w:sz w:val="22"/>
          <w:szCs w:val="22"/>
          <w:u w:val="single"/>
          <w:lang w:val="es-ES"/>
        </w:rPr>
        <w:t>Marzo</w:t>
      </w:r>
    </w:p>
    <w:p w14:paraId="62171D5C"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2BCE3D59"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10 - 12</w:t>
      </w:r>
      <w:r w:rsidRPr="00B62815">
        <w:rPr>
          <w:rFonts w:asciiTheme="minorHAnsi" w:eastAsia="Times New Roman" w:hAnsiTheme="minorHAnsi" w:cstheme="minorHAnsi"/>
          <w:sz w:val="22"/>
          <w:szCs w:val="22"/>
          <w:lang w:val="es-ES"/>
        </w:rPr>
        <w:tab/>
        <w:t>San José, Costa Rica</w:t>
      </w:r>
    </w:p>
    <w:p w14:paraId="22143A87"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participó como orador principal en la ceremonia de apertura del 34ª Modelo Asamblea General para Universidades (MOAS) en el Hemisferio. Durante su visita a Costa Rica, se reunió con S.E. Manuel Ventura Robles, Ministro de Relaciones Exteriores y Culto de Costa Rica para discutir la agenda bilateral y de cooperación entre Costa Rica y la OEA, así como asuntos de interés regional urgente. También se reunió con la Embajadora Rita Hernández, Directora de Cooperación Internacional del Ministerio de Relaciones Exteriores. Además, el ASG visitó las oficinas de la “Coordinación Educativa y Cultural Centroamericana (CECC)” del Sistema de Integración Centroamericana (SICA) donde discutió asuntos relacionados con la Agenda Educativa Interamericana con el Dr. Carlos Staff, Secretario Ejecutivo de CECC-SICA, y con el Sr. Jorge Rivera Pizzaro, Asesor Técnico. La Embajadora Jacinth Henry-Martin acompañó al ASG durante la visita.</w:t>
      </w:r>
    </w:p>
    <w:p w14:paraId="7D16138C" w14:textId="77777777" w:rsidR="007446D0" w:rsidRPr="00B62815" w:rsidRDefault="007446D0" w:rsidP="007446D0">
      <w:pPr>
        <w:jc w:val="both"/>
        <w:rPr>
          <w:rFonts w:asciiTheme="minorHAnsi" w:eastAsia="Times New Roman" w:hAnsiTheme="minorHAnsi" w:cstheme="minorHAnsi"/>
          <w:b/>
          <w:sz w:val="22"/>
          <w:szCs w:val="22"/>
          <w:u w:val="single"/>
          <w:lang w:val="es-ES"/>
        </w:rPr>
      </w:pPr>
      <w:r w:rsidRPr="00B62815">
        <w:rPr>
          <w:rFonts w:asciiTheme="minorHAnsi" w:eastAsia="Times New Roman" w:hAnsiTheme="minorHAnsi" w:cstheme="minorHAnsi"/>
          <w:b/>
          <w:sz w:val="22"/>
          <w:szCs w:val="22"/>
          <w:u w:val="single"/>
          <w:lang w:val="es-ES"/>
        </w:rPr>
        <w:t>Abril</w:t>
      </w:r>
    </w:p>
    <w:p w14:paraId="52F8DF23" w14:textId="77777777" w:rsidR="007446D0" w:rsidRPr="00B62815" w:rsidRDefault="007446D0" w:rsidP="007446D0">
      <w:pPr>
        <w:jc w:val="both"/>
        <w:rPr>
          <w:rFonts w:asciiTheme="minorHAnsi" w:eastAsia="Times New Roman" w:hAnsiTheme="minorHAnsi" w:cstheme="minorHAnsi"/>
          <w:b/>
          <w:sz w:val="22"/>
          <w:szCs w:val="22"/>
          <w:u w:val="single"/>
          <w:lang w:val="es-ES"/>
        </w:rPr>
      </w:pPr>
    </w:p>
    <w:p w14:paraId="30953688"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07 - 10</w:t>
      </w:r>
      <w:r w:rsidRPr="00B62815">
        <w:rPr>
          <w:rFonts w:asciiTheme="minorHAnsi" w:eastAsia="Times New Roman" w:hAnsiTheme="minorHAnsi" w:cstheme="minorHAnsi"/>
          <w:sz w:val="22"/>
          <w:szCs w:val="22"/>
          <w:lang w:val="es-ES"/>
        </w:rPr>
        <w:tab/>
        <w:t>Ciudad de México, México</w:t>
      </w:r>
    </w:p>
    <w:p w14:paraId="6759B9B3"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En su calidad de Presidente de la Comisión de Alto Nivel “Salud Universal en el Siglo XXI: 40 años de Alma-Ata” de la Organización Panamericana de la Salud, el Secretario General Adjunto viajó a México para presentar el informe de la Comisión de Alto Nivel sobre Salud Universal con el Presidente Andrés Manuel López Obrador, la Directora de la OPS, Dra. Carissa Etienne y la Alta Comisionada para los Derechos Humanos, señora Michele Bachelet. Mientras se encontraba en México, visitó la Oficina Nacional de la OEA en Ciudad de México y se reunió con el personal. En esta misión, el Secretario General Adjunto Nestor Mendez estuvo acompañado por la señora Claudia González de la Secretaría de Acceso a Derechos y Equidad. Los costos de la visita fueron sufragados por la Organización Panamericana de la Salud.</w:t>
      </w:r>
    </w:p>
    <w:p w14:paraId="7835EE00"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47F87E5F" w14:textId="77777777" w:rsidR="007446D0" w:rsidRPr="00B62815" w:rsidRDefault="007446D0" w:rsidP="007446D0">
      <w:pPr>
        <w:jc w:val="both"/>
        <w:rPr>
          <w:rFonts w:asciiTheme="minorHAnsi" w:eastAsia="Times New Roman" w:hAnsiTheme="minorHAnsi" w:cstheme="minorHAnsi"/>
          <w:b/>
          <w:sz w:val="22"/>
          <w:szCs w:val="22"/>
          <w:u w:val="single"/>
          <w:lang w:val="es-ES"/>
        </w:rPr>
      </w:pPr>
      <w:r w:rsidRPr="00B62815">
        <w:rPr>
          <w:rFonts w:asciiTheme="minorHAnsi" w:eastAsia="Times New Roman" w:hAnsiTheme="minorHAnsi" w:cstheme="minorHAnsi"/>
          <w:b/>
          <w:sz w:val="22"/>
          <w:szCs w:val="22"/>
          <w:u w:val="single"/>
          <w:lang w:val="es-ES"/>
        </w:rPr>
        <w:t>Mayo</w:t>
      </w:r>
    </w:p>
    <w:p w14:paraId="2314CC78" w14:textId="77777777" w:rsidR="007446D0" w:rsidRPr="00B62815" w:rsidRDefault="007446D0" w:rsidP="007446D0">
      <w:pPr>
        <w:jc w:val="both"/>
        <w:rPr>
          <w:rFonts w:asciiTheme="minorHAnsi" w:eastAsia="Times New Roman" w:hAnsiTheme="minorHAnsi" w:cstheme="minorHAnsi"/>
          <w:b/>
          <w:sz w:val="22"/>
          <w:szCs w:val="22"/>
          <w:u w:val="single"/>
          <w:lang w:val="es-ES"/>
        </w:rPr>
      </w:pPr>
    </w:p>
    <w:p w14:paraId="6FF4D5C8"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06 - 07</w:t>
      </w:r>
      <w:r w:rsidRPr="00B62815">
        <w:rPr>
          <w:rFonts w:asciiTheme="minorHAnsi" w:eastAsia="Times New Roman" w:hAnsiTheme="minorHAnsi" w:cstheme="minorHAnsi"/>
          <w:sz w:val="22"/>
          <w:szCs w:val="22"/>
          <w:lang w:val="es-ES"/>
        </w:rPr>
        <w:tab/>
        <w:t>Santo Domingo, República Dominicana</w:t>
      </w:r>
    </w:p>
    <w:p w14:paraId="1EBA50B8"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asistió a la Trigésima Octava Asamblea de Delegadas de la Comisión Interamericana de Mujeres donde pronunció el discurso de apertura. Durante la visita se reunió también con la Excma. Janet Camilo, Ministra de la Mujer de República Dominicana y participó junto con la Ministra Camilo en un programa radial dirigido a temas de paridad entre los géneros en el lugar de trabajo.</w:t>
      </w:r>
    </w:p>
    <w:p w14:paraId="6CB76E72"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5414EFD1"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21 - 23</w:t>
      </w:r>
      <w:r w:rsidRPr="00B62815">
        <w:rPr>
          <w:rFonts w:asciiTheme="minorHAnsi" w:eastAsia="Times New Roman" w:hAnsiTheme="minorHAnsi" w:cstheme="minorHAnsi"/>
          <w:sz w:val="22"/>
          <w:szCs w:val="22"/>
          <w:lang w:val="es-ES"/>
        </w:rPr>
        <w:tab/>
        <w:t xml:space="preserve">San Juan, Puerto Rico </w:t>
      </w:r>
    </w:p>
    <w:p w14:paraId="42410E0D"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señor Nestor Mendez, en su función de Vicepresidente de la Junta de la Fundación Panamericana para el Desarrollo (FUPAD) pronunció el discurso de apertura y participó en la reunión semestral de la Junta en San Juan, Puerto Rico. Durante la visita participó en un evento sobre emprendimiento con Parallel 18, un programa de aceleración muy exitoso que ayuda a las empresas emergentes a crecer y ampliar sus operaciones de Puerto Rico a comunidades mundiales fuera de la isla.  El SGA también participó en visitas sobre el terreno para proyectos de la FUPAD de resiliencia frente a desastres en comunidades vulnerables en San Juan.  Mayuriel Pérez, de la oficina del SGA, lo acompañó en su viaje. Los costos de la visita fueron sufragados por la Fundación Panamericana para el Desarrollo.</w:t>
      </w:r>
    </w:p>
    <w:p w14:paraId="54C4DC7E"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1F4BAA76" w14:textId="77777777" w:rsidR="007446D0" w:rsidRPr="00B62815" w:rsidRDefault="007446D0" w:rsidP="007446D0">
      <w:pPr>
        <w:jc w:val="both"/>
        <w:rPr>
          <w:rFonts w:asciiTheme="minorHAnsi" w:eastAsia="Times New Roman" w:hAnsiTheme="minorHAnsi" w:cstheme="minorHAnsi"/>
          <w:b/>
          <w:sz w:val="22"/>
          <w:szCs w:val="22"/>
          <w:u w:val="single"/>
          <w:lang w:val="es-ES"/>
        </w:rPr>
      </w:pPr>
      <w:r w:rsidRPr="00B62815">
        <w:rPr>
          <w:rFonts w:asciiTheme="minorHAnsi" w:eastAsia="Times New Roman" w:hAnsiTheme="minorHAnsi" w:cstheme="minorHAnsi"/>
          <w:b/>
          <w:sz w:val="22"/>
          <w:szCs w:val="22"/>
          <w:u w:val="single"/>
          <w:lang w:val="es-ES"/>
        </w:rPr>
        <w:t>Junio</w:t>
      </w:r>
    </w:p>
    <w:p w14:paraId="34D73ECB" w14:textId="77777777" w:rsidR="007446D0" w:rsidRPr="00B62815" w:rsidRDefault="007446D0" w:rsidP="007446D0">
      <w:pPr>
        <w:jc w:val="both"/>
        <w:rPr>
          <w:rFonts w:asciiTheme="minorHAnsi" w:eastAsia="Times New Roman" w:hAnsiTheme="minorHAnsi" w:cstheme="minorHAnsi"/>
          <w:b/>
          <w:sz w:val="22"/>
          <w:szCs w:val="22"/>
          <w:u w:val="single"/>
          <w:lang w:val="es-ES"/>
        </w:rPr>
      </w:pPr>
    </w:p>
    <w:p w14:paraId="4090C7FD"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01 - 03</w:t>
      </w:r>
      <w:r w:rsidRPr="00B62815">
        <w:rPr>
          <w:rFonts w:asciiTheme="minorHAnsi" w:eastAsia="Times New Roman" w:hAnsiTheme="minorHAnsi" w:cstheme="minorHAnsi"/>
          <w:sz w:val="22"/>
          <w:szCs w:val="22"/>
          <w:lang w:val="es-ES"/>
        </w:rPr>
        <w:tab/>
        <w:t>San Salvador, El Salvador</w:t>
      </w:r>
    </w:p>
    <w:p w14:paraId="0D551160"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Por invitación del Gobierno de El Salvador, el Secretario General Adjunto Nestor Mendez representó a la Secretaría General en los eventos relacionados con la inauguración oficial del Presidente Nayib Bukele. Mientras se encontraba en El Salvador, se reunió con el Excmo. Feliz Ulloa, Vicepresidente entrante, con la Ministra de Relaciones Exteriores entrante, señora Alexandra Hill, y con el Ministro de Relaciones Exteriores saliente, señor Carlos Castaneda.</w:t>
      </w:r>
    </w:p>
    <w:p w14:paraId="138848E6"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6E615BCB"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03 - 05</w:t>
      </w:r>
      <w:r w:rsidRPr="00B62815">
        <w:rPr>
          <w:rFonts w:asciiTheme="minorHAnsi" w:eastAsia="Times New Roman" w:hAnsiTheme="minorHAnsi" w:cstheme="minorHAnsi"/>
          <w:sz w:val="22"/>
          <w:szCs w:val="22"/>
          <w:lang w:val="es-ES"/>
        </w:rPr>
        <w:tab/>
        <w:t>Ciudad de Belize, Belize</w:t>
      </w:r>
    </w:p>
    <w:p w14:paraId="280B7C73"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Desde El Salvador, el Secretario General Adjunto viajó a Belize para reunirse con el Rt. Honorable Dean Barrow, Primer Ministro, y con el Honorable Wilfred Elrington, Ministro de Relaciones Exteriores.  Durante su estadía en Belize, el SGA visitó la Oficina Nacional de la OEA para reunirse con el personal.</w:t>
      </w:r>
    </w:p>
    <w:p w14:paraId="5BB20B70"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586DA259"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16 - 18</w:t>
      </w:r>
      <w:r w:rsidRPr="00B62815">
        <w:rPr>
          <w:rFonts w:asciiTheme="minorHAnsi" w:eastAsia="Times New Roman" w:hAnsiTheme="minorHAnsi" w:cstheme="minorHAnsi"/>
          <w:sz w:val="22"/>
          <w:szCs w:val="22"/>
          <w:lang w:val="es-ES"/>
        </w:rPr>
        <w:tab/>
        <w:t>Santo Domingo, República Dominicana</w:t>
      </w:r>
    </w:p>
    <w:p w14:paraId="00FA284C"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SGA pronunció el discurso de apertura y asistió al “Encuentro de Jóvenes Líderes Políticos de la República”, un evento organizado por la OEA y el Ministerio de Relaciones Exteriores de República Dominicana.  El objetivo de este evento fue generar un diálogo para permitir que los jóvenes dominicanos tengan un impacto directo y efectivo en los temas de transformación digital, transparencia y responsabilidad entre los ciudadanos, así como prestar asistencia en su crecimiento como jóvenes líderes políticos. Durante su visita, el SGA mantuvo reuniones con el Ministro de Relaciones Exteriores, señor Miguel Vargas, y con el señor Armando García, Director General de la Oficina de la Oficina Presidencial de Tecnologías de la Información y Comunicación.</w:t>
      </w:r>
    </w:p>
    <w:p w14:paraId="17E897AC"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510F4D78"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22 - 30</w:t>
      </w:r>
      <w:r w:rsidRPr="00B62815">
        <w:rPr>
          <w:rFonts w:asciiTheme="minorHAnsi" w:eastAsia="Times New Roman" w:hAnsiTheme="minorHAnsi" w:cstheme="minorHAnsi"/>
          <w:sz w:val="22"/>
          <w:szCs w:val="22"/>
          <w:lang w:val="es-ES"/>
        </w:rPr>
        <w:tab/>
        <w:t>Medellín, Colombia</w:t>
      </w:r>
    </w:p>
    <w:p w14:paraId="531BCB79"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SGA asistió al cuadragésimo noveno período ordinario de sesiones de la Asamblea General de la Organización de los Estados Americanos.</w:t>
      </w:r>
    </w:p>
    <w:p w14:paraId="6C59BF11"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4A03CE69"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30 - 02</w:t>
      </w:r>
      <w:r w:rsidRPr="00B62815">
        <w:rPr>
          <w:rFonts w:asciiTheme="minorHAnsi" w:eastAsia="Times New Roman" w:hAnsiTheme="minorHAnsi" w:cstheme="minorHAnsi"/>
          <w:sz w:val="22"/>
          <w:szCs w:val="22"/>
          <w:lang w:val="es-ES"/>
        </w:rPr>
        <w:tab/>
        <w:t xml:space="preserve">Ciudad de Panamá, Panamá </w:t>
      </w:r>
    </w:p>
    <w:p w14:paraId="0F1266E4"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Por invitación del Gobierno de Panamá, el SGA Nestor Mendez representó a la Secretaría General en los eventos relacionados con la inauguración oficial del Presidente Laurentino Cortizo.</w:t>
      </w:r>
    </w:p>
    <w:p w14:paraId="5001FD03" w14:textId="77777777" w:rsidR="007446D0" w:rsidRPr="00B62815" w:rsidRDefault="007446D0" w:rsidP="007446D0">
      <w:pPr>
        <w:ind w:left="1800"/>
        <w:jc w:val="both"/>
        <w:rPr>
          <w:rFonts w:asciiTheme="minorHAnsi" w:eastAsia="Times New Roman" w:hAnsiTheme="minorHAnsi" w:cstheme="minorHAnsi"/>
          <w:b/>
          <w:sz w:val="22"/>
          <w:szCs w:val="22"/>
          <w:u w:val="single"/>
          <w:lang w:val="es-ES"/>
        </w:rPr>
      </w:pPr>
    </w:p>
    <w:p w14:paraId="7754412A" w14:textId="77777777" w:rsidR="007446D0" w:rsidRPr="00B62815" w:rsidRDefault="007446D0" w:rsidP="007446D0">
      <w:pPr>
        <w:jc w:val="both"/>
        <w:rPr>
          <w:rFonts w:asciiTheme="minorHAnsi" w:eastAsia="Times New Roman" w:hAnsiTheme="minorHAnsi" w:cstheme="minorHAnsi"/>
          <w:b/>
          <w:sz w:val="22"/>
          <w:szCs w:val="22"/>
          <w:u w:val="single"/>
          <w:lang w:val="es-ES"/>
        </w:rPr>
      </w:pPr>
      <w:r w:rsidRPr="00B62815">
        <w:rPr>
          <w:rFonts w:asciiTheme="minorHAnsi" w:eastAsia="Times New Roman" w:hAnsiTheme="minorHAnsi" w:cstheme="minorHAnsi"/>
          <w:b/>
          <w:sz w:val="22"/>
          <w:szCs w:val="22"/>
          <w:u w:val="single"/>
          <w:lang w:val="es-ES"/>
        </w:rPr>
        <w:t>Julio</w:t>
      </w:r>
    </w:p>
    <w:p w14:paraId="7654E9BB" w14:textId="77777777" w:rsidR="007446D0" w:rsidRPr="00B62815" w:rsidRDefault="007446D0" w:rsidP="007446D0">
      <w:pPr>
        <w:jc w:val="both"/>
        <w:rPr>
          <w:rFonts w:asciiTheme="minorHAnsi" w:eastAsia="Times New Roman" w:hAnsiTheme="minorHAnsi" w:cstheme="minorHAnsi"/>
          <w:b/>
          <w:sz w:val="22"/>
          <w:szCs w:val="22"/>
          <w:u w:val="single"/>
          <w:lang w:val="es-ES"/>
        </w:rPr>
      </w:pPr>
    </w:p>
    <w:p w14:paraId="3297A657"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03 - 05</w:t>
      </w:r>
      <w:r w:rsidRPr="00B62815">
        <w:rPr>
          <w:rFonts w:asciiTheme="minorHAnsi" w:eastAsia="Times New Roman" w:hAnsiTheme="minorHAnsi" w:cstheme="minorHAnsi"/>
          <w:sz w:val="22"/>
          <w:szCs w:val="22"/>
          <w:lang w:val="es-ES"/>
        </w:rPr>
        <w:tab/>
        <w:t>Castries, Santa Lucía</w:t>
      </w:r>
    </w:p>
    <w:p w14:paraId="7ED537BC"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asistió a la Cuadragésima reunión ordinaria de la Conferencia de Jefes de Gobierno de la Comunidad del Cari0be en Santa Lucía. Al margen de esta conferencia, el Embajador Mendez se reunió con el Ministro de Educación, Innovación, Relaciones de Género y Desarrollo Sostenible. Ambos abordaron temas tales como los desafíos a la creación de resiliencia ante desastres naturales, así como el impacto del sargazo en las industrias del turismo y la pesca. Se reunió también con el Ministro de Turismo, Información y Radiodifusión, Cultura e Industrias Creativas para explorar nuevas oportunidades de colaboración en las áreas de turismo, cultura e industrias creativas. Fue acompañado por Kendall Belisle, Asesora.</w:t>
      </w:r>
    </w:p>
    <w:p w14:paraId="54C82939" w14:textId="77777777" w:rsidR="007446D0" w:rsidRPr="00B62815" w:rsidRDefault="007446D0" w:rsidP="007446D0">
      <w:pPr>
        <w:ind w:left="1800"/>
        <w:jc w:val="both"/>
        <w:rPr>
          <w:rFonts w:asciiTheme="minorHAnsi" w:eastAsia="Times New Roman" w:hAnsiTheme="minorHAnsi" w:cstheme="minorHAnsi"/>
          <w:sz w:val="22"/>
          <w:szCs w:val="22"/>
          <w:lang w:val="es-ES"/>
        </w:rPr>
      </w:pPr>
    </w:p>
    <w:p w14:paraId="1DE24859" w14:textId="77777777" w:rsidR="007446D0" w:rsidRPr="00B62815" w:rsidRDefault="007446D0" w:rsidP="007446D0">
      <w:pPr>
        <w:spacing w:line="276" w:lineRule="auto"/>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 xml:space="preserve">Septiembre </w:t>
      </w:r>
    </w:p>
    <w:p w14:paraId="0CFE539B" w14:textId="77777777" w:rsidR="007446D0" w:rsidRPr="00B62815" w:rsidRDefault="007446D0" w:rsidP="007446D0">
      <w:pPr>
        <w:spacing w:line="276" w:lineRule="auto"/>
        <w:rPr>
          <w:rFonts w:asciiTheme="minorHAnsi" w:hAnsiTheme="minorHAnsi" w:cstheme="minorHAnsi"/>
          <w:b/>
          <w:sz w:val="22"/>
          <w:szCs w:val="22"/>
          <w:u w:val="single"/>
          <w:lang w:val="es-ES"/>
        </w:rPr>
      </w:pPr>
    </w:p>
    <w:p w14:paraId="13DA098C"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09 - 11</w:t>
      </w:r>
      <w:r w:rsidRPr="00B62815">
        <w:rPr>
          <w:rFonts w:asciiTheme="minorHAnsi" w:eastAsia="Times New Roman" w:hAnsiTheme="minorHAnsi" w:cstheme="minorHAnsi"/>
          <w:sz w:val="22"/>
          <w:szCs w:val="22"/>
          <w:lang w:val="es-ES"/>
        </w:rPr>
        <w:tab/>
        <w:t>Ciudad de México, México</w:t>
      </w:r>
    </w:p>
    <w:p w14:paraId="2EAD0817"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Durante esta visita oficial, el Secretario General Adjunto se reunió con un gran número de altos funcionarios de ministerios y dependencias estatales que participan actualmente en diversos proyectos e iniciativas de la OEA. Entre tales funcionarios cabe destacar los siguientes: Maximiliano Reyes Zuñiga, Subsecretario de América Latina y el Caribe; Marta Delgado Peralta, Subsecretaria para Asuntos Multilaterales y Derechos Humanos; Noel González Segura, Director General de AMEXCID, y María Edith Bernáldez Reyes, Directora General en la Secretaría de Educación. Visitó también la oficina de la OEA en ese país, donde recibió un informe completo por parte del personal. Entre los temas tratados con las diversas autoridades se incluyeron, entre otros, las relaciones entre la OEA y México; los mecanismos de cooperación que México pone a disposición de la OEA y de los Estados Miembros, incluido el programa de becas de México; la Red Interamericana de Educación Docente; derechos humanos y empoderamiento de la mujer; oportunidades disponibles para los jóvenes en las áreas de innovación y competitividad, y la labor de la OEA en materia de migración. El Secretario General Adjunto fue acompañado por Cinnamon Bottaro, Asesora. Pamela Contreras, Oficial Administrativo, realizó una visita paralela a la Oficina Nacional de la OEA en México, en donde llevó a cabo una auditoría administrativa e impartió un curso de capacitación sobre protocolos administrativos.</w:t>
      </w:r>
    </w:p>
    <w:p w14:paraId="3F1C3817" w14:textId="77777777" w:rsidR="007446D0" w:rsidRPr="00B62815" w:rsidRDefault="007446D0" w:rsidP="007446D0">
      <w:pPr>
        <w:spacing w:line="276" w:lineRule="auto"/>
        <w:ind w:left="1800"/>
        <w:jc w:val="both"/>
        <w:rPr>
          <w:rFonts w:asciiTheme="minorHAnsi" w:eastAsia="Times New Roman" w:hAnsiTheme="minorHAnsi" w:cstheme="minorHAnsi"/>
          <w:sz w:val="22"/>
          <w:szCs w:val="22"/>
          <w:lang w:val="es-ES"/>
        </w:rPr>
      </w:pPr>
    </w:p>
    <w:p w14:paraId="38A0AD1D"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19 - 21</w:t>
      </w:r>
      <w:r w:rsidRPr="00B62815">
        <w:rPr>
          <w:rFonts w:asciiTheme="minorHAnsi" w:eastAsia="Times New Roman" w:hAnsiTheme="minorHAnsi" w:cstheme="minorHAnsi"/>
          <w:sz w:val="22"/>
          <w:szCs w:val="22"/>
          <w:lang w:val="es-ES"/>
        </w:rPr>
        <w:tab/>
      </w:r>
      <w:r w:rsidRPr="00B62815">
        <w:rPr>
          <w:rFonts w:asciiTheme="minorHAnsi" w:hAnsiTheme="minorHAnsi" w:cstheme="minorHAnsi"/>
          <w:sz w:val="22"/>
          <w:szCs w:val="22"/>
          <w:lang w:val="es-ES"/>
        </w:rPr>
        <w:t>Bridgetown, Barbados</w:t>
      </w:r>
    </w:p>
    <w:p w14:paraId="071DF473"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asistió a la VIII Reunión Interamericana de Ministros y Máximas Autoridades de Cultura en Barbados, en donde pronunció el discurso de clausura.</w:t>
      </w:r>
    </w:p>
    <w:p w14:paraId="23379B1F" w14:textId="77777777" w:rsidR="007446D0" w:rsidRPr="00B62815" w:rsidRDefault="007446D0" w:rsidP="007446D0">
      <w:pPr>
        <w:spacing w:line="276" w:lineRule="auto"/>
        <w:ind w:left="1800"/>
        <w:jc w:val="both"/>
        <w:rPr>
          <w:rFonts w:asciiTheme="minorHAnsi" w:hAnsiTheme="minorHAnsi" w:cstheme="minorHAnsi"/>
          <w:sz w:val="22"/>
          <w:szCs w:val="22"/>
          <w:lang w:val="es-ES"/>
        </w:rPr>
      </w:pPr>
    </w:p>
    <w:p w14:paraId="2746C8B5"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 xml:space="preserve">23 </w:t>
      </w:r>
      <w:r w:rsidRPr="00B62815">
        <w:rPr>
          <w:rFonts w:asciiTheme="minorHAnsi" w:eastAsia="Times New Roman" w:hAnsiTheme="minorHAnsi" w:cstheme="minorHAnsi"/>
          <w:sz w:val="22"/>
          <w:szCs w:val="22"/>
          <w:lang w:val="es-ES"/>
        </w:rPr>
        <w:tab/>
      </w:r>
      <w:r w:rsidRPr="00B62815">
        <w:rPr>
          <w:rFonts w:asciiTheme="minorHAnsi" w:hAnsiTheme="minorHAnsi" w:cstheme="minorHAnsi"/>
          <w:sz w:val="22"/>
          <w:szCs w:val="22"/>
          <w:lang w:val="es-ES"/>
        </w:rPr>
        <w:t>Nueva York, NY</w:t>
      </w:r>
    </w:p>
    <w:p w14:paraId="618E966D"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participó en la Trigésima Reunión de Consulta de Ministros de Relaciones Exteriores, que sirvió como órgano de consulta en aplicación del Tratado Interamericano de Asistencia Recíproca (TIAR).</w:t>
      </w:r>
    </w:p>
    <w:p w14:paraId="362DC929" w14:textId="77777777" w:rsidR="007446D0" w:rsidRPr="00B62815" w:rsidRDefault="007446D0" w:rsidP="007446D0">
      <w:pPr>
        <w:spacing w:line="276" w:lineRule="auto"/>
        <w:ind w:left="1800"/>
        <w:jc w:val="both"/>
        <w:rPr>
          <w:rFonts w:asciiTheme="minorHAnsi" w:hAnsiTheme="minorHAnsi" w:cstheme="minorHAnsi"/>
          <w:sz w:val="22"/>
          <w:szCs w:val="22"/>
          <w:lang w:val="es-ES"/>
        </w:rPr>
      </w:pPr>
    </w:p>
    <w:p w14:paraId="158B0383" w14:textId="77777777" w:rsidR="007446D0" w:rsidRPr="00B62815" w:rsidRDefault="007446D0" w:rsidP="007446D0">
      <w:pPr>
        <w:spacing w:line="276" w:lineRule="auto"/>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Octubre</w:t>
      </w:r>
    </w:p>
    <w:p w14:paraId="1112755C" w14:textId="77777777" w:rsidR="007446D0" w:rsidRPr="00B62815" w:rsidRDefault="007446D0" w:rsidP="007446D0">
      <w:pPr>
        <w:spacing w:line="276" w:lineRule="auto"/>
        <w:ind w:left="1800"/>
        <w:jc w:val="both"/>
        <w:rPr>
          <w:rFonts w:asciiTheme="minorHAnsi" w:hAnsiTheme="minorHAnsi" w:cstheme="minorHAnsi"/>
          <w:sz w:val="22"/>
          <w:szCs w:val="22"/>
          <w:lang w:val="es-ES"/>
        </w:rPr>
      </w:pPr>
    </w:p>
    <w:p w14:paraId="0C2D09D1" w14:textId="77777777" w:rsidR="007446D0" w:rsidRPr="00B62815" w:rsidRDefault="007446D0" w:rsidP="007446D0">
      <w:pPr>
        <w:ind w:left="1800" w:hanging="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06 - 09</w:t>
      </w:r>
      <w:r w:rsidRPr="00B62815">
        <w:rPr>
          <w:rFonts w:asciiTheme="minorHAnsi" w:eastAsia="Times New Roman" w:hAnsiTheme="minorHAnsi" w:cstheme="minorHAnsi"/>
          <w:sz w:val="22"/>
          <w:szCs w:val="22"/>
          <w:lang w:val="es-ES"/>
        </w:rPr>
        <w:tab/>
      </w:r>
      <w:r w:rsidRPr="00B62815">
        <w:rPr>
          <w:rFonts w:asciiTheme="minorHAnsi" w:hAnsiTheme="minorHAnsi" w:cstheme="minorHAnsi"/>
          <w:sz w:val="22"/>
          <w:szCs w:val="22"/>
          <w:lang w:val="es-ES"/>
        </w:rPr>
        <w:t>Saint Kitts y Nevis</w:t>
      </w:r>
    </w:p>
    <w:p w14:paraId="36DE3DAA"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Durante una visita oficial a Saint Kitts y Nevis, el Secretario General Adjunto se reunió con el Primer Ministro, Excelentísimo señor Timothy Harris; el Viceprimer Ministro, señor Shawn Richards; el Ministro de Educación, Juventud, Deportes y Cultura, Ministro de Agricultura y Medio Ambiente, señor Eugene Hamilton, y el Ministro de Relaciones Exteriores, señor Mark Brantley. Entre los temas abordados en las diversas reuniones se incluyeron los siguientes: las relaciones entre Saint Kitts y Nevis y la OEA; las oportunidades para el empoderamiento de los jóvenes, especialmente en el contexto de la educación/becas, el espíritu empresarial, la innovación y la competitividad; el avance hacia el bilingüismo para la competitividad; el cambio climático y la creación de resiliencia ante desastres naturales. El Secretario General Adjunto también dio una presentación sobre la OEA a estudiantes de escuelas secundarias en Nevis y en Saint Kitts y visitó la Oficina Nacional donde se reunió con el personal. El Secretario General Adjunto fue acompañado en esta misión por Jacinth Henry-Martin, Asesora. La señora Gloria Uribe, Oficial Administrativo, realizó una visita paralela, durante la cual llevó a cabo una auditoría administrativa de la Oficina Nacional e impartió sesiones de capacitación sobre protocolos administrativos.</w:t>
      </w:r>
    </w:p>
    <w:p w14:paraId="06F07914" w14:textId="77777777" w:rsidR="007446D0" w:rsidRPr="00B62815" w:rsidRDefault="007446D0" w:rsidP="007446D0">
      <w:pPr>
        <w:spacing w:line="276" w:lineRule="auto"/>
        <w:ind w:left="1800"/>
        <w:jc w:val="both"/>
        <w:rPr>
          <w:rFonts w:asciiTheme="minorHAnsi" w:hAnsiTheme="minorHAnsi" w:cstheme="minorHAnsi"/>
          <w:b/>
          <w:sz w:val="22"/>
          <w:szCs w:val="22"/>
          <w:u w:val="single"/>
          <w:lang w:val="es-ES"/>
        </w:rPr>
      </w:pPr>
    </w:p>
    <w:p w14:paraId="5261B155" w14:textId="77777777" w:rsidR="007446D0" w:rsidRPr="00B62815" w:rsidRDefault="007446D0" w:rsidP="007446D0">
      <w:pPr>
        <w:spacing w:line="276" w:lineRule="auto"/>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Noviembre</w:t>
      </w:r>
    </w:p>
    <w:p w14:paraId="08DCE525" w14:textId="77777777" w:rsidR="007446D0" w:rsidRPr="00B62815" w:rsidRDefault="007446D0" w:rsidP="007446D0">
      <w:pPr>
        <w:spacing w:line="276" w:lineRule="auto"/>
        <w:rPr>
          <w:rFonts w:asciiTheme="minorHAnsi" w:hAnsiTheme="minorHAnsi" w:cstheme="minorHAnsi"/>
          <w:b/>
          <w:sz w:val="22"/>
          <w:szCs w:val="22"/>
          <w:u w:val="single"/>
          <w:lang w:val="es-ES"/>
        </w:rPr>
      </w:pPr>
    </w:p>
    <w:p w14:paraId="1D4F7910" w14:textId="77777777" w:rsidR="007446D0" w:rsidRPr="00B62815" w:rsidRDefault="007446D0" w:rsidP="007446D0">
      <w:pPr>
        <w:ind w:left="1800" w:hanging="1800"/>
        <w:jc w:val="both"/>
        <w:rPr>
          <w:rFonts w:asciiTheme="minorHAnsi" w:hAnsiTheme="minorHAnsi" w:cstheme="minorHAnsi"/>
          <w:sz w:val="22"/>
          <w:szCs w:val="22"/>
          <w:lang w:val="es-ES"/>
        </w:rPr>
      </w:pPr>
      <w:r w:rsidRPr="00B62815">
        <w:rPr>
          <w:rFonts w:asciiTheme="minorHAnsi" w:eastAsia="Times New Roman" w:hAnsiTheme="minorHAnsi" w:cstheme="minorHAnsi"/>
          <w:sz w:val="22"/>
          <w:szCs w:val="22"/>
          <w:lang w:val="es-ES"/>
        </w:rPr>
        <w:t>01 – 02</w:t>
      </w:r>
      <w:r w:rsidRPr="00B62815">
        <w:rPr>
          <w:rFonts w:asciiTheme="minorHAnsi" w:eastAsia="Times New Roman" w:hAnsiTheme="minorHAnsi" w:cstheme="minorHAnsi"/>
          <w:sz w:val="22"/>
          <w:szCs w:val="22"/>
          <w:lang w:val="es-ES"/>
        </w:rPr>
        <w:tab/>
      </w:r>
      <w:r w:rsidRPr="00B62815">
        <w:rPr>
          <w:rFonts w:asciiTheme="minorHAnsi" w:hAnsiTheme="minorHAnsi" w:cstheme="minorHAnsi"/>
          <w:sz w:val="22"/>
          <w:szCs w:val="22"/>
          <w:lang w:val="es-ES"/>
        </w:rPr>
        <w:t>Quito, Ecuador</w:t>
      </w:r>
    </w:p>
    <w:p w14:paraId="0CE40C45"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asistió a la Sexta Reunión de Ministros en Materia de Seguridad Pública de las Américas (MISPA-VI) y pronunció el discurso de clausura.</w:t>
      </w:r>
    </w:p>
    <w:p w14:paraId="23B7620C" w14:textId="77777777" w:rsidR="007446D0" w:rsidRPr="00B62815" w:rsidRDefault="007446D0" w:rsidP="007446D0">
      <w:pPr>
        <w:spacing w:line="276" w:lineRule="auto"/>
        <w:ind w:left="1800"/>
        <w:jc w:val="both"/>
        <w:rPr>
          <w:rFonts w:asciiTheme="minorHAnsi" w:hAnsiTheme="minorHAnsi" w:cstheme="minorHAnsi"/>
          <w:b/>
          <w:sz w:val="22"/>
          <w:szCs w:val="22"/>
          <w:u w:val="single"/>
          <w:lang w:val="es-ES"/>
        </w:rPr>
      </w:pPr>
    </w:p>
    <w:p w14:paraId="4D393BED" w14:textId="77777777" w:rsidR="007446D0" w:rsidRPr="00B62815" w:rsidRDefault="007446D0" w:rsidP="007446D0">
      <w:pPr>
        <w:ind w:left="1800" w:hanging="1800"/>
        <w:jc w:val="both"/>
        <w:rPr>
          <w:rFonts w:asciiTheme="minorHAnsi" w:hAnsiTheme="minorHAnsi" w:cstheme="minorHAnsi"/>
          <w:sz w:val="22"/>
          <w:szCs w:val="22"/>
          <w:lang w:val="es-ES"/>
        </w:rPr>
      </w:pPr>
      <w:r w:rsidRPr="00B62815">
        <w:rPr>
          <w:rFonts w:asciiTheme="minorHAnsi" w:eastAsia="Times New Roman" w:hAnsiTheme="minorHAnsi" w:cstheme="minorHAnsi"/>
          <w:sz w:val="22"/>
          <w:szCs w:val="22"/>
          <w:lang w:val="es-ES"/>
        </w:rPr>
        <w:t>18 – 20</w:t>
      </w:r>
      <w:r w:rsidRPr="00B62815">
        <w:rPr>
          <w:rFonts w:asciiTheme="minorHAnsi" w:eastAsia="Times New Roman" w:hAnsiTheme="minorHAnsi" w:cstheme="minorHAnsi"/>
          <w:sz w:val="22"/>
          <w:szCs w:val="22"/>
          <w:lang w:val="es-ES"/>
        </w:rPr>
        <w:tab/>
      </w:r>
      <w:r w:rsidRPr="00B62815">
        <w:rPr>
          <w:rFonts w:asciiTheme="minorHAnsi" w:hAnsiTheme="minorHAnsi" w:cstheme="minorHAnsi"/>
          <w:sz w:val="22"/>
          <w:szCs w:val="22"/>
          <w:lang w:val="es-ES"/>
        </w:rPr>
        <w:t>San Vicente y las Granadinas</w:t>
      </w:r>
    </w:p>
    <w:p w14:paraId="27BCDD93"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realizó una visita oficial a San Vicente y las Granadinas, donde se reunió con el Primer Ministro, Excelentísimo señor Ralph E. Gonsalves; el Ministro de Educación, St. Clair Prince, y el Ministro de Agricultura, Saboto Caesar. Entre los temas tratados se incluyeron el fortalecimiento del bilingüismo de la población vicentina a través de los programas de la OEA, la Red Interamericana de Educación Docente (RIED) y la búsqueda de soluciones creativas para enfrentar el desafío que plantea el sargazo que ha estado afectando al turismo y la pesca en el Caribe. El Secretario General Adjunto también se reunió con el Director del Centro de Desarrollo Empresarial para explorar oportunidades de colaboración en las áreas de emprendimiento e innovación entre los jóvenes. También pronunció una conferencia en el Centro de Enseñanza Superior de San Vicente y las Granadinas. Fue acompañado en esta misión por La Celia Prince, Jefe de Gabinete.</w:t>
      </w:r>
    </w:p>
    <w:p w14:paraId="138D0827" w14:textId="77777777" w:rsidR="007446D0" w:rsidRPr="00B62815" w:rsidRDefault="007446D0" w:rsidP="007446D0">
      <w:pPr>
        <w:spacing w:line="276" w:lineRule="auto"/>
        <w:ind w:left="1800"/>
        <w:jc w:val="both"/>
        <w:rPr>
          <w:rFonts w:asciiTheme="minorHAnsi" w:hAnsiTheme="minorHAnsi" w:cstheme="minorHAnsi"/>
          <w:sz w:val="22"/>
          <w:szCs w:val="22"/>
          <w:lang w:val="es-ES"/>
        </w:rPr>
      </w:pPr>
    </w:p>
    <w:p w14:paraId="247E790A" w14:textId="77777777" w:rsidR="007446D0" w:rsidRPr="00B62815" w:rsidRDefault="007446D0" w:rsidP="007446D0">
      <w:pPr>
        <w:ind w:left="1800" w:hanging="1800"/>
        <w:jc w:val="both"/>
        <w:rPr>
          <w:rFonts w:asciiTheme="minorHAnsi" w:hAnsiTheme="minorHAnsi" w:cstheme="minorHAnsi"/>
          <w:sz w:val="22"/>
          <w:szCs w:val="22"/>
          <w:lang w:val="es-ES"/>
        </w:rPr>
      </w:pPr>
      <w:r w:rsidRPr="00B62815">
        <w:rPr>
          <w:rFonts w:asciiTheme="minorHAnsi" w:eastAsia="Times New Roman" w:hAnsiTheme="minorHAnsi" w:cstheme="minorHAnsi"/>
          <w:sz w:val="22"/>
          <w:szCs w:val="22"/>
          <w:lang w:val="es-ES"/>
        </w:rPr>
        <w:t>20 – 22</w:t>
      </w:r>
      <w:r w:rsidRPr="00B62815">
        <w:rPr>
          <w:rFonts w:asciiTheme="minorHAnsi" w:eastAsia="Times New Roman" w:hAnsiTheme="minorHAnsi" w:cstheme="minorHAnsi"/>
          <w:sz w:val="22"/>
          <w:szCs w:val="22"/>
          <w:lang w:val="es-ES"/>
        </w:rPr>
        <w:tab/>
      </w:r>
      <w:r w:rsidRPr="00B62815">
        <w:rPr>
          <w:rFonts w:asciiTheme="minorHAnsi" w:hAnsiTheme="minorHAnsi" w:cstheme="minorHAnsi"/>
          <w:sz w:val="22"/>
          <w:szCs w:val="22"/>
          <w:lang w:val="es-ES"/>
        </w:rPr>
        <w:t>Trinidad y Tobago</w:t>
      </w:r>
    </w:p>
    <w:p w14:paraId="22F6494E"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En esta visita oficial a Trinidad y Tobago, el Secretario General Adjunto promovió la visibilidad de la OEA en dicho país, particularmente en ausencia de un representante de país. Se reunió también con el Ministro de Educación, señor Anthony García, y con el Ministro de Relaciones Exteriores, señor Dennis Moses. Entre los temas tratados se incluyeron la Red Interamericana de Educación Docente (RIED), la creación de capacidad bilingüe en la población y la promoción de la innovación y el emprendimiento entre los jóvenes. Ambos ministros destacaron el interés por una mayor colaboración con la OEA en las áreas de educación, desarrollo de capacidades y acceso a la tecnología. El Secretario General Adjunto también se reunió con la Secretaria General de la Asociación de Estados del Caribe (AEC), Dra. June Soomer. La Dra. Soomer aprovechó la reunión para destacar temas transversales, tales como género, juventud y educación, en los que la AEC desea colaborar con la OEA. También expresó su apoyo a una iniciativa del Secretario General Adjunto para crear una plataforma de colaboración de organizaciones internacionales de las cuales forma parte la AEC. Fue acompañado en esta misión por La Celia Prince, Jefa de Gabinete.</w:t>
      </w:r>
    </w:p>
    <w:p w14:paraId="5D66F28D" w14:textId="77777777" w:rsidR="007446D0" w:rsidRPr="00B62815" w:rsidRDefault="007446D0" w:rsidP="007446D0">
      <w:pPr>
        <w:spacing w:line="276" w:lineRule="auto"/>
        <w:ind w:left="1800"/>
        <w:jc w:val="both"/>
        <w:rPr>
          <w:rFonts w:asciiTheme="minorHAnsi" w:hAnsiTheme="minorHAnsi" w:cstheme="minorHAnsi"/>
          <w:sz w:val="22"/>
          <w:szCs w:val="22"/>
          <w:lang w:val="es-ES"/>
        </w:rPr>
      </w:pPr>
    </w:p>
    <w:p w14:paraId="5173F46C" w14:textId="77777777" w:rsidR="007446D0" w:rsidRPr="00B62815" w:rsidRDefault="007446D0" w:rsidP="007446D0">
      <w:pPr>
        <w:spacing w:line="276" w:lineRule="auto"/>
        <w:rPr>
          <w:rFonts w:asciiTheme="minorHAnsi" w:hAnsiTheme="minorHAnsi" w:cstheme="minorHAnsi"/>
          <w:b/>
          <w:sz w:val="22"/>
          <w:szCs w:val="22"/>
          <w:u w:val="single"/>
          <w:lang w:val="es-ES"/>
        </w:rPr>
      </w:pPr>
      <w:r w:rsidRPr="00B62815">
        <w:rPr>
          <w:rFonts w:asciiTheme="minorHAnsi" w:hAnsiTheme="minorHAnsi" w:cstheme="minorHAnsi"/>
          <w:b/>
          <w:sz w:val="22"/>
          <w:szCs w:val="22"/>
          <w:u w:val="single"/>
          <w:lang w:val="es-ES"/>
        </w:rPr>
        <w:t>Diciembre</w:t>
      </w:r>
    </w:p>
    <w:p w14:paraId="6874ADF8" w14:textId="77777777" w:rsidR="007446D0" w:rsidRPr="00B62815" w:rsidRDefault="007446D0" w:rsidP="007446D0">
      <w:pPr>
        <w:spacing w:line="276" w:lineRule="auto"/>
        <w:ind w:left="1800"/>
        <w:jc w:val="both"/>
        <w:rPr>
          <w:rFonts w:asciiTheme="minorHAnsi" w:hAnsiTheme="minorHAnsi" w:cstheme="minorHAnsi"/>
          <w:sz w:val="22"/>
          <w:szCs w:val="22"/>
          <w:lang w:val="es-ES"/>
        </w:rPr>
      </w:pPr>
    </w:p>
    <w:p w14:paraId="5F430205" w14:textId="77777777" w:rsidR="007446D0" w:rsidRPr="00B62815" w:rsidRDefault="007446D0" w:rsidP="007446D0">
      <w:pPr>
        <w:ind w:left="1800" w:hanging="1800"/>
        <w:jc w:val="both"/>
        <w:rPr>
          <w:rFonts w:asciiTheme="minorHAnsi" w:hAnsiTheme="minorHAnsi" w:cstheme="minorHAnsi"/>
          <w:sz w:val="22"/>
          <w:szCs w:val="22"/>
          <w:lang w:val="es-ES"/>
        </w:rPr>
      </w:pPr>
      <w:r w:rsidRPr="00B62815">
        <w:rPr>
          <w:rFonts w:asciiTheme="minorHAnsi" w:eastAsia="Times New Roman" w:hAnsiTheme="minorHAnsi" w:cstheme="minorHAnsi"/>
          <w:sz w:val="22"/>
          <w:szCs w:val="22"/>
          <w:lang w:val="es-ES"/>
        </w:rPr>
        <w:t>02 – 04</w:t>
      </w:r>
      <w:r w:rsidRPr="00B62815">
        <w:rPr>
          <w:rFonts w:asciiTheme="minorHAnsi" w:eastAsia="Times New Roman" w:hAnsiTheme="minorHAnsi" w:cstheme="minorHAnsi"/>
          <w:sz w:val="22"/>
          <w:szCs w:val="22"/>
          <w:lang w:val="es-ES"/>
        </w:rPr>
        <w:tab/>
      </w:r>
      <w:r w:rsidRPr="00B62815">
        <w:rPr>
          <w:rFonts w:asciiTheme="minorHAnsi" w:hAnsiTheme="minorHAnsi" w:cstheme="minorHAnsi"/>
          <w:sz w:val="22"/>
          <w:szCs w:val="22"/>
          <w:lang w:val="es-ES"/>
        </w:rPr>
        <w:t>Bogotá, Colombia</w:t>
      </w:r>
    </w:p>
    <w:p w14:paraId="28B16E7B"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asistió a la Trigésima Reunión de Consulta de Ministros de Relaciones Exteriores, que sirvió como órgano de consulta en aplicación del Tratado Interamericano de Asistencia Recíproca (TIAR). Durante esta visita, se reunió con representantes de la Fundación Panamericana para el Desarrollo (FUPAD) para conocer de cerca las actividades de esta entidad en Colombia y explorar vías concretas para una mayor colaboración entre ésta y la Secretaría General de la OEA. El Secretario General Adjunto fue acompañado por Mayuriel Pérez, Asistente Ejecutiva.</w:t>
      </w:r>
    </w:p>
    <w:p w14:paraId="39E83768" w14:textId="77777777" w:rsidR="007446D0" w:rsidRPr="00B62815" w:rsidRDefault="007446D0" w:rsidP="007446D0">
      <w:pPr>
        <w:spacing w:line="276" w:lineRule="auto"/>
        <w:ind w:left="1800"/>
        <w:jc w:val="both"/>
        <w:rPr>
          <w:rFonts w:asciiTheme="minorHAnsi" w:eastAsia="Times New Roman" w:hAnsiTheme="minorHAnsi" w:cstheme="minorHAnsi"/>
          <w:sz w:val="22"/>
          <w:szCs w:val="22"/>
          <w:lang w:val="es-ES"/>
        </w:rPr>
      </w:pPr>
    </w:p>
    <w:p w14:paraId="1CA258A4" w14:textId="77777777" w:rsidR="007446D0" w:rsidRPr="00B62815" w:rsidRDefault="007446D0" w:rsidP="007446D0">
      <w:pPr>
        <w:ind w:left="1800" w:hanging="1800"/>
        <w:jc w:val="both"/>
        <w:rPr>
          <w:rFonts w:asciiTheme="minorHAnsi" w:hAnsiTheme="minorHAnsi" w:cstheme="minorHAnsi"/>
          <w:sz w:val="22"/>
          <w:szCs w:val="22"/>
          <w:lang w:val="es-ES"/>
        </w:rPr>
      </w:pPr>
      <w:r w:rsidRPr="00B62815">
        <w:rPr>
          <w:rFonts w:asciiTheme="minorHAnsi" w:eastAsia="Times New Roman" w:hAnsiTheme="minorHAnsi" w:cstheme="minorHAnsi"/>
          <w:sz w:val="22"/>
          <w:szCs w:val="22"/>
          <w:lang w:val="es-ES"/>
        </w:rPr>
        <w:t>05 – 06</w:t>
      </w:r>
      <w:r w:rsidRPr="00B62815">
        <w:rPr>
          <w:rFonts w:asciiTheme="minorHAnsi" w:eastAsia="Times New Roman" w:hAnsiTheme="minorHAnsi" w:cstheme="minorHAnsi"/>
          <w:sz w:val="22"/>
          <w:szCs w:val="22"/>
          <w:lang w:val="es-ES"/>
        </w:rPr>
        <w:tab/>
      </w:r>
      <w:r w:rsidRPr="00B62815">
        <w:rPr>
          <w:rFonts w:asciiTheme="minorHAnsi" w:hAnsiTheme="minorHAnsi" w:cstheme="minorHAnsi"/>
          <w:sz w:val="22"/>
          <w:szCs w:val="22"/>
          <w:lang w:val="es-ES"/>
        </w:rPr>
        <w:t>San Salvador, El Salvador</w:t>
      </w:r>
    </w:p>
    <w:p w14:paraId="1B2F4679"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asistió al Foro Regional de SICA 2019, “Por el desarrollo de Centroamérica. Construyendo una región de oportunidades”. Participó como panelista en el diálogo “Migración y desarrollo: Una visión transformadora”. Visitó también la Oficina Nacional de la OEA y las nuevas instalaciones de la Comisión Internacional contra la Impunidad en El Salvador (CICIES). El Secretario General Adjunto fue acompañado por Mayuriel Pérez, Asistente Ejecutiva.</w:t>
      </w:r>
    </w:p>
    <w:p w14:paraId="7FAF60F3" w14:textId="77777777" w:rsidR="007446D0" w:rsidRPr="00B62815" w:rsidRDefault="007446D0" w:rsidP="007446D0">
      <w:pPr>
        <w:spacing w:line="276" w:lineRule="auto"/>
        <w:ind w:left="1800"/>
        <w:jc w:val="both"/>
        <w:rPr>
          <w:rFonts w:asciiTheme="minorHAnsi" w:hAnsiTheme="minorHAnsi" w:cstheme="minorHAnsi"/>
          <w:sz w:val="22"/>
          <w:szCs w:val="22"/>
          <w:lang w:val="es-ES"/>
        </w:rPr>
      </w:pPr>
    </w:p>
    <w:p w14:paraId="0627580C" w14:textId="77777777" w:rsidR="007446D0" w:rsidRPr="00B62815" w:rsidRDefault="007446D0" w:rsidP="007446D0">
      <w:pPr>
        <w:ind w:left="1800" w:hanging="1800"/>
        <w:jc w:val="both"/>
        <w:rPr>
          <w:rFonts w:asciiTheme="minorHAnsi" w:hAnsiTheme="minorHAnsi" w:cstheme="minorHAnsi"/>
          <w:sz w:val="22"/>
          <w:szCs w:val="22"/>
          <w:lang w:val="es-ES"/>
        </w:rPr>
      </w:pPr>
      <w:r w:rsidRPr="00B62815">
        <w:rPr>
          <w:rFonts w:asciiTheme="minorHAnsi" w:eastAsia="Times New Roman" w:hAnsiTheme="minorHAnsi" w:cstheme="minorHAnsi"/>
          <w:sz w:val="22"/>
          <w:szCs w:val="22"/>
          <w:lang w:val="es-ES"/>
        </w:rPr>
        <w:t>08 – 10</w:t>
      </w:r>
      <w:r w:rsidRPr="00B62815">
        <w:rPr>
          <w:rFonts w:asciiTheme="minorHAnsi" w:eastAsia="Times New Roman" w:hAnsiTheme="minorHAnsi" w:cstheme="minorHAnsi"/>
          <w:sz w:val="22"/>
          <w:szCs w:val="22"/>
          <w:lang w:val="es-ES"/>
        </w:rPr>
        <w:tab/>
      </w:r>
      <w:r w:rsidRPr="00B62815">
        <w:rPr>
          <w:rFonts w:asciiTheme="minorHAnsi" w:hAnsiTheme="minorHAnsi" w:cstheme="minorHAnsi"/>
          <w:sz w:val="22"/>
          <w:szCs w:val="22"/>
          <w:lang w:val="es-ES"/>
        </w:rPr>
        <w:t xml:space="preserve">Nassau, Bahamas </w:t>
      </w:r>
    </w:p>
    <w:p w14:paraId="2E696AF3" w14:textId="77777777" w:rsidR="007446D0" w:rsidRPr="00B62815" w:rsidRDefault="007446D0" w:rsidP="007446D0">
      <w:pPr>
        <w:ind w:left="1800"/>
        <w:jc w:val="both"/>
        <w:rPr>
          <w:rFonts w:asciiTheme="minorHAnsi" w:eastAsia="Times New Roman" w:hAnsiTheme="minorHAnsi" w:cstheme="minorHAnsi"/>
          <w:sz w:val="22"/>
          <w:szCs w:val="22"/>
          <w:lang w:val="es-ES"/>
        </w:rPr>
      </w:pPr>
      <w:r w:rsidRPr="00B62815">
        <w:rPr>
          <w:rFonts w:asciiTheme="minorHAnsi" w:eastAsia="Times New Roman" w:hAnsiTheme="minorHAnsi" w:cstheme="minorHAnsi"/>
          <w:sz w:val="22"/>
          <w:szCs w:val="22"/>
          <w:lang w:val="es-ES"/>
        </w:rPr>
        <w:t>El Secretario General Adjunto encabezó una misión de avanzada a las Bahamas, una de las visitas programadas para preparar el quincuagésimo período ordinario de sesiones de la Asamblea General de la OEA. El Secretario General Adjunto se reunió con el Excelentísimo señor Darren Henfield, Ministro de Relaciones Exteriores, y con el señor Peter Deveaux Isaacs, Secretario Permanente, para examinar los preparativos pertinentes. El equipo de la OEA visitó también los sitios propuestos para la Asamblea General y se reunió con el equipo de las Bahamas, encargado de la coordinación de la Asamblea General. El Secretario General Adjunto estuvo acompañado por La Celia Prince; Jefa de Gabinete; Cinnamon Bottaro, Asesora; Sandra Guaqueta, Subdirectora de Conferencias, y Luiz Coimbra, Especialista de conferencias. El enviado especial del Secretario General para las Bahamas, Chet Neymour, también estuvo entre los acompañantes. El equipo colaboró con el Ministerio de Relaciones Exteriores de las Bahamas en todos los aspectos pertinentes de los planes para lograr un resultado satisfactorio en la próxima Asamblea General.</w:t>
      </w:r>
    </w:p>
    <w:p w14:paraId="1D38B4A9" w14:textId="77777777" w:rsidR="007446D0" w:rsidRPr="00B62815" w:rsidRDefault="007446D0" w:rsidP="007446D0">
      <w:pPr>
        <w:spacing w:line="276" w:lineRule="auto"/>
        <w:ind w:left="1800"/>
        <w:jc w:val="both"/>
        <w:rPr>
          <w:rFonts w:asciiTheme="minorHAnsi" w:hAnsiTheme="minorHAnsi" w:cstheme="minorHAnsi"/>
          <w:b/>
          <w:sz w:val="22"/>
          <w:szCs w:val="22"/>
          <w:u w:val="single"/>
          <w:lang w:val="es-ES"/>
        </w:rPr>
      </w:pPr>
    </w:p>
    <w:p w14:paraId="23777CB5" w14:textId="77777777" w:rsidR="007446D0" w:rsidRPr="00B62815" w:rsidRDefault="007446D0" w:rsidP="00CE4125">
      <w:pPr>
        <w:pStyle w:val="ListParagraph"/>
        <w:ind w:left="0"/>
        <w:outlineLvl w:val="1"/>
        <w:rPr>
          <w:rFonts w:asciiTheme="minorHAnsi" w:eastAsia="Times New Roman" w:hAnsiTheme="minorHAnsi" w:cstheme="minorHAnsi"/>
          <w:b/>
          <w:color w:val="1F497D"/>
          <w:sz w:val="22"/>
          <w:szCs w:val="22"/>
          <w:lang w:val="es-ES"/>
        </w:rPr>
      </w:pPr>
    </w:p>
    <w:p w14:paraId="39F7DFE8" w14:textId="77777777" w:rsidR="00C42F60" w:rsidRPr="00B62815" w:rsidRDefault="00C42F60" w:rsidP="00C42F60">
      <w:pPr>
        <w:jc w:val="both"/>
        <w:rPr>
          <w:rFonts w:asciiTheme="minorHAnsi" w:eastAsia="Times New Roman" w:hAnsiTheme="minorHAnsi" w:cstheme="minorHAnsi"/>
          <w:b/>
          <w:sz w:val="22"/>
          <w:szCs w:val="22"/>
          <w:lang w:val="es-ES"/>
        </w:rPr>
      </w:pPr>
    </w:p>
    <w:p w14:paraId="75558AF0" w14:textId="77777777" w:rsidR="000572A8" w:rsidRPr="00B62815" w:rsidRDefault="003D3A6A" w:rsidP="00B7231B">
      <w:pPr>
        <w:jc w:val="both"/>
        <w:rPr>
          <w:rFonts w:asciiTheme="minorHAnsi" w:hAnsiTheme="minorHAnsi" w:cstheme="minorHAnsi"/>
          <w:sz w:val="22"/>
          <w:szCs w:val="22"/>
          <w:lang w:val="es-ES"/>
        </w:rPr>
      </w:pPr>
      <w:r w:rsidRPr="00B62815">
        <w:rPr>
          <w:rFonts w:asciiTheme="minorHAnsi" w:eastAsia="Times New Roman" w:hAnsiTheme="minorHAnsi" w:cstheme="minorHAnsi"/>
          <w:b/>
          <w:sz w:val="22"/>
          <w:szCs w:val="22"/>
          <w:lang w:val="es-ES"/>
        </w:rPr>
        <w:br w:type="page"/>
      </w:r>
    </w:p>
    <w:p w14:paraId="6DC01A36" w14:textId="77777777" w:rsidR="009716D6" w:rsidRPr="00B62815" w:rsidRDefault="00C4798A" w:rsidP="00CE4125">
      <w:pPr>
        <w:shd w:val="clear" w:color="auto" w:fill="F79646"/>
        <w:outlineLvl w:val="0"/>
        <w:rPr>
          <w:rFonts w:asciiTheme="minorHAnsi" w:eastAsia="Calibri" w:hAnsiTheme="minorHAnsi" w:cstheme="minorHAnsi"/>
          <w:b/>
          <w:color w:val="FFFFFF"/>
          <w:sz w:val="22"/>
          <w:szCs w:val="22"/>
          <w:lang w:val="pt-BR"/>
        </w:rPr>
      </w:pPr>
      <w:bookmarkStart w:id="139" w:name="_Toc39675879"/>
      <w:bookmarkStart w:id="140" w:name="_Toc40191102"/>
      <w:r w:rsidRPr="00B62815">
        <w:rPr>
          <w:rFonts w:asciiTheme="minorHAnsi" w:hAnsiTheme="minorHAnsi" w:cstheme="minorHAnsi"/>
          <w:b/>
          <w:color w:val="FFFFFF"/>
          <w:sz w:val="22"/>
          <w:szCs w:val="22"/>
          <w:lang w:val="pt-BR"/>
        </w:rPr>
        <w:t>6.</w:t>
      </w:r>
      <w:r w:rsidR="000572A8" w:rsidRPr="00B62815">
        <w:rPr>
          <w:rFonts w:asciiTheme="minorHAnsi" w:hAnsiTheme="minorHAnsi" w:cstheme="minorHAnsi"/>
          <w:b/>
          <w:sz w:val="22"/>
          <w:szCs w:val="22"/>
          <w:lang w:val="pt-BR"/>
        </w:rPr>
        <w:tab/>
      </w:r>
      <w:bookmarkStart w:id="141" w:name="_Toc444768661"/>
      <w:bookmarkStart w:id="142" w:name="_Toc482358066"/>
      <w:bookmarkStart w:id="143" w:name="_Toc511814157"/>
      <w:bookmarkStart w:id="144" w:name="_Toc513122746"/>
      <w:r w:rsidR="009716D6" w:rsidRPr="00B62815">
        <w:rPr>
          <w:rFonts w:asciiTheme="minorHAnsi" w:eastAsia="Calibri" w:hAnsiTheme="minorHAnsi" w:cstheme="minorHAnsi"/>
          <w:b/>
          <w:color w:val="FFFFFF"/>
          <w:sz w:val="22"/>
          <w:szCs w:val="22"/>
          <w:lang w:val="pt-BR"/>
        </w:rPr>
        <w:t>ANEXOS</w:t>
      </w:r>
      <w:bookmarkEnd w:id="139"/>
      <w:bookmarkEnd w:id="140"/>
      <w:bookmarkEnd w:id="141"/>
      <w:bookmarkEnd w:id="142"/>
      <w:bookmarkEnd w:id="143"/>
      <w:bookmarkEnd w:id="144"/>
    </w:p>
    <w:p w14:paraId="7DBA81B9" w14:textId="77777777" w:rsidR="009716D6" w:rsidRPr="00B62815" w:rsidRDefault="009716D6" w:rsidP="009716D6">
      <w:pPr>
        <w:ind w:left="720"/>
        <w:outlineLvl w:val="1"/>
        <w:rPr>
          <w:rFonts w:asciiTheme="minorHAnsi" w:eastAsia="Times New Roman" w:hAnsiTheme="minorHAnsi" w:cstheme="minorHAnsi"/>
          <w:b/>
          <w:color w:val="1F497D"/>
          <w:sz w:val="22"/>
          <w:szCs w:val="22"/>
          <w:lang w:val="pt-BR"/>
        </w:rPr>
      </w:pPr>
      <w:bookmarkStart w:id="145" w:name="_Toc444768662"/>
      <w:bookmarkStart w:id="146" w:name="_Toc482358067"/>
      <w:bookmarkStart w:id="147" w:name="_Toc513122747"/>
    </w:p>
    <w:p w14:paraId="770F9D00" w14:textId="77777777" w:rsidR="009716D6" w:rsidRPr="00B62815" w:rsidRDefault="009716D6" w:rsidP="00335DD8">
      <w:pPr>
        <w:outlineLvl w:val="1"/>
        <w:rPr>
          <w:rFonts w:asciiTheme="minorHAnsi" w:eastAsia="Times New Roman" w:hAnsiTheme="minorHAnsi" w:cstheme="minorHAnsi"/>
          <w:b/>
          <w:color w:val="1F497D"/>
          <w:sz w:val="22"/>
          <w:szCs w:val="22"/>
          <w:lang w:val="pt-BR"/>
        </w:rPr>
      </w:pPr>
      <w:bookmarkStart w:id="148" w:name="_Toc39675880"/>
      <w:bookmarkStart w:id="149" w:name="_Toc40191103"/>
      <w:r w:rsidRPr="00B62815">
        <w:rPr>
          <w:rFonts w:asciiTheme="minorHAnsi" w:eastAsia="Times New Roman" w:hAnsiTheme="minorHAnsi" w:cstheme="minorHAnsi"/>
          <w:b/>
          <w:color w:val="1F497D"/>
          <w:sz w:val="22"/>
          <w:szCs w:val="22"/>
          <w:lang w:val="pt-BR"/>
        </w:rPr>
        <w:t>ANEXO A: ORGANIGRAMA</w:t>
      </w:r>
      <w:bookmarkEnd w:id="145"/>
      <w:bookmarkEnd w:id="146"/>
      <w:bookmarkEnd w:id="147"/>
      <w:bookmarkEnd w:id="148"/>
      <w:bookmarkEnd w:id="149"/>
      <w:r w:rsidRPr="00B62815">
        <w:rPr>
          <w:rFonts w:asciiTheme="minorHAnsi" w:eastAsia="Times New Roman" w:hAnsiTheme="minorHAnsi" w:cstheme="minorHAnsi"/>
          <w:b/>
          <w:color w:val="1F497D"/>
          <w:sz w:val="22"/>
          <w:szCs w:val="22"/>
          <w:lang w:val="pt-BR"/>
        </w:rPr>
        <w:t xml:space="preserve"> </w:t>
      </w:r>
    </w:p>
    <w:p w14:paraId="2D070083" w14:textId="77777777" w:rsidR="009716D6" w:rsidRPr="00B62815" w:rsidRDefault="009716D6" w:rsidP="009716D6">
      <w:pPr>
        <w:widowControl w:val="0"/>
        <w:autoSpaceDE w:val="0"/>
        <w:autoSpaceDN w:val="0"/>
        <w:spacing w:after="200" w:line="276" w:lineRule="auto"/>
        <w:outlineLvl w:val="1"/>
        <w:rPr>
          <w:rFonts w:asciiTheme="minorHAnsi" w:eastAsia="Calibri" w:hAnsiTheme="minorHAnsi" w:cstheme="minorHAnsi"/>
          <w:b/>
          <w:bCs/>
          <w:color w:val="000080"/>
          <w:sz w:val="22"/>
          <w:szCs w:val="22"/>
          <w:lang w:val="pt-BR"/>
        </w:rPr>
      </w:pPr>
    </w:p>
    <w:p w14:paraId="00AB70A5" w14:textId="77777777" w:rsidR="009716D6" w:rsidRPr="00B62815" w:rsidRDefault="001C2CF3" w:rsidP="009716D6">
      <w:pPr>
        <w:spacing w:after="200" w:line="276" w:lineRule="auto"/>
        <w:rPr>
          <w:rFonts w:asciiTheme="minorHAnsi" w:eastAsia="Calibri" w:hAnsiTheme="minorHAnsi" w:cstheme="minorHAnsi"/>
          <w:sz w:val="22"/>
          <w:szCs w:val="22"/>
          <w:lang w:val="pt-BR"/>
        </w:rPr>
      </w:pPr>
      <w:r w:rsidRPr="00B62815">
        <w:rPr>
          <w:rFonts w:asciiTheme="minorHAnsi" w:eastAsia="Calibri" w:hAnsiTheme="minorHAnsi" w:cstheme="minorHAnsi"/>
          <w:noProof/>
          <w:sz w:val="22"/>
          <w:szCs w:val="22"/>
        </w:rPr>
        <mc:AlternateContent>
          <mc:Choice Requires="wps">
            <w:drawing>
              <wp:anchor distT="0" distB="0" distL="114300" distR="114300" simplePos="0" relativeHeight="251621376" behindDoc="0" locked="0" layoutInCell="1" allowOverlap="1" wp14:anchorId="739502CB" wp14:editId="36991983">
                <wp:simplePos x="0" y="0"/>
                <wp:positionH relativeFrom="column">
                  <wp:posOffset>-395605</wp:posOffset>
                </wp:positionH>
                <wp:positionV relativeFrom="paragraph">
                  <wp:posOffset>595630</wp:posOffset>
                </wp:positionV>
                <wp:extent cx="1633220" cy="1049020"/>
                <wp:effectExtent l="0" t="0" r="5080" b="0"/>
                <wp:wrapNone/>
                <wp:docPr id="2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3220" cy="1049020"/>
                        </a:xfrm>
                        <a:prstGeom prst="rect">
                          <a:avLst/>
                        </a:prstGeom>
                        <a:solidFill>
                          <a:sysClr val="window" lastClr="FFFFFF"/>
                        </a:solidFill>
                        <a:ln w="6350">
                          <a:solidFill>
                            <a:prstClr val="black"/>
                          </a:solidFill>
                        </a:ln>
                        <a:effectLst/>
                      </wps:spPr>
                      <wps:txbx>
                        <w:txbxContent>
                          <w:p w14:paraId="3116D5FD" w14:textId="77777777" w:rsidR="00B22AF2" w:rsidRPr="00A429D8" w:rsidRDefault="00B22AF2" w:rsidP="009716D6">
                            <w:pPr>
                              <w:jc w:val="center"/>
                              <w:rPr>
                                <w:sz w:val="16"/>
                                <w:szCs w:val="16"/>
                                <w:lang w:val="es-ES_tradnl"/>
                              </w:rPr>
                            </w:pPr>
                            <w:r w:rsidRPr="00A429D8">
                              <w:rPr>
                                <w:sz w:val="16"/>
                                <w:szCs w:val="16"/>
                                <w:lang w:val="es-ES_tradnl"/>
                              </w:rPr>
                              <w:t xml:space="preserve">Secretarías Ejecutivas/Secretarías de los órganos principales y especializados (autónomos y descentralizados) y </w:t>
                            </w:r>
                          </w:p>
                          <w:p w14:paraId="541C10D1" w14:textId="77777777" w:rsidR="00B22AF2" w:rsidRPr="00A429D8" w:rsidRDefault="00B22AF2" w:rsidP="009716D6">
                            <w:pPr>
                              <w:jc w:val="center"/>
                              <w:rPr>
                                <w:sz w:val="16"/>
                                <w:szCs w:val="16"/>
                                <w:lang w:val="es-ES_tradnl"/>
                              </w:rPr>
                            </w:pPr>
                            <w:r>
                              <w:rPr>
                                <w:sz w:val="16"/>
                                <w:szCs w:val="16"/>
                                <w:lang w:val="es-ES_tradnl"/>
                              </w:rPr>
                              <w:t>ó</w:t>
                            </w:r>
                            <w:r w:rsidRPr="00A429D8">
                              <w:rPr>
                                <w:sz w:val="16"/>
                                <w:szCs w:val="16"/>
                                <w:lang w:val="es-ES_tradnl"/>
                              </w:rPr>
                              <w:t>rganos de control</w:t>
                            </w:r>
                          </w:p>
                          <w:p w14:paraId="53BE0DD2" w14:textId="77777777" w:rsidR="00B22AF2" w:rsidRPr="00A429D8" w:rsidRDefault="00B22AF2" w:rsidP="009716D6">
                            <w:pPr>
                              <w:jc w:val="center"/>
                              <w:rPr>
                                <w:sz w:val="16"/>
                                <w:szCs w:val="16"/>
                                <w:lang w:val="es-ES_tradnl"/>
                              </w:rPr>
                            </w:pPr>
                            <w:r w:rsidRPr="00A429D8">
                              <w:rPr>
                                <w:sz w:val="16"/>
                                <w:szCs w:val="16"/>
                                <w:lang w:val="es-ES_tradnl"/>
                              </w:rPr>
                              <w:t>(conforme al artículo 53 de la Carta de la Organización]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502CB" id="Text Box 11" o:spid="_x0000_s1032" type="#_x0000_t202" style="position:absolute;margin-left:-31.15pt;margin-top:46.9pt;width:128.6pt;height:82.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" fillcolor="window" strokeweight=".5pt">
                <v:path arrowok="t"/>
                <v:textbox>
                  <w:txbxContent>
                    <w:p w14:paraId="3116D5FD" w14:textId="77777777" w:rsidR="00B22AF2" w:rsidRPr="00A429D8" w:rsidRDefault="00B22AF2" w:rsidP="009716D6">
                      <w:pPr>
                        <w:jc w:val="center"/>
                        <w:rPr>
                          <w:sz w:val="16"/>
                          <w:szCs w:val="16"/>
                          <w:lang w:val="es-ES_tradnl"/>
                        </w:rPr>
                      </w:pPr>
                      <w:r w:rsidRPr="00A429D8">
                        <w:rPr>
                          <w:sz w:val="16"/>
                          <w:szCs w:val="16"/>
                          <w:lang w:val="es-ES_tradnl"/>
                        </w:rPr>
                        <w:t xml:space="preserve">Secretarías Ejecutivas/Secretarías de los órganos principales y especializados (autónomos y descentralizados) y </w:t>
                      </w:r>
                    </w:p>
                    <w:p w14:paraId="541C10D1" w14:textId="77777777" w:rsidR="00B22AF2" w:rsidRPr="00A429D8" w:rsidRDefault="00B22AF2" w:rsidP="009716D6">
                      <w:pPr>
                        <w:jc w:val="center"/>
                        <w:rPr>
                          <w:sz w:val="16"/>
                          <w:szCs w:val="16"/>
                          <w:lang w:val="es-ES_tradnl"/>
                        </w:rPr>
                      </w:pPr>
                      <w:r>
                        <w:rPr>
                          <w:sz w:val="16"/>
                          <w:szCs w:val="16"/>
                          <w:lang w:val="es-ES_tradnl"/>
                        </w:rPr>
                        <w:t>ó</w:t>
                      </w:r>
                      <w:r w:rsidRPr="00A429D8">
                        <w:rPr>
                          <w:sz w:val="16"/>
                          <w:szCs w:val="16"/>
                          <w:lang w:val="es-ES_tradnl"/>
                        </w:rPr>
                        <w:t>rganos de control</w:t>
                      </w:r>
                    </w:p>
                    <w:p w14:paraId="53BE0DD2" w14:textId="77777777" w:rsidR="00B22AF2" w:rsidRPr="00A429D8" w:rsidRDefault="00B22AF2" w:rsidP="009716D6">
                      <w:pPr>
                        <w:jc w:val="center"/>
                        <w:rPr>
                          <w:sz w:val="16"/>
                          <w:szCs w:val="16"/>
                          <w:lang w:val="es-ES_tradnl"/>
                        </w:rPr>
                      </w:pPr>
                      <w:r w:rsidRPr="00A429D8">
                        <w:rPr>
                          <w:sz w:val="16"/>
                          <w:szCs w:val="16"/>
                          <w:lang w:val="es-ES_tradnl"/>
                        </w:rPr>
                        <w:t>(conforme al artículo 53 de la Carta de la Organización]</w:t>
                      </w: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39808" behindDoc="0" locked="0" layoutInCell="1" allowOverlap="1" wp14:anchorId="2A74827E" wp14:editId="52BEF5B0">
                <wp:simplePos x="0" y="0"/>
                <wp:positionH relativeFrom="column">
                  <wp:posOffset>4267835</wp:posOffset>
                </wp:positionH>
                <wp:positionV relativeFrom="paragraph">
                  <wp:posOffset>1311275</wp:posOffset>
                </wp:positionV>
                <wp:extent cx="1490980" cy="666750"/>
                <wp:effectExtent l="19050" t="19050" r="0" b="0"/>
                <wp:wrapNone/>
                <wp:docPr id="2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666750"/>
                        </a:xfrm>
                        <a:prstGeom prst="rect">
                          <a:avLst/>
                        </a:prstGeom>
                        <a:solidFill>
                          <a:srgbClr val="BFBFBF"/>
                        </a:solidFill>
                        <a:ln w="38100">
                          <a:solidFill>
                            <a:srgbClr val="000000"/>
                          </a:solidFill>
                          <a:miter lim="800000"/>
                          <a:headEnd/>
                          <a:tailEnd/>
                        </a:ln>
                      </wps:spPr>
                      <wps:txbx>
                        <w:txbxContent>
                          <w:p w14:paraId="54649D6A" w14:textId="77777777" w:rsidR="00B22AF2" w:rsidRPr="00A429D8" w:rsidRDefault="00B22AF2" w:rsidP="009716D6">
                            <w:pPr>
                              <w:jc w:val="center"/>
                              <w:rPr>
                                <w:sz w:val="16"/>
                                <w:szCs w:val="16"/>
                                <w:lang w:val="es-ES"/>
                              </w:rPr>
                            </w:pPr>
                            <w:r w:rsidRPr="00A429D8">
                              <w:rPr>
                                <w:sz w:val="16"/>
                                <w:szCs w:val="16"/>
                                <w:lang w:val="es-ES_tradnl"/>
                              </w:rPr>
                              <w:t>C</w:t>
                            </w:r>
                            <w:r>
                              <w:rPr>
                                <w:sz w:val="16"/>
                                <w:szCs w:val="16"/>
                                <w:lang w:val="es-ES_tradnl"/>
                              </w:rPr>
                              <w:t xml:space="preserve">onsejería Estratégica para el </w:t>
                            </w:r>
                            <w:r w:rsidRPr="00A429D8">
                              <w:rPr>
                                <w:sz w:val="16"/>
                                <w:szCs w:val="16"/>
                                <w:lang w:val="es-ES_tradnl"/>
                              </w:rPr>
                              <w:t>Desarrollo Organizacional y la Gestión por Resultados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74827E" id="Text Box 31" o:spid="_x0000_s1033" type="#_x0000_t202" style="position:absolute;margin-left:336.05pt;margin-top:103.25pt;width:117.4pt;height: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" fillcolor="#bfbfbf" strokeweight="3pt">
                <v:textbox>
                  <w:txbxContent>
                    <w:p w14:paraId="54649D6A" w14:textId="77777777" w:rsidR="00B22AF2" w:rsidRPr="00A429D8" w:rsidRDefault="00B22AF2" w:rsidP="009716D6">
                      <w:pPr>
                        <w:jc w:val="center"/>
                        <w:rPr>
                          <w:sz w:val="16"/>
                          <w:szCs w:val="16"/>
                          <w:lang w:val="es-ES"/>
                        </w:rPr>
                      </w:pPr>
                      <w:r w:rsidRPr="00A429D8">
                        <w:rPr>
                          <w:sz w:val="16"/>
                          <w:szCs w:val="16"/>
                          <w:lang w:val="es-ES_tradnl"/>
                        </w:rPr>
                        <w:t>C</w:t>
                      </w:r>
                      <w:r>
                        <w:rPr>
                          <w:sz w:val="16"/>
                          <w:szCs w:val="16"/>
                          <w:lang w:val="es-ES_tradnl"/>
                        </w:rPr>
                        <w:t xml:space="preserve">onsejería Estratégica para el </w:t>
                      </w:r>
                      <w:r w:rsidRPr="00A429D8">
                        <w:rPr>
                          <w:sz w:val="16"/>
                          <w:szCs w:val="16"/>
                          <w:lang w:val="es-ES_tradnl"/>
                        </w:rPr>
                        <w:t>Desarrollo Organizacional y la Gestión por Resultados</w:t>
                      </w: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19328" behindDoc="0" locked="0" layoutInCell="1" allowOverlap="1" wp14:anchorId="02E43995" wp14:editId="0881B80A">
                <wp:simplePos x="0" y="0"/>
                <wp:positionH relativeFrom="column">
                  <wp:posOffset>-358775</wp:posOffset>
                </wp:positionH>
                <wp:positionV relativeFrom="paragraph">
                  <wp:posOffset>1862455</wp:posOffset>
                </wp:positionV>
                <wp:extent cx="948690" cy="492125"/>
                <wp:effectExtent l="19050" t="19050" r="3810" b="3175"/>
                <wp:wrapNone/>
                <wp:docPr id="2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492125"/>
                        </a:xfrm>
                        <a:prstGeom prst="rect">
                          <a:avLst/>
                        </a:prstGeom>
                        <a:solidFill>
                          <a:srgbClr val="BFBFBF"/>
                        </a:solidFill>
                        <a:ln w="38100">
                          <a:solidFill>
                            <a:srgbClr val="000000"/>
                          </a:solidFill>
                          <a:miter lim="800000"/>
                          <a:headEnd/>
                          <a:tailEnd/>
                        </a:ln>
                      </wps:spPr>
                      <wps:txbx>
                        <w:txbxContent>
                          <w:p w14:paraId="66A575A4" w14:textId="77777777" w:rsidR="00B22AF2" w:rsidRPr="00A429D8" w:rsidRDefault="00B22AF2" w:rsidP="009716D6">
                            <w:pPr>
                              <w:jc w:val="center"/>
                              <w:rPr>
                                <w:color w:val="000000"/>
                                <w:sz w:val="16"/>
                                <w:szCs w:val="16"/>
                              </w:rPr>
                            </w:pPr>
                            <w:r w:rsidRPr="00A429D8">
                              <w:rPr>
                                <w:color w:val="000000"/>
                                <w:sz w:val="16"/>
                                <w:szCs w:val="16"/>
                              </w:rPr>
                              <w:t>O</w:t>
                            </w:r>
                            <w:r>
                              <w:rPr>
                                <w:color w:val="000000"/>
                                <w:sz w:val="16"/>
                                <w:szCs w:val="16"/>
                              </w:rPr>
                              <w:t xml:space="preserve">ficina </w:t>
                            </w:r>
                            <w:r w:rsidRPr="00A429D8">
                              <w:rPr>
                                <w:color w:val="000000"/>
                                <w:sz w:val="16"/>
                                <w:szCs w:val="16"/>
                              </w:rPr>
                              <w:t>Ombudsperson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E43995" id="Text Box 10" o:spid="_x0000_s1034" type="#_x0000_t202" style="position:absolute;margin-left:-28.25pt;margin-top:146.65pt;width:74.7pt;height:3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" fillcolor="#bfbfbf" strokeweight="3pt">
                <v:textbox>
                  <w:txbxContent>
                    <w:p w14:paraId="66A575A4" w14:textId="77777777" w:rsidR="00B22AF2" w:rsidRPr="00A429D8" w:rsidRDefault="00B22AF2" w:rsidP="009716D6">
                      <w:pPr>
                        <w:jc w:val="center"/>
                        <w:rPr>
                          <w:color w:val="000000"/>
                          <w:sz w:val="16"/>
                          <w:szCs w:val="16"/>
                        </w:rPr>
                      </w:pPr>
                      <w:r w:rsidRPr="00A429D8">
                        <w:rPr>
                          <w:color w:val="000000"/>
                          <w:sz w:val="16"/>
                          <w:szCs w:val="16"/>
                        </w:rPr>
                        <w:t>O</w:t>
                      </w:r>
                      <w:r>
                        <w:rPr>
                          <w:color w:val="000000"/>
                          <w:sz w:val="16"/>
                          <w:szCs w:val="16"/>
                        </w:rPr>
                        <w:t xml:space="preserve">ficina </w:t>
                      </w:r>
                      <w:r w:rsidRPr="00A429D8">
                        <w:rPr>
                          <w:color w:val="000000"/>
                          <w:sz w:val="16"/>
                          <w:szCs w:val="16"/>
                        </w:rPr>
                        <w:t>Ombudsperson</w:t>
                      </w: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25472" behindDoc="1" locked="0" layoutInCell="1" allowOverlap="1" wp14:anchorId="737DFFDE" wp14:editId="43CDED3C">
                <wp:simplePos x="0" y="0"/>
                <wp:positionH relativeFrom="column">
                  <wp:posOffset>551815</wp:posOffset>
                </wp:positionH>
                <wp:positionV relativeFrom="paragraph">
                  <wp:posOffset>699135</wp:posOffset>
                </wp:positionV>
                <wp:extent cx="2628265" cy="1278890"/>
                <wp:effectExtent l="0" t="0" r="635" b="16510"/>
                <wp:wrapNone/>
                <wp:docPr id="27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265" cy="1278890"/>
                        </a:xfrm>
                        <a:prstGeom prst="bentConnector3">
                          <a:avLst>
                            <a:gd name="adj1" fmla="val 49986"/>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type w14:anchorId="4ADC304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3" o:spid="_x0000_s1026" type="#_x0000_t34" style="position:absolute;margin-left:43.45pt;margin-top:55.05pt;width:206.95pt;height:100.7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" adj="10797"/>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576320" behindDoc="0" locked="0" layoutInCell="1" allowOverlap="1" wp14:anchorId="4E13029E" wp14:editId="4A584FD9">
                <wp:simplePos x="0" y="0"/>
                <wp:positionH relativeFrom="column">
                  <wp:posOffset>605790</wp:posOffset>
                </wp:positionH>
                <wp:positionV relativeFrom="paragraph">
                  <wp:posOffset>1567180</wp:posOffset>
                </wp:positionV>
                <wp:extent cx="2564130" cy="604520"/>
                <wp:effectExtent l="0" t="0" r="7620" b="5080"/>
                <wp:wrapNone/>
                <wp:docPr id="27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4130" cy="604520"/>
                        </a:xfrm>
                        <a:prstGeom prst="bentConnector3">
                          <a:avLst>
                            <a:gd name="adj1" fmla="val 50000"/>
                          </a:avLst>
                        </a:prstGeom>
                        <a:noFill/>
                        <a:ln w="9525">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2DB0601A" id="AutoShape 49" o:spid="_x0000_s1026" type="#_x0000_t34" style="position:absolute;margin-left:47.7pt;margin-top:123.4pt;width:201.9pt;height:47.6p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">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4294967294" distB="4294967294" distL="114300" distR="114300" simplePos="0" relativeHeight="251637760" behindDoc="0" locked="0" layoutInCell="1" allowOverlap="1" wp14:anchorId="38FC199D" wp14:editId="3A6F7773">
                <wp:simplePos x="0" y="0"/>
                <wp:positionH relativeFrom="column">
                  <wp:posOffset>3683635</wp:posOffset>
                </wp:positionH>
                <wp:positionV relativeFrom="paragraph">
                  <wp:posOffset>1644649</wp:posOffset>
                </wp:positionV>
                <wp:extent cx="569595" cy="0"/>
                <wp:effectExtent l="0" t="0" r="1905" b="0"/>
                <wp:wrapNone/>
                <wp:docPr id="27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type w14:anchorId="2EBDE58A" id="_x0000_t32" coordsize="21600,21600" o:spt="32" o:oned="t" path="m,l21600,21600e" filled="f">
                <v:path arrowok="t" fillok="f" o:connecttype="none"/>
                <o:lock v:ext="edit" shapetype="t"/>
              </v:shapetype>
              <v:shape id="AutoShape 165" o:spid="_x0000_s1026" type="#_x0000_t32" style="position:absolute;margin-left:290.05pt;margin-top:129.5pt;width:44.85pt;height:0;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"/>
            </w:pict>
          </mc:Fallback>
        </mc:AlternateContent>
      </w:r>
      <w:r w:rsidRPr="00B62815">
        <w:rPr>
          <w:rFonts w:asciiTheme="minorHAnsi" w:eastAsia="Calibri" w:hAnsiTheme="minorHAnsi" w:cstheme="minorHAnsi"/>
          <w:noProof/>
          <w:sz w:val="22"/>
          <w:szCs w:val="22"/>
        </w:rPr>
        <mc:AlternateContent>
          <mc:Choice Requires="wps">
            <w:drawing>
              <wp:anchor distT="4294967294" distB="4294967294" distL="114300" distR="114300" simplePos="0" relativeHeight="251645952" behindDoc="0" locked="0" layoutInCell="1" allowOverlap="1" wp14:anchorId="61464154" wp14:editId="5F452973">
                <wp:simplePos x="0" y="0"/>
                <wp:positionH relativeFrom="column">
                  <wp:posOffset>2074545</wp:posOffset>
                </wp:positionH>
                <wp:positionV relativeFrom="paragraph">
                  <wp:posOffset>1642744</wp:posOffset>
                </wp:positionV>
                <wp:extent cx="1641475" cy="0"/>
                <wp:effectExtent l="0" t="0" r="0" b="0"/>
                <wp:wrapNone/>
                <wp:docPr id="26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14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00B7862A" id="AutoShape 83" o:spid="_x0000_s1026" type="#_x0000_t32" style="position:absolute;margin-left:163.35pt;margin-top:129.35pt;width:129.25pt;height:0;flip:x;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"/>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41856" behindDoc="0" locked="0" layoutInCell="1" allowOverlap="1" wp14:anchorId="7B541D3B" wp14:editId="64F25552">
                <wp:simplePos x="0" y="0"/>
                <wp:positionH relativeFrom="column">
                  <wp:posOffset>1031240</wp:posOffset>
                </wp:positionH>
                <wp:positionV relativeFrom="paragraph">
                  <wp:posOffset>693420</wp:posOffset>
                </wp:positionV>
                <wp:extent cx="723900" cy="297815"/>
                <wp:effectExtent l="3492" t="0" r="3493" b="3492"/>
                <wp:wrapNone/>
                <wp:docPr id="26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23900" cy="297815"/>
                        </a:xfrm>
                        <a:prstGeom prst="bentConnector3">
                          <a:avLst>
                            <a:gd name="adj1" fmla="val 97894"/>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3A73D4B7" id="AutoShape 81" o:spid="_x0000_s1026" type="#_x0000_t34" style="position:absolute;margin-left:81.2pt;margin-top:54.6pt;width:57pt;height:23.4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" adj="21145"/>
            </w:pict>
          </mc:Fallback>
        </mc:AlternateContent>
      </w:r>
      <w:r w:rsidRPr="00B62815">
        <w:rPr>
          <w:rFonts w:asciiTheme="minorHAnsi" w:eastAsia="Calibri" w:hAnsiTheme="minorHAnsi" w:cstheme="minorHAnsi"/>
          <w:noProof/>
          <w:sz w:val="22"/>
          <w:szCs w:val="22"/>
        </w:rPr>
        <mc:AlternateContent>
          <mc:Choice Requires="wps">
            <w:drawing>
              <wp:anchor distT="4294967294" distB="4294967294" distL="114300" distR="114300" simplePos="0" relativeHeight="251566080" behindDoc="0" locked="0" layoutInCell="1" allowOverlap="1" wp14:anchorId="3FC0126A" wp14:editId="468F4E5D">
                <wp:simplePos x="0" y="0"/>
                <wp:positionH relativeFrom="column">
                  <wp:posOffset>1535430</wp:posOffset>
                </wp:positionH>
                <wp:positionV relativeFrom="paragraph">
                  <wp:posOffset>479424</wp:posOffset>
                </wp:positionV>
                <wp:extent cx="577215" cy="0"/>
                <wp:effectExtent l="0" t="0" r="0" b="0"/>
                <wp:wrapNone/>
                <wp:docPr id="267"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7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1CC25734" id="AutoShape 154" o:spid="_x0000_s1026" type="#_x0000_t32" style="position:absolute;margin-left:120.9pt;margin-top:37.75pt;width:45.45pt;height:0;rotation:180;z-index:251566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"/>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43904" behindDoc="0" locked="0" layoutInCell="1" allowOverlap="1" wp14:anchorId="02BE282C" wp14:editId="5417C00E">
                <wp:simplePos x="0" y="0"/>
                <wp:positionH relativeFrom="column">
                  <wp:posOffset>2074545</wp:posOffset>
                </wp:positionH>
                <wp:positionV relativeFrom="paragraph">
                  <wp:posOffset>1237615</wp:posOffset>
                </wp:positionV>
                <wp:extent cx="1318260" cy="845820"/>
                <wp:effectExtent l="0" t="0" r="0" b="0"/>
                <wp:wrapNone/>
                <wp:docPr id="2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845820"/>
                        </a:xfrm>
                        <a:prstGeom prst="rect">
                          <a:avLst/>
                        </a:prstGeom>
                        <a:solidFill>
                          <a:srgbClr val="FFFFFF"/>
                        </a:solidFill>
                        <a:ln w="9525">
                          <a:solidFill>
                            <a:srgbClr val="000000"/>
                          </a:solidFill>
                          <a:miter lim="800000"/>
                          <a:headEnd/>
                          <a:tailEnd/>
                        </a:ln>
                      </wps:spPr>
                      <wps:txbx>
                        <w:txbxContent>
                          <w:p w14:paraId="114CC39D" w14:textId="77777777" w:rsidR="00B22AF2" w:rsidRDefault="00B22AF2" w:rsidP="009716D6">
                            <w:pPr>
                              <w:jc w:val="center"/>
                              <w:rPr>
                                <w:sz w:val="20"/>
                                <w:szCs w:val="20"/>
                              </w:rPr>
                            </w:pPr>
                          </w:p>
                          <w:p w14:paraId="48F91B1A" w14:textId="77777777" w:rsidR="00B22AF2" w:rsidRDefault="00B22AF2" w:rsidP="009716D6">
                            <w:pPr>
                              <w:jc w:val="center"/>
                              <w:rPr>
                                <w:sz w:val="20"/>
                                <w:szCs w:val="20"/>
                              </w:rPr>
                            </w:pPr>
                            <w:r>
                              <w:rPr>
                                <w:sz w:val="20"/>
                                <w:szCs w:val="20"/>
                              </w:rPr>
                              <w:t>Secretario</w:t>
                            </w:r>
                            <w:r w:rsidRPr="001126FD">
                              <w:rPr>
                                <w:sz w:val="20"/>
                                <w:szCs w:val="20"/>
                              </w:rPr>
                              <w:t xml:space="preserve"> Gene</w:t>
                            </w:r>
                            <w:r>
                              <w:rPr>
                                <w:sz w:val="20"/>
                                <w:szCs w:val="20"/>
                              </w:rPr>
                              <w:t>ral</w:t>
                            </w:r>
                          </w:p>
                          <w:p w14:paraId="17918FB6" w14:textId="77777777" w:rsidR="00B22AF2" w:rsidRDefault="00B22AF2" w:rsidP="009716D6">
                            <w:pPr>
                              <w:jc w:val="center"/>
                              <w:rPr>
                                <w:sz w:val="20"/>
                                <w:szCs w:val="20"/>
                              </w:rPr>
                            </w:pPr>
                          </w:p>
                          <w:p w14:paraId="4642F5BC" w14:textId="77777777" w:rsidR="00B22AF2" w:rsidRDefault="00B22AF2" w:rsidP="009716D6">
                            <w:pPr>
                              <w:jc w:val="center"/>
                              <w:rPr>
                                <w:sz w:val="20"/>
                                <w:szCs w:val="20"/>
                              </w:rPr>
                            </w:pPr>
                            <w:r>
                              <w:rPr>
                                <w:sz w:val="20"/>
                                <w:szCs w:val="20"/>
                              </w:rPr>
                              <w:t>Secretario General Adjunto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BE282C" id="Text Box 27" o:spid="_x0000_s1035" type="#_x0000_t202" style="position:absolute;margin-left:163.35pt;margin-top:97.45pt;width:103.8pt;height:66.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">
                <v:textbox>
                  <w:txbxContent>
                    <w:p w14:paraId="114CC39D" w14:textId="77777777" w:rsidR="00B22AF2" w:rsidRDefault="00B22AF2" w:rsidP="009716D6">
                      <w:pPr>
                        <w:jc w:val="center"/>
                        <w:rPr>
                          <w:sz w:val="20"/>
                          <w:szCs w:val="20"/>
                        </w:rPr>
                      </w:pPr>
                    </w:p>
                    <w:p w14:paraId="48F91B1A" w14:textId="77777777" w:rsidR="00B22AF2" w:rsidRDefault="00B22AF2" w:rsidP="009716D6">
                      <w:pPr>
                        <w:jc w:val="center"/>
                        <w:rPr>
                          <w:sz w:val="20"/>
                          <w:szCs w:val="20"/>
                        </w:rPr>
                      </w:pPr>
                      <w:proofErr w:type="spellStart"/>
                      <w:r>
                        <w:rPr>
                          <w:sz w:val="20"/>
                          <w:szCs w:val="20"/>
                        </w:rPr>
                        <w:t>Secretario</w:t>
                      </w:r>
                      <w:proofErr w:type="spellEnd"/>
                      <w:r w:rsidRPr="001126FD">
                        <w:rPr>
                          <w:sz w:val="20"/>
                          <w:szCs w:val="20"/>
                        </w:rPr>
                        <w:t xml:space="preserve"> Gene</w:t>
                      </w:r>
                      <w:r>
                        <w:rPr>
                          <w:sz w:val="20"/>
                          <w:szCs w:val="20"/>
                        </w:rPr>
                        <w:t>ral</w:t>
                      </w:r>
                    </w:p>
                    <w:p w14:paraId="17918FB6" w14:textId="77777777" w:rsidR="00B22AF2" w:rsidRDefault="00B22AF2" w:rsidP="009716D6">
                      <w:pPr>
                        <w:jc w:val="center"/>
                        <w:rPr>
                          <w:sz w:val="20"/>
                          <w:szCs w:val="20"/>
                        </w:rPr>
                      </w:pPr>
                    </w:p>
                    <w:p w14:paraId="4642F5BC" w14:textId="77777777" w:rsidR="00B22AF2" w:rsidRDefault="00B22AF2" w:rsidP="009716D6">
                      <w:pPr>
                        <w:jc w:val="center"/>
                        <w:rPr>
                          <w:sz w:val="20"/>
                          <w:szCs w:val="20"/>
                        </w:rPr>
                      </w:pPr>
                      <w:proofErr w:type="spellStart"/>
                      <w:r>
                        <w:rPr>
                          <w:sz w:val="20"/>
                          <w:szCs w:val="20"/>
                        </w:rPr>
                        <w:t>Secretario</w:t>
                      </w:r>
                      <w:proofErr w:type="spellEnd"/>
                      <w:r>
                        <w:rPr>
                          <w:sz w:val="20"/>
                          <w:szCs w:val="20"/>
                        </w:rPr>
                        <w:t xml:space="preserve"> General </w:t>
                      </w:r>
                      <w:proofErr w:type="spellStart"/>
                      <w:r>
                        <w:rPr>
                          <w:sz w:val="20"/>
                          <w:szCs w:val="20"/>
                        </w:rPr>
                        <w:t>Adjunto</w:t>
                      </w:r>
                      <w:proofErr w:type="spellEnd"/>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23424" behindDoc="0" locked="0" layoutInCell="1" allowOverlap="1" wp14:anchorId="2E2FA90A" wp14:editId="7574A7D7">
                <wp:simplePos x="0" y="0"/>
                <wp:positionH relativeFrom="column">
                  <wp:posOffset>1237615</wp:posOffset>
                </wp:positionH>
                <wp:positionV relativeFrom="paragraph">
                  <wp:posOffset>1389380</wp:posOffset>
                </wp:positionV>
                <wp:extent cx="881380" cy="635"/>
                <wp:effectExtent l="0" t="0" r="0" b="18415"/>
                <wp:wrapNone/>
                <wp:docPr id="26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81380" cy="635"/>
                        </a:xfrm>
                        <a:prstGeom prst="bentConnector3">
                          <a:avLst>
                            <a:gd name="adj1" fmla="val 50000"/>
                          </a:avLst>
                        </a:prstGeom>
                        <a:noFill/>
                        <a:ln w="9525">
                          <a:solidFill>
                            <a:srgbClr val="00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774760FD" id="AutoShape 154" o:spid="_x0000_s1026" type="#_x0000_t34" style="position:absolute;margin-left:97.45pt;margin-top:109.4pt;width:69.4pt;height:.0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">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4294967294" distB="4294967294" distL="114300" distR="114300" simplePos="0" relativeHeight="251584512" behindDoc="0" locked="0" layoutInCell="1" allowOverlap="1" wp14:anchorId="1757E0B0" wp14:editId="215383E6">
                <wp:simplePos x="0" y="0"/>
                <wp:positionH relativeFrom="column">
                  <wp:posOffset>2049145</wp:posOffset>
                </wp:positionH>
                <wp:positionV relativeFrom="paragraph">
                  <wp:posOffset>478789</wp:posOffset>
                </wp:positionV>
                <wp:extent cx="1345565" cy="0"/>
                <wp:effectExtent l="0" t="0" r="6985" b="0"/>
                <wp:wrapNone/>
                <wp:docPr id="26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5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33B4781D" id="AutoShape 146" o:spid="_x0000_s1026" type="#_x0000_t32" style="position:absolute;margin-left:161.35pt;margin-top:37.7pt;width:105.95pt;height:0;z-index:251584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"/>
            </w:pict>
          </mc:Fallback>
        </mc:AlternateContent>
      </w:r>
      <w:r w:rsidRPr="00B62815">
        <w:rPr>
          <w:rFonts w:asciiTheme="minorHAnsi" w:eastAsia="Calibri" w:hAnsiTheme="minorHAnsi" w:cstheme="minorHAnsi"/>
          <w:noProof/>
          <w:sz w:val="22"/>
          <w:szCs w:val="22"/>
        </w:rPr>
        <mc:AlternateContent>
          <mc:Choice Requires="wps">
            <w:drawing>
              <wp:anchor distT="0" distB="0" distL="114298" distR="114298" simplePos="0" relativeHeight="251586560" behindDoc="0" locked="0" layoutInCell="1" allowOverlap="1" wp14:anchorId="1BF7DEBB" wp14:editId="0F286D0D">
                <wp:simplePos x="0" y="0"/>
                <wp:positionH relativeFrom="column">
                  <wp:posOffset>1055369</wp:posOffset>
                </wp:positionH>
                <wp:positionV relativeFrom="paragraph">
                  <wp:posOffset>2670175</wp:posOffset>
                </wp:positionV>
                <wp:extent cx="3338195" cy="0"/>
                <wp:effectExtent l="1669098" t="0" r="0" b="1664653"/>
                <wp:wrapNone/>
                <wp:docPr id="26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38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7CD90431" id="AutoShape 147" o:spid="_x0000_s1026" type="#_x0000_t32" style="position:absolute;margin-left:83.1pt;margin-top:210.25pt;width:262.85pt;height:0;rotation:90;z-index:251586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"/>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578368" behindDoc="0" locked="0" layoutInCell="1" allowOverlap="1" wp14:anchorId="1CEC3948" wp14:editId="2D5E436B">
                <wp:simplePos x="0" y="0"/>
                <wp:positionH relativeFrom="column">
                  <wp:posOffset>2035810</wp:posOffset>
                </wp:positionH>
                <wp:positionV relativeFrom="paragraph">
                  <wp:posOffset>-34290</wp:posOffset>
                </wp:positionV>
                <wp:extent cx="1356995" cy="103505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1035050"/>
                        </a:xfrm>
                        <a:prstGeom prst="rect">
                          <a:avLst/>
                        </a:prstGeom>
                        <a:solidFill>
                          <a:srgbClr val="FFFFFF"/>
                        </a:solidFill>
                        <a:ln w="9525">
                          <a:solidFill>
                            <a:srgbClr val="000000"/>
                          </a:solidFill>
                          <a:miter lim="800000"/>
                          <a:headEnd/>
                          <a:tailEnd/>
                        </a:ln>
                      </wps:spPr>
                      <wps:txbx>
                        <w:txbxContent>
                          <w:p w14:paraId="7402FEE0" w14:textId="77777777" w:rsidR="00B22AF2" w:rsidRDefault="00B22AF2" w:rsidP="009716D6">
                            <w:pPr>
                              <w:jc w:val="center"/>
                              <w:rPr>
                                <w:sz w:val="20"/>
                                <w:szCs w:val="20"/>
                              </w:rPr>
                            </w:pPr>
                          </w:p>
                          <w:p w14:paraId="31F8D34F" w14:textId="77777777" w:rsidR="00B22AF2" w:rsidRPr="001126FD" w:rsidRDefault="00B22AF2" w:rsidP="009716D6">
                            <w:pPr>
                              <w:jc w:val="center"/>
                              <w:rPr>
                                <w:sz w:val="20"/>
                                <w:szCs w:val="20"/>
                              </w:rPr>
                            </w:pPr>
                            <w:r>
                              <w:rPr>
                                <w:sz w:val="20"/>
                                <w:szCs w:val="20"/>
                              </w:rPr>
                              <w:t xml:space="preserve">Asamblea General </w:t>
                            </w:r>
                          </w:p>
                          <w:p w14:paraId="31CF41F6" w14:textId="77777777" w:rsidR="00B22AF2" w:rsidRDefault="00B22AF2" w:rsidP="009716D6">
                            <w:pPr>
                              <w:jc w:val="center"/>
                              <w:rPr>
                                <w:sz w:val="20"/>
                                <w:szCs w:val="20"/>
                              </w:rPr>
                            </w:pPr>
                          </w:p>
                          <w:p w14:paraId="7722400C" w14:textId="77777777" w:rsidR="00B22AF2" w:rsidRDefault="00B22AF2" w:rsidP="009716D6">
                            <w:pPr>
                              <w:jc w:val="center"/>
                              <w:rPr>
                                <w:sz w:val="20"/>
                                <w:szCs w:val="20"/>
                              </w:rPr>
                            </w:pPr>
                          </w:p>
                          <w:p w14:paraId="780009B6" w14:textId="77777777" w:rsidR="00B22AF2" w:rsidRPr="001126FD" w:rsidRDefault="00B22AF2" w:rsidP="009716D6">
                            <w:pPr>
                              <w:jc w:val="center"/>
                              <w:rPr>
                                <w:sz w:val="20"/>
                                <w:szCs w:val="20"/>
                              </w:rPr>
                            </w:pPr>
                            <w:r>
                              <w:rPr>
                                <w:sz w:val="20"/>
                                <w:szCs w:val="20"/>
                              </w:rPr>
                              <w:t>Consejo Permanente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EC3948" id="_x0000_s1036" type="#_x0000_t202" style="position:absolute;margin-left:160.3pt;margin-top:-2.7pt;width:106.85pt;height:8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">
                <v:textbox>
                  <w:txbxContent>
                    <w:p w14:paraId="7402FEE0" w14:textId="77777777" w:rsidR="00B22AF2" w:rsidRDefault="00B22AF2" w:rsidP="009716D6">
                      <w:pPr>
                        <w:jc w:val="center"/>
                        <w:rPr>
                          <w:sz w:val="20"/>
                          <w:szCs w:val="20"/>
                        </w:rPr>
                      </w:pPr>
                    </w:p>
                    <w:p w14:paraId="31F8D34F" w14:textId="77777777" w:rsidR="00B22AF2" w:rsidRPr="001126FD" w:rsidRDefault="00B22AF2" w:rsidP="009716D6">
                      <w:pPr>
                        <w:jc w:val="center"/>
                        <w:rPr>
                          <w:sz w:val="20"/>
                          <w:szCs w:val="20"/>
                        </w:rPr>
                      </w:pPr>
                      <w:proofErr w:type="spellStart"/>
                      <w:r>
                        <w:rPr>
                          <w:sz w:val="20"/>
                          <w:szCs w:val="20"/>
                        </w:rPr>
                        <w:t>Asamblea</w:t>
                      </w:r>
                      <w:proofErr w:type="spellEnd"/>
                      <w:r>
                        <w:rPr>
                          <w:sz w:val="20"/>
                          <w:szCs w:val="20"/>
                        </w:rPr>
                        <w:t xml:space="preserve"> General </w:t>
                      </w:r>
                    </w:p>
                    <w:p w14:paraId="31CF41F6" w14:textId="77777777" w:rsidR="00B22AF2" w:rsidRDefault="00B22AF2" w:rsidP="009716D6">
                      <w:pPr>
                        <w:jc w:val="center"/>
                        <w:rPr>
                          <w:sz w:val="20"/>
                          <w:szCs w:val="20"/>
                        </w:rPr>
                      </w:pPr>
                    </w:p>
                    <w:p w14:paraId="7722400C" w14:textId="77777777" w:rsidR="00B22AF2" w:rsidRDefault="00B22AF2" w:rsidP="009716D6">
                      <w:pPr>
                        <w:jc w:val="center"/>
                        <w:rPr>
                          <w:sz w:val="20"/>
                          <w:szCs w:val="20"/>
                        </w:rPr>
                      </w:pPr>
                    </w:p>
                    <w:p w14:paraId="780009B6" w14:textId="77777777" w:rsidR="00B22AF2" w:rsidRPr="001126FD" w:rsidRDefault="00B22AF2" w:rsidP="009716D6">
                      <w:pPr>
                        <w:jc w:val="center"/>
                        <w:rPr>
                          <w:sz w:val="20"/>
                          <w:szCs w:val="20"/>
                        </w:rPr>
                      </w:pPr>
                      <w:r>
                        <w:rPr>
                          <w:sz w:val="20"/>
                          <w:szCs w:val="20"/>
                        </w:rPr>
                        <w:t>Consejo Permanente</w:t>
                      </w: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33664" behindDoc="0" locked="0" layoutInCell="1" allowOverlap="1" wp14:anchorId="144D258F" wp14:editId="6EA68F93">
                <wp:simplePos x="0" y="0"/>
                <wp:positionH relativeFrom="column">
                  <wp:posOffset>4572000</wp:posOffset>
                </wp:positionH>
                <wp:positionV relativeFrom="paragraph">
                  <wp:posOffset>4617085</wp:posOffset>
                </wp:positionV>
                <wp:extent cx="905510" cy="2832735"/>
                <wp:effectExtent l="0" t="0" r="8890" b="5715"/>
                <wp:wrapNone/>
                <wp:docPr id="2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832735"/>
                        </a:xfrm>
                        <a:prstGeom prst="rect">
                          <a:avLst/>
                        </a:prstGeom>
                        <a:solidFill>
                          <a:srgbClr val="FFFFFF"/>
                        </a:solidFill>
                        <a:ln w="6350">
                          <a:solidFill>
                            <a:srgbClr val="000000"/>
                          </a:solidFill>
                          <a:miter lim="800000"/>
                          <a:headEnd/>
                          <a:tailEnd/>
                        </a:ln>
                      </wps:spPr>
                      <wps:txbx>
                        <w:txbxContent>
                          <w:p w14:paraId="6823E209" w14:textId="77777777" w:rsidR="00B22AF2" w:rsidRDefault="00B22AF2" w:rsidP="009716D6">
                            <w:pPr>
                              <w:ind w:left="-142" w:right="-147"/>
                              <w:jc w:val="center"/>
                              <w:rPr>
                                <w:sz w:val="18"/>
                                <w:szCs w:val="18"/>
                              </w:rPr>
                            </w:pPr>
                            <w:r>
                              <w:rPr>
                                <w:sz w:val="18"/>
                              </w:rPr>
                              <w:t>Secretaría Seguridad Multidimensional</w:t>
                            </w:r>
                          </w:p>
                          <w:p w14:paraId="43A35C78" w14:textId="77777777" w:rsidR="00B22AF2" w:rsidRPr="001B425C" w:rsidRDefault="00B22AF2" w:rsidP="009716D6">
                            <w:pPr>
                              <w:ind w:left="-142" w:right="-147"/>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4D258F" id="Text Box 40" o:spid="_x0000_s1037" type="#_x0000_t202" style="position:absolute;margin-left:5in;margin-top:363.55pt;width:71.3pt;height:22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" strokeweight=".5pt">
                <v:textbox>
                  <w:txbxContent>
                    <w:p w14:paraId="6823E209" w14:textId="77777777" w:rsidR="00B22AF2" w:rsidRDefault="00B22AF2" w:rsidP="009716D6">
                      <w:pPr>
                        <w:ind w:left="-142" w:right="-147"/>
                        <w:jc w:val="center"/>
                        <w:rPr>
                          <w:sz w:val="18"/>
                          <w:szCs w:val="18"/>
                        </w:rPr>
                      </w:pPr>
                      <w:r>
                        <w:rPr>
                          <w:sz w:val="18"/>
                        </w:rPr>
                        <w:t xml:space="preserve">Secretaría </w:t>
                      </w:r>
                      <w:proofErr w:type="spellStart"/>
                      <w:r>
                        <w:rPr>
                          <w:sz w:val="18"/>
                        </w:rPr>
                        <w:t>Seguridad</w:t>
                      </w:r>
                      <w:proofErr w:type="spellEnd"/>
                      <w:r>
                        <w:rPr>
                          <w:sz w:val="18"/>
                        </w:rPr>
                        <w:t xml:space="preserve"> Multidimensional</w:t>
                      </w:r>
                    </w:p>
                    <w:p w14:paraId="43A35C78" w14:textId="77777777" w:rsidR="00B22AF2" w:rsidRPr="001B425C" w:rsidRDefault="00B22AF2" w:rsidP="009716D6">
                      <w:pPr>
                        <w:ind w:left="-142" w:right="-147"/>
                        <w:jc w:val="center"/>
                        <w:rPr>
                          <w:sz w:val="18"/>
                          <w:szCs w:val="18"/>
                        </w:rPr>
                      </w:pP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570176" behindDoc="0" locked="0" layoutInCell="1" allowOverlap="1" wp14:anchorId="06DEF630" wp14:editId="3297459D">
                <wp:simplePos x="0" y="0"/>
                <wp:positionH relativeFrom="column">
                  <wp:posOffset>224790</wp:posOffset>
                </wp:positionH>
                <wp:positionV relativeFrom="paragraph">
                  <wp:posOffset>6419215</wp:posOffset>
                </wp:positionV>
                <wp:extent cx="4787900" cy="635"/>
                <wp:effectExtent l="0" t="19050" r="0" b="18415"/>
                <wp:wrapNone/>
                <wp:docPr id="26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7900" cy="635"/>
                        </a:xfrm>
                        <a:prstGeom prst="bentConnector3">
                          <a:avLst>
                            <a:gd name="adj1" fmla="val 50000"/>
                          </a:avLst>
                        </a:prstGeom>
                        <a:noFill/>
                        <a:ln w="28575">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495E5AAA" id="AutoShape 179" o:spid="_x0000_s1026" type="#_x0000_t34" style="position:absolute;margin-left:17.7pt;margin-top:505.45pt;width:377pt;height:.05pt;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" strokecolor="#bfbfbf" strokeweight="2.25pt">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568128" behindDoc="0" locked="0" layoutInCell="1" allowOverlap="1" wp14:anchorId="70565805" wp14:editId="3B7BBCAA">
                <wp:simplePos x="0" y="0"/>
                <wp:positionH relativeFrom="column">
                  <wp:posOffset>212725</wp:posOffset>
                </wp:positionH>
                <wp:positionV relativeFrom="paragraph">
                  <wp:posOffset>7146925</wp:posOffset>
                </wp:positionV>
                <wp:extent cx="4787900" cy="635"/>
                <wp:effectExtent l="0" t="19050" r="0" b="18415"/>
                <wp:wrapNone/>
                <wp:docPr id="26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7900" cy="635"/>
                        </a:xfrm>
                        <a:prstGeom prst="bentConnector3">
                          <a:avLst>
                            <a:gd name="adj1" fmla="val 50000"/>
                          </a:avLst>
                        </a:prstGeom>
                        <a:noFill/>
                        <a:ln w="28575">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40B6FB8A" id="AutoShape 179" o:spid="_x0000_s1026" type="#_x0000_t34" style="position:absolute;margin-left:16.75pt;margin-top:562.75pt;width:377pt;height:.05p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" strokecolor="#bfbfbf" strokeweight="2.25pt">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572224" behindDoc="0" locked="0" layoutInCell="1" allowOverlap="1" wp14:anchorId="1501A18C" wp14:editId="7A9F3EE3">
                <wp:simplePos x="0" y="0"/>
                <wp:positionH relativeFrom="column">
                  <wp:posOffset>212725</wp:posOffset>
                </wp:positionH>
                <wp:positionV relativeFrom="paragraph">
                  <wp:posOffset>5739130</wp:posOffset>
                </wp:positionV>
                <wp:extent cx="4787900" cy="635"/>
                <wp:effectExtent l="0" t="19050" r="0" b="18415"/>
                <wp:wrapNone/>
                <wp:docPr id="260"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7900" cy="635"/>
                        </a:xfrm>
                        <a:prstGeom prst="bentConnector3">
                          <a:avLst>
                            <a:gd name="adj1" fmla="val 50000"/>
                          </a:avLst>
                        </a:prstGeom>
                        <a:noFill/>
                        <a:ln w="28575">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3A825FE0" id="AutoShape 179" o:spid="_x0000_s1026" type="#_x0000_t34" style="position:absolute;margin-left:16.75pt;margin-top:451.9pt;width:377pt;height:.05p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" strokecolor="#bfbfbf" strokeweight="2.25pt">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4294967294" distB="4294967294" distL="114298" distR="114298" simplePos="0" relativeHeight="251631616" behindDoc="0" locked="0" layoutInCell="1" allowOverlap="1" wp14:anchorId="4A3C9229" wp14:editId="10C006F0">
                <wp:simplePos x="0" y="0"/>
                <wp:positionH relativeFrom="column">
                  <wp:align>center</wp:align>
                </wp:positionH>
                <wp:positionV relativeFrom="paragraph">
                  <wp:posOffset>5683884</wp:posOffset>
                </wp:positionV>
                <wp:extent cx="0" cy="0"/>
                <wp:effectExtent l="0" t="0" r="0" b="0"/>
                <wp:wrapNone/>
                <wp:docPr id="25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29F0A5CB" id="AutoShape 76" o:spid="_x0000_s1026" type="#_x0000_t32" style="position:absolute;margin-left:0;margin-top:447.55pt;width:0;height:0;z-index:251631616;visibility:visible;mso-wrap-style:square;mso-width-percent:0;mso-height-percent:0;mso-wrap-distance-left:3.17494mm;mso-wrap-distance-top:-6e-5mm;mso-wrap-distance-right:3.17494mm;mso-wrap-distance-bottom:-6e-5mm;mso-position-horizontal:center;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"/>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582464" behindDoc="0" locked="0" layoutInCell="1" allowOverlap="1" wp14:anchorId="31D6E913" wp14:editId="1CB8471C">
                <wp:simplePos x="0" y="0"/>
                <wp:positionH relativeFrom="column">
                  <wp:posOffset>517525</wp:posOffset>
                </wp:positionH>
                <wp:positionV relativeFrom="paragraph">
                  <wp:posOffset>4659630</wp:posOffset>
                </wp:positionV>
                <wp:extent cx="907415" cy="2833370"/>
                <wp:effectExtent l="19050" t="19050" r="6985" b="5080"/>
                <wp:wrapNone/>
                <wp:docPr id="2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833370"/>
                        </a:xfrm>
                        <a:prstGeom prst="rect">
                          <a:avLst/>
                        </a:prstGeom>
                        <a:solidFill>
                          <a:srgbClr val="BFBFBF"/>
                        </a:solidFill>
                        <a:ln w="38100">
                          <a:solidFill>
                            <a:srgbClr val="000000"/>
                          </a:solidFill>
                          <a:miter lim="800000"/>
                          <a:headEnd/>
                          <a:tailEnd/>
                        </a:ln>
                      </wps:spPr>
                      <wps:txbx>
                        <w:txbxContent>
                          <w:p w14:paraId="63408F71" w14:textId="77777777" w:rsidR="00B22AF2" w:rsidRPr="002F6F0D" w:rsidRDefault="00B22AF2" w:rsidP="009716D6">
                            <w:pPr>
                              <w:jc w:val="center"/>
                              <w:rPr>
                                <w:sz w:val="18"/>
                                <w:szCs w:val="18"/>
                                <w:lang w:val="es-CL"/>
                              </w:rPr>
                            </w:pPr>
                            <w:r w:rsidRPr="002F6F0D">
                              <w:rPr>
                                <w:sz w:val="18"/>
                                <w:lang w:val="es-CL"/>
                              </w:rPr>
                              <w:t>Secretaría de Acceso a Derechos y Equidad</w:t>
                            </w:r>
                          </w:p>
                          <w:p w14:paraId="3ECBD6DD" w14:textId="77777777" w:rsidR="00B22AF2" w:rsidRPr="002F6F0D" w:rsidRDefault="00B22AF2" w:rsidP="009716D6">
                            <w:pPr>
                              <w:jc w:val="center"/>
                              <w:rPr>
                                <w:sz w:val="18"/>
                                <w:szCs w:val="18"/>
                                <w:lang w:val="es-C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D6E913" id="Text Box 39" o:spid="_x0000_s1038" type="#_x0000_t202" style="position:absolute;margin-left:40.75pt;margin-top:366.9pt;width:71.45pt;height:223.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" fillcolor="#bfbfbf" strokeweight="3pt">
                <v:textbox>
                  <w:txbxContent>
                    <w:p w14:paraId="63408F71" w14:textId="77777777" w:rsidR="00B22AF2" w:rsidRPr="002F6F0D" w:rsidRDefault="00B22AF2" w:rsidP="009716D6">
                      <w:pPr>
                        <w:jc w:val="center"/>
                        <w:rPr>
                          <w:sz w:val="18"/>
                          <w:szCs w:val="18"/>
                          <w:lang w:val="es-CL"/>
                        </w:rPr>
                      </w:pPr>
                      <w:r w:rsidRPr="002F6F0D">
                        <w:rPr>
                          <w:sz w:val="18"/>
                          <w:lang w:val="es-CL"/>
                        </w:rPr>
                        <w:t>Secretaría de Acceso a Derechos y Equidad</w:t>
                      </w:r>
                    </w:p>
                    <w:p w14:paraId="3ECBD6DD" w14:textId="77777777" w:rsidR="00B22AF2" w:rsidRPr="002F6F0D" w:rsidRDefault="00B22AF2" w:rsidP="009716D6">
                      <w:pPr>
                        <w:jc w:val="center"/>
                        <w:rPr>
                          <w:sz w:val="18"/>
                          <w:szCs w:val="18"/>
                          <w:lang w:val="es-CL"/>
                        </w:rPr>
                      </w:pP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15232" behindDoc="0" locked="0" layoutInCell="1" allowOverlap="1" wp14:anchorId="648CC267" wp14:editId="070AE355">
                <wp:simplePos x="0" y="0"/>
                <wp:positionH relativeFrom="column">
                  <wp:posOffset>-624840</wp:posOffset>
                </wp:positionH>
                <wp:positionV relativeFrom="paragraph">
                  <wp:posOffset>6858000</wp:posOffset>
                </wp:positionV>
                <wp:extent cx="837565" cy="588010"/>
                <wp:effectExtent l="0" t="0" r="635" b="2540"/>
                <wp:wrapNone/>
                <wp:docPr id="27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588010"/>
                        </a:xfrm>
                        <a:prstGeom prst="rect">
                          <a:avLst/>
                        </a:prstGeom>
                        <a:solidFill>
                          <a:srgbClr val="FFFFFF"/>
                        </a:solidFill>
                        <a:ln w="9525">
                          <a:solidFill>
                            <a:srgbClr val="000000"/>
                          </a:solidFill>
                          <a:miter lim="800000"/>
                          <a:headEnd/>
                          <a:tailEnd/>
                        </a:ln>
                      </wps:spPr>
                      <wps:txbx>
                        <w:txbxContent>
                          <w:p w14:paraId="43A34F87" w14:textId="77777777" w:rsidR="00B22AF2" w:rsidRPr="006E7C49" w:rsidRDefault="00B22AF2" w:rsidP="009716D6">
                            <w:pPr>
                              <w:jc w:val="center"/>
                              <w:rPr>
                                <w:sz w:val="16"/>
                                <w:szCs w:val="16"/>
                                <w:lang w:val="es-ES"/>
                              </w:rPr>
                            </w:pPr>
                            <w:r w:rsidRPr="006E7C49">
                              <w:rPr>
                                <w:sz w:val="16"/>
                                <w:lang w:val="es-ES"/>
                              </w:rPr>
                              <w:t>Secretaría de Administración y Finanzas</w:t>
                            </w:r>
                          </w:p>
                          <w:p w14:paraId="6B2ED00C" w14:textId="77777777" w:rsidR="00B22AF2" w:rsidRPr="006E7C49" w:rsidRDefault="00B22AF2" w:rsidP="009716D6">
                            <w:pPr>
                              <w:jc w:val="center"/>
                              <w:rPr>
                                <w:sz w:val="16"/>
                                <w:szCs w:val="16"/>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8CC267" id="Text Box 266" o:spid="_x0000_s1039" type="#_x0000_t202" style="position:absolute;margin-left:-49.2pt;margin-top:540pt;width:65.95pt;height:46.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zLwIAAFs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">
                <v:textbox>
                  <w:txbxContent>
                    <w:p w14:paraId="43A34F87" w14:textId="77777777" w:rsidR="00B22AF2" w:rsidRPr="006E7C49" w:rsidRDefault="00B22AF2" w:rsidP="009716D6">
                      <w:pPr>
                        <w:jc w:val="center"/>
                        <w:rPr>
                          <w:sz w:val="16"/>
                          <w:szCs w:val="16"/>
                          <w:lang w:val="es-ES"/>
                        </w:rPr>
                      </w:pPr>
                      <w:r w:rsidRPr="006E7C49">
                        <w:rPr>
                          <w:sz w:val="16"/>
                          <w:lang w:val="es-ES"/>
                        </w:rPr>
                        <w:t>Secretaría de Administración y Finanzas</w:t>
                      </w:r>
                    </w:p>
                    <w:p w14:paraId="6B2ED00C" w14:textId="77777777" w:rsidR="00B22AF2" w:rsidRPr="006E7C49" w:rsidRDefault="00B22AF2" w:rsidP="009716D6">
                      <w:pPr>
                        <w:jc w:val="center"/>
                        <w:rPr>
                          <w:sz w:val="16"/>
                          <w:szCs w:val="16"/>
                          <w:lang w:val="es-ES"/>
                        </w:rPr>
                      </w:pP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27520" behindDoc="0" locked="0" layoutInCell="1" allowOverlap="1" wp14:anchorId="47BFD54C" wp14:editId="25669EE6">
                <wp:simplePos x="0" y="0"/>
                <wp:positionH relativeFrom="column">
                  <wp:posOffset>-621665</wp:posOffset>
                </wp:positionH>
                <wp:positionV relativeFrom="paragraph">
                  <wp:posOffset>5509260</wp:posOffset>
                </wp:positionV>
                <wp:extent cx="831215" cy="491490"/>
                <wp:effectExtent l="19050" t="19050" r="6985" b="3810"/>
                <wp:wrapNone/>
                <wp:docPr id="2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91490"/>
                        </a:xfrm>
                        <a:prstGeom prst="rect">
                          <a:avLst/>
                        </a:prstGeom>
                        <a:solidFill>
                          <a:srgbClr val="BFBFBF"/>
                        </a:solidFill>
                        <a:ln w="28575">
                          <a:solidFill>
                            <a:srgbClr val="000000"/>
                          </a:solidFill>
                          <a:miter lim="800000"/>
                          <a:headEnd/>
                          <a:tailEnd/>
                        </a:ln>
                      </wps:spPr>
                      <wps:txbx>
                        <w:txbxContent>
                          <w:p w14:paraId="06BA6D7B" w14:textId="77777777" w:rsidR="00B22AF2" w:rsidRDefault="00B22AF2" w:rsidP="009716D6">
                            <w:pPr>
                              <w:jc w:val="center"/>
                              <w:rPr>
                                <w:sz w:val="16"/>
                                <w:szCs w:val="16"/>
                              </w:rPr>
                            </w:pPr>
                            <w:r>
                              <w:rPr>
                                <w:sz w:val="16"/>
                              </w:rPr>
                              <w:t>Secretaría de Asuntos Hemisféricos</w:t>
                            </w:r>
                          </w:p>
                          <w:p w14:paraId="3906B910" w14:textId="77777777" w:rsidR="00B22AF2" w:rsidRPr="00557914" w:rsidRDefault="00B22AF2" w:rsidP="009716D6">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BFD54C" id="Text Box 41" o:spid="_x0000_s1040" type="#_x0000_t202" style="position:absolute;margin-left:-48.95pt;margin-top:433.8pt;width:65.45pt;height:38.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" fillcolor="#bfbfbf" strokeweight="2.25pt">
                <v:textbox>
                  <w:txbxContent>
                    <w:p w14:paraId="06BA6D7B" w14:textId="77777777" w:rsidR="00B22AF2" w:rsidRDefault="00B22AF2" w:rsidP="009716D6">
                      <w:pPr>
                        <w:jc w:val="center"/>
                        <w:rPr>
                          <w:sz w:val="16"/>
                          <w:szCs w:val="16"/>
                        </w:rPr>
                      </w:pPr>
                      <w:r>
                        <w:rPr>
                          <w:sz w:val="16"/>
                        </w:rPr>
                        <w:t xml:space="preserve">Secretaría de </w:t>
                      </w:r>
                      <w:proofErr w:type="spellStart"/>
                      <w:r>
                        <w:rPr>
                          <w:sz w:val="16"/>
                        </w:rPr>
                        <w:t>Asuntos</w:t>
                      </w:r>
                      <w:proofErr w:type="spellEnd"/>
                      <w:r>
                        <w:rPr>
                          <w:sz w:val="16"/>
                        </w:rPr>
                        <w:t xml:space="preserve"> </w:t>
                      </w:r>
                      <w:proofErr w:type="spellStart"/>
                      <w:r>
                        <w:rPr>
                          <w:sz w:val="16"/>
                        </w:rPr>
                        <w:t>Hemisféricos</w:t>
                      </w:r>
                      <w:proofErr w:type="spellEnd"/>
                    </w:p>
                    <w:p w14:paraId="3906B910" w14:textId="77777777" w:rsidR="00B22AF2" w:rsidRPr="00557914" w:rsidRDefault="00B22AF2" w:rsidP="009716D6">
                      <w:pPr>
                        <w:jc w:val="center"/>
                        <w:rPr>
                          <w:sz w:val="16"/>
                          <w:szCs w:val="16"/>
                        </w:rPr>
                      </w:pP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596800" behindDoc="0" locked="0" layoutInCell="1" allowOverlap="1" wp14:anchorId="6CEAB2AC" wp14:editId="02D55784">
                <wp:simplePos x="0" y="0"/>
                <wp:positionH relativeFrom="column">
                  <wp:posOffset>852805</wp:posOffset>
                </wp:positionH>
                <wp:positionV relativeFrom="paragraph">
                  <wp:posOffset>4338320</wp:posOffset>
                </wp:positionV>
                <wp:extent cx="4106545" cy="635"/>
                <wp:effectExtent l="0" t="0" r="8255" b="18415"/>
                <wp:wrapNone/>
                <wp:docPr id="256"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654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15CD3A75" id="AutoShape 170" o:spid="_x0000_s1026" type="#_x0000_t34" style="position:absolute;margin-left:67.15pt;margin-top:341.6pt;width:323.35pt;height:.05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" adj="10798"/>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598848" behindDoc="0" locked="0" layoutInCell="1" allowOverlap="1" wp14:anchorId="4D8B0D23" wp14:editId="6A83DBAB">
                <wp:simplePos x="0" y="0"/>
                <wp:positionH relativeFrom="column">
                  <wp:posOffset>692785</wp:posOffset>
                </wp:positionH>
                <wp:positionV relativeFrom="paragraph">
                  <wp:posOffset>4507865</wp:posOffset>
                </wp:positionV>
                <wp:extent cx="319405" cy="635"/>
                <wp:effectExtent l="6985" t="0" r="11430" b="11430"/>
                <wp:wrapNone/>
                <wp:docPr id="6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9405" cy="635"/>
                        </a:xfrm>
                        <a:prstGeom prst="bentConnector3">
                          <a:avLst>
                            <a:gd name="adj1" fmla="val 499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733518A0" id="AutoShape 171" o:spid="_x0000_s1026" type="#_x0000_t34" style="position:absolute;margin-left:54.55pt;margin-top:354.95pt;width:25.15pt;height:.05pt;rotation:90;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" adj="10779"/>
            </w:pict>
          </mc:Fallback>
        </mc:AlternateContent>
      </w:r>
      <w:r w:rsidRPr="00B62815">
        <w:rPr>
          <w:rFonts w:asciiTheme="minorHAnsi" w:eastAsia="Calibri" w:hAnsiTheme="minorHAnsi" w:cstheme="minorHAnsi"/>
          <w:noProof/>
          <w:sz w:val="22"/>
          <w:szCs w:val="22"/>
        </w:rPr>
        <mc:AlternateContent>
          <mc:Choice Requires="wps">
            <w:drawing>
              <wp:anchor distT="0" distB="0" distL="114298" distR="114298" simplePos="0" relativeHeight="251609088" behindDoc="0" locked="0" layoutInCell="1" allowOverlap="1" wp14:anchorId="5F8F2BCD" wp14:editId="12903AE8">
                <wp:simplePos x="0" y="0"/>
                <wp:positionH relativeFrom="column">
                  <wp:posOffset>949959</wp:posOffset>
                </wp:positionH>
                <wp:positionV relativeFrom="paragraph">
                  <wp:posOffset>4575175</wp:posOffset>
                </wp:positionV>
                <wp:extent cx="155575" cy="0"/>
                <wp:effectExtent l="77788" t="0" r="0" b="55563"/>
                <wp:wrapNone/>
                <wp:docPr id="62"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5575" cy="0"/>
                        </a:xfrm>
                        <a:prstGeom prst="straightConnector1">
                          <a:avLst/>
                        </a:prstGeom>
                        <a:noFill/>
                        <a:ln w="12700">
                          <a:solidFill>
                            <a:srgbClr val="BFBFB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3841E7D5" id="AutoShape 181" o:spid="_x0000_s1026" type="#_x0000_t32" style="position:absolute;margin-left:74.8pt;margin-top:360.25pt;width:12.25pt;height:0;rotation:90;z-index:25160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" strokecolor="#bfbfbf" strokeweight="1pt">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04992" behindDoc="0" locked="0" layoutInCell="1" allowOverlap="1" wp14:anchorId="42308B2E" wp14:editId="5B5846B1">
                <wp:simplePos x="0" y="0"/>
                <wp:positionH relativeFrom="column">
                  <wp:posOffset>1028065</wp:posOffset>
                </wp:positionH>
                <wp:positionV relativeFrom="paragraph">
                  <wp:posOffset>4487545</wp:posOffset>
                </wp:positionV>
                <wp:extent cx="4068445" cy="635"/>
                <wp:effectExtent l="0" t="0" r="8255" b="18415"/>
                <wp:wrapNone/>
                <wp:docPr id="6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8445" cy="635"/>
                        </a:xfrm>
                        <a:prstGeom prst="bentConnector3">
                          <a:avLst>
                            <a:gd name="adj1" fmla="val 49991"/>
                          </a:avLst>
                        </a:prstGeom>
                        <a:noFill/>
                        <a:ln w="12700">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4FF8F824" id="AutoShape 179" o:spid="_x0000_s1026" type="#_x0000_t34" style="position:absolute;margin-left:80.95pt;margin-top:353.35pt;width:320.35pt;height:.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" adj="10798" strokecolor="#bfbfbf" strokeweight="1pt">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0" distB="0" distL="114298" distR="114298" simplePos="0" relativeHeight="251600896" behindDoc="0" locked="0" layoutInCell="1" allowOverlap="1" wp14:anchorId="649CCC1D" wp14:editId="6E4F703D">
                <wp:simplePos x="0" y="0"/>
                <wp:positionH relativeFrom="column">
                  <wp:posOffset>2160269</wp:posOffset>
                </wp:positionH>
                <wp:positionV relativeFrom="paragraph">
                  <wp:posOffset>4500245</wp:posOffset>
                </wp:positionV>
                <wp:extent cx="309880" cy="0"/>
                <wp:effectExtent l="154940" t="0" r="0" b="149860"/>
                <wp:wrapNone/>
                <wp:docPr id="60"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68637F3A" id="AutoShape 172" o:spid="_x0000_s1026" type="#_x0000_t32" style="position:absolute;margin-left:170.1pt;margin-top:354.35pt;width:24.4pt;height:0;rotation:90;z-index:251600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"/>
            </w:pict>
          </mc:Fallback>
        </mc:AlternateContent>
      </w:r>
      <w:r w:rsidRPr="00B62815">
        <w:rPr>
          <w:rFonts w:asciiTheme="minorHAnsi" w:eastAsia="Calibri" w:hAnsiTheme="minorHAnsi" w:cstheme="minorHAnsi"/>
          <w:noProof/>
          <w:sz w:val="22"/>
          <w:szCs w:val="22"/>
        </w:rPr>
        <mc:AlternateContent>
          <mc:Choice Requires="wps">
            <w:drawing>
              <wp:anchor distT="0" distB="0" distL="114298" distR="114298" simplePos="0" relativeHeight="251629568" behindDoc="0" locked="0" layoutInCell="1" allowOverlap="1" wp14:anchorId="7891D017" wp14:editId="0CE8ECFB">
                <wp:simplePos x="0" y="0"/>
                <wp:positionH relativeFrom="column">
                  <wp:posOffset>3528694</wp:posOffset>
                </wp:positionH>
                <wp:positionV relativeFrom="paragraph">
                  <wp:posOffset>4500880</wp:posOffset>
                </wp:positionV>
                <wp:extent cx="309880" cy="0"/>
                <wp:effectExtent l="154940" t="0" r="0" b="149860"/>
                <wp:wrapNone/>
                <wp:docPr id="59"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1DD49CA3" id="AutoShape 172" o:spid="_x0000_s1026" type="#_x0000_t32" style="position:absolute;margin-left:277.85pt;margin-top:354.4pt;width:24.4pt;height:0;rotation:90;z-index:251629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"/>
            </w:pict>
          </mc:Fallback>
        </mc:AlternateContent>
      </w:r>
      <w:r w:rsidRPr="00B62815">
        <w:rPr>
          <w:rFonts w:asciiTheme="minorHAnsi" w:eastAsia="Calibri" w:hAnsiTheme="minorHAnsi" w:cstheme="minorHAnsi"/>
          <w:noProof/>
          <w:sz w:val="22"/>
          <w:szCs w:val="22"/>
        </w:rPr>
        <mc:AlternateContent>
          <mc:Choice Requires="wps">
            <w:drawing>
              <wp:anchor distT="0" distB="0" distL="114298" distR="114298" simplePos="0" relativeHeight="251607040" behindDoc="0" locked="0" layoutInCell="1" allowOverlap="1" wp14:anchorId="5ED81EF1" wp14:editId="2427E183">
                <wp:simplePos x="0" y="0"/>
                <wp:positionH relativeFrom="column">
                  <wp:posOffset>2306954</wp:posOffset>
                </wp:positionH>
                <wp:positionV relativeFrom="paragraph">
                  <wp:posOffset>4574540</wp:posOffset>
                </wp:positionV>
                <wp:extent cx="155575" cy="0"/>
                <wp:effectExtent l="77788" t="0" r="0" b="55563"/>
                <wp:wrapNone/>
                <wp:docPr id="58"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5575" cy="0"/>
                        </a:xfrm>
                        <a:prstGeom prst="straightConnector1">
                          <a:avLst/>
                        </a:prstGeom>
                        <a:noFill/>
                        <a:ln w="12700">
                          <a:solidFill>
                            <a:srgbClr val="BFBFB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301C2970" id="AutoShape 180" o:spid="_x0000_s1026" type="#_x0000_t32" style="position:absolute;margin-left:181.65pt;margin-top:360.2pt;width:12.25pt;height:0;rotation:90;z-index:25160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" strokecolor="#bfbfbf" strokeweight="1pt">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580416" behindDoc="0" locked="0" layoutInCell="1" allowOverlap="1" wp14:anchorId="29032FE4" wp14:editId="7A50F45F">
                <wp:simplePos x="0" y="0"/>
                <wp:positionH relativeFrom="column">
                  <wp:posOffset>1931035</wp:posOffset>
                </wp:positionH>
                <wp:positionV relativeFrom="paragraph">
                  <wp:posOffset>4667885</wp:posOffset>
                </wp:positionV>
                <wp:extent cx="907415" cy="2833370"/>
                <wp:effectExtent l="0" t="0" r="6985" b="5080"/>
                <wp:wrapNone/>
                <wp:docPr id="2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833370"/>
                        </a:xfrm>
                        <a:prstGeom prst="rect">
                          <a:avLst/>
                        </a:prstGeom>
                        <a:solidFill>
                          <a:srgbClr val="FFFFFF"/>
                        </a:solidFill>
                        <a:ln w="9525">
                          <a:solidFill>
                            <a:srgbClr val="000000"/>
                          </a:solidFill>
                          <a:miter lim="800000"/>
                          <a:headEnd/>
                          <a:tailEnd/>
                        </a:ln>
                      </wps:spPr>
                      <wps:txbx>
                        <w:txbxContent>
                          <w:p w14:paraId="752E3020" w14:textId="77777777" w:rsidR="00B22AF2" w:rsidRPr="002F6F0D" w:rsidRDefault="00B22AF2" w:rsidP="009716D6">
                            <w:pPr>
                              <w:jc w:val="center"/>
                              <w:rPr>
                                <w:sz w:val="16"/>
                                <w:szCs w:val="16"/>
                                <w:lang w:val="es-CL"/>
                              </w:rPr>
                            </w:pPr>
                            <w:r w:rsidRPr="002F6F0D">
                              <w:rPr>
                                <w:sz w:val="16"/>
                                <w:szCs w:val="16"/>
                                <w:lang w:val="es-CL"/>
                              </w:rPr>
                              <w:t>Secretaría para el Fortalecimiento de la Democracia</w:t>
                            </w:r>
                          </w:p>
                          <w:p w14:paraId="07F925BA" w14:textId="77777777" w:rsidR="00B22AF2" w:rsidRPr="002F6F0D" w:rsidRDefault="00B22AF2" w:rsidP="009716D6">
                            <w:pPr>
                              <w:jc w:val="center"/>
                              <w:rPr>
                                <w:sz w:val="18"/>
                                <w:szCs w:val="18"/>
                                <w:lang w:val="es-C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032FE4" id="Text Box 35" o:spid="_x0000_s1041" type="#_x0000_t202" style="position:absolute;margin-left:152.05pt;margin-top:367.55pt;width:71.45pt;height:223.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SRMQIAAFsEAAAOAAAAZHJzL2Uyb0RvYy54bWysVNtu2zAMfR+wfxD0vthxkj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">
                <v:textbox>
                  <w:txbxContent>
                    <w:p w14:paraId="752E3020" w14:textId="77777777" w:rsidR="00B22AF2" w:rsidRPr="002F6F0D" w:rsidRDefault="00B22AF2" w:rsidP="009716D6">
                      <w:pPr>
                        <w:jc w:val="center"/>
                        <w:rPr>
                          <w:sz w:val="16"/>
                          <w:szCs w:val="16"/>
                          <w:lang w:val="es-CL"/>
                        </w:rPr>
                      </w:pPr>
                      <w:r w:rsidRPr="002F6F0D">
                        <w:rPr>
                          <w:sz w:val="16"/>
                          <w:szCs w:val="16"/>
                          <w:lang w:val="es-CL"/>
                        </w:rPr>
                        <w:t>Secretaría para el Fortalecimiento de la Democracia</w:t>
                      </w:r>
                    </w:p>
                    <w:p w14:paraId="07F925BA" w14:textId="77777777" w:rsidR="00B22AF2" w:rsidRPr="002F6F0D" w:rsidRDefault="00B22AF2" w:rsidP="009716D6">
                      <w:pPr>
                        <w:jc w:val="center"/>
                        <w:rPr>
                          <w:sz w:val="18"/>
                          <w:szCs w:val="18"/>
                          <w:lang w:val="es-CL"/>
                        </w:rPr>
                      </w:pP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298" distR="114298" simplePos="0" relativeHeight="251617280" behindDoc="0" locked="0" layoutInCell="1" allowOverlap="1" wp14:anchorId="0EBBE9B5" wp14:editId="5A018EB5">
                <wp:simplePos x="0" y="0"/>
                <wp:positionH relativeFrom="column">
                  <wp:posOffset>3682364</wp:posOffset>
                </wp:positionH>
                <wp:positionV relativeFrom="paragraph">
                  <wp:posOffset>4560570</wp:posOffset>
                </wp:positionV>
                <wp:extent cx="145415" cy="0"/>
                <wp:effectExtent l="72708" t="0" r="0" b="79693"/>
                <wp:wrapNone/>
                <wp:docPr id="57"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5415" cy="0"/>
                        </a:xfrm>
                        <a:prstGeom prst="straightConnector1">
                          <a:avLst/>
                        </a:prstGeom>
                        <a:noFill/>
                        <a:ln w="12700">
                          <a:solidFill>
                            <a:srgbClr val="BFBFB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000F99B6" id="AutoShape 189" o:spid="_x0000_s1026" type="#_x0000_t32" style="position:absolute;margin-left:289.95pt;margin-top:359.1pt;width:11.45pt;height:0;rotation:-90;z-index:251617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" strokecolor="#bfbfbf" strokeweight="1pt">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35712" behindDoc="0" locked="0" layoutInCell="1" allowOverlap="1" wp14:anchorId="08CC9A50" wp14:editId="2C489966">
                <wp:simplePos x="0" y="0"/>
                <wp:positionH relativeFrom="column">
                  <wp:posOffset>3298825</wp:posOffset>
                </wp:positionH>
                <wp:positionV relativeFrom="paragraph">
                  <wp:posOffset>4645025</wp:posOffset>
                </wp:positionV>
                <wp:extent cx="907415" cy="2833370"/>
                <wp:effectExtent l="0" t="0" r="6985" b="5080"/>
                <wp:wrapNone/>
                <wp:docPr id="2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833370"/>
                        </a:xfrm>
                        <a:prstGeom prst="rect">
                          <a:avLst/>
                        </a:prstGeom>
                        <a:solidFill>
                          <a:srgbClr val="FFFFFF"/>
                        </a:solidFill>
                        <a:ln w="9525">
                          <a:solidFill>
                            <a:srgbClr val="000000"/>
                          </a:solidFill>
                          <a:miter lim="800000"/>
                          <a:headEnd/>
                          <a:tailEnd/>
                        </a:ln>
                      </wps:spPr>
                      <wps:txbx>
                        <w:txbxContent>
                          <w:p w14:paraId="4DB80495" w14:textId="77777777" w:rsidR="00B22AF2" w:rsidRPr="002F6F0D" w:rsidRDefault="00B22AF2" w:rsidP="009716D6">
                            <w:pPr>
                              <w:jc w:val="center"/>
                              <w:rPr>
                                <w:sz w:val="18"/>
                                <w:szCs w:val="18"/>
                                <w:lang w:val="es-CL"/>
                              </w:rPr>
                            </w:pPr>
                            <w:r w:rsidRPr="002F6F0D">
                              <w:rPr>
                                <w:sz w:val="18"/>
                                <w:lang w:val="es-CL"/>
                              </w:rPr>
                              <w:t>Secretaría Ejecutiva para el Desarrollo Integral</w:t>
                            </w:r>
                          </w:p>
                          <w:p w14:paraId="27949B14" w14:textId="77777777" w:rsidR="00B22AF2" w:rsidRPr="002F6F0D" w:rsidRDefault="00B22AF2" w:rsidP="009716D6">
                            <w:pPr>
                              <w:jc w:val="center"/>
                              <w:rPr>
                                <w:sz w:val="18"/>
                                <w:szCs w:val="18"/>
                                <w:lang w:val="es-C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CC9A50" id="Text Box 36" o:spid="_x0000_s1042" type="#_x0000_t202" style="position:absolute;margin-left:259.75pt;margin-top:365.75pt;width:71.45pt;height:223.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">
                <v:textbox>
                  <w:txbxContent>
                    <w:p w14:paraId="4DB80495" w14:textId="77777777" w:rsidR="00B22AF2" w:rsidRPr="002F6F0D" w:rsidRDefault="00B22AF2" w:rsidP="009716D6">
                      <w:pPr>
                        <w:jc w:val="center"/>
                        <w:rPr>
                          <w:sz w:val="18"/>
                          <w:szCs w:val="18"/>
                          <w:lang w:val="es-CL"/>
                        </w:rPr>
                      </w:pPr>
                      <w:r w:rsidRPr="002F6F0D">
                        <w:rPr>
                          <w:sz w:val="18"/>
                          <w:lang w:val="es-CL"/>
                        </w:rPr>
                        <w:t>Secretaría Ejecutiva para el Desarrollo Integral</w:t>
                      </w:r>
                    </w:p>
                    <w:p w14:paraId="27949B14" w14:textId="77777777" w:rsidR="00B22AF2" w:rsidRPr="002F6F0D" w:rsidRDefault="00B22AF2" w:rsidP="009716D6">
                      <w:pPr>
                        <w:jc w:val="center"/>
                        <w:rPr>
                          <w:sz w:val="18"/>
                          <w:szCs w:val="18"/>
                          <w:lang w:val="es-CL"/>
                        </w:rPr>
                      </w:pPr>
                    </w:p>
                  </w:txbxContent>
                </v:textbox>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11136" behindDoc="0" locked="0" layoutInCell="1" allowOverlap="1" wp14:anchorId="7831A994" wp14:editId="24439691">
                <wp:simplePos x="0" y="0"/>
                <wp:positionH relativeFrom="column">
                  <wp:posOffset>5009515</wp:posOffset>
                </wp:positionH>
                <wp:positionV relativeFrom="paragraph">
                  <wp:posOffset>4580890</wp:posOffset>
                </wp:positionV>
                <wp:extent cx="172720" cy="1270"/>
                <wp:effectExtent l="0" t="9525" r="27305" b="0"/>
                <wp:wrapNone/>
                <wp:docPr id="5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2720" cy="1270"/>
                        </a:xfrm>
                        <a:prstGeom prst="bentConnector3">
                          <a:avLst>
                            <a:gd name="adj1" fmla="val 50000"/>
                          </a:avLst>
                        </a:prstGeom>
                        <a:noFill/>
                        <a:ln w="12700">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2FF1D98A" id="AutoShape 183" o:spid="_x0000_s1026" type="#_x0000_t34" style="position:absolute;margin-left:394.45pt;margin-top:360.7pt;width:13.6pt;height:.1pt;rotation:90;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" strokecolor="#bfbfbf" strokeweight="1pt">
                <v:stroke dashstyle="1 1"/>
              </v:shape>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02944" behindDoc="0" locked="0" layoutInCell="1" allowOverlap="1" wp14:anchorId="4FF3FFA2" wp14:editId="5EA2C437">
                <wp:simplePos x="0" y="0"/>
                <wp:positionH relativeFrom="column">
                  <wp:posOffset>4799965</wp:posOffset>
                </wp:positionH>
                <wp:positionV relativeFrom="paragraph">
                  <wp:posOffset>4505325</wp:posOffset>
                </wp:positionV>
                <wp:extent cx="319405" cy="635"/>
                <wp:effectExtent l="6985" t="0" r="11430" b="11430"/>
                <wp:wrapNone/>
                <wp:docPr id="5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9405" cy="635"/>
                        </a:xfrm>
                        <a:prstGeom prst="bentConnector3">
                          <a:avLst>
                            <a:gd name="adj1" fmla="val 499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12DADE5B" id="AutoShape 173" o:spid="_x0000_s1026" type="#_x0000_t34" style="position:absolute;margin-left:377.95pt;margin-top:354.75pt;width:25.15pt;height:.05pt;rotation:90;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" adj="10779"/>
            </w:pict>
          </mc:Fallback>
        </mc:AlternateContent>
      </w:r>
      <w:r w:rsidRPr="00B62815">
        <w:rPr>
          <w:rFonts w:asciiTheme="minorHAnsi" w:eastAsia="Calibri" w:hAnsiTheme="minorHAnsi" w:cstheme="minorHAnsi"/>
          <w:noProof/>
          <w:sz w:val="22"/>
          <w:szCs w:val="22"/>
        </w:rPr>
        <mc:AlternateContent>
          <mc:Choice Requires="wps">
            <w:drawing>
              <wp:anchor distT="0" distB="0" distL="114300" distR="114300" simplePos="0" relativeHeight="251613184" behindDoc="0" locked="0" layoutInCell="1" allowOverlap="1" wp14:anchorId="254E4E12" wp14:editId="4815C515">
                <wp:simplePos x="0" y="0"/>
                <wp:positionH relativeFrom="column">
                  <wp:posOffset>-626110</wp:posOffset>
                </wp:positionH>
                <wp:positionV relativeFrom="paragraph">
                  <wp:posOffset>6191885</wp:posOffset>
                </wp:positionV>
                <wp:extent cx="838835" cy="485140"/>
                <wp:effectExtent l="0" t="0" r="0" b="0"/>
                <wp:wrapNone/>
                <wp:docPr id="27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485140"/>
                        </a:xfrm>
                        <a:prstGeom prst="rect">
                          <a:avLst/>
                        </a:prstGeom>
                        <a:solidFill>
                          <a:srgbClr val="FFFFFF"/>
                        </a:solidFill>
                        <a:ln w="9525">
                          <a:solidFill>
                            <a:srgbClr val="000000"/>
                          </a:solidFill>
                          <a:miter lim="800000"/>
                          <a:headEnd/>
                          <a:tailEnd/>
                        </a:ln>
                      </wps:spPr>
                      <wps:txbx>
                        <w:txbxContent>
                          <w:p w14:paraId="33D5C2A7" w14:textId="77777777" w:rsidR="00B22AF2" w:rsidRDefault="00B22AF2" w:rsidP="009716D6">
                            <w:pPr>
                              <w:jc w:val="center"/>
                              <w:rPr>
                                <w:sz w:val="16"/>
                                <w:szCs w:val="16"/>
                              </w:rPr>
                            </w:pPr>
                            <w:r>
                              <w:rPr>
                                <w:sz w:val="16"/>
                              </w:rPr>
                              <w:t>Secretaría de Asuntos Jurídicos</w:t>
                            </w:r>
                          </w:p>
                          <w:p w14:paraId="2A9952CA" w14:textId="77777777" w:rsidR="00B22AF2" w:rsidRPr="00557914" w:rsidRDefault="00B22AF2" w:rsidP="009716D6">
                            <w:pPr>
                              <w:jc w:val="center"/>
                              <w:rPr>
                                <w:sz w:val="16"/>
                                <w:szCs w:val="16"/>
                                <w:lang w:val="es-A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4E4E12" id="Text Box 265" o:spid="_x0000_s1043" type="#_x0000_t202" style="position:absolute;margin-left:-49.3pt;margin-top:487.55pt;width:66.05pt;height:38.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">
                <v:textbox>
                  <w:txbxContent>
                    <w:p w14:paraId="33D5C2A7" w14:textId="77777777" w:rsidR="00B22AF2" w:rsidRDefault="00B22AF2" w:rsidP="009716D6">
                      <w:pPr>
                        <w:jc w:val="center"/>
                        <w:rPr>
                          <w:sz w:val="16"/>
                          <w:szCs w:val="16"/>
                        </w:rPr>
                      </w:pPr>
                      <w:r>
                        <w:rPr>
                          <w:sz w:val="16"/>
                        </w:rPr>
                        <w:t xml:space="preserve">Secretaría de </w:t>
                      </w:r>
                      <w:proofErr w:type="spellStart"/>
                      <w:r>
                        <w:rPr>
                          <w:sz w:val="16"/>
                        </w:rPr>
                        <w:t>Asuntos</w:t>
                      </w:r>
                      <w:proofErr w:type="spellEnd"/>
                      <w:r>
                        <w:rPr>
                          <w:sz w:val="16"/>
                        </w:rPr>
                        <w:t xml:space="preserve"> </w:t>
                      </w:r>
                      <w:proofErr w:type="spellStart"/>
                      <w:r>
                        <w:rPr>
                          <w:sz w:val="16"/>
                        </w:rPr>
                        <w:t>Jurídicos</w:t>
                      </w:r>
                      <w:proofErr w:type="spellEnd"/>
                    </w:p>
                    <w:p w14:paraId="2A9952CA" w14:textId="77777777" w:rsidR="00B22AF2" w:rsidRPr="00557914" w:rsidRDefault="00B22AF2" w:rsidP="009716D6">
                      <w:pPr>
                        <w:jc w:val="center"/>
                        <w:rPr>
                          <w:sz w:val="16"/>
                          <w:szCs w:val="16"/>
                          <w:lang w:val="es-AR"/>
                        </w:rPr>
                      </w:pPr>
                    </w:p>
                  </w:txbxContent>
                </v:textbox>
              </v:shape>
            </w:pict>
          </mc:Fallback>
        </mc:AlternateContent>
      </w:r>
      <w:r w:rsidR="009716D6" w:rsidRPr="00B62815">
        <w:rPr>
          <w:rFonts w:asciiTheme="minorHAnsi" w:eastAsia="Calibri" w:hAnsiTheme="minorHAnsi" w:cstheme="minorHAnsi"/>
          <w:b/>
          <w:sz w:val="22"/>
          <w:szCs w:val="22"/>
          <w:lang w:val="pt-BR"/>
        </w:rPr>
        <w:t xml:space="preserve"> </w:t>
      </w:r>
      <w:r w:rsidRPr="00B62815">
        <w:rPr>
          <w:rFonts w:asciiTheme="minorHAnsi" w:eastAsia="Calibri" w:hAnsiTheme="minorHAnsi" w:cstheme="minorHAnsi"/>
          <w:noProof/>
          <w:sz w:val="22"/>
          <w:szCs w:val="22"/>
        </w:rPr>
        <mc:AlternateContent>
          <mc:Choice Requires="wps">
            <w:drawing>
              <wp:anchor distT="4294967294" distB="4294967294" distL="114300" distR="114300" simplePos="0" relativeHeight="251588608" behindDoc="0" locked="0" layoutInCell="1" allowOverlap="1" wp14:anchorId="0636877B" wp14:editId="74F82CC8">
                <wp:simplePos x="0" y="0"/>
                <wp:positionH relativeFrom="column">
                  <wp:posOffset>-699770</wp:posOffset>
                </wp:positionH>
                <wp:positionV relativeFrom="paragraph">
                  <wp:posOffset>3606164</wp:posOffset>
                </wp:positionV>
                <wp:extent cx="3424555" cy="0"/>
                <wp:effectExtent l="0" t="0" r="4445" b="0"/>
                <wp:wrapNone/>
                <wp:docPr id="5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24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0B62723D" id="AutoShape 166" o:spid="_x0000_s1026" type="#_x0000_t32" style="position:absolute;margin-left:-55.1pt;margin-top:283.95pt;width:269.65pt;height:0;rotation:180;z-index:25158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"/>
            </w:pict>
          </mc:Fallback>
        </mc:AlternateContent>
      </w:r>
      <w:r w:rsidRPr="00B62815">
        <w:rPr>
          <w:rFonts w:asciiTheme="minorHAnsi" w:eastAsia="Calibri" w:hAnsiTheme="minorHAnsi" w:cstheme="minorHAnsi"/>
          <w:noProof/>
          <w:sz w:val="22"/>
          <w:szCs w:val="22"/>
        </w:rPr>
        <mc:AlternateContent>
          <mc:Choice Requires="wps">
            <w:drawing>
              <wp:anchor distT="4294967294" distB="4294967294" distL="114300" distR="114300" simplePos="0" relativeHeight="251574272" behindDoc="0" locked="0" layoutInCell="1" allowOverlap="1" wp14:anchorId="6FDAF036" wp14:editId="3D3E35B0">
                <wp:simplePos x="0" y="0"/>
                <wp:positionH relativeFrom="column">
                  <wp:posOffset>-699135</wp:posOffset>
                </wp:positionH>
                <wp:positionV relativeFrom="paragraph">
                  <wp:posOffset>6419214</wp:posOffset>
                </wp:positionV>
                <wp:extent cx="374650" cy="0"/>
                <wp:effectExtent l="0" t="0" r="6350" b="0"/>
                <wp:wrapNone/>
                <wp:docPr id="53"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4A956494" id="AutoShape 267" o:spid="_x0000_s1026" type="#_x0000_t32" style="position:absolute;margin-left:-55.05pt;margin-top:505.45pt;width:29.5pt;height:0;z-index:251574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"/>
            </w:pict>
          </mc:Fallback>
        </mc:AlternateContent>
      </w:r>
      <w:r w:rsidRPr="00B62815">
        <w:rPr>
          <w:rFonts w:asciiTheme="minorHAnsi" w:eastAsia="Calibri" w:hAnsiTheme="minorHAnsi" w:cstheme="minorHAnsi"/>
          <w:noProof/>
          <w:sz w:val="22"/>
          <w:szCs w:val="22"/>
        </w:rPr>
        <mc:AlternateContent>
          <mc:Choice Requires="wps">
            <w:drawing>
              <wp:anchor distT="4294967294" distB="4294967294" distL="114300" distR="114300" simplePos="0" relativeHeight="251594752" behindDoc="0" locked="0" layoutInCell="1" allowOverlap="1" wp14:anchorId="169E7456" wp14:editId="57E1C116">
                <wp:simplePos x="0" y="0"/>
                <wp:positionH relativeFrom="column">
                  <wp:posOffset>-690880</wp:posOffset>
                </wp:positionH>
                <wp:positionV relativeFrom="paragraph">
                  <wp:posOffset>5739129</wp:posOffset>
                </wp:positionV>
                <wp:extent cx="374015" cy="0"/>
                <wp:effectExtent l="0" t="0" r="6985" b="0"/>
                <wp:wrapNone/>
                <wp:docPr id="5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2BABF38C" id="AutoShape 169" o:spid="_x0000_s1026" type="#_x0000_t32" style="position:absolute;margin-left:-54.4pt;margin-top:451.9pt;width:29.45pt;height:0;z-index:25159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"/>
            </w:pict>
          </mc:Fallback>
        </mc:AlternateContent>
      </w:r>
      <w:r w:rsidRPr="00B62815">
        <w:rPr>
          <w:rFonts w:asciiTheme="minorHAnsi" w:eastAsia="Calibri" w:hAnsiTheme="minorHAnsi" w:cstheme="minorHAnsi"/>
          <w:noProof/>
          <w:sz w:val="22"/>
          <w:szCs w:val="22"/>
        </w:rPr>
        <mc:AlternateContent>
          <mc:Choice Requires="wps">
            <w:drawing>
              <wp:anchor distT="4294967294" distB="4294967294" distL="114300" distR="114300" simplePos="0" relativeHeight="251592704" behindDoc="0" locked="0" layoutInCell="1" allowOverlap="1" wp14:anchorId="0AB94B87" wp14:editId="0193280E">
                <wp:simplePos x="0" y="0"/>
                <wp:positionH relativeFrom="column">
                  <wp:posOffset>-685800</wp:posOffset>
                </wp:positionH>
                <wp:positionV relativeFrom="paragraph">
                  <wp:posOffset>7147559</wp:posOffset>
                </wp:positionV>
                <wp:extent cx="365760" cy="0"/>
                <wp:effectExtent l="0" t="0" r="15240" b="0"/>
                <wp:wrapNone/>
                <wp:docPr id="5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368DF83A" id="AutoShape 168" o:spid="_x0000_s1026" type="#_x0000_t32" style="position:absolute;margin-left:-54pt;margin-top:562.8pt;width:28.8pt;height:0;z-index:251592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"/>
            </w:pict>
          </mc:Fallback>
        </mc:AlternateContent>
      </w:r>
      <w:r w:rsidRPr="00B62815">
        <w:rPr>
          <w:rFonts w:asciiTheme="minorHAnsi" w:eastAsia="Calibri" w:hAnsiTheme="minorHAnsi" w:cstheme="minorHAnsi"/>
          <w:noProof/>
          <w:sz w:val="22"/>
          <w:szCs w:val="22"/>
        </w:rPr>
        <mc:AlternateContent>
          <mc:Choice Requires="wps">
            <w:drawing>
              <wp:anchor distT="0" distB="0" distL="114298" distR="114298" simplePos="0" relativeHeight="251590656" behindDoc="0" locked="0" layoutInCell="1" allowOverlap="1" wp14:anchorId="0574426F" wp14:editId="58254948">
                <wp:simplePos x="0" y="0"/>
                <wp:positionH relativeFrom="column">
                  <wp:posOffset>-2466976</wp:posOffset>
                </wp:positionH>
                <wp:positionV relativeFrom="paragraph">
                  <wp:posOffset>5375910</wp:posOffset>
                </wp:positionV>
                <wp:extent cx="3543300" cy="0"/>
                <wp:effectExtent l="1771650" t="0" r="0" b="1771650"/>
                <wp:wrapNone/>
                <wp:docPr id="5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4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196C4D9A" id="AutoShape 167" o:spid="_x0000_s1026" type="#_x0000_t32" style="position:absolute;margin-left:-194.25pt;margin-top:423.3pt;width:279pt;height:0;rotation:90;z-index:251590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"/>
            </w:pict>
          </mc:Fallback>
        </mc:AlternateContent>
      </w:r>
    </w:p>
    <w:p w14:paraId="4C0D0F41" w14:textId="77777777" w:rsidR="009716D6" w:rsidRPr="00B62815" w:rsidRDefault="009716D6" w:rsidP="009716D6">
      <w:pPr>
        <w:widowControl w:val="0"/>
        <w:autoSpaceDE w:val="0"/>
        <w:autoSpaceDN w:val="0"/>
        <w:spacing w:after="200" w:line="276" w:lineRule="auto"/>
        <w:outlineLvl w:val="1"/>
        <w:rPr>
          <w:rFonts w:asciiTheme="minorHAnsi" w:eastAsia="Calibri" w:hAnsiTheme="minorHAnsi" w:cstheme="minorHAnsi"/>
          <w:b/>
          <w:bCs/>
          <w:color w:val="000080"/>
          <w:sz w:val="22"/>
          <w:szCs w:val="22"/>
          <w:lang w:val="pt-BR"/>
        </w:rPr>
      </w:pPr>
    </w:p>
    <w:p w14:paraId="2C0F1BFD" w14:textId="77777777" w:rsidR="009716D6" w:rsidRPr="00B62815" w:rsidRDefault="009716D6" w:rsidP="009716D6">
      <w:pPr>
        <w:widowControl w:val="0"/>
        <w:autoSpaceDE w:val="0"/>
        <w:autoSpaceDN w:val="0"/>
        <w:spacing w:after="200" w:line="276" w:lineRule="auto"/>
        <w:outlineLvl w:val="1"/>
        <w:rPr>
          <w:rFonts w:asciiTheme="minorHAnsi" w:eastAsia="Calibri" w:hAnsiTheme="minorHAnsi" w:cstheme="minorHAnsi"/>
          <w:b/>
          <w:bCs/>
          <w:color w:val="000080"/>
          <w:sz w:val="22"/>
          <w:szCs w:val="22"/>
          <w:lang w:val="pt-BR"/>
        </w:rPr>
      </w:pPr>
    </w:p>
    <w:p w14:paraId="5AB18303" w14:textId="77777777" w:rsidR="009716D6" w:rsidRPr="00B62815" w:rsidRDefault="009716D6" w:rsidP="009716D6">
      <w:pPr>
        <w:widowControl w:val="0"/>
        <w:autoSpaceDE w:val="0"/>
        <w:autoSpaceDN w:val="0"/>
        <w:spacing w:after="200" w:line="276" w:lineRule="auto"/>
        <w:outlineLvl w:val="1"/>
        <w:rPr>
          <w:rFonts w:asciiTheme="minorHAnsi" w:eastAsia="Calibri" w:hAnsiTheme="minorHAnsi" w:cstheme="minorHAnsi"/>
          <w:b/>
          <w:bCs/>
          <w:color w:val="000080"/>
          <w:sz w:val="22"/>
          <w:szCs w:val="22"/>
          <w:lang w:val="pt-BR"/>
        </w:rPr>
      </w:pPr>
    </w:p>
    <w:p w14:paraId="66FBFC94" w14:textId="77777777" w:rsidR="009716D6" w:rsidRPr="00B62815" w:rsidRDefault="009716D6" w:rsidP="009716D6">
      <w:pPr>
        <w:widowControl w:val="0"/>
        <w:autoSpaceDE w:val="0"/>
        <w:autoSpaceDN w:val="0"/>
        <w:spacing w:after="200" w:line="276" w:lineRule="auto"/>
        <w:outlineLvl w:val="1"/>
        <w:rPr>
          <w:rFonts w:asciiTheme="minorHAnsi" w:eastAsia="Calibri" w:hAnsiTheme="minorHAnsi" w:cstheme="minorHAnsi"/>
          <w:b/>
          <w:bCs/>
          <w:color w:val="000080"/>
          <w:sz w:val="22"/>
          <w:szCs w:val="22"/>
          <w:lang w:val="pt-BR"/>
        </w:rPr>
      </w:pPr>
    </w:p>
    <w:p w14:paraId="6C15A895" w14:textId="77777777" w:rsidR="009716D6" w:rsidRPr="00B62815" w:rsidRDefault="009716D6" w:rsidP="009716D6">
      <w:pPr>
        <w:widowControl w:val="0"/>
        <w:autoSpaceDE w:val="0"/>
        <w:autoSpaceDN w:val="0"/>
        <w:spacing w:after="200" w:line="276" w:lineRule="auto"/>
        <w:outlineLvl w:val="1"/>
        <w:rPr>
          <w:rFonts w:asciiTheme="minorHAnsi" w:eastAsia="Calibri" w:hAnsiTheme="minorHAnsi" w:cstheme="minorHAnsi"/>
          <w:b/>
          <w:bCs/>
          <w:color w:val="000080"/>
          <w:sz w:val="22"/>
          <w:szCs w:val="22"/>
          <w:lang w:val="pt-BR"/>
        </w:rPr>
      </w:pPr>
    </w:p>
    <w:p w14:paraId="15F14EC6"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6567B21B"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5628AE24"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71AD9057"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2A873DB6"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21573C5F"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2AB3C667"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4DCF389B"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21BB6E53"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2E841BBA"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1D28838B"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364B1E39"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7AD3496B"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16B49079" w14:textId="77777777" w:rsidR="009716D6" w:rsidRPr="00B62815" w:rsidRDefault="009716D6" w:rsidP="009716D6">
      <w:pPr>
        <w:spacing w:after="200" w:line="276" w:lineRule="auto"/>
        <w:jc w:val="both"/>
        <w:rPr>
          <w:rFonts w:asciiTheme="minorHAnsi" w:eastAsia="Calibri" w:hAnsiTheme="minorHAnsi" w:cstheme="minorHAnsi"/>
          <w:sz w:val="22"/>
          <w:szCs w:val="22"/>
          <w:lang w:val="pt-BR" w:eastAsia="es-ES"/>
        </w:rPr>
      </w:pPr>
    </w:p>
    <w:p w14:paraId="28173C83" w14:textId="77777777" w:rsidR="000572A8" w:rsidRPr="00B62815" w:rsidRDefault="000572A8" w:rsidP="00335DD8">
      <w:pPr>
        <w:pStyle w:val="ListParagraph"/>
        <w:spacing w:after="200" w:line="276" w:lineRule="auto"/>
        <w:ind w:left="0"/>
        <w:contextualSpacing/>
        <w:rPr>
          <w:rFonts w:asciiTheme="minorHAnsi" w:hAnsiTheme="minorHAnsi" w:cstheme="minorHAnsi"/>
          <w:sz w:val="22"/>
          <w:szCs w:val="22"/>
          <w:lang w:val="pt-BR"/>
        </w:rPr>
      </w:pPr>
      <w:r w:rsidRPr="00B62815">
        <w:rPr>
          <w:rFonts w:asciiTheme="minorHAnsi" w:hAnsiTheme="minorHAnsi" w:cstheme="minorHAnsi"/>
          <w:sz w:val="22"/>
          <w:szCs w:val="22"/>
          <w:lang w:val="pt-BR"/>
        </w:rPr>
        <w:t>Est</w:t>
      </w:r>
    </w:p>
    <w:p w14:paraId="1E793D2B" w14:textId="77777777" w:rsidR="00D069EF" w:rsidRPr="00B62815" w:rsidRDefault="00783FE9" w:rsidP="000C1030">
      <w:pPr>
        <w:pStyle w:val="ListParagraph"/>
        <w:spacing w:after="200" w:line="276" w:lineRule="auto"/>
        <w:ind w:left="0"/>
        <w:contextualSpacing/>
        <w:rPr>
          <w:rFonts w:asciiTheme="minorHAnsi" w:hAnsiTheme="minorHAnsi" w:cstheme="minorHAnsi"/>
          <w:sz w:val="22"/>
          <w:szCs w:val="22"/>
          <w:lang w:val="pt-BR"/>
        </w:rPr>
        <w:sectPr w:rsidR="00D069EF" w:rsidRPr="00B62815" w:rsidSect="0043331D">
          <w:footerReference w:type="default" r:id="rId252"/>
          <w:footerReference w:type="first" r:id="rId253"/>
          <w:pgSz w:w="12240" w:h="15840" w:code="1"/>
          <w:pgMar w:top="1350" w:right="1296" w:bottom="1440" w:left="1541" w:header="720" w:footer="720" w:gutter="0"/>
          <w:pgNumType w:start="0"/>
          <w:cols w:space="720"/>
          <w:noEndnote/>
          <w:titlePg/>
          <w:docGrid w:linePitch="326"/>
        </w:sectPr>
      </w:pPr>
      <w:r w:rsidRPr="00B62815">
        <w:rPr>
          <w:rFonts w:asciiTheme="minorHAnsi" w:hAnsiTheme="minorHAnsi" w:cstheme="minorHAnsi"/>
          <w:sz w:val="22"/>
          <w:szCs w:val="22"/>
          <w:lang w:val="pt-BR"/>
        </w:rPr>
        <w:t xml:space="preserve"> </w:t>
      </w:r>
      <w:r w:rsidR="007103D2" w:rsidRPr="00B62815">
        <w:rPr>
          <w:rFonts w:asciiTheme="minorHAnsi" w:hAnsiTheme="minorHAnsi" w:cstheme="minorHAnsi"/>
          <w:sz w:val="22"/>
          <w:szCs w:val="22"/>
          <w:lang w:val="pt-BR"/>
        </w:rPr>
        <w:br w:type="page"/>
      </w:r>
    </w:p>
    <w:p w14:paraId="2C2C4A5A" w14:textId="77777777" w:rsidR="00335DD8" w:rsidRPr="00673757" w:rsidRDefault="008646CD" w:rsidP="00CE4125">
      <w:pPr>
        <w:pStyle w:val="ListParagraph"/>
        <w:spacing w:after="200" w:line="276" w:lineRule="auto"/>
        <w:ind w:left="0"/>
        <w:contextualSpacing/>
        <w:outlineLvl w:val="1"/>
        <w:rPr>
          <w:rFonts w:asciiTheme="minorHAnsi" w:eastAsia="Times New Roman" w:hAnsiTheme="minorHAnsi" w:cstheme="minorHAnsi"/>
          <w:b/>
          <w:color w:val="1F497D"/>
          <w:sz w:val="22"/>
          <w:szCs w:val="22"/>
          <w:lang w:val="pt-BR"/>
        </w:rPr>
      </w:pPr>
      <w:r w:rsidRPr="00B62815">
        <w:rPr>
          <w:rFonts w:asciiTheme="minorHAnsi" w:hAnsiTheme="minorHAnsi" w:cstheme="minorHAnsi"/>
          <w:sz w:val="22"/>
          <w:szCs w:val="22"/>
          <w:lang w:val="pt-BR"/>
        </w:rPr>
        <w:t xml:space="preserve"> </w:t>
      </w:r>
      <w:bookmarkStart w:id="150" w:name="_Toc39675881"/>
      <w:bookmarkStart w:id="151" w:name="_Toc40191104"/>
      <w:r w:rsidR="00335DD8" w:rsidRPr="00673757">
        <w:rPr>
          <w:rFonts w:asciiTheme="minorHAnsi" w:eastAsia="Times New Roman" w:hAnsiTheme="minorHAnsi" w:cstheme="minorHAnsi"/>
          <w:b/>
          <w:color w:val="1F497D"/>
          <w:sz w:val="22"/>
          <w:szCs w:val="22"/>
          <w:lang w:val="pt-BR"/>
        </w:rPr>
        <w:t>ANEXO B: ESTADOS FINANCIEROS</w:t>
      </w:r>
      <w:bookmarkEnd w:id="150"/>
      <w:bookmarkEnd w:id="151"/>
    </w:p>
    <w:p w14:paraId="3A2D2D39" w14:textId="77777777" w:rsidR="002468B1" w:rsidRPr="00673757" w:rsidRDefault="002468B1" w:rsidP="008646CD">
      <w:pPr>
        <w:pStyle w:val="ListParagraph"/>
        <w:spacing w:after="200"/>
        <w:ind w:left="0"/>
        <w:contextualSpacing/>
        <w:jc w:val="both"/>
        <w:rPr>
          <w:rFonts w:asciiTheme="minorHAnsi" w:hAnsiTheme="minorHAnsi" w:cstheme="minorHAnsi"/>
          <w:sz w:val="22"/>
          <w:szCs w:val="22"/>
          <w:lang w:val="pt-BR"/>
        </w:rPr>
      </w:pPr>
    </w:p>
    <w:p w14:paraId="722CA4F8" w14:textId="77777777" w:rsidR="000C1030" w:rsidRPr="00B62815" w:rsidRDefault="000C1030" w:rsidP="000C1030">
      <w:pPr>
        <w:jc w:val="right"/>
        <w:rPr>
          <w:rFonts w:asciiTheme="minorHAnsi" w:eastAsia="Times New Roman" w:hAnsiTheme="minorHAnsi" w:cstheme="minorHAnsi"/>
          <w:b/>
          <w:bCs/>
          <w:color w:val="1F497D"/>
          <w:sz w:val="22"/>
          <w:szCs w:val="22"/>
          <w:lang w:val="es-ES"/>
        </w:rPr>
      </w:pPr>
      <w:r w:rsidRPr="00B62815">
        <w:rPr>
          <w:rFonts w:asciiTheme="minorHAnsi" w:eastAsia="Times New Roman" w:hAnsiTheme="minorHAnsi" w:cstheme="minorHAnsi"/>
          <w:b/>
          <w:bCs/>
          <w:color w:val="1F497D"/>
          <w:sz w:val="22"/>
          <w:szCs w:val="22"/>
          <w:lang w:val="es-ES"/>
        </w:rPr>
        <w:t>CUADRO 1</w:t>
      </w:r>
    </w:p>
    <w:p w14:paraId="35C19FF3" w14:textId="77777777" w:rsidR="000C1030" w:rsidRPr="00B62815" w:rsidRDefault="000C1030" w:rsidP="000C1030">
      <w:pPr>
        <w:jc w:val="center"/>
        <w:rPr>
          <w:rFonts w:asciiTheme="minorHAnsi" w:eastAsia="Times New Roman" w:hAnsiTheme="minorHAnsi" w:cstheme="minorHAnsi"/>
          <w:b/>
          <w:bCs/>
          <w:color w:val="1F497D"/>
          <w:sz w:val="22"/>
          <w:szCs w:val="22"/>
          <w:lang w:val="es-ES"/>
        </w:rPr>
      </w:pPr>
    </w:p>
    <w:p w14:paraId="60220FCE" w14:textId="77777777" w:rsidR="000C1030" w:rsidRPr="00B62815" w:rsidRDefault="000C1030" w:rsidP="000C1030">
      <w:pPr>
        <w:jc w:val="center"/>
        <w:rPr>
          <w:rFonts w:asciiTheme="minorHAnsi" w:eastAsia="Times New Roman" w:hAnsiTheme="minorHAnsi" w:cstheme="minorHAnsi"/>
          <w:b/>
          <w:bCs/>
          <w:color w:val="1F497D"/>
          <w:sz w:val="22"/>
          <w:szCs w:val="22"/>
          <w:lang w:val="es-ES"/>
        </w:rPr>
      </w:pPr>
      <w:r w:rsidRPr="00B62815">
        <w:rPr>
          <w:rFonts w:asciiTheme="minorHAnsi" w:eastAsia="Times New Roman" w:hAnsiTheme="minorHAnsi" w:cstheme="minorHAnsi"/>
          <w:b/>
          <w:bCs/>
          <w:color w:val="1F497D"/>
          <w:sz w:val="22"/>
          <w:szCs w:val="22"/>
          <w:lang w:val="es-ES"/>
        </w:rPr>
        <w:t>ESTADOS FINANCIEROS COMBINADOS DE LA ORGANIZACIÓN DE LOS ESTADOS AMERICANOS</w:t>
      </w:r>
    </w:p>
    <w:p w14:paraId="15C54C92" w14:textId="77777777" w:rsidR="000C1030" w:rsidRPr="00B62815" w:rsidRDefault="000C1030" w:rsidP="000C1030">
      <w:pPr>
        <w:jc w:val="center"/>
        <w:rPr>
          <w:rFonts w:asciiTheme="minorHAnsi" w:eastAsia="Times New Roman" w:hAnsiTheme="minorHAnsi" w:cstheme="minorHAnsi"/>
          <w:b/>
          <w:bCs/>
          <w:sz w:val="22"/>
          <w:szCs w:val="22"/>
          <w:lang w:val="es-ES"/>
        </w:rPr>
      </w:pPr>
    </w:p>
    <w:p w14:paraId="4D1744BF" w14:textId="77777777" w:rsidR="000C1030" w:rsidRPr="00B62815" w:rsidRDefault="000C1030" w:rsidP="000C1030">
      <w:pPr>
        <w:rPr>
          <w:rFonts w:asciiTheme="minorHAnsi" w:eastAsia="Times New Roman" w:hAnsiTheme="minorHAnsi" w:cstheme="minorHAnsi"/>
          <w:sz w:val="22"/>
          <w:szCs w:val="22"/>
          <w:lang w:val="es-AR"/>
        </w:rPr>
      </w:pPr>
    </w:p>
    <w:p w14:paraId="10B526B6" w14:textId="77777777" w:rsidR="00D069EF" w:rsidRPr="00B62815" w:rsidRDefault="001C2CF3" w:rsidP="00D069EF">
      <w:pPr>
        <w:jc w:val="right"/>
        <w:rPr>
          <w:rFonts w:asciiTheme="minorHAnsi" w:eastAsia="Times New Roman" w:hAnsiTheme="minorHAnsi" w:cstheme="minorHAnsi"/>
          <w:b/>
          <w:bCs/>
          <w:color w:val="1F497D"/>
          <w:sz w:val="22"/>
          <w:szCs w:val="22"/>
          <w:lang w:val="es-ES"/>
        </w:rPr>
      </w:pPr>
      <w:r w:rsidRPr="00B62815">
        <w:rPr>
          <w:rFonts w:asciiTheme="minorHAnsi" w:eastAsia="Times New Roman" w:hAnsiTheme="minorHAnsi" w:cstheme="minorHAnsi"/>
          <w:noProof/>
          <w:sz w:val="22"/>
          <w:szCs w:val="22"/>
        </w:rPr>
        <w:drawing>
          <wp:inline distT="0" distB="0" distL="0" distR="0" wp14:anchorId="297933E5" wp14:editId="29C89F86">
            <wp:extent cx="8242300" cy="4192270"/>
            <wp:effectExtent l="0" t="0" r="0" b="0"/>
            <wp:docPr id="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4" cstate="screen">
                      <a:extLst>
                        <a:ext uri="{28A0092B-C50C-407E-A947-70E740481C1C}">
                          <a14:useLocalDpi xmlns:a14="http://schemas.microsoft.com/office/drawing/2010/main"/>
                        </a:ext>
                      </a:extLst>
                    </a:blip>
                    <a:srcRect/>
                    <a:stretch>
                      <a:fillRect/>
                    </a:stretch>
                  </pic:blipFill>
                  <pic:spPr bwMode="auto">
                    <a:xfrm>
                      <a:off x="0" y="0"/>
                      <a:ext cx="8242300" cy="4192270"/>
                    </a:xfrm>
                    <a:prstGeom prst="rect">
                      <a:avLst/>
                    </a:prstGeom>
                    <a:noFill/>
                    <a:ln>
                      <a:noFill/>
                    </a:ln>
                  </pic:spPr>
                </pic:pic>
              </a:graphicData>
            </a:graphic>
          </wp:inline>
        </w:drawing>
      </w:r>
      <w:r w:rsidR="007103D2" w:rsidRPr="00B62815">
        <w:rPr>
          <w:rFonts w:asciiTheme="minorHAnsi" w:eastAsia="Times New Roman" w:hAnsiTheme="minorHAnsi" w:cstheme="minorHAnsi"/>
          <w:b/>
          <w:bCs/>
          <w:sz w:val="22"/>
          <w:szCs w:val="22"/>
          <w:lang w:val="es-ES"/>
        </w:rPr>
        <w:br w:type="page"/>
      </w:r>
      <w:r w:rsidR="00D069EF" w:rsidRPr="00B62815">
        <w:rPr>
          <w:rFonts w:asciiTheme="minorHAnsi" w:eastAsia="Times New Roman" w:hAnsiTheme="minorHAnsi" w:cstheme="minorHAnsi"/>
          <w:b/>
          <w:bCs/>
          <w:color w:val="1F497D"/>
          <w:sz w:val="22"/>
          <w:szCs w:val="22"/>
          <w:lang w:val="es-ES"/>
        </w:rPr>
        <w:t>CUADRO 2</w:t>
      </w:r>
    </w:p>
    <w:p w14:paraId="109AC6FF" w14:textId="77777777" w:rsidR="00D069EF" w:rsidRPr="00B62815" w:rsidRDefault="00D069EF" w:rsidP="00D069EF">
      <w:pPr>
        <w:jc w:val="center"/>
        <w:rPr>
          <w:rFonts w:asciiTheme="minorHAnsi" w:eastAsia="Times New Roman" w:hAnsiTheme="minorHAnsi" w:cstheme="minorHAnsi"/>
          <w:b/>
          <w:bCs/>
          <w:color w:val="1F497D"/>
          <w:sz w:val="22"/>
          <w:szCs w:val="22"/>
          <w:lang w:val="es-ES"/>
        </w:rPr>
      </w:pPr>
    </w:p>
    <w:p w14:paraId="1CD0E4ED" w14:textId="77777777" w:rsidR="00D069EF" w:rsidRPr="005610DA" w:rsidRDefault="00D069EF" w:rsidP="005610DA">
      <w:pPr>
        <w:jc w:val="center"/>
        <w:rPr>
          <w:rFonts w:asciiTheme="minorHAnsi" w:eastAsia="Times New Roman" w:hAnsiTheme="minorHAnsi" w:cstheme="minorHAnsi"/>
          <w:b/>
          <w:bCs/>
          <w:color w:val="1F497D"/>
          <w:sz w:val="22"/>
          <w:szCs w:val="22"/>
          <w:lang w:val="es-ES"/>
        </w:rPr>
      </w:pPr>
      <w:bookmarkStart w:id="152" w:name="_Toc9002776"/>
      <w:bookmarkStart w:id="153" w:name="_Toc9258293"/>
      <w:r w:rsidRPr="005610DA">
        <w:rPr>
          <w:rFonts w:asciiTheme="minorHAnsi" w:eastAsia="Times New Roman" w:hAnsiTheme="minorHAnsi" w:cstheme="minorHAnsi"/>
          <w:b/>
          <w:bCs/>
          <w:color w:val="1F497D"/>
          <w:sz w:val="22"/>
          <w:szCs w:val="22"/>
          <w:lang w:val="es-ES"/>
        </w:rPr>
        <w:t>ESTADOS FINANCIEROS COMBINADOS DE LA ORGANIZACIÓN DE LOS ESTADOS AMERICANOS</w:t>
      </w:r>
      <w:bookmarkEnd w:id="152"/>
      <w:bookmarkEnd w:id="153"/>
    </w:p>
    <w:p w14:paraId="14EB2C18" w14:textId="77777777" w:rsidR="00D069EF" w:rsidRPr="00B62815" w:rsidRDefault="00D069EF" w:rsidP="00D069EF">
      <w:pPr>
        <w:rPr>
          <w:rFonts w:asciiTheme="minorHAnsi" w:eastAsia="Times New Roman" w:hAnsiTheme="minorHAnsi" w:cstheme="minorHAnsi"/>
          <w:sz w:val="22"/>
          <w:szCs w:val="22"/>
          <w:lang w:val="es-AR"/>
        </w:rPr>
      </w:pPr>
    </w:p>
    <w:p w14:paraId="1D075FF3" w14:textId="77777777" w:rsidR="00D069EF" w:rsidRPr="00B62815" w:rsidRDefault="001C2CF3" w:rsidP="00D069EF">
      <w:pPr>
        <w:rPr>
          <w:rFonts w:asciiTheme="minorHAnsi" w:hAnsiTheme="minorHAnsi" w:cstheme="minorHAnsi"/>
          <w:b/>
          <w:bCs/>
          <w:sz w:val="22"/>
          <w:szCs w:val="22"/>
        </w:rPr>
        <w:sectPr w:rsidR="00D069EF" w:rsidRPr="00B62815" w:rsidSect="002238DC">
          <w:pgSz w:w="15840" w:h="12240" w:orient="landscape" w:code="1"/>
          <w:pgMar w:top="1541" w:right="1440" w:bottom="1296" w:left="1440" w:header="720" w:footer="720" w:gutter="0"/>
          <w:cols w:space="720"/>
          <w:noEndnote/>
          <w:docGrid w:linePitch="233"/>
        </w:sectPr>
      </w:pPr>
      <w:r w:rsidRPr="00B62815">
        <w:rPr>
          <w:rFonts w:asciiTheme="minorHAnsi" w:eastAsia="Times New Roman" w:hAnsiTheme="minorHAnsi" w:cstheme="minorHAnsi"/>
          <w:noProof/>
          <w:sz w:val="22"/>
          <w:szCs w:val="22"/>
        </w:rPr>
        <w:drawing>
          <wp:inline distT="0" distB="0" distL="0" distR="0" wp14:anchorId="109CAE86" wp14:editId="65E01229">
            <wp:extent cx="8223250" cy="4373245"/>
            <wp:effectExtent l="0" t="0" r="0" b="0"/>
            <wp:docPr id="4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5" cstate="screen">
                      <a:extLst>
                        <a:ext uri="{28A0092B-C50C-407E-A947-70E740481C1C}">
                          <a14:useLocalDpi xmlns:a14="http://schemas.microsoft.com/office/drawing/2010/main"/>
                        </a:ext>
                      </a:extLst>
                    </a:blip>
                    <a:srcRect/>
                    <a:stretch>
                      <a:fillRect/>
                    </a:stretch>
                  </pic:blipFill>
                  <pic:spPr bwMode="auto">
                    <a:xfrm>
                      <a:off x="0" y="0"/>
                      <a:ext cx="8223250" cy="4373245"/>
                    </a:xfrm>
                    <a:prstGeom prst="rect">
                      <a:avLst/>
                    </a:prstGeom>
                    <a:noFill/>
                    <a:ln>
                      <a:noFill/>
                    </a:ln>
                  </pic:spPr>
                </pic:pic>
              </a:graphicData>
            </a:graphic>
          </wp:inline>
        </w:drawing>
      </w:r>
    </w:p>
    <w:p w14:paraId="3EF8AED7" w14:textId="77777777" w:rsidR="00D069EF" w:rsidRPr="00B62815" w:rsidRDefault="00D069EF" w:rsidP="00D069EF">
      <w:pPr>
        <w:jc w:val="right"/>
        <w:rPr>
          <w:rFonts w:asciiTheme="minorHAnsi" w:eastAsia="Times New Roman" w:hAnsiTheme="minorHAnsi" w:cstheme="minorHAnsi"/>
          <w:b/>
          <w:bCs/>
          <w:color w:val="1F497D"/>
          <w:sz w:val="22"/>
          <w:szCs w:val="22"/>
          <w:lang w:val="es-ES"/>
        </w:rPr>
      </w:pPr>
      <w:r w:rsidRPr="00B62815">
        <w:rPr>
          <w:rFonts w:asciiTheme="minorHAnsi" w:eastAsia="Times New Roman" w:hAnsiTheme="minorHAnsi" w:cstheme="minorHAnsi"/>
          <w:b/>
          <w:bCs/>
          <w:color w:val="1F497D"/>
          <w:sz w:val="22"/>
          <w:szCs w:val="22"/>
          <w:lang w:val="es-ES"/>
        </w:rPr>
        <w:t>CUADRO 3</w:t>
      </w:r>
    </w:p>
    <w:p w14:paraId="65584578" w14:textId="77777777" w:rsidR="003D3A6A" w:rsidRPr="00B62815" w:rsidRDefault="003D3A6A" w:rsidP="00D069EF">
      <w:pPr>
        <w:jc w:val="right"/>
        <w:rPr>
          <w:rFonts w:asciiTheme="minorHAnsi" w:eastAsia="Times New Roman" w:hAnsiTheme="minorHAnsi" w:cstheme="minorHAnsi"/>
          <w:b/>
          <w:bCs/>
          <w:color w:val="1F497D"/>
          <w:sz w:val="22"/>
          <w:szCs w:val="22"/>
          <w:lang w:val="es-ES"/>
        </w:rPr>
      </w:pPr>
    </w:p>
    <w:p w14:paraId="066E04DC" w14:textId="77777777" w:rsidR="003D3A6A" w:rsidRPr="00B62815" w:rsidRDefault="003D3A6A" w:rsidP="00D069EF">
      <w:pPr>
        <w:jc w:val="right"/>
        <w:rPr>
          <w:rFonts w:asciiTheme="minorHAnsi" w:eastAsia="Times New Roman" w:hAnsiTheme="minorHAnsi" w:cstheme="minorHAnsi"/>
          <w:b/>
          <w:bCs/>
          <w:color w:val="1F497D"/>
          <w:sz w:val="22"/>
          <w:szCs w:val="22"/>
          <w:lang w:val="es-ES"/>
        </w:rPr>
      </w:pPr>
    </w:p>
    <w:p w14:paraId="45BD0D7D" w14:textId="77777777" w:rsidR="003D3A6A" w:rsidRPr="00B62815" w:rsidRDefault="003D3A6A" w:rsidP="003D3A6A">
      <w:pPr>
        <w:jc w:val="center"/>
        <w:rPr>
          <w:rFonts w:asciiTheme="minorHAnsi" w:eastAsia="Times New Roman" w:hAnsiTheme="minorHAnsi" w:cstheme="minorHAnsi"/>
          <w:b/>
          <w:bCs/>
          <w:sz w:val="22"/>
          <w:szCs w:val="22"/>
          <w:lang w:val="es-ES"/>
        </w:rPr>
      </w:pPr>
      <w:r w:rsidRPr="00B62815">
        <w:rPr>
          <w:rFonts w:asciiTheme="minorHAnsi" w:eastAsia="Times New Roman" w:hAnsiTheme="minorHAnsi" w:cstheme="minorHAnsi"/>
          <w:b/>
          <w:bCs/>
          <w:sz w:val="22"/>
          <w:szCs w:val="22"/>
          <w:lang w:val="es-ES"/>
        </w:rPr>
        <w:t>DETALLE DE GASTOS Y OBLIGACIONES DEL FONDO REGULAR POR CAPÍTULO</w:t>
      </w:r>
    </w:p>
    <w:p w14:paraId="00BB5CA4" w14:textId="77777777" w:rsidR="003D3A6A" w:rsidRPr="00B62815" w:rsidRDefault="003D3A6A" w:rsidP="003D3A6A">
      <w:pPr>
        <w:jc w:val="center"/>
        <w:rPr>
          <w:rFonts w:asciiTheme="minorHAnsi" w:eastAsia="Times New Roman" w:hAnsiTheme="minorHAnsi" w:cstheme="minorHAnsi"/>
          <w:b/>
          <w:bCs/>
          <w:sz w:val="22"/>
          <w:szCs w:val="22"/>
          <w:lang w:val="es-ES"/>
        </w:rPr>
      </w:pPr>
      <w:r w:rsidRPr="00B62815">
        <w:rPr>
          <w:rFonts w:asciiTheme="minorHAnsi" w:eastAsia="Times New Roman" w:hAnsiTheme="minorHAnsi" w:cstheme="minorHAnsi"/>
          <w:b/>
          <w:bCs/>
          <w:sz w:val="22"/>
          <w:szCs w:val="22"/>
          <w:lang w:val="es-ES"/>
        </w:rPr>
        <w:t>Para el año terminado el 31 de diciembre</w:t>
      </w:r>
    </w:p>
    <w:p w14:paraId="2EDDA618" w14:textId="77777777" w:rsidR="003D3A6A" w:rsidRPr="00B62815" w:rsidRDefault="003D3A6A" w:rsidP="003D3A6A">
      <w:pPr>
        <w:jc w:val="center"/>
        <w:rPr>
          <w:rFonts w:asciiTheme="minorHAnsi" w:eastAsia="Times New Roman" w:hAnsiTheme="minorHAnsi" w:cstheme="minorHAnsi"/>
          <w:b/>
          <w:bCs/>
          <w:sz w:val="22"/>
          <w:szCs w:val="22"/>
          <w:lang w:val="es-ES"/>
        </w:rPr>
      </w:pPr>
      <w:r w:rsidRPr="00B62815">
        <w:rPr>
          <w:rFonts w:asciiTheme="minorHAnsi" w:eastAsia="Times New Roman" w:hAnsiTheme="minorHAnsi" w:cstheme="minorHAnsi"/>
          <w:b/>
          <w:bCs/>
          <w:sz w:val="22"/>
          <w:szCs w:val="22"/>
          <w:lang w:val="es-ES"/>
        </w:rPr>
        <w:t>(en miles de USD)</w:t>
      </w:r>
    </w:p>
    <w:p w14:paraId="0839A823" w14:textId="77777777" w:rsidR="003D3A6A" w:rsidRPr="00B62815" w:rsidRDefault="003D3A6A" w:rsidP="003D3A6A">
      <w:pPr>
        <w:jc w:val="center"/>
        <w:rPr>
          <w:rFonts w:asciiTheme="minorHAnsi" w:eastAsia="Times New Roman" w:hAnsiTheme="minorHAnsi" w:cstheme="minorHAnsi"/>
          <w:sz w:val="22"/>
          <w:szCs w:val="22"/>
          <w:lang w:val="es-ES"/>
        </w:rPr>
      </w:pPr>
    </w:p>
    <w:p w14:paraId="26F3F549" w14:textId="77777777" w:rsidR="003D3A6A" w:rsidRPr="00B62815" w:rsidRDefault="003D3A6A" w:rsidP="00D069EF">
      <w:pPr>
        <w:jc w:val="right"/>
        <w:rPr>
          <w:rFonts w:asciiTheme="minorHAnsi" w:eastAsia="Times New Roman" w:hAnsiTheme="minorHAnsi" w:cstheme="minorHAnsi"/>
          <w:b/>
          <w:bCs/>
          <w:color w:val="1F497D"/>
          <w:sz w:val="22"/>
          <w:szCs w:val="22"/>
          <w:lang w:val="es-ES"/>
        </w:rPr>
      </w:pPr>
    </w:p>
    <w:p w14:paraId="7815B3F1" w14:textId="77777777" w:rsidR="003D3A6A" w:rsidRPr="00B62815" w:rsidRDefault="003D3A6A" w:rsidP="00D069EF">
      <w:pPr>
        <w:jc w:val="right"/>
        <w:rPr>
          <w:rFonts w:asciiTheme="minorHAnsi" w:eastAsia="Times New Roman" w:hAnsiTheme="minorHAnsi" w:cstheme="minorHAnsi"/>
          <w:b/>
          <w:bCs/>
          <w:color w:val="1F497D"/>
          <w:sz w:val="22"/>
          <w:szCs w:val="22"/>
          <w:lang w:val="es-ES"/>
        </w:rPr>
      </w:pPr>
    </w:p>
    <w:p w14:paraId="73A51281" w14:textId="77777777" w:rsidR="00626A1E" w:rsidRPr="00B62815" w:rsidRDefault="00626A1E" w:rsidP="00D069EF">
      <w:pPr>
        <w:jc w:val="right"/>
        <w:rPr>
          <w:rFonts w:asciiTheme="minorHAnsi" w:eastAsia="Times New Roman" w:hAnsiTheme="minorHAnsi" w:cstheme="minorHAnsi"/>
          <w:noProof/>
          <w:sz w:val="22"/>
          <w:szCs w:val="22"/>
        </w:rPr>
      </w:pPr>
    </w:p>
    <w:p w14:paraId="1EC3E151" w14:textId="77777777" w:rsidR="00D069EF" w:rsidRPr="00B62815" w:rsidRDefault="001C2CF3" w:rsidP="00D069EF">
      <w:pPr>
        <w:jc w:val="right"/>
        <w:rPr>
          <w:rFonts w:asciiTheme="minorHAnsi" w:eastAsia="Times New Roman" w:hAnsiTheme="minorHAnsi" w:cstheme="minorHAnsi"/>
          <w:b/>
          <w:bCs/>
          <w:color w:val="1F497D"/>
          <w:sz w:val="22"/>
          <w:szCs w:val="22"/>
          <w:lang w:val="es-ES"/>
        </w:rPr>
      </w:pPr>
      <w:r w:rsidRPr="00B62815">
        <w:rPr>
          <w:rFonts w:asciiTheme="minorHAnsi" w:eastAsia="Times New Roman" w:hAnsiTheme="minorHAnsi" w:cstheme="minorHAnsi"/>
          <w:noProof/>
          <w:sz w:val="22"/>
          <w:szCs w:val="22"/>
        </w:rPr>
        <w:drawing>
          <wp:inline distT="0" distB="0" distL="0" distR="0" wp14:anchorId="602593AC" wp14:editId="1C9F1317">
            <wp:extent cx="5965190" cy="2531745"/>
            <wp:effectExtent l="0" t="0" r="0" b="0"/>
            <wp:docPr id="4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6">
                      <a:extLst>
                        <a:ext uri="{28A0092B-C50C-407E-A947-70E740481C1C}">
                          <a14:useLocalDpi xmlns:a14="http://schemas.microsoft.com/office/drawing/2010/main"/>
                        </a:ext>
                      </a:extLst>
                    </a:blip>
                    <a:srcRect/>
                    <a:stretch>
                      <a:fillRect/>
                    </a:stretch>
                  </pic:blipFill>
                  <pic:spPr bwMode="auto">
                    <a:xfrm>
                      <a:off x="0" y="0"/>
                      <a:ext cx="5965190" cy="2531745"/>
                    </a:xfrm>
                    <a:prstGeom prst="rect">
                      <a:avLst/>
                    </a:prstGeom>
                    <a:noFill/>
                    <a:ln>
                      <a:noFill/>
                    </a:ln>
                  </pic:spPr>
                </pic:pic>
              </a:graphicData>
            </a:graphic>
          </wp:inline>
        </w:drawing>
      </w:r>
    </w:p>
    <w:p w14:paraId="5BA79D0B" w14:textId="77777777" w:rsidR="00626A1E" w:rsidRPr="00B62815" w:rsidRDefault="00626A1E" w:rsidP="007103D2">
      <w:pPr>
        <w:keepNext/>
        <w:jc w:val="right"/>
        <w:outlineLvl w:val="3"/>
        <w:rPr>
          <w:rFonts w:asciiTheme="minorHAnsi" w:eastAsia="Times New Roman" w:hAnsiTheme="minorHAnsi" w:cstheme="minorHAnsi"/>
          <w:b/>
          <w:bCs/>
          <w:color w:val="1F497D"/>
          <w:sz w:val="22"/>
          <w:szCs w:val="22"/>
          <w:lang w:val="es-ES"/>
        </w:rPr>
      </w:pPr>
      <w:bookmarkStart w:id="154" w:name="_Toc168217197"/>
    </w:p>
    <w:p w14:paraId="484086D0" w14:textId="77777777" w:rsidR="00603436" w:rsidRPr="00B62815" w:rsidRDefault="00603436" w:rsidP="007103D2">
      <w:pPr>
        <w:keepNext/>
        <w:jc w:val="right"/>
        <w:outlineLvl w:val="3"/>
        <w:rPr>
          <w:rFonts w:asciiTheme="minorHAnsi" w:eastAsia="Times New Roman" w:hAnsiTheme="minorHAnsi" w:cstheme="minorHAnsi"/>
          <w:b/>
          <w:bCs/>
          <w:color w:val="1F497D"/>
          <w:sz w:val="22"/>
          <w:szCs w:val="22"/>
          <w:lang w:val="es-ES"/>
        </w:rPr>
      </w:pPr>
    </w:p>
    <w:p w14:paraId="6E80AEE7" w14:textId="77777777" w:rsidR="00603436" w:rsidRPr="00B62815" w:rsidRDefault="00603436" w:rsidP="00603436">
      <w:pPr>
        <w:rPr>
          <w:rFonts w:asciiTheme="minorHAnsi" w:eastAsia="Times New Roman" w:hAnsiTheme="minorHAnsi" w:cstheme="minorHAnsi"/>
          <w:sz w:val="22"/>
          <w:szCs w:val="22"/>
          <w:lang w:val="es-ES"/>
        </w:rPr>
      </w:pPr>
    </w:p>
    <w:p w14:paraId="59C2CFD9" w14:textId="77777777" w:rsidR="00603436" w:rsidRPr="00B62815" w:rsidRDefault="00603436" w:rsidP="00603436">
      <w:pPr>
        <w:rPr>
          <w:rFonts w:asciiTheme="minorHAnsi" w:eastAsia="Times New Roman" w:hAnsiTheme="minorHAnsi" w:cstheme="minorHAnsi"/>
          <w:sz w:val="22"/>
          <w:szCs w:val="22"/>
          <w:lang w:val="es-ES"/>
        </w:rPr>
      </w:pPr>
    </w:p>
    <w:p w14:paraId="21ACA275" w14:textId="77777777" w:rsidR="00603436" w:rsidRPr="00B62815" w:rsidRDefault="00603436" w:rsidP="00603436">
      <w:pPr>
        <w:rPr>
          <w:rFonts w:asciiTheme="minorHAnsi" w:eastAsia="Times New Roman" w:hAnsiTheme="minorHAnsi" w:cstheme="minorHAnsi"/>
          <w:sz w:val="22"/>
          <w:szCs w:val="22"/>
          <w:lang w:val="es-ES"/>
        </w:rPr>
      </w:pPr>
    </w:p>
    <w:p w14:paraId="76E1282F" w14:textId="77777777" w:rsidR="00603436" w:rsidRPr="00B62815" w:rsidRDefault="00603436" w:rsidP="00603436">
      <w:pPr>
        <w:rPr>
          <w:rFonts w:asciiTheme="minorHAnsi" w:eastAsia="Times New Roman" w:hAnsiTheme="minorHAnsi" w:cstheme="minorHAnsi"/>
          <w:sz w:val="22"/>
          <w:szCs w:val="22"/>
          <w:lang w:val="es-ES"/>
        </w:rPr>
      </w:pPr>
    </w:p>
    <w:p w14:paraId="36CF906E" w14:textId="77777777" w:rsidR="00603436" w:rsidRPr="00B62815" w:rsidRDefault="00603436" w:rsidP="00603436">
      <w:pPr>
        <w:rPr>
          <w:rFonts w:asciiTheme="minorHAnsi" w:eastAsia="Times New Roman" w:hAnsiTheme="minorHAnsi" w:cstheme="minorHAnsi"/>
          <w:sz w:val="22"/>
          <w:szCs w:val="22"/>
          <w:lang w:val="es-ES"/>
        </w:rPr>
      </w:pPr>
    </w:p>
    <w:p w14:paraId="53E4A174" w14:textId="77777777" w:rsidR="00603436" w:rsidRPr="00B62815" w:rsidRDefault="00603436" w:rsidP="00603436">
      <w:pPr>
        <w:rPr>
          <w:rFonts w:asciiTheme="minorHAnsi" w:eastAsia="Times New Roman" w:hAnsiTheme="minorHAnsi" w:cstheme="minorHAnsi"/>
          <w:sz w:val="22"/>
          <w:szCs w:val="22"/>
          <w:lang w:val="es-ES"/>
        </w:rPr>
      </w:pPr>
    </w:p>
    <w:p w14:paraId="0512C2A6" w14:textId="77777777" w:rsidR="00603436" w:rsidRPr="00B62815" w:rsidRDefault="00603436" w:rsidP="00603436">
      <w:pPr>
        <w:rPr>
          <w:rFonts w:asciiTheme="minorHAnsi" w:eastAsia="Times New Roman" w:hAnsiTheme="minorHAnsi" w:cstheme="minorHAnsi"/>
          <w:sz w:val="22"/>
          <w:szCs w:val="22"/>
          <w:lang w:val="es-ES"/>
        </w:rPr>
      </w:pPr>
    </w:p>
    <w:p w14:paraId="3BC2162C" w14:textId="77777777" w:rsidR="00603436" w:rsidRPr="00B62815" w:rsidRDefault="00603436" w:rsidP="00603436">
      <w:pPr>
        <w:rPr>
          <w:rFonts w:asciiTheme="minorHAnsi" w:eastAsia="Times New Roman" w:hAnsiTheme="minorHAnsi" w:cstheme="minorHAnsi"/>
          <w:sz w:val="22"/>
          <w:szCs w:val="22"/>
          <w:lang w:val="es-ES"/>
        </w:rPr>
      </w:pPr>
    </w:p>
    <w:p w14:paraId="1FD974D9" w14:textId="77777777" w:rsidR="00603436" w:rsidRPr="00B62815" w:rsidRDefault="00603436" w:rsidP="00603436">
      <w:pPr>
        <w:rPr>
          <w:rFonts w:asciiTheme="minorHAnsi" w:eastAsia="Times New Roman" w:hAnsiTheme="minorHAnsi" w:cstheme="minorHAnsi"/>
          <w:sz w:val="22"/>
          <w:szCs w:val="22"/>
          <w:lang w:val="es-ES"/>
        </w:rPr>
      </w:pPr>
    </w:p>
    <w:p w14:paraId="74645AA8" w14:textId="77777777" w:rsidR="00603436" w:rsidRPr="00B62815" w:rsidRDefault="00603436" w:rsidP="00603436">
      <w:pPr>
        <w:rPr>
          <w:rFonts w:asciiTheme="minorHAnsi" w:eastAsia="Times New Roman" w:hAnsiTheme="minorHAnsi" w:cstheme="minorHAnsi"/>
          <w:sz w:val="22"/>
          <w:szCs w:val="22"/>
          <w:lang w:val="es-ES"/>
        </w:rPr>
      </w:pPr>
    </w:p>
    <w:p w14:paraId="48F6D737" w14:textId="77777777" w:rsidR="00603436" w:rsidRPr="00B62815" w:rsidRDefault="00603436" w:rsidP="00603436">
      <w:pPr>
        <w:rPr>
          <w:rFonts w:asciiTheme="minorHAnsi" w:eastAsia="Times New Roman" w:hAnsiTheme="minorHAnsi" w:cstheme="minorHAnsi"/>
          <w:sz w:val="22"/>
          <w:szCs w:val="22"/>
          <w:lang w:val="es-ES"/>
        </w:rPr>
      </w:pPr>
    </w:p>
    <w:p w14:paraId="40AB404F" w14:textId="77777777" w:rsidR="00603436" w:rsidRPr="00B62815" w:rsidRDefault="00603436" w:rsidP="00603436">
      <w:pPr>
        <w:rPr>
          <w:rFonts w:asciiTheme="minorHAnsi" w:eastAsia="Times New Roman" w:hAnsiTheme="minorHAnsi" w:cstheme="minorHAnsi"/>
          <w:sz w:val="22"/>
          <w:szCs w:val="22"/>
          <w:lang w:val="es-ES"/>
        </w:rPr>
      </w:pPr>
    </w:p>
    <w:p w14:paraId="04CEDCB0" w14:textId="77777777" w:rsidR="00603436" w:rsidRPr="00B62815" w:rsidRDefault="00603436" w:rsidP="00603436">
      <w:pPr>
        <w:rPr>
          <w:rFonts w:asciiTheme="minorHAnsi" w:eastAsia="Times New Roman" w:hAnsiTheme="minorHAnsi" w:cstheme="minorHAnsi"/>
          <w:sz w:val="22"/>
          <w:szCs w:val="22"/>
          <w:lang w:val="es-ES"/>
        </w:rPr>
      </w:pPr>
    </w:p>
    <w:p w14:paraId="0EF4F214" w14:textId="77777777" w:rsidR="00603436" w:rsidRPr="00B62815" w:rsidRDefault="00603436" w:rsidP="00603436">
      <w:pPr>
        <w:rPr>
          <w:rFonts w:asciiTheme="minorHAnsi" w:eastAsia="Times New Roman" w:hAnsiTheme="minorHAnsi" w:cstheme="minorHAnsi"/>
          <w:sz w:val="22"/>
          <w:szCs w:val="22"/>
          <w:lang w:val="es-ES"/>
        </w:rPr>
      </w:pPr>
    </w:p>
    <w:p w14:paraId="65F7AE33" w14:textId="77777777" w:rsidR="00603436" w:rsidRPr="00B62815" w:rsidRDefault="00603436" w:rsidP="00603436">
      <w:pPr>
        <w:rPr>
          <w:rFonts w:asciiTheme="minorHAnsi" w:eastAsia="Times New Roman" w:hAnsiTheme="minorHAnsi" w:cstheme="minorHAnsi"/>
          <w:sz w:val="22"/>
          <w:szCs w:val="22"/>
          <w:lang w:val="es-ES"/>
        </w:rPr>
      </w:pPr>
    </w:p>
    <w:p w14:paraId="69E2B88F" w14:textId="77777777" w:rsidR="00603436" w:rsidRPr="00B62815" w:rsidRDefault="00603436" w:rsidP="00603436">
      <w:pPr>
        <w:rPr>
          <w:rFonts w:asciiTheme="minorHAnsi" w:eastAsia="Times New Roman" w:hAnsiTheme="minorHAnsi" w:cstheme="minorHAnsi"/>
          <w:sz w:val="22"/>
          <w:szCs w:val="22"/>
          <w:lang w:val="es-ES"/>
        </w:rPr>
      </w:pPr>
    </w:p>
    <w:p w14:paraId="39CF4494" w14:textId="77777777" w:rsidR="00603436" w:rsidRPr="00B62815" w:rsidRDefault="00603436" w:rsidP="00603436">
      <w:pPr>
        <w:rPr>
          <w:rFonts w:asciiTheme="minorHAnsi" w:eastAsia="Times New Roman" w:hAnsiTheme="minorHAnsi" w:cstheme="minorHAnsi"/>
          <w:sz w:val="22"/>
          <w:szCs w:val="22"/>
          <w:lang w:val="es-ES"/>
        </w:rPr>
      </w:pPr>
    </w:p>
    <w:p w14:paraId="5F86BA8E" w14:textId="77777777" w:rsidR="00603436" w:rsidRPr="00B62815" w:rsidRDefault="00603436" w:rsidP="00603436">
      <w:pPr>
        <w:jc w:val="right"/>
        <w:rPr>
          <w:rFonts w:asciiTheme="minorHAnsi" w:eastAsia="Times New Roman" w:hAnsiTheme="minorHAnsi" w:cstheme="minorHAnsi"/>
          <w:sz w:val="22"/>
          <w:szCs w:val="22"/>
          <w:lang w:val="es-ES"/>
        </w:rPr>
      </w:pPr>
    </w:p>
    <w:p w14:paraId="4EAFBCCA" w14:textId="77777777" w:rsidR="007103D2" w:rsidRPr="00B62815" w:rsidRDefault="00626A1E" w:rsidP="007103D2">
      <w:pPr>
        <w:keepNext/>
        <w:jc w:val="right"/>
        <w:outlineLvl w:val="3"/>
        <w:rPr>
          <w:rFonts w:asciiTheme="minorHAnsi" w:eastAsia="Times New Roman" w:hAnsiTheme="minorHAnsi" w:cstheme="minorHAnsi"/>
          <w:b/>
          <w:bCs/>
          <w:color w:val="1F497D"/>
          <w:sz w:val="22"/>
          <w:szCs w:val="22"/>
          <w:lang w:val="es-ES"/>
        </w:rPr>
      </w:pPr>
      <w:r w:rsidRPr="00B62815">
        <w:rPr>
          <w:rFonts w:asciiTheme="minorHAnsi" w:eastAsia="Times New Roman" w:hAnsiTheme="minorHAnsi" w:cstheme="minorHAnsi"/>
          <w:sz w:val="22"/>
          <w:szCs w:val="22"/>
          <w:lang w:val="es-ES"/>
        </w:rPr>
        <w:br w:type="page"/>
      </w:r>
      <w:r w:rsidR="007103D2" w:rsidRPr="00B62815">
        <w:rPr>
          <w:rFonts w:asciiTheme="minorHAnsi" w:eastAsia="Times New Roman" w:hAnsiTheme="minorHAnsi" w:cstheme="minorHAnsi"/>
          <w:b/>
          <w:bCs/>
          <w:color w:val="1F497D"/>
          <w:sz w:val="22"/>
          <w:szCs w:val="22"/>
          <w:lang w:val="es-ES"/>
        </w:rPr>
        <w:t>ANEXO H</w:t>
      </w:r>
    </w:p>
    <w:p w14:paraId="46EA7E1B" w14:textId="77777777" w:rsidR="007103D2" w:rsidRPr="00C54AD3" w:rsidRDefault="007103D2" w:rsidP="00C54AD3">
      <w:pPr>
        <w:jc w:val="center"/>
        <w:rPr>
          <w:rFonts w:asciiTheme="minorHAnsi" w:eastAsia="Times New Roman" w:hAnsiTheme="minorHAnsi" w:cstheme="minorHAnsi"/>
          <w:b/>
          <w:bCs/>
          <w:color w:val="1F497D"/>
          <w:sz w:val="22"/>
          <w:szCs w:val="22"/>
          <w:lang w:val="es-ES"/>
        </w:rPr>
      </w:pPr>
      <w:bookmarkStart w:id="155" w:name="_Toc9002778"/>
      <w:bookmarkStart w:id="156" w:name="_Toc9006144"/>
      <w:bookmarkStart w:id="157" w:name="_Toc9258295"/>
      <w:r w:rsidRPr="00C54AD3">
        <w:rPr>
          <w:rFonts w:asciiTheme="minorHAnsi" w:eastAsia="Times New Roman" w:hAnsiTheme="minorHAnsi" w:cstheme="minorHAnsi"/>
          <w:b/>
          <w:bCs/>
          <w:color w:val="1F497D"/>
          <w:sz w:val="22"/>
          <w:szCs w:val="22"/>
          <w:lang w:val="es-ES"/>
        </w:rPr>
        <w:t xml:space="preserve">PROGRAMA-PRESUPUESTO: NIVELES DE </w:t>
      </w:r>
      <w:bookmarkEnd w:id="154"/>
      <w:r w:rsidRPr="00C54AD3">
        <w:rPr>
          <w:rFonts w:asciiTheme="minorHAnsi" w:eastAsia="Times New Roman" w:hAnsiTheme="minorHAnsi" w:cstheme="minorHAnsi"/>
          <w:b/>
          <w:bCs/>
          <w:color w:val="1F497D"/>
          <w:sz w:val="22"/>
          <w:szCs w:val="22"/>
          <w:lang w:val="es-ES"/>
        </w:rPr>
        <w:t>EJECUCIÓN</w:t>
      </w:r>
      <w:bookmarkEnd w:id="155"/>
      <w:bookmarkEnd w:id="156"/>
      <w:bookmarkEnd w:id="157"/>
    </w:p>
    <w:p w14:paraId="2CF49ACA" w14:textId="77777777" w:rsidR="00626A1E" w:rsidRPr="00B62815" w:rsidRDefault="001C2CF3" w:rsidP="00CE4125">
      <w:pPr>
        <w:rPr>
          <w:rFonts w:asciiTheme="minorHAnsi" w:eastAsia="Times New Roman" w:hAnsiTheme="minorHAnsi" w:cstheme="minorHAnsi"/>
          <w:sz w:val="22"/>
          <w:szCs w:val="22"/>
          <w:lang w:val="es-ES"/>
        </w:rPr>
      </w:pPr>
      <w:r w:rsidRPr="00B62815">
        <w:rPr>
          <w:rFonts w:asciiTheme="minorHAnsi" w:eastAsia="Times New Roman" w:hAnsiTheme="minorHAnsi" w:cstheme="minorHAnsi"/>
          <w:noProof/>
          <w:sz w:val="22"/>
          <w:szCs w:val="22"/>
        </w:rPr>
        <w:drawing>
          <wp:inline distT="0" distB="0" distL="0" distR="0" wp14:anchorId="1DAC1886" wp14:editId="6E3584E0">
            <wp:extent cx="5175250" cy="3800475"/>
            <wp:effectExtent l="0" t="0" r="0" b="0"/>
            <wp:docPr id="4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7">
                      <a:extLst>
                        <a:ext uri="{28A0092B-C50C-407E-A947-70E740481C1C}">
                          <a14:useLocalDpi xmlns:a14="http://schemas.microsoft.com/office/drawing/2010/main"/>
                        </a:ext>
                      </a:extLst>
                    </a:blip>
                    <a:srcRect/>
                    <a:stretch>
                      <a:fillRect/>
                    </a:stretch>
                  </pic:blipFill>
                  <pic:spPr bwMode="auto">
                    <a:xfrm>
                      <a:off x="0" y="0"/>
                      <a:ext cx="5175250" cy="3800475"/>
                    </a:xfrm>
                    <a:prstGeom prst="rect">
                      <a:avLst/>
                    </a:prstGeom>
                    <a:noFill/>
                    <a:ln>
                      <a:noFill/>
                    </a:ln>
                  </pic:spPr>
                </pic:pic>
              </a:graphicData>
            </a:graphic>
          </wp:inline>
        </w:drawing>
      </w:r>
    </w:p>
    <w:p w14:paraId="3EE30E13" w14:textId="77777777" w:rsidR="00335DD8" w:rsidRPr="00B62815" w:rsidRDefault="001C2CF3" w:rsidP="00CE4125">
      <w:pPr>
        <w:rPr>
          <w:rFonts w:asciiTheme="minorHAnsi" w:eastAsia="Times New Roman" w:hAnsiTheme="minorHAnsi" w:cstheme="minorHAnsi"/>
          <w:sz w:val="22"/>
          <w:szCs w:val="22"/>
        </w:rPr>
      </w:pPr>
      <w:r w:rsidRPr="00B62815">
        <w:rPr>
          <w:rFonts w:asciiTheme="minorHAnsi" w:eastAsia="Times New Roman" w:hAnsiTheme="minorHAnsi" w:cstheme="minorHAnsi"/>
          <w:noProof/>
          <w:sz w:val="22"/>
          <w:szCs w:val="22"/>
        </w:rPr>
        <w:drawing>
          <wp:inline distT="0" distB="0" distL="0" distR="0" wp14:anchorId="1637680F" wp14:editId="669FC377">
            <wp:extent cx="5144135" cy="3688715"/>
            <wp:effectExtent l="0" t="0" r="0" b="0"/>
            <wp:docPr id="4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8">
                      <a:extLst>
                        <a:ext uri="{28A0092B-C50C-407E-A947-70E740481C1C}">
                          <a14:useLocalDpi xmlns:a14="http://schemas.microsoft.com/office/drawing/2010/main"/>
                        </a:ext>
                      </a:extLst>
                    </a:blip>
                    <a:srcRect/>
                    <a:stretch>
                      <a:fillRect/>
                    </a:stretch>
                  </pic:blipFill>
                  <pic:spPr bwMode="auto">
                    <a:xfrm>
                      <a:off x="0" y="0"/>
                      <a:ext cx="5144135" cy="3688715"/>
                    </a:xfrm>
                    <a:prstGeom prst="rect">
                      <a:avLst/>
                    </a:prstGeom>
                    <a:noFill/>
                    <a:ln>
                      <a:noFill/>
                    </a:ln>
                  </pic:spPr>
                </pic:pic>
              </a:graphicData>
            </a:graphic>
          </wp:inline>
        </w:drawing>
      </w:r>
      <w:r w:rsidRPr="00B62815">
        <w:rPr>
          <w:rFonts w:asciiTheme="minorHAnsi" w:eastAsia="Times New Roman" w:hAnsiTheme="minorHAnsi" w:cstheme="minorHAnsi"/>
          <w:noProof/>
          <w:sz w:val="22"/>
          <w:szCs w:val="22"/>
        </w:rPr>
        <mc:AlternateContent>
          <mc:Choice Requires="wps">
            <w:drawing>
              <wp:anchor distT="0" distB="0" distL="114300" distR="114300" simplePos="0" relativeHeight="251651072" behindDoc="0" locked="1" layoutInCell="1" allowOverlap="1" wp14:anchorId="1A1A9907" wp14:editId="096D717F">
                <wp:simplePos x="0" y="0"/>
                <wp:positionH relativeFrom="column">
                  <wp:posOffset>-91440</wp:posOffset>
                </wp:positionH>
                <wp:positionV relativeFrom="page">
                  <wp:posOffset>9144000</wp:posOffset>
                </wp:positionV>
                <wp:extent cx="3383280" cy="228600"/>
                <wp:effectExtent l="3810" t="0" r="3810" b="0"/>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FC35" w14:textId="77777777" w:rsidR="00B22AF2" w:rsidRPr="00135AE0" w:rsidRDefault="00B22AF2" w:rsidP="007103D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A1A9907" id="Text Box 121" o:spid="_x0000_s1044" type="#_x0000_t202" style="position:absolute;margin-left:-7.2pt;margin-top:10in;width:266.4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l+uw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" filled="f" stroked="f">
                <v:textbox>
                  <w:txbxContent>
                    <w:p w14:paraId="32B7FC35" w14:textId="77777777" w:rsidR="00B22AF2" w:rsidRPr="00135AE0" w:rsidRDefault="00B22AF2" w:rsidP="007103D2">
                      <w:pPr>
                        <w:rPr>
                          <w:sz w:val="18"/>
                        </w:rPr>
                      </w:pPr>
                    </w:p>
                  </w:txbxContent>
                </v:textbox>
                <w10:wrap anchory="page"/>
                <w10:anchorlock/>
              </v:shape>
            </w:pict>
          </mc:Fallback>
        </mc:AlternateContent>
      </w:r>
    </w:p>
    <w:sectPr w:rsidR="00335DD8" w:rsidRPr="00B62815" w:rsidSect="00603436">
      <w:footerReference w:type="default" r:id="rId259"/>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A30D7" w14:textId="77777777" w:rsidR="0001746F" w:rsidRDefault="0001746F" w:rsidP="00A11B99">
      <w:r>
        <w:separator/>
      </w:r>
    </w:p>
  </w:endnote>
  <w:endnote w:type="continuationSeparator" w:id="0">
    <w:p w14:paraId="18EC70EC" w14:textId="77777777" w:rsidR="0001746F" w:rsidRDefault="0001746F" w:rsidP="00A1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302695"/>
      <w:docPartObj>
        <w:docPartGallery w:val="Page Numbers (Bottom of Page)"/>
        <w:docPartUnique/>
      </w:docPartObj>
    </w:sdtPr>
    <w:sdtEndPr>
      <w:rPr>
        <w:noProof/>
        <w:sz w:val="22"/>
        <w:szCs w:val="22"/>
      </w:rPr>
    </w:sdtEndPr>
    <w:sdtContent>
      <w:p w14:paraId="67B21B9B" w14:textId="57538E49" w:rsidR="00B22AF2" w:rsidRPr="002834DA" w:rsidRDefault="00B22AF2">
        <w:pPr>
          <w:pStyle w:val="Footer"/>
          <w:jc w:val="right"/>
          <w:rPr>
            <w:sz w:val="22"/>
            <w:szCs w:val="22"/>
          </w:rPr>
        </w:pPr>
        <w:r w:rsidRPr="002834DA">
          <w:rPr>
            <w:sz w:val="22"/>
            <w:szCs w:val="22"/>
          </w:rPr>
          <w:fldChar w:fldCharType="begin"/>
        </w:r>
        <w:r w:rsidRPr="002834DA">
          <w:rPr>
            <w:sz w:val="22"/>
            <w:szCs w:val="22"/>
          </w:rPr>
          <w:instrText xml:space="preserve"> PAGE   \* MERGEFORMAT </w:instrText>
        </w:r>
        <w:r w:rsidRPr="002834DA">
          <w:rPr>
            <w:sz w:val="22"/>
            <w:szCs w:val="22"/>
          </w:rPr>
          <w:fldChar w:fldCharType="separate"/>
        </w:r>
        <w:r w:rsidR="00573283">
          <w:rPr>
            <w:noProof/>
            <w:sz w:val="22"/>
            <w:szCs w:val="22"/>
          </w:rPr>
          <w:t>1</w:t>
        </w:r>
        <w:r w:rsidRPr="002834DA">
          <w:rPr>
            <w:noProof/>
            <w:sz w:val="22"/>
            <w:szCs w:val="22"/>
          </w:rPr>
          <w:fldChar w:fldCharType="end"/>
        </w:r>
      </w:p>
    </w:sdtContent>
  </w:sdt>
  <w:p w14:paraId="047BC2BF" w14:textId="5094DC84" w:rsidR="00B22AF2" w:rsidRPr="00FF35DA" w:rsidRDefault="00B22AF2" w:rsidP="00FF35DA">
    <w:pPr>
      <w:pStyle w:val="Footer"/>
      <w:jc w:val="right"/>
      <w:rPr>
        <w:lang w:val="es-P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8B53F" w14:textId="62FB399F" w:rsidR="00B22AF2" w:rsidRDefault="00B22AF2">
    <w:pPr>
      <w:pStyle w:val="Footer"/>
      <w:jc w:val="right"/>
    </w:pPr>
  </w:p>
  <w:p w14:paraId="3A5E1D5D" w14:textId="77777777" w:rsidR="00B22AF2" w:rsidRDefault="00B22AF2" w:rsidP="00CE412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3557B" w14:textId="636A33FC" w:rsidR="00B22AF2" w:rsidRDefault="00B22AF2">
    <w:pPr>
      <w:pStyle w:val="Footer"/>
      <w:jc w:val="right"/>
      <w:rPr>
        <w:noProof/>
      </w:rPr>
    </w:pPr>
    <w:r>
      <w:fldChar w:fldCharType="begin"/>
    </w:r>
    <w:r>
      <w:instrText xml:space="preserve"> PAGE   \* MERGEFORMAT </w:instrText>
    </w:r>
    <w:r>
      <w:fldChar w:fldCharType="separate"/>
    </w:r>
    <w:r w:rsidR="002834DA">
      <w:rPr>
        <w:noProof/>
      </w:rPr>
      <w:t>134</w:t>
    </w:r>
    <w:r>
      <w:rPr>
        <w:noProof/>
      </w:rPr>
      <w:fldChar w:fldCharType="end"/>
    </w:r>
  </w:p>
  <w:p w14:paraId="7B333548" w14:textId="77777777" w:rsidR="00B22AF2" w:rsidRDefault="00B22AF2">
    <w:pPr>
      <w:pStyle w:val="Footer"/>
      <w:jc w:val="right"/>
    </w:pPr>
  </w:p>
  <w:p w14:paraId="7690170B" w14:textId="77777777" w:rsidR="00B22AF2" w:rsidRDefault="00B22A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3404C" w14:textId="77777777" w:rsidR="0001746F" w:rsidRDefault="0001746F" w:rsidP="00A11B99">
      <w:r>
        <w:separator/>
      </w:r>
    </w:p>
  </w:footnote>
  <w:footnote w:type="continuationSeparator" w:id="0">
    <w:p w14:paraId="643E81B7" w14:textId="77777777" w:rsidR="0001746F" w:rsidRDefault="0001746F" w:rsidP="00A11B99">
      <w:r>
        <w:continuationSeparator/>
      </w:r>
    </w:p>
  </w:footnote>
  <w:footnote w:id="1">
    <w:p w14:paraId="4D7B7DCA" w14:textId="77777777" w:rsidR="00B22AF2" w:rsidRPr="00D97F75" w:rsidRDefault="00B22AF2" w:rsidP="00D97F75">
      <w:pPr>
        <w:pStyle w:val="FootnoteText"/>
        <w:rPr>
          <w:sz w:val="18"/>
          <w:szCs w:val="18"/>
          <w:lang w:val="es-ES_tradnl"/>
        </w:rPr>
      </w:pPr>
      <w:r w:rsidRPr="00D97F75">
        <w:rPr>
          <w:rStyle w:val="FootnoteReference"/>
          <w:sz w:val="18"/>
          <w:szCs w:val="18"/>
        </w:rPr>
        <w:sym w:font="Symbol" w:char="F02A"/>
      </w:r>
      <w:r w:rsidRPr="00D97F75">
        <w:rPr>
          <w:sz w:val="18"/>
          <w:szCs w:val="18"/>
          <w:lang w:val="es-US"/>
        </w:rPr>
        <w:t xml:space="preserve"> Preliminar y no auditado</w:t>
      </w:r>
    </w:p>
  </w:footnote>
  <w:footnote w:id="2">
    <w:p w14:paraId="15959078" w14:textId="77777777" w:rsidR="00B22AF2" w:rsidRPr="00D97F75" w:rsidRDefault="00B22AF2" w:rsidP="00D97F75">
      <w:pPr>
        <w:pStyle w:val="FootnoteText"/>
        <w:jc w:val="both"/>
        <w:rPr>
          <w:sz w:val="18"/>
          <w:szCs w:val="18"/>
          <w:lang w:val="es-ES"/>
        </w:rPr>
      </w:pPr>
      <w:r w:rsidRPr="00D97F75">
        <w:rPr>
          <w:rStyle w:val="FootnoteReference"/>
          <w:sz w:val="18"/>
          <w:szCs w:val="18"/>
        </w:rPr>
        <w:footnoteRef/>
      </w:r>
      <w:r w:rsidRPr="00D97F75">
        <w:rPr>
          <w:sz w:val="18"/>
          <w:szCs w:val="18"/>
          <w:lang w:val="es-ES"/>
        </w:rPr>
        <w:t xml:space="preserve"> Caso Álvarez Ramos Vs. Venezuela; Caso Perrone y Preckel Vs. Argentina; Caso Díaz Loreto y otros Vs. Venezuela; Caso Jenkins Vs. Argentina; Caso Rosadio Villavicencio Vs. Perú; Caso Arrom Suhurt y otros Vs. Paraguay; Caso Ruiz Fuentes y otros Vs. Guatemala; Caso Valenzuela Ávila Vs. Guatemala; Caso Rodríguez Revolorio y otros Vs. Guatemala; Caso López y otros Vs. Argentina; Caso Comunidades Indígenas Miembros de la Asociación Lhaka Honhat Vs. Argentina; Caso Hernández Vs. Argentina, Caso Asociación Nacional de Cesantes y Jubilados de la Superintendencia Nacional de Administración Tributaria (ANCEJUB-SUNAT) Vs. Perú, Caso Gorigoitia Vs. Argentina y Caso Romero Feris Vs. Argentina; Caso Rojas Marín y otra Vs. Perú, Caso Noguera y otros Vs. Paraguay, y; Caso Montesinos Mejía Vs. Ecuador.</w:t>
      </w:r>
    </w:p>
  </w:footnote>
  <w:footnote w:id="3">
    <w:p w14:paraId="25D3F628" w14:textId="77777777" w:rsidR="00B22AF2" w:rsidRPr="00D97F75" w:rsidRDefault="00B22AF2" w:rsidP="00D97F75">
      <w:pPr>
        <w:pStyle w:val="FootnoteText"/>
        <w:jc w:val="both"/>
        <w:rPr>
          <w:sz w:val="18"/>
          <w:szCs w:val="18"/>
          <w:lang w:val="es-ES"/>
        </w:rPr>
      </w:pPr>
      <w:r w:rsidRPr="00D97F75">
        <w:rPr>
          <w:rStyle w:val="FootnoteReference"/>
          <w:sz w:val="18"/>
          <w:szCs w:val="18"/>
        </w:rPr>
        <w:footnoteRef/>
      </w:r>
      <w:r w:rsidRPr="00D97F75">
        <w:rPr>
          <w:sz w:val="18"/>
          <w:szCs w:val="18"/>
          <w:lang w:val="es-ES"/>
        </w:rPr>
        <w:t xml:space="preserve"> Caso de las Niñas Yean y Bosico y Caso de Personas dominicanas y haitianas expulsadas Vs. República Dominicana; Caso Molina Theissen Vs. Guatemala, y; Caso Acosta y otros Vs. Nicaragua.</w:t>
      </w:r>
    </w:p>
  </w:footnote>
  <w:footnote w:id="4">
    <w:p w14:paraId="4F97169A" w14:textId="77777777" w:rsidR="00B22AF2" w:rsidRPr="00D97F75" w:rsidRDefault="00B22AF2" w:rsidP="00D97F75">
      <w:pPr>
        <w:pStyle w:val="FootnoteText"/>
        <w:jc w:val="both"/>
        <w:rPr>
          <w:sz w:val="18"/>
          <w:szCs w:val="18"/>
          <w:lang w:val="es-ES"/>
        </w:rPr>
      </w:pPr>
      <w:r w:rsidRPr="00D97F75">
        <w:rPr>
          <w:rStyle w:val="FootnoteReference"/>
          <w:sz w:val="18"/>
          <w:szCs w:val="18"/>
        </w:rPr>
        <w:footnoteRef/>
      </w:r>
      <w:r w:rsidRPr="00D97F75">
        <w:rPr>
          <w:sz w:val="18"/>
          <w:szCs w:val="18"/>
          <w:lang w:val="es-ES"/>
        </w:rPr>
        <w:t xml:space="preserve"> Caso Torres Millacura y otros Vs. Argentina, Caso Furlan y familiares Vs. Argentina, Caso Fornerón e hija Vs. Argentina, Caso Garrido y Baigorria Vs. Argentina; Caso Bueno Alves Vs. Argentina; Caso Bulacio Vs. Argentina, Caso 19 Comerciantes Vs. Colombia, Caso de la Masacre de Mapiripán Vs. Colombia, Caso Las Palmeras Vs. Colombia, Caso Rodríguez Vera y otros (Desaparecidos del Palacio de Justicia) Vs. Colombia, Supervisión de cumplimiento de sentencia conjunta sobre casos de búsqueda de paradero en Colombia, Supervisión de cumplimiento de sentencia conjunta en casos sobre tratamiento médico y psicológico, y; Caso Gelman Vs. Uruguay.</w:t>
      </w:r>
    </w:p>
  </w:footnote>
  <w:footnote w:id="5">
    <w:p w14:paraId="724AE304" w14:textId="77777777" w:rsidR="00B22AF2" w:rsidRPr="00D97F75" w:rsidRDefault="00B22AF2" w:rsidP="00D97F75">
      <w:pPr>
        <w:pStyle w:val="FootnoteText"/>
        <w:jc w:val="both"/>
        <w:rPr>
          <w:iCs/>
          <w:sz w:val="18"/>
          <w:szCs w:val="18"/>
          <w:lang w:val="es-ES"/>
        </w:rPr>
      </w:pPr>
      <w:r w:rsidRPr="00D97F75">
        <w:rPr>
          <w:rStyle w:val="FootnoteReference"/>
          <w:sz w:val="18"/>
          <w:szCs w:val="18"/>
        </w:rPr>
        <w:footnoteRef/>
      </w:r>
      <w:r w:rsidRPr="00D97F75">
        <w:rPr>
          <w:sz w:val="18"/>
          <w:szCs w:val="18"/>
          <w:lang w:val="es-ES"/>
        </w:rPr>
        <w:t xml:space="preserve"> </w:t>
      </w:r>
      <w:r w:rsidRPr="00D97F75">
        <w:rPr>
          <w:iCs/>
          <w:sz w:val="18"/>
          <w:szCs w:val="18"/>
          <w:lang w:val="es-ES"/>
        </w:rPr>
        <w:t>Caso Colindres Schonenberg Vs. El Salvador. Fondo, Reparaciones y Costas. Sentencia de 4 de febrero de 2019. Serie C No. 373; Caso Villaseñor Velarde y otros Vs. Guatemala. Fondo, Reparaciones y Costas. Sentencia de 5 de febrero de 2019. Serie C No. 374; Caso Muelle Flores Vs. Perú. Excepciones Preliminares, Fondo, Reparaciones y Costas. Sentencia de 6 de marzo de 2019. Serie C No. 375; Caso Martínez Coronado Vs. Guatemala. Fondo, Reparaciones y Costas. Sentencia de 10 de mayo de 2019. Serie C No. 376; Caso Arrom Suhurt y otros Vs. Paraguay. Fondo. Sentencia de 13 de mayo de 2019. Serie C No. 377; Caso Álvarez Ramos Vs. Venezuela. Excepción Preliminar, Fondo, Reparaciones y Costas. Sentencia de 30 de agosto de 2019. Serie C No. 380; Caso Gorigoitía Vs. Argentina. Excepción Preliminar, Fondo, Reparaciones y Costas. Sentencia de 2 de septiembre de 2019. Serie C No. 382; Caso Rico Vs. Argentina. Excepción Preliminar y Fondo. Sentencia de 2 de septiembre de 2019. Serie C No. 383; Caso Perrone y Preckel Vs. Argentina. Excepciones Preliminares, Fondo, Reparaciones y Costas. Sentencia de 8 de octubre de 2019. Serie C No. 384; Caso Ruiz Fuentes y otra Vs. Guatemala. Excepción Preliminar, Fondo, Reparaciones y Costas. Sentencia de 10 de octubre de 2019. Serie C No. 385; Caso Valenzuela Ávila Vs. Guatemala. Fondo, Reparaciones y Costas. Sentencia de 11 de octubre de 2019. Serie C No. 386; Caso Rodríguez Revolorio y otros Vs. Guatemala. Excepción Preliminar, Fondo, Reparaciones y Costas. Sentencia de 14 de octubre de 2019. Serie C No. 387; Caso Rosadio Villavicencio Vs. Perú. Excepciones Preliminares, Fondo, Reparaciones y Costas. Sentencia de 14 de octubre de 2019. Serie C No. 388; Caso Girón y otro Vs. Guatemala. Excepción Preliminar, Fondo, Reparaciones y Costas. Sentencia de 15 de octubre de 2019. Serie C No. 390; Caso Romero Feris Vs. Argentina. Fondo, Reparaciones y Costas. Sentencia de 15 de octubre de 2019. Serie C No. 391; Caso Díaz Loreto y otros Vs. Venezuela. Excepciones Preliminares, Fondo, Reparaciones y Costas. Sentencia de 19 de noviembre de 2019. Serie C No. 392; Caso Gómez Virula y otros Vs. Guatemala. Excepción Preliminar, Fondo, Reparaciones y Costas. Sentencia de 21 de noviembre de 2019. Serie C No. 393; Caso Asociación Nacional de Cesantes y Jubilados de la Superintendencia Nacional de Administración Tributaria (ANCEJUB-SUNAT) Vs. Perú. Excepciones Preliminares, Fondo, Reparaciones y Costas. Sentencia de 21 de noviembre de 2019. Serie C No. 394; Caso Hernández Vs. Argentina. Excepción Preliminar, Fondo, Reparaciones y Costas. Sentencia de 22 de noviembre de 2019. Serie C No. 395; Caso López y otros Vs. Argentina. Excepciones Preliminares, Fondo, Reparaciones y Costas. Sentencia de 25 de noviembre de 2019. Serie C No. 396, y; Caso Jenkins Vs. Argentina. Excepciones Preliminares, Fondo, Reparaciones y Costas. Sentencia de 26 de noviembre de 2019. Serie C No. 397.</w:t>
      </w:r>
    </w:p>
  </w:footnote>
  <w:footnote w:id="6">
    <w:p w14:paraId="3DF3FED3" w14:textId="77777777" w:rsidR="00B22AF2" w:rsidRPr="00D97F75" w:rsidRDefault="00B22AF2" w:rsidP="00D97F75">
      <w:pPr>
        <w:pStyle w:val="FootnoteText"/>
        <w:jc w:val="both"/>
        <w:rPr>
          <w:sz w:val="18"/>
          <w:szCs w:val="18"/>
          <w:lang w:val="es-ES"/>
        </w:rPr>
      </w:pPr>
      <w:r w:rsidRPr="00D97F75">
        <w:rPr>
          <w:rStyle w:val="FootnoteReference"/>
          <w:sz w:val="18"/>
          <w:szCs w:val="18"/>
        </w:rPr>
        <w:footnoteRef/>
      </w:r>
      <w:r w:rsidRPr="00D97F75">
        <w:rPr>
          <w:sz w:val="18"/>
          <w:szCs w:val="18"/>
          <w:lang w:val="es-ES"/>
        </w:rPr>
        <w:t xml:space="preserve"> </w:t>
      </w:r>
      <w:r w:rsidRPr="00D97F75">
        <w:rPr>
          <w:rStyle w:val="Strong"/>
          <w:color w:val="000000"/>
          <w:sz w:val="18"/>
          <w:szCs w:val="18"/>
          <w:shd w:val="clear" w:color="auto" w:fill="FFFFFF"/>
          <w:lang w:val="es-CR"/>
        </w:rPr>
        <w:t>Caso Cuscul Pivaral y otros Vs. Guatemala. Interpretación de la Sentencia de Excepción Preliminar, Fondo, Reparaciones y Costas. Sentencia de 14 de mayo de 2019. Serie C No. 378; Caso López Soto y otros Vs. Venezuela. Interpretación de la Sentencia de Fondo, Reparaciones y Costas. Sentencia de 14 de mayo de 2019. Serie C No. 379; Caso Alvarado Espinoza y otros Vs. México. Interpretación de la Sentencia de Fondo, Reparaciones y Costas. Sentencia de 30 de agosto de 2019. Serie C No. 381, y; Caso Omeara Carrascal y otros Vs. Colombia. Interpretación de la Sentencia de Fondo, Reparaciones y Costas. Sentencia de 14 de octubre de 2019. Serie C No. 389.</w:t>
      </w:r>
    </w:p>
  </w:footnote>
  <w:footnote w:id="7">
    <w:p w14:paraId="5483AD8F" w14:textId="77777777" w:rsidR="00B22AF2" w:rsidRPr="00D97F75" w:rsidRDefault="00B22AF2" w:rsidP="00D97F75">
      <w:pPr>
        <w:pStyle w:val="FootnoteText"/>
        <w:jc w:val="both"/>
        <w:rPr>
          <w:iCs/>
          <w:sz w:val="18"/>
          <w:szCs w:val="18"/>
          <w:lang w:val="es-ES"/>
        </w:rPr>
      </w:pPr>
      <w:r w:rsidRPr="00D97F75">
        <w:rPr>
          <w:rStyle w:val="FootnoteReference"/>
          <w:sz w:val="18"/>
          <w:szCs w:val="18"/>
        </w:rPr>
        <w:footnoteRef/>
      </w:r>
      <w:r w:rsidRPr="00D97F75">
        <w:rPr>
          <w:sz w:val="18"/>
          <w:szCs w:val="18"/>
          <w:lang w:val="es-ES"/>
        </w:rPr>
        <w:t xml:space="preserve"> </w:t>
      </w:r>
      <w:r w:rsidRPr="00D97F75">
        <w:rPr>
          <w:iCs/>
          <w:sz w:val="18"/>
          <w:szCs w:val="18"/>
          <w:lang w:val="es-ES"/>
        </w:rPr>
        <w:t xml:space="preserve">Caso Spoltore Vs. Argentina; Caso Urrutia Laubreaux Vs. Chile; Caso Guzmán Albarracín y otros Vs. Ecuador; Caso Mota Abarullo y otros Vs. Venezuela; Caso Olivares Muñoz y otros Vs. Venezuela; Caso Acosta Martínez y otros Vs.  Argentina; Caso Roche Azaña y otros Vs. Nicaragua; Caso Hernández y otros Vs. Honduras; Caso Martínez Esquivia Vs. Colombia; Caso Lemoth Morris y otros Vs. Honduras; Caso Guerrero y otros Vs. Venezuela; Caso Masacre de la Aldea Los Josefinos Vs. Guatemala; Caso Guachalá Chimbo y otros Vs. Ecuador; Caso Barbosa de Souza y otros Vs. Brasil; Caso Bedoya Lima y otra Vs. Colombia; Caso Grijalva Bueno Vs. Ecuador; Caso Garzón Guzmán Vs. Ecuador; Caso Federación Nacional de Trabajadores Marítimos y Portuarios (FEMAPOR) Vs. Perú; Caso Manuela y otros Vs. El Salvador; Caso Casa Nina Vs. Perú; Caso Cuya Lavy y otros Vs. Perú; Caso Almeida Vs. Argentina; Caso González y otros Vs. Venezuela; Caso Cordero Bernal Vs. </w:t>
      </w:r>
      <w:r w:rsidRPr="00673757">
        <w:rPr>
          <w:iCs/>
          <w:sz w:val="18"/>
          <w:szCs w:val="18"/>
          <w:lang w:val="pt-BR"/>
        </w:rPr>
        <w:t xml:space="preserve">Perú; Caso Vera Rojas Vs. Chile; Caso Pavez Pavez Vs. </w:t>
      </w:r>
      <w:r w:rsidRPr="00D97F75">
        <w:rPr>
          <w:iCs/>
          <w:sz w:val="18"/>
          <w:szCs w:val="18"/>
          <w:lang w:val="es-ES"/>
        </w:rPr>
        <w:t>Chile; Caso Villarroel Merino y otros Vs. Ecuador; Caso Ochoa y otros Vs. México; Caso Ríos Ávalos y otro Vs. Paraguay; Caso Urrutia y otros Vs. Ecuador; Caso Julien Grisonas y otros Vs. Argentina, y; Caso Profesores de Chañaral y otras municipalidades Vs. Chile.</w:t>
      </w:r>
    </w:p>
  </w:footnote>
  <w:footnote w:id="8">
    <w:p w14:paraId="5AA616AC" w14:textId="77777777" w:rsidR="00B22AF2" w:rsidRPr="00D97F75" w:rsidRDefault="00B22AF2" w:rsidP="00D97F75">
      <w:pPr>
        <w:pStyle w:val="FootnoteText"/>
        <w:rPr>
          <w:sz w:val="18"/>
          <w:szCs w:val="18"/>
          <w:lang w:val="es-CR"/>
        </w:rPr>
      </w:pPr>
      <w:r w:rsidRPr="00D97F75">
        <w:rPr>
          <w:rStyle w:val="FootnoteReference"/>
          <w:sz w:val="18"/>
          <w:szCs w:val="18"/>
        </w:rPr>
        <w:footnoteRef/>
      </w:r>
      <w:r w:rsidRPr="00D97F75">
        <w:rPr>
          <w:sz w:val="18"/>
          <w:szCs w:val="18"/>
          <w:lang w:val="es-CR"/>
        </w:rPr>
        <w:t xml:space="preserve"> Dos solicitudes planteadas por Colombia los días 6 de mayo de 2019 y 21 de octubre de 2019 y dos planeadas por la Comisión Interamericana los días 31 de julio de 2019 y 25 de noviembre de 2019.</w:t>
      </w:r>
    </w:p>
  </w:footnote>
  <w:footnote w:id="9">
    <w:p w14:paraId="30C0A884" w14:textId="77777777" w:rsidR="00B22AF2" w:rsidRPr="00D97F75" w:rsidRDefault="00B22AF2" w:rsidP="00D97F75">
      <w:pPr>
        <w:jc w:val="both"/>
        <w:rPr>
          <w:rFonts w:cs="Arial"/>
          <w:sz w:val="18"/>
          <w:szCs w:val="18"/>
          <w:lang w:val="es-ES"/>
        </w:rPr>
      </w:pPr>
      <w:r w:rsidRPr="00D97F75">
        <w:rPr>
          <w:rStyle w:val="FootnoteReference"/>
          <w:rFonts w:cs="Arial"/>
          <w:sz w:val="18"/>
          <w:szCs w:val="18"/>
        </w:rPr>
        <w:footnoteRef/>
      </w:r>
      <w:r w:rsidRPr="00D97F75">
        <w:rPr>
          <w:rFonts w:cs="Arial"/>
          <w:sz w:val="18"/>
          <w:szCs w:val="18"/>
          <w:lang w:val="es-ES"/>
        </w:rPr>
        <w:t xml:space="preserve">Aprobado en la 90ª Reunión Ordinaria del Consejo Directivo (Antigua, Guatemala 2015). </w:t>
      </w:r>
    </w:p>
  </w:footnote>
  <w:footnote w:id="10">
    <w:p w14:paraId="6A0D963C" w14:textId="77777777" w:rsidR="00B22AF2" w:rsidRPr="00D97F75" w:rsidRDefault="00B22AF2" w:rsidP="00D97F75">
      <w:pPr>
        <w:pStyle w:val="FootnoteText"/>
        <w:rPr>
          <w:rFonts w:cs="Arial"/>
          <w:sz w:val="18"/>
          <w:szCs w:val="18"/>
          <w:lang w:val="es-ES"/>
        </w:rPr>
      </w:pPr>
      <w:r w:rsidRPr="00D97F75">
        <w:rPr>
          <w:rStyle w:val="FootnoteReference"/>
          <w:rFonts w:cs="Arial"/>
          <w:sz w:val="18"/>
          <w:szCs w:val="18"/>
        </w:rPr>
        <w:footnoteRef/>
      </w:r>
      <w:r w:rsidRPr="00D97F75">
        <w:rPr>
          <w:rFonts w:cs="Arial"/>
          <w:sz w:val="18"/>
          <w:szCs w:val="18"/>
          <w:lang w:val="es-ES"/>
        </w:rPr>
        <w:t>Red Intergeneracional de Agentes Multiplicadores del Uso Seguro de Internet</w:t>
      </w:r>
    </w:p>
  </w:footnote>
  <w:footnote w:id="11">
    <w:p w14:paraId="42A5D4F1" w14:textId="23DCD89A" w:rsidR="00B22AF2" w:rsidRPr="00E74BA0" w:rsidRDefault="00B22AF2" w:rsidP="00D97F75">
      <w:pPr>
        <w:pStyle w:val="FootnoteText"/>
        <w:rPr>
          <w:sz w:val="18"/>
          <w:szCs w:val="18"/>
          <w:lang w:val="es-PE"/>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ES"/>
        </w:rPr>
        <w:t xml:space="preserve">CIM (2019). </w:t>
      </w:r>
      <w:r w:rsidRPr="00D97F75">
        <w:rPr>
          <w:rFonts w:asciiTheme="minorHAnsi" w:eastAsia="Batang" w:hAnsiTheme="minorHAnsi" w:cstheme="minorHAnsi"/>
          <w:i/>
          <w:snapToGrid w:val="0"/>
          <w:sz w:val="18"/>
          <w:szCs w:val="18"/>
          <w:lang w:val="es-ES"/>
        </w:rPr>
        <w:t>Declaración de Santo Domingo sobre la Igualdad y la Autonomía en el Ejercicio de los Derechos Políticos de las Mujeres para el Fortalecimiento de la Democracia</w:t>
      </w:r>
      <w:r w:rsidRPr="00D97F75">
        <w:rPr>
          <w:rFonts w:asciiTheme="minorHAnsi" w:eastAsia="Batang" w:hAnsiTheme="minorHAnsi" w:cstheme="minorHAnsi"/>
          <w:snapToGrid w:val="0"/>
          <w:sz w:val="18"/>
          <w:szCs w:val="18"/>
          <w:lang w:val="es-ES"/>
        </w:rPr>
        <w:t xml:space="preserve">. Disponible en: </w:t>
      </w:r>
      <w:hyperlink r:id="rId1" w:history="1">
        <w:r w:rsidRPr="00D97F75">
          <w:rPr>
            <w:rFonts w:asciiTheme="minorHAnsi" w:eastAsia="Batang" w:hAnsiTheme="minorHAnsi" w:cstheme="minorHAnsi"/>
            <w:snapToGrid w:val="0"/>
            <w:color w:val="0000FF"/>
            <w:sz w:val="18"/>
            <w:szCs w:val="18"/>
            <w:u w:val="single"/>
            <w:lang w:val="es-US"/>
          </w:rPr>
          <w:t>http://www.oas.org/es/cim/docs/DeclaracionSANTODOMINGO-ES.pdf</w:t>
        </w:r>
      </w:hyperlink>
    </w:p>
  </w:footnote>
  <w:footnote w:id="12">
    <w:p w14:paraId="1B37506E" w14:textId="77777777" w:rsidR="00B22AF2" w:rsidRPr="00D97F75" w:rsidRDefault="00B22AF2" w:rsidP="00D97F75">
      <w:pPr>
        <w:widowControl w:val="0"/>
        <w:tabs>
          <w:tab w:val="left" w:pos="720"/>
          <w:tab w:val="left" w:pos="1440"/>
          <w:tab w:val="left" w:pos="2160"/>
          <w:tab w:val="left" w:pos="2880"/>
          <w:tab w:val="left" w:pos="3600"/>
          <w:tab w:val="left" w:pos="4320"/>
          <w:tab w:val="left" w:pos="5760"/>
          <w:tab w:val="left" w:pos="6480"/>
          <w:tab w:val="left" w:pos="7200"/>
          <w:tab w:val="left" w:pos="7920"/>
        </w:tabs>
        <w:rPr>
          <w:rFonts w:asciiTheme="minorHAnsi" w:eastAsia="Batang" w:hAnsiTheme="minorHAnsi" w:cstheme="minorHAnsi"/>
          <w:snapToGrid w:val="0"/>
          <w:sz w:val="18"/>
          <w:szCs w:val="18"/>
          <w:lang w:val="es-ES"/>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ES"/>
        </w:rPr>
        <w:t xml:space="preserve">Curso candidatas electorales: </w:t>
      </w:r>
      <w:hyperlink r:id="rId2" w:history="1">
        <w:r w:rsidRPr="00D97F75">
          <w:rPr>
            <w:rFonts w:asciiTheme="minorHAnsi" w:eastAsia="Batang" w:hAnsiTheme="minorHAnsi" w:cstheme="minorHAnsi"/>
            <w:snapToGrid w:val="0"/>
            <w:color w:val="0000FF"/>
            <w:sz w:val="18"/>
            <w:szCs w:val="18"/>
            <w:u w:val="single"/>
            <w:lang w:val="es-ES"/>
          </w:rPr>
          <w:t>http://www.oas.org/es/sap/dgpe/escuelagob/cursos_preparada-para-la-campaña-curso-de-fortalecimiento-mujeres-candidatas.asp</w:t>
        </w:r>
      </w:hyperlink>
      <w:r w:rsidRPr="00D97F75">
        <w:rPr>
          <w:rFonts w:asciiTheme="minorHAnsi" w:eastAsia="Batang" w:hAnsiTheme="minorHAnsi" w:cstheme="minorHAnsi"/>
          <w:snapToGrid w:val="0"/>
          <w:sz w:val="18"/>
          <w:szCs w:val="18"/>
          <w:lang w:val="es-ES"/>
        </w:rPr>
        <w:t xml:space="preserve"> </w:t>
      </w:r>
    </w:p>
    <w:p w14:paraId="0ABD6E2D" w14:textId="34155DDC" w:rsidR="00B22AF2" w:rsidRPr="00E74BA0" w:rsidRDefault="00B22AF2" w:rsidP="00D97F75">
      <w:pPr>
        <w:pStyle w:val="FootnoteText"/>
        <w:rPr>
          <w:sz w:val="18"/>
          <w:szCs w:val="18"/>
          <w:lang w:val="es-PE"/>
        </w:rPr>
      </w:pPr>
    </w:p>
  </w:footnote>
  <w:footnote w:id="13">
    <w:p w14:paraId="3F211F10" w14:textId="6A16810D" w:rsidR="00B22AF2" w:rsidRPr="00D97F75" w:rsidRDefault="00B22AF2" w:rsidP="00D97F75">
      <w:pPr>
        <w:widowControl w:val="0"/>
        <w:tabs>
          <w:tab w:val="left" w:pos="720"/>
          <w:tab w:val="left" w:pos="1440"/>
          <w:tab w:val="left" w:pos="2160"/>
          <w:tab w:val="left" w:pos="2880"/>
          <w:tab w:val="left" w:pos="3600"/>
          <w:tab w:val="left" w:pos="4320"/>
          <w:tab w:val="left" w:pos="5760"/>
          <w:tab w:val="left" w:pos="6480"/>
          <w:tab w:val="left" w:pos="7200"/>
          <w:tab w:val="left" w:pos="7920"/>
        </w:tabs>
        <w:rPr>
          <w:rFonts w:asciiTheme="minorHAnsi" w:eastAsia="Batang" w:hAnsiTheme="minorHAnsi" w:cstheme="minorHAnsi"/>
          <w:snapToGrid w:val="0"/>
          <w:sz w:val="18"/>
          <w:szCs w:val="18"/>
          <w:lang w:val="es-ES"/>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ES"/>
        </w:rPr>
        <w:t xml:space="preserve">CIM (2016). Manual de Transferencia Metodológica a los Mecanismos Nacionales para el Avance de la Mujer: Diagnóstico Participativo de Género. Disponible en: </w:t>
      </w:r>
      <w:hyperlink r:id="rId3" w:history="1">
        <w:r w:rsidRPr="00D97F75">
          <w:rPr>
            <w:rFonts w:asciiTheme="minorHAnsi" w:eastAsia="Batang" w:hAnsiTheme="minorHAnsi" w:cstheme="minorHAnsi"/>
            <w:snapToGrid w:val="0"/>
            <w:color w:val="0000FF"/>
            <w:sz w:val="18"/>
            <w:szCs w:val="18"/>
            <w:u w:val="single"/>
            <w:lang w:val="es-ES"/>
          </w:rPr>
          <w:t>http://www.oas.org/es/cim/mainstreaming.asp</w:t>
        </w:r>
      </w:hyperlink>
      <w:r w:rsidRPr="00D97F75">
        <w:rPr>
          <w:rFonts w:asciiTheme="minorHAnsi" w:eastAsia="Batang" w:hAnsiTheme="minorHAnsi" w:cstheme="minorHAnsi"/>
          <w:snapToGrid w:val="0"/>
          <w:sz w:val="18"/>
          <w:szCs w:val="18"/>
          <w:lang w:val="es-ES"/>
        </w:rPr>
        <w:t xml:space="preserve">  </w:t>
      </w:r>
    </w:p>
  </w:footnote>
  <w:footnote w:id="14">
    <w:p w14:paraId="48B742DE" w14:textId="17607288" w:rsidR="00B22AF2" w:rsidRPr="00D97F75" w:rsidRDefault="00B22AF2" w:rsidP="00D97F75">
      <w:pPr>
        <w:widowControl w:val="0"/>
        <w:tabs>
          <w:tab w:val="left" w:pos="720"/>
          <w:tab w:val="left" w:pos="1440"/>
          <w:tab w:val="left" w:pos="2160"/>
          <w:tab w:val="left" w:pos="2880"/>
          <w:tab w:val="left" w:pos="3600"/>
          <w:tab w:val="left" w:pos="4320"/>
          <w:tab w:val="left" w:pos="5760"/>
          <w:tab w:val="left" w:pos="6480"/>
          <w:tab w:val="left" w:pos="7200"/>
          <w:tab w:val="left" w:pos="7920"/>
        </w:tabs>
        <w:rPr>
          <w:rFonts w:asciiTheme="minorHAnsi" w:eastAsia="Batang" w:hAnsiTheme="minorHAnsi" w:cstheme="minorHAnsi"/>
          <w:snapToGrid w:val="0"/>
          <w:sz w:val="18"/>
          <w:szCs w:val="18"/>
          <w:lang w:val="es-ES"/>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ES"/>
        </w:rPr>
        <w:t xml:space="preserve">Curso virtual Enfoque de Derechos y de Igualdad de Género en Políticas, Programas y Proyectos. Disponible en: </w:t>
      </w:r>
      <w:hyperlink r:id="rId4" w:history="1">
        <w:r w:rsidRPr="00D97F75">
          <w:rPr>
            <w:rFonts w:asciiTheme="minorHAnsi" w:eastAsia="Batang" w:hAnsiTheme="minorHAnsi" w:cstheme="minorHAnsi"/>
            <w:snapToGrid w:val="0"/>
            <w:color w:val="0000FF"/>
            <w:sz w:val="18"/>
            <w:szCs w:val="18"/>
            <w:u w:val="single"/>
            <w:lang w:val="es-ES"/>
          </w:rPr>
          <w:t>http://portal.portaleducoas.org/es/cursos/enfoque-derechos-igualdad-g-nero-en-pol-ticas-programas-proyectos</w:t>
        </w:r>
      </w:hyperlink>
      <w:r w:rsidRPr="00D97F75">
        <w:rPr>
          <w:rFonts w:asciiTheme="minorHAnsi" w:eastAsia="Batang" w:hAnsiTheme="minorHAnsi" w:cstheme="minorHAnsi"/>
          <w:snapToGrid w:val="0"/>
          <w:sz w:val="18"/>
          <w:szCs w:val="18"/>
          <w:lang w:val="es-ES"/>
        </w:rPr>
        <w:t xml:space="preserve"> </w:t>
      </w:r>
    </w:p>
  </w:footnote>
  <w:footnote w:id="15">
    <w:p w14:paraId="4F11FE14" w14:textId="5E1CF143" w:rsidR="00B22AF2" w:rsidRPr="00D97F75" w:rsidRDefault="00B22AF2" w:rsidP="00D97F75">
      <w:pPr>
        <w:widowControl w:val="0"/>
        <w:tabs>
          <w:tab w:val="left" w:pos="720"/>
          <w:tab w:val="left" w:pos="1440"/>
          <w:tab w:val="left" w:pos="2160"/>
          <w:tab w:val="left" w:pos="2880"/>
          <w:tab w:val="left" w:pos="3600"/>
          <w:tab w:val="left" w:pos="4320"/>
          <w:tab w:val="left" w:pos="5760"/>
          <w:tab w:val="left" w:pos="6480"/>
          <w:tab w:val="left" w:pos="7200"/>
          <w:tab w:val="left" w:pos="7920"/>
        </w:tabs>
        <w:rPr>
          <w:rFonts w:asciiTheme="minorHAnsi" w:eastAsia="Batang" w:hAnsiTheme="minorHAnsi" w:cstheme="minorHAnsi"/>
          <w:snapToGrid w:val="0"/>
          <w:sz w:val="18"/>
          <w:szCs w:val="18"/>
          <w:lang w:val="es-ES"/>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ES"/>
        </w:rPr>
        <w:t xml:space="preserve">Planificación Estratégica con Enfoque de Género. Disponible en: </w:t>
      </w:r>
      <w:hyperlink r:id="rId5" w:history="1">
        <w:r w:rsidRPr="00D97F75">
          <w:rPr>
            <w:rFonts w:asciiTheme="minorHAnsi" w:eastAsia="Batang" w:hAnsiTheme="minorHAnsi" w:cstheme="minorHAnsi"/>
            <w:snapToGrid w:val="0"/>
            <w:color w:val="0000FF"/>
            <w:sz w:val="18"/>
            <w:szCs w:val="18"/>
            <w:u w:val="single"/>
            <w:lang w:val="es-ES"/>
          </w:rPr>
          <w:t>http://portal.portaleducoas.org/es/cursos/planificaci-n-estrat-gica-enfoque-g-nero</w:t>
        </w:r>
      </w:hyperlink>
      <w:r w:rsidRPr="00D97F75">
        <w:rPr>
          <w:rFonts w:asciiTheme="minorHAnsi" w:eastAsia="Batang" w:hAnsiTheme="minorHAnsi" w:cstheme="minorHAnsi"/>
          <w:snapToGrid w:val="0"/>
          <w:sz w:val="18"/>
          <w:szCs w:val="18"/>
          <w:lang w:val="es-ES"/>
        </w:rPr>
        <w:t xml:space="preserve">  </w:t>
      </w:r>
    </w:p>
  </w:footnote>
  <w:footnote w:id="16">
    <w:p w14:paraId="5D45A487" w14:textId="1E592CEB" w:rsidR="00B22AF2" w:rsidRPr="00D97F75" w:rsidRDefault="00B22AF2" w:rsidP="00D97F75">
      <w:pPr>
        <w:widowControl w:val="0"/>
        <w:tabs>
          <w:tab w:val="left" w:pos="720"/>
          <w:tab w:val="left" w:pos="1440"/>
          <w:tab w:val="left" w:pos="2160"/>
          <w:tab w:val="left" w:pos="2880"/>
          <w:tab w:val="left" w:pos="3600"/>
          <w:tab w:val="left" w:pos="4320"/>
          <w:tab w:val="left" w:pos="5760"/>
          <w:tab w:val="left" w:pos="6480"/>
          <w:tab w:val="left" w:pos="7200"/>
          <w:tab w:val="left" w:pos="7920"/>
        </w:tabs>
        <w:rPr>
          <w:rFonts w:asciiTheme="minorHAnsi" w:eastAsia="Batang" w:hAnsiTheme="minorHAnsi" w:cstheme="minorHAnsi"/>
          <w:snapToGrid w:val="0"/>
          <w:sz w:val="18"/>
          <w:szCs w:val="18"/>
          <w:lang w:val="es-ES"/>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ES"/>
        </w:rPr>
        <w:t xml:space="preserve">Diploma de Comunicación, Género y Derechos Humanos. Disponible en: </w:t>
      </w:r>
      <w:hyperlink r:id="rId6" w:history="1">
        <w:r w:rsidRPr="00D97F75">
          <w:rPr>
            <w:rFonts w:asciiTheme="minorHAnsi" w:eastAsia="Batang" w:hAnsiTheme="minorHAnsi" w:cstheme="minorHAnsi"/>
            <w:snapToGrid w:val="0"/>
            <w:color w:val="0000FF"/>
            <w:sz w:val="18"/>
            <w:szCs w:val="18"/>
            <w:u w:val="single"/>
            <w:lang w:val="es-ES"/>
          </w:rPr>
          <w:t>http://www.comunicarigualdad.com.ar/diploma-de-comunicacion-y-genero/</w:t>
        </w:r>
      </w:hyperlink>
      <w:r w:rsidRPr="00D97F75">
        <w:rPr>
          <w:rFonts w:asciiTheme="minorHAnsi" w:eastAsia="Batang" w:hAnsiTheme="minorHAnsi" w:cstheme="minorHAnsi"/>
          <w:snapToGrid w:val="0"/>
          <w:sz w:val="18"/>
          <w:szCs w:val="18"/>
          <w:lang w:val="es-ES"/>
        </w:rPr>
        <w:t xml:space="preserve"> </w:t>
      </w:r>
    </w:p>
  </w:footnote>
  <w:footnote w:id="17">
    <w:p w14:paraId="4E0BB102" w14:textId="49174FB2" w:rsidR="00B22AF2" w:rsidRPr="00D97F75" w:rsidRDefault="00B22AF2" w:rsidP="00D97F75">
      <w:pPr>
        <w:widowControl w:val="0"/>
        <w:tabs>
          <w:tab w:val="left" w:pos="720"/>
          <w:tab w:val="left" w:pos="1440"/>
          <w:tab w:val="left" w:pos="2160"/>
          <w:tab w:val="left" w:pos="2880"/>
          <w:tab w:val="left" w:pos="3600"/>
          <w:tab w:val="left" w:pos="4320"/>
          <w:tab w:val="left" w:pos="5760"/>
          <w:tab w:val="left" w:pos="6480"/>
          <w:tab w:val="left" w:pos="7200"/>
          <w:tab w:val="left" w:pos="7920"/>
        </w:tabs>
        <w:rPr>
          <w:rFonts w:asciiTheme="minorHAnsi" w:eastAsia="Batang" w:hAnsiTheme="minorHAnsi" w:cstheme="minorHAnsi"/>
          <w:snapToGrid w:val="0"/>
          <w:sz w:val="18"/>
          <w:szCs w:val="18"/>
          <w:lang w:val="es-ES"/>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ES"/>
        </w:rPr>
        <w:t xml:space="preserve">OEA (2017). Plan de Acción para la Implementación de la Política Institucional de Igualdad de Género, Diversidad y Derechos Humanos de la Secretaría General. Disponible en  </w:t>
      </w:r>
      <w:hyperlink r:id="rId7" w:history="1">
        <w:r w:rsidRPr="00D97F75">
          <w:rPr>
            <w:rFonts w:asciiTheme="minorHAnsi" w:eastAsia="Batang" w:hAnsiTheme="minorHAnsi" w:cstheme="minorHAnsi"/>
            <w:snapToGrid w:val="0"/>
            <w:color w:val="0000FF"/>
            <w:sz w:val="18"/>
            <w:szCs w:val="18"/>
            <w:u w:val="single"/>
            <w:lang w:val="es-ES"/>
          </w:rPr>
          <w:t>http://www.oas.org/es/cim/docs/GPAP-ES.pdf</w:t>
        </w:r>
      </w:hyperlink>
      <w:r w:rsidRPr="00D97F75">
        <w:rPr>
          <w:rFonts w:asciiTheme="minorHAnsi" w:eastAsia="Batang" w:hAnsiTheme="minorHAnsi" w:cstheme="minorHAnsi"/>
          <w:snapToGrid w:val="0"/>
          <w:sz w:val="18"/>
          <w:szCs w:val="18"/>
          <w:lang w:val="es-ES"/>
        </w:rPr>
        <w:t xml:space="preserve"> </w:t>
      </w:r>
    </w:p>
  </w:footnote>
  <w:footnote w:id="18">
    <w:p w14:paraId="481D8FCC" w14:textId="70676194" w:rsidR="00B22AF2" w:rsidRPr="00D97F75" w:rsidRDefault="00B22AF2" w:rsidP="00D97F75">
      <w:pPr>
        <w:widowControl w:val="0"/>
        <w:tabs>
          <w:tab w:val="left" w:pos="720"/>
          <w:tab w:val="left" w:pos="1440"/>
          <w:tab w:val="left" w:pos="2160"/>
          <w:tab w:val="left" w:pos="2880"/>
          <w:tab w:val="left" w:pos="3600"/>
          <w:tab w:val="left" w:pos="4320"/>
          <w:tab w:val="left" w:pos="5760"/>
          <w:tab w:val="left" w:pos="6480"/>
          <w:tab w:val="left" w:pos="7200"/>
          <w:tab w:val="left" w:pos="7920"/>
        </w:tabs>
        <w:rPr>
          <w:rFonts w:asciiTheme="minorHAnsi" w:eastAsia="Batang" w:hAnsiTheme="minorHAnsi" w:cstheme="minorHAnsi"/>
          <w:snapToGrid w:val="0"/>
          <w:sz w:val="18"/>
          <w:szCs w:val="18"/>
          <w:lang w:val="es-ES"/>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ES"/>
        </w:rPr>
        <w:t xml:space="preserve">MESECVI (2014). </w:t>
      </w:r>
      <w:r w:rsidRPr="00D97F75">
        <w:rPr>
          <w:rFonts w:asciiTheme="minorHAnsi" w:eastAsia="Batang" w:hAnsiTheme="minorHAnsi" w:cstheme="minorHAnsi"/>
          <w:i/>
          <w:snapToGrid w:val="0"/>
          <w:sz w:val="18"/>
          <w:szCs w:val="18"/>
          <w:lang w:val="es-ES"/>
        </w:rPr>
        <w:t>Sistema de indicadores de progreso para la medición de la implementación de la Convención de Belém do Pará</w:t>
      </w:r>
      <w:r w:rsidRPr="00D97F75">
        <w:rPr>
          <w:rFonts w:asciiTheme="minorHAnsi" w:eastAsia="Batang" w:hAnsiTheme="minorHAnsi" w:cstheme="minorHAnsi"/>
          <w:snapToGrid w:val="0"/>
          <w:sz w:val="18"/>
          <w:szCs w:val="18"/>
          <w:lang w:val="es-ES"/>
        </w:rPr>
        <w:t xml:space="preserve">. Disponible en: </w:t>
      </w:r>
      <w:hyperlink r:id="rId8" w:history="1">
        <w:r w:rsidRPr="00D97F75">
          <w:rPr>
            <w:rFonts w:asciiTheme="minorHAnsi" w:eastAsia="Batang" w:hAnsiTheme="minorHAnsi" w:cstheme="minorHAnsi"/>
            <w:snapToGrid w:val="0"/>
            <w:color w:val="0000FF"/>
            <w:sz w:val="18"/>
            <w:szCs w:val="18"/>
            <w:u w:val="single"/>
            <w:lang w:val="es-ES"/>
          </w:rPr>
          <w:t>http://www.oas.org/es/mesecvi/indicadores.asp</w:t>
        </w:r>
      </w:hyperlink>
      <w:r w:rsidRPr="00D97F75">
        <w:rPr>
          <w:rFonts w:asciiTheme="minorHAnsi" w:eastAsia="Batang" w:hAnsiTheme="minorHAnsi" w:cstheme="minorHAnsi"/>
          <w:snapToGrid w:val="0"/>
          <w:sz w:val="18"/>
          <w:szCs w:val="18"/>
          <w:lang w:val="es-ES"/>
        </w:rPr>
        <w:t xml:space="preserve"> </w:t>
      </w:r>
    </w:p>
  </w:footnote>
  <w:footnote w:id="19">
    <w:p w14:paraId="2DC85B82" w14:textId="71B60EEC" w:rsidR="00B22AF2" w:rsidRPr="00D97F75" w:rsidRDefault="00B22AF2" w:rsidP="00D97F75">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Batang" w:hAnsiTheme="minorHAnsi" w:cstheme="minorHAnsi"/>
          <w:snapToGrid w:val="0"/>
          <w:sz w:val="18"/>
          <w:szCs w:val="18"/>
          <w:lang w:val="es-US"/>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US"/>
        </w:rPr>
        <w:t xml:space="preserve">MESECVI (2017). </w:t>
      </w:r>
      <w:r w:rsidRPr="00D97F75">
        <w:rPr>
          <w:rFonts w:asciiTheme="minorHAnsi" w:eastAsia="Batang" w:hAnsiTheme="minorHAnsi" w:cstheme="minorHAnsi"/>
          <w:i/>
          <w:snapToGrid w:val="0"/>
          <w:sz w:val="18"/>
          <w:szCs w:val="18"/>
          <w:lang w:val="es-US"/>
        </w:rPr>
        <w:t>Ley Modelo Interamericana para Prevenir, Sancionar y Erradicar la Violencia contra las Mujeres en la Vida Política</w:t>
      </w:r>
      <w:r w:rsidRPr="00D97F75">
        <w:rPr>
          <w:rFonts w:asciiTheme="minorHAnsi" w:eastAsia="Batang" w:hAnsiTheme="minorHAnsi" w:cstheme="minorHAnsi"/>
          <w:snapToGrid w:val="0"/>
          <w:sz w:val="18"/>
          <w:szCs w:val="18"/>
          <w:lang w:val="es-US"/>
        </w:rPr>
        <w:t xml:space="preserve">. Disponible en: </w:t>
      </w:r>
      <w:hyperlink r:id="rId9" w:history="1">
        <w:r w:rsidRPr="00D97F75">
          <w:rPr>
            <w:rFonts w:asciiTheme="minorHAnsi" w:eastAsia="Batang" w:hAnsiTheme="minorHAnsi" w:cstheme="minorHAnsi"/>
            <w:snapToGrid w:val="0"/>
            <w:color w:val="0000FF"/>
            <w:sz w:val="18"/>
            <w:szCs w:val="18"/>
            <w:u w:val="single"/>
            <w:lang w:val="es-ES"/>
          </w:rPr>
          <w:t>http://www.oas.org/es/mesecvi/docs/LeyModeloViolenciaPolitica-ES.pdf</w:t>
        </w:r>
      </w:hyperlink>
    </w:p>
  </w:footnote>
  <w:footnote w:id="20">
    <w:p w14:paraId="56100E3C" w14:textId="77777777" w:rsidR="00B22AF2" w:rsidRPr="00D97F75" w:rsidRDefault="00B22AF2" w:rsidP="00D97F75">
      <w:pPr>
        <w:tabs>
          <w:tab w:val="left" w:pos="1290"/>
        </w:tabs>
        <w:rPr>
          <w:rFonts w:asciiTheme="minorHAnsi" w:hAnsiTheme="minorHAnsi" w:cstheme="minorHAnsi"/>
          <w:sz w:val="18"/>
          <w:szCs w:val="18"/>
          <w:lang w:val="es-ES"/>
        </w:rPr>
      </w:pPr>
      <w:r w:rsidRPr="00D97F75">
        <w:rPr>
          <w:rStyle w:val="FootnoteReference"/>
          <w:sz w:val="18"/>
          <w:szCs w:val="18"/>
        </w:rPr>
        <w:footnoteRef/>
      </w:r>
      <w:r w:rsidRPr="00E74BA0">
        <w:rPr>
          <w:sz w:val="18"/>
          <w:szCs w:val="18"/>
          <w:lang w:val="es-PE"/>
        </w:rPr>
        <w:t xml:space="preserve"> </w:t>
      </w:r>
      <w:r w:rsidRPr="00D97F75">
        <w:rPr>
          <w:rFonts w:asciiTheme="minorHAnsi" w:eastAsia="Batang" w:hAnsiTheme="minorHAnsi" w:cstheme="minorHAnsi"/>
          <w:snapToGrid w:val="0"/>
          <w:sz w:val="18"/>
          <w:szCs w:val="18"/>
          <w:lang w:val="es-US"/>
        </w:rPr>
        <w:t xml:space="preserve">MESECVI (2018). </w:t>
      </w:r>
      <w:r w:rsidRPr="00D97F75">
        <w:rPr>
          <w:rFonts w:asciiTheme="minorHAnsi" w:eastAsia="Batang" w:hAnsiTheme="minorHAnsi" w:cstheme="minorHAnsi"/>
          <w:i/>
          <w:snapToGrid w:val="0"/>
          <w:sz w:val="18"/>
          <w:szCs w:val="18"/>
          <w:lang w:val="es-US"/>
        </w:rPr>
        <w:t>Ley Modelo Interamericana para Prevenir, Sancionar y Erradicar la Muerte Violenta de Mujeres por Razones de Género (Femicidio/Feminicidio)</w:t>
      </w:r>
      <w:r w:rsidRPr="00D97F75">
        <w:rPr>
          <w:rFonts w:asciiTheme="minorHAnsi" w:eastAsia="Batang" w:hAnsiTheme="minorHAnsi" w:cstheme="minorHAnsi"/>
          <w:snapToGrid w:val="0"/>
          <w:sz w:val="18"/>
          <w:szCs w:val="18"/>
          <w:lang w:val="es-US"/>
        </w:rPr>
        <w:t xml:space="preserve">. Disponible en: </w:t>
      </w:r>
      <w:hyperlink r:id="rId10" w:history="1">
        <w:r w:rsidRPr="00D97F75">
          <w:rPr>
            <w:rFonts w:asciiTheme="minorHAnsi" w:eastAsia="Batang" w:hAnsiTheme="minorHAnsi" w:cstheme="minorHAnsi"/>
            <w:snapToGrid w:val="0"/>
            <w:color w:val="0000FF"/>
            <w:sz w:val="18"/>
            <w:szCs w:val="18"/>
            <w:u w:val="single"/>
            <w:lang w:val="es-US"/>
          </w:rPr>
          <w:t>http://www.oas.org/es/mesecvi/docs/LeyModeloFemicidio-ES.pdf</w:t>
        </w:r>
      </w:hyperlink>
    </w:p>
    <w:p w14:paraId="5AAB10DB" w14:textId="40FEE804" w:rsidR="00B22AF2" w:rsidRPr="00E74BA0" w:rsidRDefault="00B22AF2" w:rsidP="00D97F75">
      <w:pPr>
        <w:pStyle w:val="FootnoteText"/>
        <w:rPr>
          <w:sz w:val="18"/>
          <w:szCs w:val="18"/>
          <w:lang w:val="es-PE"/>
        </w:rPr>
      </w:pPr>
    </w:p>
  </w:footnote>
  <w:footnote w:id="21">
    <w:p w14:paraId="2649642D" w14:textId="77777777" w:rsidR="00B22AF2" w:rsidRPr="00D97F75" w:rsidRDefault="00B22AF2" w:rsidP="00D97F75">
      <w:pPr>
        <w:pStyle w:val="FootnoteText"/>
        <w:rPr>
          <w:rFonts w:cs="Calibri"/>
          <w:sz w:val="18"/>
          <w:szCs w:val="18"/>
          <w:lang w:val="es-US"/>
        </w:rPr>
      </w:pPr>
      <w:r w:rsidRPr="00D97F75">
        <w:rPr>
          <w:rStyle w:val="FootnoteReference"/>
          <w:rFonts w:cs="Calibri"/>
          <w:sz w:val="18"/>
          <w:szCs w:val="18"/>
        </w:rPr>
        <w:footnoteRef/>
      </w:r>
      <w:r w:rsidRPr="00D97F75">
        <w:rPr>
          <w:rFonts w:cs="Calibri"/>
          <w:sz w:val="18"/>
          <w:szCs w:val="18"/>
          <w:lang w:val="es-US"/>
        </w:rPr>
        <w:t xml:space="preserve"> Proyectos de Asistencia Técnica, 2019: </w:t>
      </w:r>
      <w:r w:rsidRPr="00D97F75">
        <w:rPr>
          <w:rFonts w:cs="Calibri"/>
          <w:sz w:val="18"/>
          <w:szCs w:val="18"/>
        </w:rPr>
        <w:sym w:font="Symbol" w:char="F03C"/>
      </w:r>
      <w:hyperlink r:id="rId11" w:history="1">
        <w:r w:rsidRPr="00D97F75">
          <w:rPr>
            <w:rStyle w:val="Hyperlink"/>
            <w:rFonts w:cs="Calibri"/>
            <w:sz w:val="18"/>
            <w:szCs w:val="18"/>
            <w:lang w:val="es-US"/>
          </w:rPr>
          <w:t>https://ipgh.org/pat-2019.html</w:t>
        </w:r>
      </w:hyperlink>
      <w:r w:rsidRPr="00D97F75">
        <w:rPr>
          <w:rFonts w:cs="Calibri"/>
          <w:sz w:val="18"/>
          <w:szCs w:val="18"/>
        </w:rPr>
        <w:sym w:font="Symbol" w:char="F03E"/>
      </w:r>
      <w:r w:rsidRPr="00D97F75">
        <w:rPr>
          <w:rFonts w:cs="Calibri"/>
          <w:sz w:val="18"/>
          <w:szCs w:val="18"/>
          <w:lang w:val="es-US"/>
        </w:rPr>
        <w:t>.</w:t>
      </w:r>
    </w:p>
  </w:footnote>
  <w:footnote w:id="22">
    <w:p w14:paraId="6894C6CC" w14:textId="77777777" w:rsidR="00B22AF2" w:rsidRPr="00D97F75" w:rsidRDefault="00B22AF2" w:rsidP="00D97F75">
      <w:pPr>
        <w:pStyle w:val="FootnoteText"/>
        <w:rPr>
          <w:rFonts w:cs="Calibri"/>
          <w:sz w:val="18"/>
          <w:szCs w:val="18"/>
          <w:lang w:val="es-US"/>
        </w:rPr>
      </w:pPr>
      <w:r w:rsidRPr="00D97F75">
        <w:rPr>
          <w:rStyle w:val="FootnoteReference"/>
          <w:rFonts w:cs="Calibri"/>
          <w:sz w:val="18"/>
          <w:szCs w:val="18"/>
        </w:rPr>
        <w:footnoteRef/>
      </w:r>
      <w:r w:rsidRPr="00D97F75">
        <w:rPr>
          <w:rFonts w:cs="Calibri"/>
          <w:sz w:val="18"/>
          <w:szCs w:val="18"/>
          <w:lang w:val="es-US"/>
        </w:rPr>
        <w:t xml:space="preserve"> Revistas Científicas del IPGH, plataforma OJS: </w:t>
      </w:r>
      <w:r w:rsidRPr="00D97F75">
        <w:rPr>
          <w:rFonts w:cs="Calibri"/>
          <w:sz w:val="18"/>
          <w:szCs w:val="18"/>
        </w:rPr>
        <w:sym w:font="Symbol" w:char="F03C"/>
      </w:r>
      <w:hyperlink r:id="rId12" w:history="1">
        <w:r w:rsidRPr="00D97F75">
          <w:rPr>
            <w:rStyle w:val="Hyperlink"/>
            <w:rFonts w:cs="Calibri"/>
            <w:spacing w:val="-6"/>
            <w:sz w:val="18"/>
            <w:szCs w:val="18"/>
            <w:lang w:val="es-US"/>
          </w:rPr>
          <w:t>https://www.revistasipgh.org/</w:t>
        </w:r>
      </w:hyperlink>
      <w:r w:rsidRPr="00D97F75">
        <w:rPr>
          <w:rStyle w:val="Hyperlink"/>
          <w:rFonts w:cs="Calibri"/>
          <w:spacing w:val="-6"/>
          <w:sz w:val="18"/>
          <w:szCs w:val="18"/>
        </w:rPr>
        <w:sym w:font="Symbol" w:char="F03E"/>
      </w:r>
      <w:r w:rsidRPr="00D97F75">
        <w:rPr>
          <w:rStyle w:val="Hyperlink"/>
          <w:rFonts w:cs="Calibri"/>
          <w:spacing w:val="-6"/>
          <w:sz w:val="18"/>
          <w:szCs w:val="18"/>
          <w:lang w:val="es-US"/>
        </w:rPr>
        <w:t>.</w:t>
      </w:r>
    </w:p>
  </w:footnote>
  <w:footnote w:id="23">
    <w:p w14:paraId="2E9B5FA5" w14:textId="77777777" w:rsidR="00B22AF2" w:rsidRPr="00D97F75" w:rsidRDefault="00B22AF2" w:rsidP="00D97F75">
      <w:pPr>
        <w:pStyle w:val="FootnoteText"/>
        <w:jc w:val="both"/>
        <w:rPr>
          <w:rFonts w:cs="Calibri"/>
          <w:spacing w:val="-6"/>
          <w:sz w:val="18"/>
          <w:szCs w:val="18"/>
          <w:lang w:val="es-US"/>
        </w:rPr>
      </w:pPr>
      <w:r w:rsidRPr="00D97F75">
        <w:rPr>
          <w:rStyle w:val="FootnoteReference"/>
          <w:rFonts w:cs="Calibri"/>
          <w:sz w:val="18"/>
          <w:szCs w:val="18"/>
        </w:rPr>
        <w:footnoteRef/>
      </w:r>
      <w:r w:rsidRPr="00D97F75">
        <w:rPr>
          <w:rFonts w:cs="Calibri"/>
          <w:sz w:val="18"/>
          <w:szCs w:val="18"/>
          <w:lang w:val="es-US"/>
        </w:rPr>
        <w:t xml:space="preserve"> Repositorio histórico de publicaciones del IPGH: </w:t>
      </w:r>
      <w:r w:rsidRPr="00D97F75">
        <w:rPr>
          <w:rFonts w:cs="Calibri"/>
          <w:sz w:val="18"/>
          <w:szCs w:val="18"/>
        </w:rPr>
        <w:sym w:font="Symbol" w:char="F03C"/>
      </w:r>
      <w:hyperlink r:id="rId13" w:history="1">
        <w:r w:rsidRPr="00D97F75">
          <w:rPr>
            <w:rStyle w:val="Hyperlink"/>
            <w:rFonts w:cs="Calibri"/>
            <w:spacing w:val="-6"/>
            <w:sz w:val="18"/>
            <w:szCs w:val="18"/>
            <w:lang w:val="es-US"/>
          </w:rPr>
          <w:t>https://bibliotecas.inah.gob.mx:8092/INICIO_IPGH.html</w:t>
        </w:r>
      </w:hyperlink>
      <w:r w:rsidRPr="00D97F75">
        <w:rPr>
          <w:rStyle w:val="Hyperlink"/>
          <w:rFonts w:cs="Calibri"/>
          <w:spacing w:val="-6"/>
          <w:sz w:val="18"/>
          <w:szCs w:val="18"/>
        </w:rPr>
        <w:sym w:font="Symbol" w:char="F03E"/>
      </w:r>
      <w:r w:rsidRPr="00D97F75">
        <w:rPr>
          <w:rStyle w:val="Hyperlink"/>
          <w:rFonts w:cs="Calibri"/>
          <w:spacing w:val="-6"/>
          <w:sz w:val="18"/>
          <w:szCs w:val="18"/>
          <w:lang w:val="es-US"/>
        </w:rPr>
        <w:t>.</w:t>
      </w:r>
    </w:p>
  </w:footnote>
  <w:footnote w:id="24">
    <w:p w14:paraId="19B10720" w14:textId="77777777" w:rsidR="00B22AF2" w:rsidRPr="00D97F75" w:rsidRDefault="00B22AF2" w:rsidP="00D97F75">
      <w:pPr>
        <w:pStyle w:val="FootnoteText"/>
        <w:rPr>
          <w:rFonts w:cs="Calibri"/>
          <w:sz w:val="18"/>
          <w:szCs w:val="18"/>
          <w:lang w:val="es-US"/>
        </w:rPr>
      </w:pPr>
      <w:r w:rsidRPr="00D97F75">
        <w:rPr>
          <w:rStyle w:val="FootnoteReference"/>
          <w:rFonts w:cs="Calibri"/>
          <w:sz w:val="18"/>
          <w:szCs w:val="18"/>
        </w:rPr>
        <w:footnoteRef/>
      </w:r>
      <w:r w:rsidRPr="00D97F75">
        <w:rPr>
          <w:rFonts w:cs="Calibri"/>
          <w:sz w:val="18"/>
          <w:szCs w:val="18"/>
          <w:lang w:val="es-US"/>
        </w:rPr>
        <w:t xml:space="preserve"> Fondo Bibliográfico “José Toribio Medina” del IPGH: </w:t>
      </w:r>
      <w:r w:rsidRPr="00D97F75">
        <w:rPr>
          <w:rFonts w:cs="Calibri"/>
          <w:sz w:val="18"/>
          <w:szCs w:val="18"/>
        </w:rPr>
        <w:sym w:font="Symbol" w:char="F03C"/>
      </w:r>
      <w:hyperlink r:id="rId14" w:history="1">
        <w:r w:rsidRPr="00D97F75">
          <w:rPr>
            <w:rStyle w:val="Hyperlink"/>
            <w:rFonts w:cs="Calibri"/>
            <w:sz w:val="18"/>
            <w:szCs w:val="18"/>
            <w:lang w:val="es-US"/>
          </w:rPr>
          <w:t>http://bit.ly/2Sd8kik</w:t>
        </w:r>
      </w:hyperlink>
      <w:r w:rsidRPr="00D97F75">
        <w:rPr>
          <w:rFonts w:cs="Calibri"/>
          <w:sz w:val="18"/>
          <w:szCs w:val="18"/>
        </w:rPr>
        <w:sym w:font="Symbol" w:char="F03E"/>
      </w:r>
      <w:r w:rsidRPr="00D97F75">
        <w:rPr>
          <w:rFonts w:cs="Calibri"/>
          <w:sz w:val="18"/>
          <w:szCs w:val="18"/>
          <w:lang w:val="es-US"/>
        </w:rPr>
        <w:t>.</w:t>
      </w:r>
    </w:p>
  </w:footnote>
  <w:footnote w:id="25">
    <w:p w14:paraId="376B035C" w14:textId="77777777" w:rsidR="00B22AF2" w:rsidRPr="00D97F75" w:rsidRDefault="00B22AF2" w:rsidP="00D97F75">
      <w:pPr>
        <w:pStyle w:val="FootnoteText"/>
        <w:rPr>
          <w:rFonts w:cs="Calibri"/>
          <w:sz w:val="18"/>
          <w:szCs w:val="18"/>
          <w:lang w:val="es-US"/>
        </w:rPr>
      </w:pPr>
      <w:r w:rsidRPr="00D97F75">
        <w:rPr>
          <w:rStyle w:val="FootnoteReference"/>
          <w:rFonts w:cs="Calibri"/>
          <w:sz w:val="18"/>
          <w:szCs w:val="18"/>
        </w:rPr>
        <w:footnoteRef/>
      </w:r>
      <w:r w:rsidRPr="00D97F75">
        <w:rPr>
          <w:rFonts w:cs="Calibri"/>
          <w:sz w:val="18"/>
          <w:szCs w:val="18"/>
          <w:lang w:val="es-US"/>
        </w:rPr>
        <w:t xml:space="preserve"> Documentos del Ámbito Financiero: </w:t>
      </w:r>
      <w:r w:rsidRPr="00D97F75">
        <w:rPr>
          <w:rFonts w:cs="Calibri"/>
          <w:sz w:val="18"/>
          <w:szCs w:val="18"/>
        </w:rPr>
        <w:sym w:font="Symbol" w:char="F03C"/>
      </w:r>
      <w:hyperlink r:id="rId15" w:anchor="cuotas" w:history="1">
        <w:r w:rsidRPr="00D97F75">
          <w:rPr>
            <w:rStyle w:val="Hyperlink"/>
            <w:rFonts w:cs="Calibri"/>
            <w:sz w:val="18"/>
            <w:szCs w:val="18"/>
            <w:lang w:val="es-US"/>
          </w:rPr>
          <w:t>https://ipgh.org/financiero.html#cuotas</w:t>
        </w:r>
      </w:hyperlink>
      <w:r w:rsidRPr="00D97F75">
        <w:rPr>
          <w:rFonts w:cs="Calibri"/>
          <w:sz w:val="18"/>
          <w:szCs w:val="18"/>
        </w:rPr>
        <w:sym w:font="Symbol" w:char="F03E"/>
      </w:r>
      <w:r w:rsidRPr="00D97F75">
        <w:rPr>
          <w:rFonts w:cs="Calibri"/>
          <w:sz w:val="18"/>
          <w:szCs w:val="18"/>
          <w:lang w:val="es-US"/>
        </w:rPr>
        <w:t>.</w:t>
      </w:r>
    </w:p>
  </w:footnote>
  <w:footnote w:id="26">
    <w:p w14:paraId="1F6CA4C2" w14:textId="77777777" w:rsidR="00B22AF2" w:rsidRPr="00D97F75" w:rsidRDefault="00B22AF2" w:rsidP="00D97F75">
      <w:pPr>
        <w:pStyle w:val="FootnoteText"/>
        <w:rPr>
          <w:sz w:val="18"/>
          <w:szCs w:val="18"/>
          <w:lang w:val="es-US"/>
        </w:rPr>
      </w:pPr>
      <w:r w:rsidRPr="00D97F75">
        <w:rPr>
          <w:rStyle w:val="FootnoteReference"/>
          <w:rFonts w:cs="Calibri"/>
          <w:sz w:val="18"/>
          <w:szCs w:val="18"/>
        </w:rPr>
        <w:footnoteRef/>
      </w:r>
      <w:r w:rsidRPr="00D97F75">
        <w:rPr>
          <w:rFonts w:cs="Calibri"/>
          <w:sz w:val="18"/>
          <w:szCs w:val="18"/>
          <w:lang w:val="es-US"/>
        </w:rPr>
        <w:t xml:space="preserve"> Socios Cooperadores del IPGH: </w:t>
      </w:r>
      <w:r w:rsidRPr="00D97F75">
        <w:rPr>
          <w:rFonts w:cs="Calibri"/>
          <w:sz w:val="18"/>
          <w:szCs w:val="18"/>
        </w:rPr>
        <w:sym w:font="Symbol" w:char="F03C"/>
      </w:r>
      <w:hyperlink r:id="rId16" w:history="1">
        <w:r w:rsidRPr="00D97F75">
          <w:rPr>
            <w:rStyle w:val="Hyperlink"/>
            <w:rFonts w:cs="Calibri"/>
            <w:sz w:val="18"/>
            <w:szCs w:val="18"/>
            <w:lang w:val="es-US"/>
          </w:rPr>
          <w:t>https://ipgh.org/socios-cooperadores.html</w:t>
        </w:r>
      </w:hyperlink>
      <w:r w:rsidRPr="00D97F75">
        <w:rPr>
          <w:rFonts w:cs="Calibri"/>
          <w:sz w:val="18"/>
          <w:szCs w:val="18"/>
        </w:rPr>
        <w:sym w:font="Symbol" w:char="F03E"/>
      </w:r>
      <w:r w:rsidRPr="00D97F75">
        <w:rPr>
          <w:rFonts w:cs="Calibri"/>
          <w:sz w:val="18"/>
          <w:szCs w:val="18"/>
          <w:lang w:val="es-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42A5"/>
    <w:multiLevelType w:val="multilevel"/>
    <w:tmpl w:val="FB547A20"/>
    <w:lvl w:ilvl="0">
      <w:start w:val="2"/>
      <w:numFmt w:val="decimal"/>
      <w:lvlText w:val="%1"/>
      <w:lvlJc w:val="left"/>
      <w:pPr>
        <w:ind w:left="360" w:hanging="360"/>
      </w:pPr>
      <w:rPr>
        <w:rFonts w:hint="default"/>
      </w:rPr>
    </w:lvl>
    <w:lvl w:ilvl="1">
      <w:start w:val="8"/>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 w15:restartNumberingAfterBreak="0">
    <w:nsid w:val="01A5535B"/>
    <w:multiLevelType w:val="hybridMultilevel"/>
    <w:tmpl w:val="15BA07FE"/>
    <w:lvl w:ilvl="0" w:tplc="D50A81C2">
      <w:start w:val="1"/>
      <w:numFmt w:val="bullet"/>
      <w:lvlText w:val=""/>
      <w:lvlJc w:val="left"/>
      <w:pPr>
        <w:ind w:left="-270" w:hanging="360"/>
      </w:pPr>
      <w:rPr>
        <w:rFonts w:ascii="Wingdings" w:hAnsi="Wingdings" w:hint="default"/>
        <w:lang w:val="es-ES"/>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2" w15:restartNumberingAfterBreak="0">
    <w:nsid w:val="01E7378D"/>
    <w:multiLevelType w:val="hybridMultilevel"/>
    <w:tmpl w:val="E160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C73E3"/>
    <w:multiLevelType w:val="hybridMultilevel"/>
    <w:tmpl w:val="5898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0671C"/>
    <w:multiLevelType w:val="hybridMultilevel"/>
    <w:tmpl w:val="BDE21E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413705A"/>
    <w:multiLevelType w:val="multilevel"/>
    <w:tmpl w:val="1CB6BF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4F7456"/>
    <w:multiLevelType w:val="hybridMultilevel"/>
    <w:tmpl w:val="F9FE3328"/>
    <w:lvl w:ilvl="0" w:tplc="7198559E">
      <w:start w:val="1"/>
      <w:numFmt w:val="decimal"/>
      <w:lvlText w:val="%1."/>
      <w:lvlJc w:val="left"/>
      <w:pPr>
        <w:ind w:left="405" w:hanging="360"/>
      </w:pPr>
      <w:rPr>
        <w:rFonts w:cs="Calibri" w:hint="default"/>
        <w:color w:val="000000"/>
      </w:rPr>
    </w:lvl>
    <w:lvl w:ilvl="1" w:tplc="200A0019" w:tentative="1">
      <w:start w:val="1"/>
      <w:numFmt w:val="lowerLetter"/>
      <w:lvlText w:val="%2."/>
      <w:lvlJc w:val="left"/>
      <w:pPr>
        <w:ind w:left="1125" w:hanging="360"/>
      </w:pPr>
    </w:lvl>
    <w:lvl w:ilvl="2" w:tplc="200A001B" w:tentative="1">
      <w:start w:val="1"/>
      <w:numFmt w:val="lowerRoman"/>
      <w:lvlText w:val="%3."/>
      <w:lvlJc w:val="right"/>
      <w:pPr>
        <w:ind w:left="1845" w:hanging="180"/>
      </w:pPr>
    </w:lvl>
    <w:lvl w:ilvl="3" w:tplc="200A000F" w:tentative="1">
      <w:start w:val="1"/>
      <w:numFmt w:val="decimal"/>
      <w:lvlText w:val="%4."/>
      <w:lvlJc w:val="left"/>
      <w:pPr>
        <w:ind w:left="2565" w:hanging="360"/>
      </w:pPr>
    </w:lvl>
    <w:lvl w:ilvl="4" w:tplc="200A0019" w:tentative="1">
      <w:start w:val="1"/>
      <w:numFmt w:val="lowerLetter"/>
      <w:lvlText w:val="%5."/>
      <w:lvlJc w:val="left"/>
      <w:pPr>
        <w:ind w:left="3285" w:hanging="360"/>
      </w:pPr>
    </w:lvl>
    <w:lvl w:ilvl="5" w:tplc="200A001B" w:tentative="1">
      <w:start w:val="1"/>
      <w:numFmt w:val="lowerRoman"/>
      <w:lvlText w:val="%6."/>
      <w:lvlJc w:val="right"/>
      <w:pPr>
        <w:ind w:left="4005" w:hanging="180"/>
      </w:pPr>
    </w:lvl>
    <w:lvl w:ilvl="6" w:tplc="200A000F" w:tentative="1">
      <w:start w:val="1"/>
      <w:numFmt w:val="decimal"/>
      <w:lvlText w:val="%7."/>
      <w:lvlJc w:val="left"/>
      <w:pPr>
        <w:ind w:left="4725" w:hanging="360"/>
      </w:pPr>
    </w:lvl>
    <w:lvl w:ilvl="7" w:tplc="200A0019" w:tentative="1">
      <w:start w:val="1"/>
      <w:numFmt w:val="lowerLetter"/>
      <w:lvlText w:val="%8."/>
      <w:lvlJc w:val="left"/>
      <w:pPr>
        <w:ind w:left="5445" w:hanging="360"/>
      </w:pPr>
    </w:lvl>
    <w:lvl w:ilvl="8" w:tplc="200A001B" w:tentative="1">
      <w:start w:val="1"/>
      <w:numFmt w:val="lowerRoman"/>
      <w:lvlText w:val="%9."/>
      <w:lvlJc w:val="right"/>
      <w:pPr>
        <w:ind w:left="6165" w:hanging="180"/>
      </w:pPr>
    </w:lvl>
  </w:abstractNum>
  <w:abstractNum w:abstractNumId="7" w15:restartNumberingAfterBreak="0">
    <w:nsid w:val="0495658A"/>
    <w:multiLevelType w:val="hybridMultilevel"/>
    <w:tmpl w:val="1150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9524AD"/>
    <w:multiLevelType w:val="hybridMultilevel"/>
    <w:tmpl w:val="A7342028"/>
    <w:numStyleLink w:val="Estiloimportado1"/>
  </w:abstractNum>
  <w:abstractNum w:abstractNumId="9" w15:restartNumberingAfterBreak="0">
    <w:nsid w:val="07033718"/>
    <w:multiLevelType w:val="hybridMultilevel"/>
    <w:tmpl w:val="9B3A730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07632384"/>
    <w:multiLevelType w:val="hybridMultilevel"/>
    <w:tmpl w:val="91165F60"/>
    <w:lvl w:ilvl="0" w:tplc="A84A945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7B850D6"/>
    <w:multiLevelType w:val="hybridMultilevel"/>
    <w:tmpl w:val="DB4462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80679AF"/>
    <w:multiLevelType w:val="hybridMultilevel"/>
    <w:tmpl w:val="36223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8420455"/>
    <w:multiLevelType w:val="hybridMultilevel"/>
    <w:tmpl w:val="1884C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900641A"/>
    <w:multiLevelType w:val="hybridMultilevel"/>
    <w:tmpl w:val="2F14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70369A"/>
    <w:multiLevelType w:val="hybridMultilevel"/>
    <w:tmpl w:val="D8D26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9F1077A"/>
    <w:multiLevelType w:val="hybridMultilevel"/>
    <w:tmpl w:val="1A164402"/>
    <w:lvl w:ilvl="0" w:tplc="24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BE3440E"/>
    <w:multiLevelType w:val="hybridMultilevel"/>
    <w:tmpl w:val="03D69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C4A1393"/>
    <w:multiLevelType w:val="hybridMultilevel"/>
    <w:tmpl w:val="42F4F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0C6701A5"/>
    <w:multiLevelType w:val="hybridMultilevel"/>
    <w:tmpl w:val="D1B6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E53ED6"/>
    <w:multiLevelType w:val="hybridMultilevel"/>
    <w:tmpl w:val="936AE7FA"/>
    <w:lvl w:ilvl="0" w:tplc="04090001">
      <w:start w:val="1"/>
      <w:numFmt w:val="bullet"/>
      <w:lvlText w:val=""/>
      <w:lvlJc w:val="left"/>
      <w:pPr>
        <w:ind w:left="360" w:hanging="360"/>
      </w:pPr>
      <w:rPr>
        <w:rFonts w:ascii="Symbol" w:hAnsi="Symbol" w:hint="default"/>
        <w:color w:val="E36C0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0E6A20B8"/>
    <w:multiLevelType w:val="hybridMultilevel"/>
    <w:tmpl w:val="53AC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E81AA8"/>
    <w:multiLevelType w:val="hybridMultilevel"/>
    <w:tmpl w:val="83827108"/>
    <w:lvl w:ilvl="0" w:tplc="162A8F50">
      <w:start w:val="1"/>
      <w:numFmt w:val="upperLetter"/>
      <w:lvlText w:val="%1."/>
      <w:lvlJc w:val="left"/>
      <w:pPr>
        <w:ind w:left="786" w:hanging="360"/>
      </w:pPr>
      <w:rPr>
        <w:rFonts w:cs="Calibr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0F1C4EEF"/>
    <w:multiLevelType w:val="hybridMultilevel"/>
    <w:tmpl w:val="DFBE0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0704EC5"/>
    <w:multiLevelType w:val="hybridMultilevel"/>
    <w:tmpl w:val="63341A3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5" w15:restartNumberingAfterBreak="0">
    <w:nsid w:val="10787B25"/>
    <w:multiLevelType w:val="hybridMultilevel"/>
    <w:tmpl w:val="E0EC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8F5F13"/>
    <w:multiLevelType w:val="hybridMultilevel"/>
    <w:tmpl w:val="4344D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AD58F8"/>
    <w:multiLevelType w:val="hybridMultilevel"/>
    <w:tmpl w:val="B0DA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501540"/>
    <w:multiLevelType w:val="hybridMultilevel"/>
    <w:tmpl w:val="D54A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E27689"/>
    <w:multiLevelType w:val="hybridMultilevel"/>
    <w:tmpl w:val="5246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4751BB"/>
    <w:multiLevelType w:val="hybridMultilevel"/>
    <w:tmpl w:val="60B8D2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6D114E4"/>
    <w:multiLevelType w:val="hybridMultilevel"/>
    <w:tmpl w:val="34F86F88"/>
    <w:lvl w:ilvl="0" w:tplc="3B8A8878">
      <w:start w:val="1"/>
      <w:numFmt w:val="bullet"/>
      <w:lvlText w:val=""/>
      <w:lvlJc w:val="left"/>
      <w:pPr>
        <w:ind w:left="90" w:hanging="360"/>
      </w:pPr>
      <w:rPr>
        <w:rFonts w:ascii="Wingdings" w:hAnsi="Wingdings" w:hint="default"/>
        <w:color w:val="auto"/>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2" w15:restartNumberingAfterBreak="0">
    <w:nsid w:val="16D633DE"/>
    <w:multiLevelType w:val="multilevel"/>
    <w:tmpl w:val="8F2044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91C0E46"/>
    <w:multiLevelType w:val="hybridMultilevel"/>
    <w:tmpl w:val="0486C1E8"/>
    <w:lvl w:ilvl="0" w:tplc="0C0A0001">
      <w:start w:val="1"/>
      <w:numFmt w:val="bullet"/>
      <w:lvlText w:val=""/>
      <w:lvlJc w:val="left"/>
      <w:pPr>
        <w:ind w:left="720" w:hanging="360"/>
      </w:pPr>
      <w:rPr>
        <w:rFonts w:ascii="Symbol" w:hAnsi="Symbol" w:hint="default"/>
        <w:b/>
        <w:color w:val="4BACC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197D7340"/>
    <w:multiLevelType w:val="hybridMultilevel"/>
    <w:tmpl w:val="466E4DF4"/>
    <w:lvl w:ilvl="0" w:tplc="23805E6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E335059"/>
    <w:multiLevelType w:val="hybridMultilevel"/>
    <w:tmpl w:val="5CE4FFC4"/>
    <w:lvl w:ilvl="0" w:tplc="24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E8F0492"/>
    <w:multiLevelType w:val="hybridMultilevel"/>
    <w:tmpl w:val="FFAE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245A83"/>
    <w:multiLevelType w:val="hybridMultilevel"/>
    <w:tmpl w:val="2B00FF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1FFB2290"/>
    <w:multiLevelType w:val="hybridMultilevel"/>
    <w:tmpl w:val="56C670A2"/>
    <w:lvl w:ilvl="0" w:tplc="A09CFF38">
      <w:numFmt w:val="bullet"/>
      <w:lvlText w:val="•"/>
      <w:lvlJc w:val="left"/>
      <w:pPr>
        <w:ind w:left="540" w:hanging="360"/>
      </w:pPr>
      <w:rPr>
        <w:rFonts w:ascii="Calibri" w:eastAsia="Calibri" w:hAnsi="Calibri" w:cs="Times New Roman" w:hint="default"/>
      </w:rPr>
    </w:lvl>
    <w:lvl w:ilvl="1" w:tplc="5CE401EC">
      <w:numFmt w:val="bullet"/>
      <w:lvlText w:val="-"/>
      <w:lvlJc w:val="left"/>
      <w:pPr>
        <w:ind w:left="1260" w:hanging="360"/>
      </w:pPr>
      <w:rPr>
        <w:rFonts w:ascii="Calibri" w:eastAsia="Calibri" w:hAnsi="Calibri" w:cs="Times New Roman"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200634FC"/>
    <w:multiLevelType w:val="hybridMultilevel"/>
    <w:tmpl w:val="FCDAD0CC"/>
    <w:lvl w:ilvl="0" w:tplc="23805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5867A2"/>
    <w:multiLevelType w:val="hybridMultilevel"/>
    <w:tmpl w:val="0BA03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C35F51"/>
    <w:multiLevelType w:val="hybridMultilevel"/>
    <w:tmpl w:val="C57C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8A488A"/>
    <w:multiLevelType w:val="hybridMultilevel"/>
    <w:tmpl w:val="33AC9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72B4369"/>
    <w:multiLevelType w:val="hybridMultilevel"/>
    <w:tmpl w:val="A368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760747"/>
    <w:multiLevelType w:val="hybridMultilevel"/>
    <w:tmpl w:val="B302D506"/>
    <w:lvl w:ilvl="0" w:tplc="14AEC312">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92368B7"/>
    <w:multiLevelType w:val="hybridMultilevel"/>
    <w:tmpl w:val="A314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0A606C"/>
    <w:multiLevelType w:val="hybridMultilevel"/>
    <w:tmpl w:val="AAC602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2F1B608E"/>
    <w:multiLevelType w:val="hybridMultilevel"/>
    <w:tmpl w:val="DBE472B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8" w15:restartNumberingAfterBreak="0">
    <w:nsid w:val="32604972"/>
    <w:multiLevelType w:val="hybridMultilevel"/>
    <w:tmpl w:val="A0820C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0118D3"/>
    <w:multiLevelType w:val="hybridMultilevel"/>
    <w:tmpl w:val="06DEBAE6"/>
    <w:lvl w:ilvl="0" w:tplc="04090005">
      <w:start w:val="1"/>
      <w:numFmt w:val="bullet"/>
      <w:lvlText w:val=""/>
      <w:lvlJc w:val="left"/>
      <w:pPr>
        <w:tabs>
          <w:tab w:val="num" w:pos="720"/>
        </w:tabs>
        <w:ind w:left="720" w:hanging="360"/>
      </w:pPr>
      <w:rPr>
        <w:rFonts w:ascii="Wingdings" w:hAnsi="Wingdings" w:hint="default"/>
      </w:rPr>
    </w:lvl>
    <w:lvl w:ilvl="1" w:tplc="ABB01A56">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768527D"/>
    <w:multiLevelType w:val="hybridMultilevel"/>
    <w:tmpl w:val="980A3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7B43954"/>
    <w:multiLevelType w:val="hybridMultilevel"/>
    <w:tmpl w:val="B4E0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DC0785"/>
    <w:multiLevelType w:val="hybridMultilevel"/>
    <w:tmpl w:val="BF8003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3A463F2D"/>
    <w:multiLevelType w:val="hybridMultilevel"/>
    <w:tmpl w:val="8496D39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4" w15:restartNumberingAfterBreak="0">
    <w:nsid w:val="3B560615"/>
    <w:multiLevelType w:val="hybridMultilevel"/>
    <w:tmpl w:val="19F6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710B95"/>
    <w:multiLevelType w:val="hybridMultilevel"/>
    <w:tmpl w:val="98487C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175AAF"/>
    <w:multiLevelType w:val="multilevel"/>
    <w:tmpl w:val="6B946FD2"/>
    <w:lvl w:ilvl="0">
      <w:start w:val="2"/>
      <w:numFmt w:val="decimal"/>
      <w:lvlText w:val="%1"/>
      <w:lvlJc w:val="left"/>
      <w:pPr>
        <w:ind w:left="375" w:hanging="375"/>
      </w:pPr>
      <w:rPr>
        <w:rFonts w:hint="default"/>
      </w:rPr>
    </w:lvl>
    <w:lvl w:ilvl="1">
      <w:start w:val="10"/>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3D5812F6"/>
    <w:multiLevelType w:val="hybridMultilevel"/>
    <w:tmpl w:val="C6DA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F80B39"/>
    <w:multiLevelType w:val="hybridMultilevel"/>
    <w:tmpl w:val="775C75C6"/>
    <w:lvl w:ilvl="0" w:tplc="802EFAFA">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E6B3D2B"/>
    <w:multiLevelType w:val="hybridMultilevel"/>
    <w:tmpl w:val="996AE5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42AD24FD"/>
    <w:multiLevelType w:val="hybridMultilevel"/>
    <w:tmpl w:val="25EC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392FC0"/>
    <w:multiLevelType w:val="multilevel"/>
    <w:tmpl w:val="0778E7A6"/>
    <w:lvl w:ilvl="0">
      <w:start w:val="2"/>
      <w:numFmt w:val="decimal"/>
      <w:lvlText w:val="%1"/>
      <w:lvlJc w:val="left"/>
      <w:pPr>
        <w:ind w:left="435" w:hanging="435"/>
      </w:pPr>
      <w:rPr>
        <w:rFonts w:hint="default"/>
      </w:rPr>
    </w:lvl>
    <w:lvl w:ilvl="1">
      <w:start w:val="5"/>
      <w:numFmt w:val="decimal"/>
      <w:lvlText w:val="%1.%2"/>
      <w:lvlJc w:val="left"/>
      <w:pPr>
        <w:ind w:left="885" w:hanging="435"/>
      </w:pPr>
      <w:rPr>
        <w:rFonts w:hint="default"/>
      </w:rPr>
    </w:lvl>
    <w:lvl w:ilvl="2">
      <w:start w:val="2"/>
      <w:numFmt w:val="decimal"/>
      <w:lvlText w:val="%1.%2.%3"/>
      <w:lvlJc w:val="left"/>
      <w:pPr>
        <w:ind w:left="1080" w:hanging="720"/>
      </w:pPr>
      <w:rPr>
        <w:rFonts w:hint="default"/>
        <w:lang w:val="es-B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2" w15:restartNumberingAfterBreak="0">
    <w:nsid w:val="46EC17AB"/>
    <w:multiLevelType w:val="hybridMultilevel"/>
    <w:tmpl w:val="70500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7BA5B69"/>
    <w:multiLevelType w:val="hybridMultilevel"/>
    <w:tmpl w:val="E712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BA62C5"/>
    <w:multiLevelType w:val="hybridMultilevel"/>
    <w:tmpl w:val="4B5C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CC09AD"/>
    <w:multiLevelType w:val="hybridMultilevel"/>
    <w:tmpl w:val="DB2CC5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15:restartNumberingAfterBreak="0">
    <w:nsid w:val="48EA065F"/>
    <w:multiLevelType w:val="hybridMultilevel"/>
    <w:tmpl w:val="1786BA0C"/>
    <w:lvl w:ilvl="0" w:tplc="0409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4ACB0738"/>
    <w:multiLevelType w:val="hybridMultilevel"/>
    <w:tmpl w:val="63F8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2870A7"/>
    <w:multiLevelType w:val="hybridMultilevel"/>
    <w:tmpl w:val="BE64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4C6F2F"/>
    <w:multiLevelType w:val="hybridMultilevel"/>
    <w:tmpl w:val="C6C8598A"/>
    <w:lvl w:ilvl="0" w:tplc="DE0E63D2">
      <w:start w:val="1"/>
      <w:numFmt w:val="decimal"/>
      <w:lvlText w:val="%1."/>
      <w:lvlJc w:val="left"/>
      <w:pPr>
        <w:ind w:left="720" w:hanging="360"/>
      </w:pPr>
      <w:rPr>
        <w:rFonts w:cs="Calibri" w:hint="default"/>
        <w:color w:val="00000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0" w15:restartNumberingAfterBreak="0">
    <w:nsid w:val="4BDE582B"/>
    <w:multiLevelType w:val="hybridMultilevel"/>
    <w:tmpl w:val="78F4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AB0810"/>
    <w:multiLevelType w:val="hybridMultilevel"/>
    <w:tmpl w:val="CAD8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806ADB"/>
    <w:multiLevelType w:val="hybridMultilevel"/>
    <w:tmpl w:val="4218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A57A44"/>
    <w:multiLevelType w:val="hybridMultilevel"/>
    <w:tmpl w:val="D2D85772"/>
    <w:lvl w:ilvl="0" w:tplc="4816F27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E973094"/>
    <w:multiLevelType w:val="hybridMultilevel"/>
    <w:tmpl w:val="A4EEE3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5" w15:restartNumberingAfterBreak="0">
    <w:nsid w:val="50407603"/>
    <w:multiLevelType w:val="hybridMultilevel"/>
    <w:tmpl w:val="2D88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CC7437"/>
    <w:multiLevelType w:val="hybridMultilevel"/>
    <w:tmpl w:val="82F0BC1C"/>
    <w:lvl w:ilvl="0" w:tplc="0C0A0001">
      <w:start w:val="1"/>
      <w:numFmt w:val="bullet"/>
      <w:lvlText w:val=""/>
      <w:lvlJc w:val="left"/>
      <w:pPr>
        <w:ind w:left="720" w:hanging="360"/>
      </w:pPr>
      <w:rPr>
        <w:rFonts w:ascii="Symbol" w:hAnsi="Symbol" w:hint="default"/>
        <w:b/>
        <w:color w:val="4BACC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7" w15:restartNumberingAfterBreak="0">
    <w:nsid w:val="515F74DA"/>
    <w:multiLevelType w:val="hybridMultilevel"/>
    <w:tmpl w:val="920E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18F310B"/>
    <w:multiLevelType w:val="hybridMultilevel"/>
    <w:tmpl w:val="8452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1B55071"/>
    <w:multiLevelType w:val="hybridMultilevel"/>
    <w:tmpl w:val="0EC2765C"/>
    <w:lvl w:ilvl="0" w:tplc="67103284">
      <w:start w:val="1"/>
      <w:numFmt w:val="bullet"/>
      <w:lvlText w:val=""/>
      <w:lvlJc w:val="left"/>
      <w:pPr>
        <w:ind w:left="360" w:hanging="360"/>
      </w:pPr>
      <w:rPr>
        <w:rFonts w:ascii="Symbol" w:hAnsi="Symbol" w:hint="default"/>
        <w:b w:val="0"/>
        <w:i w:val="0"/>
        <w:color w:val="auto"/>
        <w:sz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1EA4333"/>
    <w:multiLevelType w:val="hybridMultilevel"/>
    <w:tmpl w:val="99C0FAE6"/>
    <w:lvl w:ilvl="0" w:tplc="668C7008">
      <w:start w:val="9"/>
      <w:numFmt w:val="bullet"/>
      <w:lvlText w:val="-"/>
      <w:lvlJc w:val="left"/>
      <w:pPr>
        <w:ind w:left="1080" w:hanging="360"/>
      </w:pPr>
      <w:rPr>
        <w:rFonts w:ascii="Calibri" w:eastAsia="SimSun"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225115A"/>
    <w:multiLevelType w:val="hybridMultilevel"/>
    <w:tmpl w:val="A09C12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2" w15:restartNumberingAfterBreak="0">
    <w:nsid w:val="53756BF3"/>
    <w:multiLevelType w:val="hybridMultilevel"/>
    <w:tmpl w:val="330A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52F3E7A"/>
    <w:multiLevelType w:val="hybridMultilevel"/>
    <w:tmpl w:val="2092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B70370"/>
    <w:multiLevelType w:val="hybridMultilevel"/>
    <w:tmpl w:val="16AC3AAA"/>
    <w:lvl w:ilvl="0" w:tplc="24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569A1ED5"/>
    <w:multiLevelType w:val="hybridMultilevel"/>
    <w:tmpl w:val="0F2A2F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57F1089C"/>
    <w:multiLevelType w:val="hybridMultilevel"/>
    <w:tmpl w:val="F29E41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D167F6"/>
    <w:multiLevelType w:val="hybridMultilevel"/>
    <w:tmpl w:val="7D00E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163DA5"/>
    <w:multiLevelType w:val="hybridMultilevel"/>
    <w:tmpl w:val="3B1E40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9" w15:restartNumberingAfterBreak="0">
    <w:nsid w:val="5A1F2F12"/>
    <w:multiLevelType w:val="hybridMultilevel"/>
    <w:tmpl w:val="451E1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7B774E"/>
    <w:multiLevelType w:val="hybridMultilevel"/>
    <w:tmpl w:val="761EF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403ACC"/>
    <w:multiLevelType w:val="hybridMultilevel"/>
    <w:tmpl w:val="A7342028"/>
    <w:styleLink w:val="Estiloimportado1"/>
    <w:lvl w:ilvl="0" w:tplc="1714D6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DA627D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B4C63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626B27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FD0673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54E5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714BFF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178B24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FF2778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2" w15:restartNumberingAfterBreak="0">
    <w:nsid w:val="5DB77F5B"/>
    <w:multiLevelType w:val="hybridMultilevel"/>
    <w:tmpl w:val="AF0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41692F"/>
    <w:multiLevelType w:val="hybridMultilevel"/>
    <w:tmpl w:val="F59E4304"/>
    <w:lvl w:ilvl="0" w:tplc="0409000F">
      <w:start w:val="1"/>
      <w:numFmt w:val="decimal"/>
      <w:lvlText w:val="%1."/>
      <w:lvlJc w:val="left"/>
      <w:pPr>
        <w:ind w:left="504" w:hanging="360"/>
      </w:p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start w:val="1"/>
      <w:numFmt w:val="decimal"/>
      <w:lvlText w:val="%4."/>
      <w:lvlJc w:val="left"/>
      <w:pPr>
        <w:ind w:left="2664" w:hanging="360"/>
      </w:p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start w:val="1"/>
      <w:numFmt w:val="lowerLetter"/>
      <w:lvlText w:val="%8."/>
      <w:lvlJc w:val="left"/>
      <w:pPr>
        <w:ind w:left="5544" w:hanging="360"/>
      </w:pPr>
    </w:lvl>
    <w:lvl w:ilvl="8" w:tplc="0409001B">
      <w:start w:val="1"/>
      <w:numFmt w:val="lowerRoman"/>
      <w:lvlText w:val="%9."/>
      <w:lvlJc w:val="right"/>
      <w:pPr>
        <w:ind w:left="6264" w:hanging="180"/>
      </w:pPr>
    </w:lvl>
  </w:abstractNum>
  <w:abstractNum w:abstractNumId="94" w15:restartNumberingAfterBreak="0">
    <w:nsid w:val="60567E9F"/>
    <w:multiLevelType w:val="hybridMultilevel"/>
    <w:tmpl w:val="CA02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11F1AC2"/>
    <w:multiLevelType w:val="hybridMultilevel"/>
    <w:tmpl w:val="5052E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89170C"/>
    <w:multiLevelType w:val="hybridMultilevel"/>
    <w:tmpl w:val="9D2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622926"/>
    <w:multiLevelType w:val="hybridMultilevel"/>
    <w:tmpl w:val="E31A1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56B0C62"/>
    <w:multiLevelType w:val="hybridMultilevel"/>
    <w:tmpl w:val="88827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5F0674A"/>
    <w:multiLevelType w:val="hybridMultilevel"/>
    <w:tmpl w:val="C64CDA28"/>
    <w:lvl w:ilvl="0" w:tplc="2C0A0001">
      <w:start w:val="1"/>
      <w:numFmt w:val="bullet"/>
      <w:lvlText w:val=""/>
      <w:lvlJc w:val="left"/>
      <w:pPr>
        <w:ind w:left="63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0" w15:restartNumberingAfterBreak="0">
    <w:nsid w:val="666039D4"/>
    <w:multiLevelType w:val="hybridMultilevel"/>
    <w:tmpl w:val="62DAC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84C0A0A"/>
    <w:multiLevelType w:val="hybridMultilevel"/>
    <w:tmpl w:val="D79C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E95798"/>
    <w:multiLevelType w:val="hybridMultilevel"/>
    <w:tmpl w:val="3EDE1AD0"/>
    <w:lvl w:ilvl="0" w:tplc="0C0A0001">
      <w:start w:val="1"/>
      <w:numFmt w:val="bullet"/>
      <w:lvlText w:val=""/>
      <w:lvlJc w:val="left"/>
      <w:pPr>
        <w:tabs>
          <w:tab w:val="num" w:pos="720"/>
        </w:tabs>
        <w:ind w:left="720" w:hanging="360"/>
      </w:pPr>
      <w:rPr>
        <w:rFonts w:ascii="Symbol" w:hAnsi="Symbol" w:hint="default"/>
      </w:rPr>
    </w:lvl>
    <w:lvl w:ilvl="1" w:tplc="238274B8" w:tentative="1">
      <w:start w:val="1"/>
      <w:numFmt w:val="bullet"/>
      <w:lvlText w:val="•"/>
      <w:lvlJc w:val="left"/>
      <w:pPr>
        <w:tabs>
          <w:tab w:val="num" w:pos="1440"/>
        </w:tabs>
        <w:ind w:left="1440" w:hanging="360"/>
      </w:pPr>
      <w:rPr>
        <w:rFonts w:ascii="Arial" w:hAnsi="Arial" w:hint="default"/>
      </w:rPr>
    </w:lvl>
    <w:lvl w:ilvl="2" w:tplc="5B1A6A50" w:tentative="1">
      <w:start w:val="1"/>
      <w:numFmt w:val="bullet"/>
      <w:lvlText w:val="•"/>
      <w:lvlJc w:val="left"/>
      <w:pPr>
        <w:tabs>
          <w:tab w:val="num" w:pos="2160"/>
        </w:tabs>
        <w:ind w:left="2160" w:hanging="360"/>
      </w:pPr>
      <w:rPr>
        <w:rFonts w:ascii="Arial" w:hAnsi="Arial" w:hint="default"/>
      </w:rPr>
    </w:lvl>
    <w:lvl w:ilvl="3" w:tplc="F9C6C02C" w:tentative="1">
      <w:start w:val="1"/>
      <w:numFmt w:val="bullet"/>
      <w:lvlText w:val="•"/>
      <w:lvlJc w:val="left"/>
      <w:pPr>
        <w:tabs>
          <w:tab w:val="num" w:pos="2880"/>
        </w:tabs>
        <w:ind w:left="2880" w:hanging="360"/>
      </w:pPr>
      <w:rPr>
        <w:rFonts w:ascii="Arial" w:hAnsi="Arial" w:hint="default"/>
      </w:rPr>
    </w:lvl>
    <w:lvl w:ilvl="4" w:tplc="0584D73E" w:tentative="1">
      <w:start w:val="1"/>
      <w:numFmt w:val="bullet"/>
      <w:lvlText w:val="•"/>
      <w:lvlJc w:val="left"/>
      <w:pPr>
        <w:tabs>
          <w:tab w:val="num" w:pos="3600"/>
        </w:tabs>
        <w:ind w:left="3600" w:hanging="360"/>
      </w:pPr>
      <w:rPr>
        <w:rFonts w:ascii="Arial" w:hAnsi="Arial" w:hint="default"/>
      </w:rPr>
    </w:lvl>
    <w:lvl w:ilvl="5" w:tplc="194C009E" w:tentative="1">
      <w:start w:val="1"/>
      <w:numFmt w:val="bullet"/>
      <w:lvlText w:val="•"/>
      <w:lvlJc w:val="left"/>
      <w:pPr>
        <w:tabs>
          <w:tab w:val="num" w:pos="4320"/>
        </w:tabs>
        <w:ind w:left="4320" w:hanging="360"/>
      </w:pPr>
      <w:rPr>
        <w:rFonts w:ascii="Arial" w:hAnsi="Arial" w:hint="default"/>
      </w:rPr>
    </w:lvl>
    <w:lvl w:ilvl="6" w:tplc="1D00E442" w:tentative="1">
      <w:start w:val="1"/>
      <w:numFmt w:val="bullet"/>
      <w:lvlText w:val="•"/>
      <w:lvlJc w:val="left"/>
      <w:pPr>
        <w:tabs>
          <w:tab w:val="num" w:pos="5040"/>
        </w:tabs>
        <w:ind w:left="5040" w:hanging="360"/>
      </w:pPr>
      <w:rPr>
        <w:rFonts w:ascii="Arial" w:hAnsi="Arial" w:hint="default"/>
      </w:rPr>
    </w:lvl>
    <w:lvl w:ilvl="7" w:tplc="67025688" w:tentative="1">
      <w:start w:val="1"/>
      <w:numFmt w:val="bullet"/>
      <w:lvlText w:val="•"/>
      <w:lvlJc w:val="left"/>
      <w:pPr>
        <w:tabs>
          <w:tab w:val="num" w:pos="5760"/>
        </w:tabs>
        <w:ind w:left="5760" w:hanging="360"/>
      </w:pPr>
      <w:rPr>
        <w:rFonts w:ascii="Arial" w:hAnsi="Arial" w:hint="default"/>
      </w:rPr>
    </w:lvl>
    <w:lvl w:ilvl="8" w:tplc="0DB64CF2"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6B685371"/>
    <w:multiLevelType w:val="hybridMultilevel"/>
    <w:tmpl w:val="D012EA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E11F26"/>
    <w:multiLevelType w:val="hybridMultilevel"/>
    <w:tmpl w:val="40D6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F5483D"/>
    <w:multiLevelType w:val="hybridMultilevel"/>
    <w:tmpl w:val="FAAE97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0694E77"/>
    <w:multiLevelType w:val="hybridMultilevel"/>
    <w:tmpl w:val="9CFAC94E"/>
    <w:lvl w:ilvl="0" w:tplc="4BF2E8E6">
      <w:start w:val="1"/>
      <w:numFmt w:val="upp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15:restartNumberingAfterBreak="0">
    <w:nsid w:val="732E094E"/>
    <w:multiLevelType w:val="hybridMultilevel"/>
    <w:tmpl w:val="2300335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791F60DE"/>
    <w:multiLevelType w:val="hybridMultilevel"/>
    <w:tmpl w:val="B280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853A87"/>
    <w:multiLevelType w:val="hybridMultilevel"/>
    <w:tmpl w:val="09767848"/>
    <w:lvl w:ilvl="0" w:tplc="04090001">
      <w:start w:val="1"/>
      <w:numFmt w:val="bullet"/>
      <w:lvlText w:val=""/>
      <w:lvlJc w:val="left"/>
      <w:pPr>
        <w:ind w:left="360" w:hanging="360"/>
      </w:pPr>
      <w:rPr>
        <w:rFonts w:ascii="Symbol" w:hAnsi="Symbol" w:cs="Symbol" w:hint="default"/>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start w:val="1"/>
      <w:numFmt w:val="decimal"/>
      <w:lvlText w:val="%4."/>
      <w:lvlJc w:val="left"/>
      <w:pPr>
        <w:ind w:left="2664" w:hanging="360"/>
      </w:p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start w:val="1"/>
      <w:numFmt w:val="lowerLetter"/>
      <w:lvlText w:val="%8."/>
      <w:lvlJc w:val="left"/>
      <w:pPr>
        <w:ind w:left="5544" w:hanging="360"/>
      </w:pPr>
    </w:lvl>
    <w:lvl w:ilvl="8" w:tplc="0409001B">
      <w:start w:val="1"/>
      <w:numFmt w:val="lowerRoman"/>
      <w:lvlText w:val="%9."/>
      <w:lvlJc w:val="right"/>
      <w:pPr>
        <w:ind w:left="6264" w:hanging="180"/>
      </w:pPr>
    </w:lvl>
  </w:abstractNum>
  <w:abstractNum w:abstractNumId="110" w15:restartNumberingAfterBreak="0">
    <w:nsid w:val="7A607B47"/>
    <w:multiLevelType w:val="hybridMultilevel"/>
    <w:tmpl w:val="C5C47A4C"/>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1" w15:restartNumberingAfterBreak="0">
    <w:nsid w:val="7B0D6C70"/>
    <w:multiLevelType w:val="hybridMultilevel"/>
    <w:tmpl w:val="5AEE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BA07F0B"/>
    <w:multiLevelType w:val="hybridMultilevel"/>
    <w:tmpl w:val="414AF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C341EA1"/>
    <w:multiLevelType w:val="hybridMultilevel"/>
    <w:tmpl w:val="184C8562"/>
    <w:lvl w:ilvl="0" w:tplc="2C0A0001">
      <w:start w:val="1"/>
      <w:numFmt w:val="bullet"/>
      <w:lvlText w:val=""/>
      <w:lvlJc w:val="left"/>
      <w:pPr>
        <w:ind w:left="63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4" w15:restartNumberingAfterBreak="0">
    <w:nsid w:val="7C3D74E5"/>
    <w:multiLevelType w:val="hybridMultilevel"/>
    <w:tmpl w:val="4D669E30"/>
    <w:lvl w:ilvl="0" w:tplc="24E6D504">
      <w:start w:val="1"/>
      <w:numFmt w:val="bullet"/>
      <w:lvlText w:val=""/>
      <w:lvlJc w:val="left"/>
      <w:pPr>
        <w:ind w:left="360" w:hanging="360"/>
      </w:pPr>
      <w:rPr>
        <w:rFonts w:ascii="Symbol" w:hAnsi="Symbol" w:hint="default"/>
        <w:sz w:val="20"/>
        <w:szCs w:val="2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5" w15:restartNumberingAfterBreak="0">
    <w:nsid w:val="7C686529"/>
    <w:multiLevelType w:val="hybridMultilevel"/>
    <w:tmpl w:val="5E7E6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C732558"/>
    <w:multiLevelType w:val="hybridMultilevel"/>
    <w:tmpl w:val="D3E0E54C"/>
    <w:lvl w:ilvl="0" w:tplc="67103284">
      <w:start w:val="1"/>
      <w:numFmt w:val="bullet"/>
      <w:lvlText w:val=""/>
      <w:lvlJc w:val="left"/>
      <w:pPr>
        <w:ind w:left="720" w:hanging="360"/>
      </w:pPr>
      <w:rPr>
        <w:rFonts w:ascii="Symbol" w:hAnsi="Symbol" w:hint="default"/>
        <w:b w:val="0"/>
        <w:i w:val="0"/>
        <w:color w:val="auto"/>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CA75EE"/>
    <w:multiLevelType w:val="hybridMultilevel"/>
    <w:tmpl w:val="EA6CEE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8" w15:restartNumberingAfterBreak="0">
    <w:nsid w:val="7E5145E3"/>
    <w:multiLevelType w:val="hybridMultilevel"/>
    <w:tmpl w:val="C846C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7FCF6BB8"/>
    <w:multiLevelType w:val="hybridMultilevel"/>
    <w:tmpl w:val="69CC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8"/>
  </w:num>
  <w:num w:numId="2">
    <w:abstractNumId w:val="102"/>
  </w:num>
  <w:num w:numId="3">
    <w:abstractNumId w:val="10"/>
  </w:num>
  <w:num w:numId="4">
    <w:abstractNumId w:val="97"/>
  </w:num>
  <w:num w:numId="5">
    <w:abstractNumId w:val="34"/>
  </w:num>
  <w:num w:numId="6">
    <w:abstractNumId w:val="80"/>
  </w:num>
  <w:num w:numId="7">
    <w:abstractNumId w:val="44"/>
  </w:num>
  <w:num w:numId="8">
    <w:abstractNumId w:val="6"/>
  </w:num>
  <w:num w:numId="9">
    <w:abstractNumId w:val="69"/>
  </w:num>
  <w:num w:numId="10">
    <w:abstractNumId w:val="5"/>
  </w:num>
  <w:num w:numId="11">
    <w:abstractNumId w:val="96"/>
  </w:num>
  <w:num w:numId="12">
    <w:abstractNumId w:val="32"/>
  </w:num>
  <w:num w:numId="13">
    <w:abstractNumId w:val="99"/>
  </w:num>
  <w:num w:numId="14">
    <w:abstractNumId w:val="113"/>
  </w:num>
  <w:num w:numId="15">
    <w:abstractNumId w:val="73"/>
  </w:num>
  <w:num w:numId="16">
    <w:abstractNumId w:val="56"/>
  </w:num>
  <w:num w:numId="17">
    <w:abstractNumId w:val="61"/>
  </w:num>
  <w:num w:numId="18">
    <w:abstractNumId w:val="55"/>
  </w:num>
  <w:num w:numId="19">
    <w:abstractNumId w:val="107"/>
  </w:num>
  <w:num w:numId="20">
    <w:abstractNumId w:val="75"/>
  </w:num>
  <w:num w:numId="21">
    <w:abstractNumId w:val="82"/>
  </w:num>
  <w:num w:numId="22">
    <w:abstractNumId w:val="112"/>
  </w:num>
  <w:num w:numId="23">
    <w:abstractNumId w:val="4"/>
  </w:num>
  <w:num w:numId="24">
    <w:abstractNumId w:val="78"/>
  </w:num>
  <w:num w:numId="25">
    <w:abstractNumId w:val="1"/>
  </w:num>
  <w:num w:numId="26">
    <w:abstractNumId w:val="31"/>
  </w:num>
  <w:num w:numId="27">
    <w:abstractNumId w:val="110"/>
  </w:num>
  <w:num w:numId="28">
    <w:abstractNumId w:val="17"/>
  </w:num>
  <w:num w:numId="29">
    <w:abstractNumId w:val="16"/>
  </w:num>
  <w:num w:numId="30">
    <w:abstractNumId w:val="84"/>
  </w:num>
  <w:num w:numId="31">
    <w:abstractNumId w:val="35"/>
  </w:num>
  <w:num w:numId="32">
    <w:abstractNumId w:val="54"/>
  </w:num>
  <w:num w:numId="33">
    <w:abstractNumId w:val="25"/>
  </w:num>
  <w:num w:numId="34">
    <w:abstractNumId w:val="36"/>
  </w:num>
  <w:num w:numId="35">
    <w:abstractNumId w:val="18"/>
  </w:num>
  <w:num w:numId="36">
    <w:abstractNumId w:val="85"/>
  </w:num>
  <w:num w:numId="37">
    <w:abstractNumId w:val="21"/>
  </w:num>
  <w:num w:numId="38">
    <w:abstractNumId w:val="108"/>
  </w:num>
  <w:num w:numId="3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59"/>
  </w:num>
  <w:num w:numId="42">
    <w:abstractNumId w:val="11"/>
  </w:num>
  <w:num w:numId="43">
    <w:abstractNumId w:val="118"/>
  </w:num>
  <w:num w:numId="44">
    <w:abstractNumId w:val="119"/>
  </w:num>
  <w:num w:numId="45">
    <w:abstractNumId w:val="20"/>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9"/>
  </w:num>
  <w:num w:numId="49">
    <w:abstractNumId w:val="62"/>
  </w:num>
  <w:num w:numId="50">
    <w:abstractNumId w:val="100"/>
  </w:num>
  <w:num w:numId="51">
    <w:abstractNumId w:val="105"/>
  </w:num>
  <w:num w:numId="52">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101"/>
  </w:num>
  <w:num w:numId="55">
    <w:abstractNumId w:val="72"/>
  </w:num>
  <w:num w:numId="56">
    <w:abstractNumId w:val="38"/>
  </w:num>
  <w:num w:numId="57">
    <w:abstractNumId w:val="50"/>
  </w:num>
  <w:num w:numId="58">
    <w:abstractNumId w:val="104"/>
  </w:num>
  <w:num w:numId="59">
    <w:abstractNumId w:val="76"/>
  </w:num>
  <w:num w:numId="60">
    <w:abstractNumId w:val="33"/>
  </w:num>
  <w:num w:numId="61">
    <w:abstractNumId w:val="71"/>
  </w:num>
  <w:num w:numId="62">
    <w:abstractNumId w:val="66"/>
  </w:num>
  <w:num w:numId="63">
    <w:abstractNumId w:val="68"/>
  </w:num>
  <w:num w:numId="64">
    <w:abstractNumId w:val="2"/>
  </w:num>
  <w:num w:numId="65">
    <w:abstractNumId w:val="51"/>
  </w:num>
  <w:num w:numId="66">
    <w:abstractNumId w:val="111"/>
  </w:num>
  <w:num w:numId="67">
    <w:abstractNumId w:val="43"/>
  </w:num>
  <w:num w:numId="68">
    <w:abstractNumId w:val="83"/>
  </w:num>
  <w:num w:numId="69">
    <w:abstractNumId w:val="0"/>
  </w:num>
  <w:num w:numId="70">
    <w:abstractNumId w:val="52"/>
  </w:num>
  <w:num w:numId="71">
    <w:abstractNumId w:val="12"/>
  </w:num>
  <w:num w:numId="72">
    <w:abstractNumId w:val="23"/>
  </w:num>
  <w:num w:numId="73">
    <w:abstractNumId w:val="70"/>
  </w:num>
  <w:num w:numId="74">
    <w:abstractNumId w:val="3"/>
  </w:num>
  <w:num w:numId="75">
    <w:abstractNumId w:val="98"/>
  </w:num>
  <w:num w:numId="76">
    <w:abstractNumId w:val="79"/>
  </w:num>
  <w:num w:numId="77">
    <w:abstractNumId w:val="116"/>
  </w:num>
  <w:num w:numId="78">
    <w:abstractNumId w:val="42"/>
  </w:num>
  <w:num w:numId="79">
    <w:abstractNumId w:val="39"/>
  </w:num>
  <w:num w:numId="80">
    <w:abstractNumId w:val="89"/>
  </w:num>
  <w:num w:numId="81">
    <w:abstractNumId w:val="27"/>
  </w:num>
  <w:num w:numId="82">
    <w:abstractNumId w:val="94"/>
  </w:num>
  <w:num w:numId="83">
    <w:abstractNumId w:val="103"/>
  </w:num>
  <w:num w:numId="84">
    <w:abstractNumId w:val="30"/>
  </w:num>
  <w:num w:numId="85">
    <w:abstractNumId w:val="58"/>
  </w:num>
  <w:num w:numId="86">
    <w:abstractNumId w:val="48"/>
  </w:num>
  <w:num w:numId="87">
    <w:abstractNumId w:val="86"/>
  </w:num>
  <w:num w:numId="88">
    <w:abstractNumId w:val="28"/>
  </w:num>
  <w:num w:numId="89">
    <w:abstractNumId w:val="26"/>
  </w:num>
  <w:num w:numId="90">
    <w:abstractNumId w:val="87"/>
  </w:num>
  <w:num w:numId="91">
    <w:abstractNumId w:val="95"/>
  </w:num>
  <w:num w:numId="92">
    <w:abstractNumId w:val="92"/>
  </w:num>
  <w:num w:numId="93">
    <w:abstractNumId w:val="106"/>
  </w:num>
  <w:num w:numId="94">
    <w:abstractNumId w:val="24"/>
  </w:num>
  <w:num w:numId="95">
    <w:abstractNumId w:val="22"/>
  </w:num>
  <w:num w:numId="96">
    <w:abstractNumId w:val="65"/>
  </w:num>
  <w:num w:numId="97">
    <w:abstractNumId w:val="81"/>
  </w:num>
  <w:num w:numId="98">
    <w:abstractNumId w:val="15"/>
  </w:num>
  <w:num w:numId="99">
    <w:abstractNumId w:val="74"/>
  </w:num>
  <w:num w:numId="100">
    <w:abstractNumId w:val="117"/>
  </w:num>
  <w:num w:numId="101">
    <w:abstractNumId w:val="60"/>
  </w:num>
  <w:num w:numId="102">
    <w:abstractNumId w:val="13"/>
  </w:num>
  <w:num w:numId="103">
    <w:abstractNumId w:val="114"/>
  </w:num>
  <w:num w:numId="104">
    <w:abstractNumId w:val="115"/>
  </w:num>
  <w:num w:numId="105">
    <w:abstractNumId w:val="63"/>
  </w:num>
  <w:num w:numId="106">
    <w:abstractNumId w:val="29"/>
  </w:num>
  <w:num w:numId="107">
    <w:abstractNumId w:val="19"/>
  </w:num>
  <w:num w:numId="108">
    <w:abstractNumId w:val="7"/>
  </w:num>
  <w:num w:numId="109">
    <w:abstractNumId w:val="57"/>
  </w:num>
  <w:num w:numId="110">
    <w:abstractNumId w:val="77"/>
  </w:num>
  <w:num w:numId="111">
    <w:abstractNumId w:val="64"/>
  </w:num>
  <w:num w:numId="112">
    <w:abstractNumId w:val="41"/>
  </w:num>
  <w:num w:numId="113">
    <w:abstractNumId w:val="90"/>
  </w:num>
  <w:num w:numId="114">
    <w:abstractNumId w:val="1"/>
  </w:num>
  <w:num w:numId="115">
    <w:abstractNumId w:val="37"/>
  </w:num>
  <w:num w:numId="116">
    <w:abstractNumId w:val="67"/>
  </w:num>
  <w:num w:numId="117">
    <w:abstractNumId w:val="109"/>
  </w:num>
  <w:num w:numId="118">
    <w:abstractNumId w:val="53"/>
  </w:num>
  <w:num w:numId="119">
    <w:abstractNumId w:val="47"/>
  </w:num>
  <w:num w:numId="120">
    <w:abstractNumId w:val="40"/>
  </w:num>
  <w:num w:numId="121">
    <w:abstractNumId w:val="91"/>
  </w:num>
  <w:num w:numId="122">
    <w:abstractNumId w:val="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D0"/>
    <w:rsid w:val="0000346B"/>
    <w:rsid w:val="0000382C"/>
    <w:rsid w:val="00006F20"/>
    <w:rsid w:val="000116E6"/>
    <w:rsid w:val="00011A56"/>
    <w:rsid w:val="00014923"/>
    <w:rsid w:val="0001494D"/>
    <w:rsid w:val="00016B21"/>
    <w:rsid w:val="00017000"/>
    <w:rsid w:val="0001746F"/>
    <w:rsid w:val="0001789A"/>
    <w:rsid w:val="00017968"/>
    <w:rsid w:val="00025349"/>
    <w:rsid w:val="00030F66"/>
    <w:rsid w:val="00033E6B"/>
    <w:rsid w:val="00035C09"/>
    <w:rsid w:val="000462AC"/>
    <w:rsid w:val="0005660A"/>
    <w:rsid w:val="000567F0"/>
    <w:rsid w:val="000572A8"/>
    <w:rsid w:val="00062838"/>
    <w:rsid w:val="000655BC"/>
    <w:rsid w:val="000733B8"/>
    <w:rsid w:val="00074400"/>
    <w:rsid w:val="00076694"/>
    <w:rsid w:val="00081B28"/>
    <w:rsid w:val="00083FE7"/>
    <w:rsid w:val="000A014F"/>
    <w:rsid w:val="000A4A55"/>
    <w:rsid w:val="000A798A"/>
    <w:rsid w:val="000B26FA"/>
    <w:rsid w:val="000B28CF"/>
    <w:rsid w:val="000B2C99"/>
    <w:rsid w:val="000B3855"/>
    <w:rsid w:val="000B4361"/>
    <w:rsid w:val="000B4E8B"/>
    <w:rsid w:val="000B694B"/>
    <w:rsid w:val="000C1030"/>
    <w:rsid w:val="000C131B"/>
    <w:rsid w:val="000C736A"/>
    <w:rsid w:val="000D643C"/>
    <w:rsid w:val="000E4554"/>
    <w:rsid w:val="000F3E11"/>
    <w:rsid w:val="000F3E52"/>
    <w:rsid w:val="000F5D68"/>
    <w:rsid w:val="001069E9"/>
    <w:rsid w:val="00107683"/>
    <w:rsid w:val="001140A4"/>
    <w:rsid w:val="00121A6B"/>
    <w:rsid w:val="00126FAB"/>
    <w:rsid w:val="0012757E"/>
    <w:rsid w:val="00127EBB"/>
    <w:rsid w:val="00136920"/>
    <w:rsid w:val="0014077C"/>
    <w:rsid w:val="00141CA7"/>
    <w:rsid w:val="00144B20"/>
    <w:rsid w:val="00156287"/>
    <w:rsid w:val="0015693A"/>
    <w:rsid w:val="00157212"/>
    <w:rsid w:val="001705EC"/>
    <w:rsid w:val="001732C5"/>
    <w:rsid w:val="00175163"/>
    <w:rsid w:val="00176C66"/>
    <w:rsid w:val="00187ACA"/>
    <w:rsid w:val="00190B0E"/>
    <w:rsid w:val="00192B67"/>
    <w:rsid w:val="00195FA6"/>
    <w:rsid w:val="001A156F"/>
    <w:rsid w:val="001A5CD8"/>
    <w:rsid w:val="001A7EA2"/>
    <w:rsid w:val="001B6B1F"/>
    <w:rsid w:val="001C2CF3"/>
    <w:rsid w:val="001C2FC3"/>
    <w:rsid w:val="001E292E"/>
    <w:rsid w:val="001E7E93"/>
    <w:rsid w:val="001F0E52"/>
    <w:rsid w:val="001F2CF8"/>
    <w:rsid w:val="001F31C1"/>
    <w:rsid w:val="001F4513"/>
    <w:rsid w:val="00200AE9"/>
    <w:rsid w:val="00202497"/>
    <w:rsid w:val="0020602A"/>
    <w:rsid w:val="00206ACD"/>
    <w:rsid w:val="00212B38"/>
    <w:rsid w:val="00213B92"/>
    <w:rsid w:val="00214212"/>
    <w:rsid w:val="00214693"/>
    <w:rsid w:val="00217CFC"/>
    <w:rsid w:val="002217B8"/>
    <w:rsid w:val="00221B81"/>
    <w:rsid w:val="00223172"/>
    <w:rsid w:val="002238DC"/>
    <w:rsid w:val="00224B9D"/>
    <w:rsid w:val="00230A65"/>
    <w:rsid w:val="00233211"/>
    <w:rsid w:val="00234B31"/>
    <w:rsid w:val="0024244C"/>
    <w:rsid w:val="0024392F"/>
    <w:rsid w:val="002468B1"/>
    <w:rsid w:val="00251152"/>
    <w:rsid w:val="00257B01"/>
    <w:rsid w:val="0027600D"/>
    <w:rsid w:val="0028223C"/>
    <w:rsid w:val="002834DA"/>
    <w:rsid w:val="00285D4F"/>
    <w:rsid w:val="00290C0D"/>
    <w:rsid w:val="0029336F"/>
    <w:rsid w:val="00293AC0"/>
    <w:rsid w:val="00296CE9"/>
    <w:rsid w:val="0029785D"/>
    <w:rsid w:val="002A0606"/>
    <w:rsid w:val="002A3713"/>
    <w:rsid w:val="002A661C"/>
    <w:rsid w:val="002B17CF"/>
    <w:rsid w:val="002B64AD"/>
    <w:rsid w:val="002B6D89"/>
    <w:rsid w:val="002C14C5"/>
    <w:rsid w:val="002C1B1F"/>
    <w:rsid w:val="002C437D"/>
    <w:rsid w:val="002D169F"/>
    <w:rsid w:val="002D1BB0"/>
    <w:rsid w:val="002D2A83"/>
    <w:rsid w:val="002D7B3B"/>
    <w:rsid w:val="002E1EEF"/>
    <w:rsid w:val="002E2BAA"/>
    <w:rsid w:val="002E6644"/>
    <w:rsid w:val="002F4B74"/>
    <w:rsid w:val="002F545D"/>
    <w:rsid w:val="002F7895"/>
    <w:rsid w:val="002F794E"/>
    <w:rsid w:val="002F7A66"/>
    <w:rsid w:val="003009D1"/>
    <w:rsid w:val="00301276"/>
    <w:rsid w:val="00310437"/>
    <w:rsid w:val="00314CCD"/>
    <w:rsid w:val="0031567D"/>
    <w:rsid w:val="003219C8"/>
    <w:rsid w:val="00323DA9"/>
    <w:rsid w:val="00324591"/>
    <w:rsid w:val="003251A7"/>
    <w:rsid w:val="0033079B"/>
    <w:rsid w:val="00333BCE"/>
    <w:rsid w:val="00335713"/>
    <w:rsid w:val="003359E2"/>
    <w:rsid w:val="00335DD8"/>
    <w:rsid w:val="003430D5"/>
    <w:rsid w:val="00343B36"/>
    <w:rsid w:val="00343D0A"/>
    <w:rsid w:val="0034686C"/>
    <w:rsid w:val="00357DCF"/>
    <w:rsid w:val="00364FE6"/>
    <w:rsid w:val="0036566C"/>
    <w:rsid w:val="00367ABA"/>
    <w:rsid w:val="0037172C"/>
    <w:rsid w:val="00373D74"/>
    <w:rsid w:val="003740EC"/>
    <w:rsid w:val="0038099B"/>
    <w:rsid w:val="00386551"/>
    <w:rsid w:val="00391A8F"/>
    <w:rsid w:val="00394F29"/>
    <w:rsid w:val="00395A87"/>
    <w:rsid w:val="00397BE9"/>
    <w:rsid w:val="003A5D60"/>
    <w:rsid w:val="003B26B8"/>
    <w:rsid w:val="003B5D7E"/>
    <w:rsid w:val="003D1AA6"/>
    <w:rsid w:val="003D3A6A"/>
    <w:rsid w:val="003E308E"/>
    <w:rsid w:val="003E3532"/>
    <w:rsid w:val="003E606A"/>
    <w:rsid w:val="003F0CD0"/>
    <w:rsid w:val="0040770F"/>
    <w:rsid w:val="0041043A"/>
    <w:rsid w:val="00415834"/>
    <w:rsid w:val="00423CD0"/>
    <w:rsid w:val="0043331D"/>
    <w:rsid w:val="00447C17"/>
    <w:rsid w:val="004500FC"/>
    <w:rsid w:val="00450E76"/>
    <w:rsid w:val="004513D7"/>
    <w:rsid w:val="00451A1C"/>
    <w:rsid w:val="004527B9"/>
    <w:rsid w:val="004534A2"/>
    <w:rsid w:val="00455B28"/>
    <w:rsid w:val="00464897"/>
    <w:rsid w:val="00467D35"/>
    <w:rsid w:val="00471435"/>
    <w:rsid w:val="00482049"/>
    <w:rsid w:val="00491A44"/>
    <w:rsid w:val="00494544"/>
    <w:rsid w:val="00497D22"/>
    <w:rsid w:val="004A576B"/>
    <w:rsid w:val="004A75DE"/>
    <w:rsid w:val="004B6BC6"/>
    <w:rsid w:val="004B7733"/>
    <w:rsid w:val="004C0B48"/>
    <w:rsid w:val="004C0D41"/>
    <w:rsid w:val="004C2D12"/>
    <w:rsid w:val="004C6314"/>
    <w:rsid w:val="004E6904"/>
    <w:rsid w:val="004E72C9"/>
    <w:rsid w:val="004F53B3"/>
    <w:rsid w:val="004F57C6"/>
    <w:rsid w:val="004F7BC9"/>
    <w:rsid w:val="005015F9"/>
    <w:rsid w:val="005022AF"/>
    <w:rsid w:val="005031AD"/>
    <w:rsid w:val="0050358B"/>
    <w:rsid w:val="00507ABF"/>
    <w:rsid w:val="00511810"/>
    <w:rsid w:val="00521B33"/>
    <w:rsid w:val="005229AA"/>
    <w:rsid w:val="00523F75"/>
    <w:rsid w:val="0054177E"/>
    <w:rsid w:val="005441A8"/>
    <w:rsid w:val="00551025"/>
    <w:rsid w:val="005610DA"/>
    <w:rsid w:val="00563676"/>
    <w:rsid w:val="00563C1F"/>
    <w:rsid w:val="00566F48"/>
    <w:rsid w:val="00570F3F"/>
    <w:rsid w:val="00573283"/>
    <w:rsid w:val="0058178E"/>
    <w:rsid w:val="00583421"/>
    <w:rsid w:val="00587220"/>
    <w:rsid w:val="00590516"/>
    <w:rsid w:val="00591158"/>
    <w:rsid w:val="00596C3A"/>
    <w:rsid w:val="005A0781"/>
    <w:rsid w:val="005A1CA9"/>
    <w:rsid w:val="005B050E"/>
    <w:rsid w:val="005B46CF"/>
    <w:rsid w:val="005B5DF0"/>
    <w:rsid w:val="005B60BA"/>
    <w:rsid w:val="005C0634"/>
    <w:rsid w:val="005C0D91"/>
    <w:rsid w:val="005C1ED1"/>
    <w:rsid w:val="005C5422"/>
    <w:rsid w:val="005D08FB"/>
    <w:rsid w:val="005D11A9"/>
    <w:rsid w:val="005D215B"/>
    <w:rsid w:val="005D30EF"/>
    <w:rsid w:val="005D5188"/>
    <w:rsid w:val="005D552D"/>
    <w:rsid w:val="005E1859"/>
    <w:rsid w:val="005F0193"/>
    <w:rsid w:val="005F27C2"/>
    <w:rsid w:val="0060241D"/>
    <w:rsid w:val="00602AAC"/>
    <w:rsid w:val="00603436"/>
    <w:rsid w:val="006058FF"/>
    <w:rsid w:val="00625659"/>
    <w:rsid w:val="0062594B"/>
    <w:rsid w:val="00626A1E"/>
    <w:rsid w:val="00637036"/>
    <w:rsid w:val="0064452E"/>
    <w:rsid w:val="00646849"/>
    <w:rsid w:val="0064720E"/>
    <w:rsid w:val="0064790B"/>
    <w:rsid w:val="00654C35"/>
    <w:rsid w:val="0065525B"/>
    <w:rsid w:val="00664ED7"/>
    <w:rsid w:val="00665873"/>
    <w:rsid w:val="00667AB9"/>
    <w:rsid w:val="00671EDE"/>
    <w:rsid w:val="0067265F"/>
    <w:rsid w:val="00673757"/>
    <w:rsid w:val="00675C17"/>
    <w:rsid w:val="0067749B"/>
    <w:rsid w:val="00677AE9"/>
    <w:rsid w:val="00680BD9"/>
    <w:rsid w:val="00680F63"/>
    <w:rsid w:val="00683537"/>
    <w:rsid w:val="00691D65"/>
    <w:rsid w:val="00697129"/>
    <w:rsid w:val="006A4977"/>
    <w:rsid w:val="006A5A17"/>
    <w:rsid w:val="006A7FE6"/>
    <w:rsid w:val="006B6D6C"/>
    <w:rsid w:val="006C302F"/>
    <w:rsid w:val="006C45F7"/>
    <w:rsid w:val="006D354F"/>
    <w:rsid w:val="006E1117"/>
    <w:rsid w:val="006F0953"/>
    <w:rsid w:val="006F7021"/>
    <w:rsid w:val="0070401C"/>
    <w:rsid w:val="0070719A"/>
    <w:rsid w:val="007103D2"/>
    <w:rsid w:val="007114B0"/>
    <w:rsid w:val="00712D4B"/>
    <w:rsid w:val="0072724D"/>
    <w:rsid w:val="007357C3"/>
    <w:rsid w:val="007376A0"/>
    <w:rsid w:val="00740B1E"/>
    <w:rsid w:val="007434D9"/>
    <w:rsid w:val="007446D0"/>
    <w:rsid w:val="0074571E"/>
    <w:rsid w:val="00751281"/>
    <w:rsid w:val="00751287"/>
    <w:rsid w:val="00753623"/>
    <w:rsid w:val="00754D75"/>
    <w:rsid w:val="00755315"/>
    <w:rsid w:val="00755B86"/>
    <w:rsid w:val="00766622"/>
    <w:rsid w:val="00771E84"/>
    <w:rsid w:val="00772A05"/>
    <w:rsid w:val="00773433"/>
    <w:rsid w:val="00774DAE"/>
    <w:rsid w:val="00776AC3"/>
    <w:rsid w:val="007824F7"/>
    <w:rsid w:val="00783FE9"/>
    <w:rsid w:val="0078523B"/>
    <w:rsid w:val="00787007"/>
    <w:rsid w:val="00795B65"/>
    <w:rsid w:val="00795FF2"/>
    <w:rsid w:val="007B1B9F"/>
    <w:rsid w:val="007C196A"/>
    <w:rsid w:val="007C7AD1"/>
    <w:rsid w:val="007D621E"/>
    <w:rsid w:val="007E1CA3"/>
    <w:rsid w:val="007F4039"/>
    <w:rsid w:val="007F5A8F"/>
    <w:rsid w:val="00804837"/>
    <w:rsid w:val="00804935"/>
    <w:rsid w:val="00811D73"/>
    <w:rsid w:val="00812350"/>
    <w:rsid w:val="008144A9"/>
    <w:rsid w:val="00820AF5"/>
    <w:rsid w:val="00821F4F"/>
    <w:rsid w:val="0082271B"/>
    <w:rsid w:val="0082369F"/>
    <w:rsid w:val="00824167"/>
    <w:rsid w:val="0083498A"/>
    <w:rsid w:val="00840B5B"/>
    <w:rsid w:val="00842C4B"/>
    <w:rsid w:val="00843BD7"/>
    <w:rsid w:val="00862101"/>
    <w:rsid w:val="0086448C"/>
    <w:rsid w:val="008646CD"/>
    <w:rsid w:val="00866323"/>
    <w:rsid w:val="008711EA"/>
    <w:rsid w:val="00876EE7"/>
    <w:rsid w:val="0089014E"/>
    <w:rsid w:val="00895218"/>
    <w:rsid w:val="0089749C"/>
    <w:rsid w:val="008A2EAD"/>
    <w:rsid w:val="008A64FA"/>
    <w:rsid w:val="008A7EB3"/>
    <w:rsid w:val="008B1F5B"/>
    <w:rsid w:val="008C10A9"/>
    <w:rsid w:val="008C2EBF"/>
    <w:rsid w:val="008C3792"/>
    <w:rsid w:val="008C6B84"/>
    <w:rsid w:val="008D1406"/>
    <w:rsid w:val="008D4EE4"/>
    <w:rsid w:val="008E1ECB"/>
    <w:rsid w:val="008E635F"/>
    <w:rsid w:val="008E7191"/>
    <w:rsid w:val="008F187B"/>
    <w:rsid w:val="009009F6"/>
    <w:rsid w:val="009064CA"/>
    <w:rsid w:val="009065DF"/>
    <w:rsid w:val="009107CB"/>
    <w:rsid w:val="00912455"/>
    <w:rsid w:val="009130F6"/>
    <w:rsid w:val="009148EA"/>
    <w:rsid w:val="009178CC"/>
    <w:rsid w:val="009201B9"/>
    <w:rsid w:val="00922119"/>
    <w:rsid w:val="0092239D"/>
    <w:rsid w:val="00923240"/>
    <w:rsid w:val="0092610C"/>
    <w:rsid w:val="00930043"/>
    <w:rsid w:val="0093571C"/>
    <w:rsid w:val="00937200"/>
    <w:rsid w:val="00937553"/>
    <w:rsid w:val="00937BFA"/>
    <w:rsid w:val="00950BEC"/>
    <w:rsid w:val="00952C30"/>
    <w:rsid w:val="00956851"/>
    <w:rsid w:val="009645FD"/>
    <w:rsid w:val="00966C19"/>
    <w:rsid w:val="00967B27"/>
    <w:rsid w:val="009713FE"/>
    <w:rsid w:val="009716D6"/>
    <w:rsid w:val="009727A6"/>
    <w:rsid w:val="00975292"/>
    <w:rsid w:val="00986536"/>
    <w:rsid w:val="00986E5C"/>
    <w:rsid w:val="009A0C2D"/>
    <w:rsid w:val="009A3D2B"/>
    <w:rsid w:val="009A4F8F"/>
    <w:rsid w:val="009A735C"/>
    <w:rsid w:val="009B2593"/>
    <w:rsid w:val="009B567B"/>
    <w:rsid w:val="009D5B54"/>
    <w:rsid w:val="009D78FF"/>
    <w:rsid w:val="009F61F6"/>
    <w:rsid w:val="00A1044D"/>
    <w:rsid w:val="00A10F4B"/>
    <w:rsid w:val="00A11B99"/>
    <w:rsid w:val="00A143F6"/>
    <w:rsid w:val="00A2096D"/>
    <w:rsid w:val="00A21753"/>
    <w:rsid w:val="00A2220A"/>
    <w:rsid w:val="00A226FC"/>
    <w:rsid w:val="00A23093"/>
    <w:rsid w:val="00A24BD1"/>
    <w:rsid w:val="00A258FC"/>
    <w:rsid w:val="00A25EC6"/>
    <w:rsid w:val="00A322FB"/>
    <w:rsid w:val="00A323B1"/>
    <w:rsid w:val="00A32749"/>
    <w:rsid w:val="00A406FE"/>
    <w:rsid w:val="00A4116A"/>
    <w:rsid w:val="00A41735"/>
    <w:rsid w:val="00A433A5"/>
    <w:rsid w:val="00A46435"/>
    <w:rsid w:val="00A5166D"/>
    <w:rsid w:val="00A532D9"/>
    <w:rsid w:val="00A536F2"/>
    <w:rsid w:val="00A572DB"/>
    <w:rsid w:val="00A679D1"/>
    <w:rsid w:val="00A71839"/>
    <w:rsid w:val="00A81840"/>
    <w:rsid w:val="00A827C4"/>
    <w:rsid w:val="00A8487E"/>
    <w:rsid w:val="00A84D09"/>
    <w:rsid w:val="00A906FD"/>
    <w:rsid w:val="00A91B01"/>
    <w:rsid w:val="00A969E6"/>
    <w:rsid w:val="00A97DCD"/>
    <w:rsid w:val="00AA26E4"/>
    <w:rsid w:val="00AA735D"/>
    <w:rsid w:val="00AB75FF"/>
    <w:rsid w:val="00AC16BF"/>
    <w:rsid w:val="00AC4E9A"/>
    <w:rsid w:val="00AC5584"/>
    <w:rsid w:val="00AC5BE3"/>
    <w:rsid w:val="00AD001B"/>
    <w:rsid w:val="00AD19FE"/>
    <w:rsid w:val="00AD1EF4"/>
    <w:rsid w:val="00AD613E"/>
    <w:rsid w:val="00AD7D6A"/>
    <w:rsid w:val="00AE3AC9"/>
    <w:rsid w:val="00AF0D93"/>
    <w:rsid w:val="00B06AE6"/>
    <w:rsid w:val="00B12E1F"/>
    <w:rsid w:val="00B15A16"/>
    <w:rsid w:val="00B20BA3"/>
    <w:rsid w:val="00B2215D"/>
    <w:rsid w:val="00B22AF2"/>
    <w:rsid w:val="00B27B21"/>
    <w:rsid w:val="00B305B6"/>
    <w:rsid w:val="00B3107D"/>
    <w:rsid w:val="00B411DF"/>
    <w:rsid w:val="00B42085"/>
    <w:rsid w:val="00B5266F"/>
    <w:rsid w:val="00B561BD"/>
    <w:rsid w:val="00B61783"/>
    <w:rsid w:val="00B62815"/>
    <w:rsid w:val="00B67BB7"/>
    <w:rsid w:val="00B70A10"/>
    <w:rsid w:val="00B7231B"/>
    <w:rsid w:val="00B760AE"/>
    <w:rsid w:val="00B76AAD"/>
    <w:rsid w:val="00B82600"/>
    <w:rsid w:val="00B84DF6"/>
    <w:rsid w:val="00B87680"/>
    <w:rsid w:val="00B96451"/>
    <w:rsid w:val="00BA29B3"/>
    <w:rsid w:val="00BB020B"/>
    <w:rsid w:val="00BB436F"/>
    <w:rsid w:val="00BB7151"/>
    <w:rsid w:val="00BB7DA9"/>
    <w:rsid w:val="00BC10C8"/>
    <w:rsid w:val="00BC78D5"/>
    <w:rsid w:val="00BC7CFF"/>
    <w:rsid w:val="00BD79AC"/>
    <w:rsid w:val="00BE1930"/>
    <w:rsid w:val="00BE5C84"/>
    <w:rsid w:val="00C05218"/>
    <w:rsid w:val="00C0632C"/>
    <w:rsid w:val="00C1179F"/>
    <w:rsid w:val="00C17A15"/>
    <w:rsid w:val="00C224D3"/>
    <w:rsid w:val="00C2326F"/>
    <w:rsid w:val="00C329E8"/>
    <w:rsid w:val="00C33079"/>
    <w:rsid w:val="00C412C6"/>
    <w:rsid w:val="00C42F60"/>
    <w:rsid w:val="00C43519"/>
    <w:rsid w:val="00C4605B"/>
    <w:rsid w:val="00C4798A"/>
    <w:rsid w:val="00C5475F"/>
    <w:rsid w:val="00C54AD3"/>
    <w:rsid w:val="00C557D2"/>
    <w:rsid w:val="00C561DA"/>
    <w:rsid w:val="00C62789"/>
    <w:rsid w:val="00C63CE2"/>
    <w:rsid w:val="00C645D0"/>
    <w:rsid w:val="00C67D30"/>
    <w:rsid w:val="00C7272B"/>
    <w:rsid w:val="00C72B85"/>
    <w:rsid w:val="00C74233"/>
    <w:rsid w:val="00C93191"/>
    <w:rsid w:val="00CA5D24"/>
    <w:rsid w:val="00CA5EDD"/>
    <w:rsid w:val="00CB1E8F"/>
    <w:rsid w:val="00CB4BC6"/>
    <w:rsid w:val="00CB61DC"/>
    <w:rsid w:val="00CC13C4"/>
    <w:rsid w:val="00CC2BEA"/>
    <w:rsid w:val="00CC4E73"/>
    <w:rsid w:val="00CC6BBF"/>
    <w:rsid w:val="00CC76E7"/>
    <w:rsid w:val="00CD1D3A"/>
    <w:rsid w:val="00CD5CFB"/>
    <w:rsid w:val="00CD5F46"/>
    <w:rsid w:val="00CE0300"/>
    <w:rsid w:val="00CE03AF"/>
    <w:rsid w:val="00CE1099"/>
    <w:rsid w:val="00CE2C23"/>
    <w:rsid w:val="00CE4125"/>
    <w:rsid w:val="00CE7DBA"/>
    <w:rsid w:val="00CF3AE8"/>
    <w:rsid w:val="00CF45D4"/>
    <w:rsid w:val="00D01CF2"/>
    <w:rsid w:val="00D02403"/>
    <w:rsid w:val="00D069EF"/>
    <w:rsid w:val="00D06F95"/>
    <w:rsid w:val="00D109E7"/>
    <w:rsid w:val="00D11CB9"/>
    <w:rsid w:val="00D15F14"/>
    <w:rsid w:val="00D2474B"/>
    <w:rsid w:val="00D30C12"/>
    <w:rsid w:val="00D340AB"/>
    <w:rsid w:val="00D36D20"/>
    <w:rsid w:val="00D40BF8"/>
    <w:rsid w:val="00D5464C"/>
    <w:rsid w:val="00D57A27"/>
    <w:rsid w:val="00D60447"/>
    <w:rsid w:val="00D875D9"/>
    <w:rsid w:val="00D87BB1"/>
    <w:rsid w:val="00D91028"/>
    <w:rsid w:val="00D95D28"/>
    <w:rsid w:val="00D95E90"/>
    <w:rsid w:val="00D97244"/>
    <w:rsid w:val="00D97F75"/>
    <w:rsid w:val="00DA6A7C"/>
    <w:rsid w:val="00DC1788"/>
    <w:rsid w:val="00DC4183"/>
    <w:rsid w:val="00DC79E7"/>
    <w:rsid w:val="00DD10D2"/>
    <w:rsid w:val="00DD2AAD"/>
    <w:rsid w:val="00DD4A29"/>
    <w:rsid w:val="00DE1052"/>
    <w:rsid w:val="00DE6065"/>
    <w:rsid w:val="00DF0AC7"/>
    <w:rsid w:val="00DF4328"/>
    <w:rsid w:val="00DF64D6"/>
    <w:rsid w:val="00DF679A"/>
    <w:rsid w:val="00E01D06"/>
    <w:rsid w:val="00E02DAF"/>
    <w:rsid w:val="00E02EF3"/>
    <w:rsid w:val="00E03412"/>
    <w:rsid w:val="00E042F4"/>
    <w:rsid w:val="00E04E9D"/>
    <w:rsid w:val="00E065E3"/>
    <w:rsid w:val="00E14ABE"/>
    <w:rsid w:val="00E22416"/>
    <w:rsid w:val="00E23083"/>
    <w:rsid w:val="00E56893"/>
    <w:rsid w:val="00E62575"/>
    <w:rsid w:val="00E67635"/>
    <w:rsid w:val="00E71E24"/>
    <w:rsid w:val="00E74BA0"/>
    <w:rsid w:val="00E74D1C"/>
    <w:rsid w:val="00E766BA"/>
    <w:rsid w:val="00E858B6"/>
    <w:rsid w:val="00E9142A"/>
    <w:rsid w:val="00E956EF"/>
    <w:rsid w:val="00EA42BC"/>
    <w:rsid w:val="00EA7740"/>
    <w:rsid w:val="00EA799D"/>
    <w:rsid w:val="00EB2A0F"/>
    <w:rsid w:val="00EB309D"/>
    <w:rsid w:val="00EB43B0"/>
    <w:rsid w:val="00EB718B"/>
    <w:rsid w:val="00EB7593"/>
    <w:rsid w:val="00EC000D"/>
    <w:rsid w:val="00EC1202"/>
    <w:rsid w:val="00EC6024"/>
    <w:rsid w:val="00ED0356"/>
    <w:rsid w:val="00ED2E0A"/>
    <w:rsid w:val="00EE1B6C"/>
    <w:rsid w:val="00EE5AD1"/>
    <w:rsid w:val="00EE7F97"/>
    <w:rsid w:val="00F05057"/>
    <w:rsid w:val="00F06029"/>
    <w:rsid w:val="00F1161B"/>
    <w:rsid w:val="00F1430D"/>
    <w:rsid w:val="00F21784"/>
    <w:rsid w:val="00F31B42"/>
    <w:rsid w:val="00F324CE"/>
    <w:rsid w:val="00F41EE5"/>
    <w:rsid w:val="00F43808"/>
    <w:rsid w:val="00F52AAF"/>
    <w:rsid w:val="00F556CB"/>
    <w:rsid w:val="00F57688"/>
    <w:rsid w:val="00F6370C"/>
    <w:rsid w:val="00F6408E"/>
    <w:rsid w:val="00F72E58"/>
    <w:rsid w:val="00F73AAA"/>
    <w:rsid w:val="00F755C5"/>
    <w:rsid w:val="00F758BA"/>
    <w:rsid w:val="00F83854"/>
    <w:rsid w:val="00F86262"/>
    <w:rsid w:val="00F87F02"/>
    <w:rsid w:val="00F91170"/>
    <w:rsid w:val="00F939B0"/>
    <w:rsid w:val="00FA172F"/>
    <w:rsid w:val="00FB1B87"/>
    <w:rsid w:val="00FB2001"/>
    <w:rsid w:val="00FB3ED7"/>
    <w:rsid w:val="00FB4672"/>
    <w:rsid w:val="00FB4D89"/>
    <w:rsid w:val="00FB7E47"/>
    <w:rsid w:val="00FC2612"/>
    <w:rsid w:val="00FC6922"/>
    <w:rsid w:val="00FC6EAA"/>
    <w:rsid w:val="00FD06A5"/>
    <w:rsid w:val="00FD359C"/>
    <w:rsid w:val="00FE1ACE"/>
    <w:rsid w:val="00FE69A7"/>
    <w:rsid w:val="00FE7BD7"/>
    <w:rsid w:val="00FF35DA"/>
    <w:rsid w:val="00FF3D5D"/>
    <w:rsid w:val="00FF3F74"/>
    <w:rsid w:val="00FF6FD6"/>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EA6990A"/>
  <w15:chartTrackingRefBased/>
  <w15:docId w15:val="{2AC072B3-F304-47C7-8B86-D68B9019E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683"/>
    <w:rPr>
      <w:rFonts w:ascii="Calibri" w:hAnsi="Calibri"/>
      <w:sz w:val="24"/>
      <w:szCs w:val="24"/>
    </w:rPr>
  </w:style>
  <w:style w:type="paragraph" w:styleId="Heading1">
    <w:name w:val="heading 1"/>
    <w:basedOn w:val="Normal"/>
    <w:next w:val="Normal"/>
    <w:link w:val="Heading1Char"/>
    <w:qFormat/>
    <w:rsid w:val="00450E7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F31B4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F31B4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11B99"/>
    <w:pPr>
      <w:tabs>
        <w:tab w:val="center" w:pos="4680"/>
        <w:tab w:val="right" w:pos="9360"/>
      </w:tabs>
    </w:pPr>
  </w:style>
  <w:style w:type="character" w:customStyle="1" w:styleId="HeaderChar">
    <w:name w:val="Header Char"/>
    <w:link w:val="Header"/>
    <w:uiPriority w:val="99"/>
    <w:rsid w:val="00A11B99"/>
    <w:rPr>
      <w:sz w:val="24"/>
      <w:szCs w:val="24"/>
    </w:rPr>
  </w:style>
  <w:style w:type="paragraph" w:styleId="Footer">
    <w:name w:val="footer"/>
    <w:basedOn w:val="Normal"/>
    <w:link w:val="FooterChar"/>
    <w:uiPriority w:val="99"/>
    <w:rsid w:val="00A11B99"/>
    <w:pPr>
      <w:tabs>
        <w:tab w:val="center" w:pos="4680"/>
        <w:tab w:val="right" w:pos="9360"/>
      </w:tabs>
    </w:pPr>
  </w:style>
  <w:style w:type="character" w:customStyle="1" w:styleId="FooterChar">
    <w:name w:val="Footer Char"/>
    <w:link w:val="Footer"/>
    <w:uiPriority w:val="99"/>
    <w:rsid w:val="00A11B99"/>
    <w:rPr>
      <w:sz w:val="24"/>
      <w:szCs w:val="24"/>
    </w:rPr>
  </w:style>
  <w:style w:type="character" w:styleId="Hyperlink">
    <w:name w:val="Hyperlink"/>
    <w:uiPriority w:val="99"/>
    <w:unhideWhenUsed/>
    <w:rsid w:val="00EE7F97"/>
    <w:rPr>
      <w:color w:val="0000FF"/>
      <w:u w:val="single"/>
    </w:rPr>
  </w:style>
  <w:style w:type="character" w:styleId="FollowedHyperlink">
    <w:name w:val="FollowedHyperlink"/>
    <w:rsid w:val="00EE7F97"/>
    <w:rPr>
      <w:color w:val="800080"/>
      <w:u w:val="single"/>
    </w:rPr>
  </w:style>
  <w:style w:type="paragraph" w:styleId="BalloonText">
    <w:name w:val="Balloon Text"/>
    <w:basedOn w:val="Normal"/>
    <w:link w:val="BalloonTextChar"/>
    <w:rsid w:val="007376A0"/>
    <w:rPr>
      <w:rFonts w:ascii="Tahoma" w:hAnsi="Tahoma" w:cs="Tahoma"/>
      <w:sz w:val="16"/>
      <w:szCs w:val="16"/>
    </w:rPr>
  </w:style>
  <w:style w:type="character" w:customStyle="1" w:styleId="BalloonTextChar">
    <w:name w:val="Balloon Text Char"/>
    <w:link w:val="BalloonText"/>
    <w:rsid w:val="007376A0"/>
    <w:rPr>
      <w:rFonts w:ascii="Tahoma" w:hAnsi="Tahoma" w:cs="Tahoma"/>
      <w:sz w:val="16"/>
      <w:szCs w:val="16"/>
    </w:rPr>
  </w:style>
  <w:style w:type="paragraph" w:styleId="FootnoteText">
    <w:name w:val="footnote text"/>
    <w:basedOn w:val="Normal"/>
    <w:link w:val="FootnoteTextChar"/>
    <w:uiPriority w:val="99"/>
    <w:rsid w:val="00F324CE"/>
    <w:rPr>
      <w:sz w:val="20"/>
      <w:szCs w:val="20"/>
    </w:rPr>
  </w:style>
  <w:style w:type="character" w:customStyle="1" w:styleId="FootnoteTextChar">
    <w:name w:val="Footnote Text Char"/>
    <w:basedOn w:val="DefaultParagraphFont"/>
    <w:link w:val="FootnoteText"/>
    <w:uiPriority w:val="99"/>
    <w:rsid w:val="00F324CE"/>
  </w:style>
  <w:style w:type="character" w:styleId="FootnoteReference">
    <w:name w:val="footnote reference"/>
    <w:uiPriority w:val="99"/>
    <w:rsid w:val="00F324CE"/>
    <w:rPr>
      <w:vertAlign w:val="superscript"/>
    </w:rPr>
  </w:style>
  <w:style w:type="character" w:styleId="CommentReference">
    <w:name w:val="annotation reference"/>
    <w:uiPriority w:val="99"/>
    <w:rsid w:val="00591158"/>
    <w:rPr>
      <w:sz w:val="16"/>
      <w:szCs w:val="16"/>
    </w:rPr>
  </w:style>
  <w:style w:type="paragraph" w:styleId="CommentText">
    <w:name w:val="annotation text"/>
    <w:basedOn w:val="Normal"/>
    <w:link w:val="CommentTextChar"/>
    <w:uiPriority w:val="99"/>
    <w:rsid w:val="00591158"/>
    <w:rPr>
      <w:sz w:val="20"/>
      <w:szCs w:val="20"/>
    </w:rPr>
  </w:style>
  <w:style w:type="character" w:customStyle="1" w:styleId="CommentTextChar">
    <w:name w:val="Comment Text Char"/>
    <w:basedOn w:val="DefaultParagraphFont"/>
    <w:link w:val="CommentText"/>
    <w:uiPriority w:val="99"/>
    <w:rsid w:val="00591158"/>
  </w:style>
  <w:style w:type="paragraph" w:styleId="CommentSubject">
    <w:name w:val="annotation subject"/>
    <w:basedOn w:val="CommentText"/>
    <w:next w:val="CommentText"/>
    <w:link w:val="CommentSubjectChar"/>
    <w:rsid w:val="00591158"/>
    <w:rPr>
      <w:b/>
      <w:bCs/>
    </w:rPr>
  </w:style>
  <w:style w:type="character" w:customStyle="1" w:styleId="CommentSubjectChar">
    <w:name w:val="Comment Subject Char"/>
    <w:link w:val="CommentSubject"/>
    <w:rsid w:val="00591158"/>
    <w:rPr>
      <w:b/>
      <w:bCs/>
    </w:rPr>
  </w:style>
  <w:style w:type="paragraph" w:styleId="Revision">
    <w:name w:val="Revision"/>
    <w:hidden/>
    <w:uiPriority w:val="99"/>
    <w:semiHidden/>
    <w:rsid w:val="00EC000D"/>
    <w:rPr>
      <w:sz w:val="24"/>
      <w:szCs w:val="24"/>
    </w:rPr>
  </w:style>
  <w:style w:type="paragraph" w:styleId="ListParagraph">
    <w:name w:val="List Paragraph"/>
    <w:basedOn w:val="Normal"/>
    <w:link w:val="ListParagraphChar"/>
    <w:uiPriority w:val="34"/>
    <w:qFormat/>
    <w:rsid w:val="00667AB9"/>
    <w:pPr>
      <w:ind w:left="720"/>
    </w:pPr>
  </w:style>
  <w:style w:type="paragraph" w:styleId="NoSpacing">
    <w:name w:val="No Spacing"/>
    <w:link w:val="NoSpacingChar"/>
    <w:uiPriority w:val="1"/>
    <w:qFormat/>
    <w:rsid w:val="00783FE9"/>
    <w:rPr>
      <w:rFonts w:ascii="Calibri" w:hAnsi="Calibri"/>
      <w:sz w:val="22"/>
      <w:szCs w:val="22"/>
      <w:lang w:eastAsia="ja-JP"/>
    </w:rPr>
  </w:style>
  <w:style w:type="character" w:customStyle="1" w:styleId="NoSpacingChar">
    <w:name w:val="No Spacing Char"/>
    <w:link w:val="NoSpacing"/>
    <w:uiPriority w:val="1"/>
    <w:rsid w:val="00783FE9"/>
    <w:rPr>
      <w:rFonts w:ascii="Calibri" w:hAnsi="Calibri"/>
      <w:sz w:val="22"/>
      <w:szCs w:val="22"/>
      <w:lang w:eastAsia="ja-JP"/>
    </w:rPr>
  </w:style>
  <w:style w:type="character" w:customStyle="1" w:styleId="st">
    <w:name w:val="st"/>
    <w:rsid w:val="00B561BD"/>
  </w:style>
  <w:style w:type="paragraph" w:styleId="PlainText">
    <w:name w:val="Plain Text"/>
    <w:basedOn w:val="Normal"/>
    <w:link w:val="PlainTextChar"/>
    <w:uiPriority w:val="99"/>
    <w:unhideWhenUsed/>
    <w:rsid w:val="00033E6B"/>
    <w:rPr>
      <w:rFonts w:eastAsia="Calibri"/>
      <w:sz w:val="22"/>
      <w:szCs w:val="21"/>
    </w:rPr>
  </w:style>
  <w:style w:type="character" w:customStyle="1" w:styleId="PlainTextChar">
    <w:name w:val="Plain Text Char"/>
    <w:link w:val="PlainText"/>
    <w:uiPriority w:val="99"/>
    <w:rsid w:val="00033E6B"/>
    <w:rPr>
      <w:rFonts w:ascii="Calibri" w:eastAsia="Calibri" w:hAnsi="Calibri"/>
      <w:sz w:val="22"/>
      <w:szCs w:val="21"/>
    </w:rPr>
  </w:style>
  <w:style w:type="character" w:styleId="Strong">
    <w:name w:val="Strong"/>
    <w:uiPriority w:val="22"/>
    <w:qFormat/>
    <w:rsid w:val="009645FD"/>
    <w:rPr>
      <w:b/>
      <w:bCs/>
    </w:rPr>
  </w:style>
  <w:style w:type="table" w:styleId="TableGrid">
    <w:name w:val="Table Grid"/>
    <w:basedOn w:val="TableNormal"/>
    <w:uiPriority w:val="39"/>
    <w:rsid w:val="00364FE6"/>
    <w:rPr>
      <w:rFonts w:ascii="Calibri" w:eastAsia="Calibri" w:hAnsi="Calibri"/>
      <w:sz w:val="22"/>
      <w:szCs w:val="22"/>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576B"/>
    <w:pPr>
      <w:spacing w:before="100" w:beforeAutospacing="1" w:after="100" w:afterAutospacing="1"/>
    </w:pPr>
    <w:rPr>
      <w:rFonts w:ascii="Times New Roman" w:eastAsia="Times New Roman" w:hAnsi="Times New Roman"/>
      <w:lang w:val="es-PE" w:eastAsia="es-PE"/>
    </w:rPr>
  </w:style>
  <w:style w:type="paragraph" w:customStyle="1" w:styleId="Style3">
    <w:name w:val="Style 3"/>
    <w:basedOn w:val="Normal"/>
    <w:uiPriority w:val="99"/>
    <w:rsid w:val="00234B31"/>
    <w:pPr>
      <w:widowControl w:val="0"/>
      <w:autoSpaceDE w:val="0"/>
      <w:autoSpaceDN w:val="0"/>
      <w:spacing w:line="216" w:lineRule="auto"/>
      <w:ind w:left="1584"/>
    </w:pPr>
    <w:rPr>
      <w:rFonts w:eastAsia="Times New Roman" w:cs="Calibri"/>
      <w:lang w:eastAsia="es-ES"/>
    </w:rPr>
  </w:style>
  <w:style w:type="paragraph" w:customStyle="1" w:styleId="Style1">
    <w:name w:val="Style 1"/>
    <w:basedOn w:val="Normal"/>
    <w:uiPriority w:val="99"/>
    <w:rsid w:val="00234B31"/>
    <w:pPr>
      <w:widowControl w:val="0"/>
      <w:autoSpaceDE w:val="0"/>
      <w:autoSpaceDN w:val="0"/>
      <w:adjustRightInd w:val="0"/>
    </w:pPr>
    <w:rPr>
      <w:rFonts w:ascii="Times New Roman" w:eastAsia="Times New Roman" w:hAnsi="Times New Roman"/>
      <w:sz w:val="20"/>
      <w:szCs w:val="20"/>
      <w:lang w:eastAsia="es-ES"/>
    </w:rPr>
  </w:style>
  <w:style w:type="character" w:customStyle="1" w:styleId="CharacterStyle1">
    <w:name w:val="Character Style 1"/>
    <w:uiPriority w:val="99"/>
    <w:rsid w:val="00234B31"/>
    <w:rPr>
      <w:rFonts w:ascii="Calibri" w:hAnsi="Calibri"/>
      <w:sz w:val="24"/>
    </w:rPr>
  </w:style>
  <w:style w:type="character" w:customStyle="1" w:styleId="CharacterStyle2">
    <w:name w:val="Character Style 2"/>
    <w:uiPriority w:val="99"/>
    <w:rsid w:val="00234B31"/>
    <w:rPr>
      <w:sz w:val="20"/>
    </w:rPr>
  </w:style>
  <w:style w:type="paragraph" w:customStyle="1" w:styleId="IASG1">
    <w:name w:val="IASG1"/>
    <w:basedOn w:val="Title"/>
    <w:link w:val="IASG1Char"/>
    <w:qFormat/>
    <w:rsid w:val="00937553"/>
    <w:pPr>
      <w:shd w:val="clear" w:color="auto" w:fill="FFC000"/>
      <w:jc w:val="left"/>
    </w:pPr>
    <w:rPr>
      <w:rFonts w:ascii="Calibri" w:hAnsi="Calibri"/>
      <w:color w:val="FFFFFF"/>
      <w:sz w:val="24"/>
      <w:szCs w:val="24"/>
      <w:lang w:val="es-ES"/>
    </w:rPr>
  </w:style>
  <w:style w:type="character" w:customStyle="1" w:styleId="IASG1Char">
    <w:name w:val="IASG1 Char"/>
    <w:link w:val="IASG1"/>
    <w:rsid w:val="00937553"/>
    <w:rPr>
      <w:rFonts w:ascii="Calibri" w:eastAsia="Times New Roman" w:hAnsi="Calibri"/>
      <w:b/>
      <w:bCs/>
      <w:color w:val="FFFFFF"/>
      <w:kern w:val="28"/>
      <w:sz w:val="24"/>
      <w:szCs w:val="24"/>
      <w:shd w:val="clear" w:color="auto" w:fill="FFC000"/>
      <w:lang w:val="es-ES"/>
    </w:rPr>
  </w:style>
  <w:style w:type="paragraph" w:styleId="Title">
    <w:name w:val="Title"/>
    <w:basedOn w:val="Normal"/>
    <w:next w:val="Normal"/>
    <w:link w:val="TitleChar"/>
    <w:qFormat/>
    <w:rsid w:val="0093755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937553"/>
    <w:rPr>
      <w:rFonts w:ascii="Cambria" w:eastAsia="Times New Roman" w:hAnsi="Cambria" w:cs="Times New Roman"/>
      <w:b/>
      <w:bCs/>
      <w:kern w:val="28"/>
      <w:sz w:val="32"/>
      <w:szCs w:val="32"/>
    </w:rPr>
  </w:style>
  <w:style w:type="character" w:customStyle="1" w:styleId="Heading1Char">
    <w:name w:val="Heading 1 Char"/>
    <w:link w:val="Heading1"/>
    <w:rsid w:val="00450E76"/>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450E76"/>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39"/>
    <w:rsid w:val="002D7B3B"/>
    <w:pPr>
      <w:tabs>
        <w:tab w:val="left" w:pos="720"/>
        <w:tab w:val="right" w:leader="dot" w:pos="9393"/>
      </w:tabs>
    </w:pPr>
    <w:rPr>
      <w:rFonts w:eastAsia="Calibri"/>
      <w:noProof/>
      <w:sz w:val="22"/>
      <w:lang w:val="es-ES"/>
    </w:rPr>
  </w:style>
  <w:style w:type="paragraph" w:styleId="TOC2">
    <w:name w:val="toc 2"/>
    <w:basedOn w:val="Normal"/>
    <w:next w:val="Normal"/>
    <w:autoRedefine/>
    <w:uiPriority w:val="39"/>
    <w:rsid w:val="009A4F8F"/>
    <w:pPr>
      <w:tabs>
        <w:tab w:val="left" w:pos="720"/>
        <w:tab w:val="right" w:leader="dot" w:pos="9393"/>
      </w:tabs>
    </w:pPr>
    <w:rPr>
      <w:noProof/>
      <w:sz w:val="22"/>
      <w:szCs w:val="22"/>
      <w:lang w:val="es-ES"/>
    </w:rPr>
  </w:style>
  <w:style w:type="paragraph" w:customStyle="1" w:styleId="paragraph">
    <w:name w:val="paragraph"/>
    <w:basedOn w:val="Normal"/>
    <w:rsid w:val="00F06029"/>
    <w:rPr>
      <w:rFonts w:ascii="Times New Roman" w:eastAsia="Times New Roman" w:hAnsi="Times New Roman"/>
    </w:rPr>
  </w:style>
  <w:style w:type="character" w:customStyle="1" w:styleId="normaltextrun1">
    <w:name w:val="normaltextrun1"/>
    <w:rsid w:val="00F06029"/>
  </w:style>
  <w:style w:type="character" w:customStyle="1" w:styleId="eop">
    <w:name w:val="eop"/>
    <w:rsid w:val="00F06029"/>
  </w:style>
  <w:style w:type="paragraph" w:customStyle="1" w:styleId="Default">
    <w:name w:val="Default"/>
    <w:rsid w:val="00CD1D3A"/>
    <w:pPr>
      <w:autoSpaceDE w:val="0"/>
      <w:autoSpaceDN w:val="0"/>
      <w:adjustRightInd w:val="0"/>
    </w:pPr>
    <w:rPr>
      <w:rFonts w:ascii="Calibri" w:hAnsi="Calibri" w:cs="Calibri"/>
      <w:color w:val="000000"/>
      <w:sz w:val="24"/>
      <w:szCs w:val="24"/>
    </w:rPr>
  </w:style>
  <w:style w:type="character" w:styleId="LineNumber">
    <w:name w:val="line number"/>
    <w:rsid w:val="005B050E"/>
  </w:style>
  <w:style w:type="character" w:customStyle="1" w:styleId="Heading3Char">
    <w:name w:val="Heading 3 Char"/>
    <w:link w:val="Heading3"/>
    <w:semiHidden/>
    <w:rsid w:val="00F31B42"/>
    <w:rPr>
      <w:rFonts w:ascii="Cambria" w:eastAsia="Times New Roman" w:hAnsi="Cambria" w:cs="Times New Roman"/>
      <w:b/>
      <w:bCs/>
      <w:sz w:val="26"/>
      <w:szCs w:val="26"/>
    </w:rPr>
  </w:style>
  <w:style w:type="character" w:customStyle="1" w:styleId="Heading2Char">
    <w:name w:val="Heading 2 Char"/>
    <w:link w:val="Heading2"/>
    <w:rsid w:val="00F31B42"/>
    <w:rPr>
      <w:rFonts w:ascii="Cambria" w:eastAsia="Times New Roman" w:hAnsi="Cambria" w:cs="Times New Roman"/>
      <w:b/>
      <w:bCs/>
      <w:i/>
      <w:iCs/>
      <w:sz w:val="28"/>
      <w:szCs w:val="28"/>
    </w:rPr>
  </w:style>
  <w:style w:type="paragraph" w:styleId="TOC3">
    <w:name w:val="toc 3"/>
    <w:basedOn w:val="Normal"/>
    <w:next w:val="Normal"/>
    <w:autoRedefine/>
    <w:uiPriority w:val="39"/>
    <w:rsid w:val="002D7B3B"/>
    <w:pPr>
      <w:tabs>
        <w:tab w:val="left" w:pos="720"/>
        <w:tab w:val="right" w:leader="dot" w:pos="9393"/>
      </w:tabs>
    </w:pPr>
    <w:rPr>
      <w:sz w:val="22"/>
    </w:rPr>
  </w:style>
  <w:style w:type="paragraph" w:styleId="TOC4">
    <w:name w:val="toc 4"/>
    <w:basedOn w:val="Normal"/>
    <w:next w:val="Normal"/>
    <w:autoRedefine/>
    <w:uiPriority w:val="39"/>
    <w:unhideWhenUsed/>
    <w:rsid w:val="009A4F8F"/>
    <w:pPr>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9A4F8F"/>
    <w:pPr>
      <w:spacing w:after="100" w:line="276" w:lineRule="auto"/>
      <w:ind w:left="880"/>
    </w:pPr>
    <w:rPr>
      <w:rFonts w:eastAsia="Times New Roman"/>
      <w:sz w:val="22"/>
      <w:szCs w:val="22"/>
    </w:rPr>
  </w:style>
  <w:style w:type="paragraph" w:styleId="TOC6">
    <w:name w:val="toc 6"/>
    <w:basedOn w:val="Normal"/>
    <w:next w:val="Normal"/>
    <w:autoRedefine/>
    <w:uiPriority w:val="39"/>
    <w:unhideWhenUsed/>
    <w:rsid w:val="009A4F8F"/>
    <w:pPr>
      <w:spacing w:after="100" w:line="276" w:lineRule="auto"/>
      <w:ind w:left="1100"/>
    </w:pPr>
    <w:rPr>
      <w:rFonts w:eastAsia="Times New Roman"/>
      <w:sz w:val="22"/>
      <w:szCs w:val="22"/>
    </w:rPr>
  </w:style>
  <w:style w:type="paragraph" w:styleId="TOC7">
    <w:name w:val="toc 7"/>
    <w:basedOn w:val="Normal"/>
    <w:next w:val="Normal"/>
    <w:autoRedefine/>
    <w:uiPriority w:val="39"/>
    <w:unhideWhenUsed/>
    <w:rsid w:val="009A4F8F"/>
    <w:pPr>
      <w:spacing w:after="100" w:line="276" w:lineRule="auto"/>
      <w:ind w:left="1320"/>
    </w:pPr>
    <w:rPr>
      <w:rFonts w:eastAsia="Times New Roman"/>
      <w:sz w:val="22"/>
      <w:szCs w:val="22"/>
    </w:rPr>
  </w:style>
  <w:style w:type="paragraph" w:styleId="TOC8">
    <w:name w:val="toc 8"/>
    <w:basedOn w:val="Normal"/>
    <w:next w:val="Normal"/>
    <w:autoRedefine/>
    <w:uiPriority w:val="39"/>
    <w:unhideWhenUsed/>
    <w:rsid w:val="009A4F8F"/>
    <w:pPr>
      <w:spacing w:after="100" w:line="276" w:lineRule="auto"/>
      <w:ind w:left="1540"/>
    </w:pPr>
    <w:rPr>
      <w:rFonts w:eastAsia="Times New Roman"/>
      <w:sz w:val="22"/>
      <w:szCs w:val="22"/>
    </w:rPr>
  </w:style>
  <w:style w:type="paragraph" w:styleId="TOC9">
    <w:name w:val="toc 9"/>
    <w:basedOn w:val="Normal"/>
    <w:next w:val="Normal"/>
    <w:autoRedefine/>
    <w:uiPriority w:val="39"/>
    <w:unhideWhenUsed/>
    <w:rsid w:val="009A4F8F"/>
    <w:pPr>
      <w:spacing w:after="100" w:line="276" w:lineRule="auto"/>
      <w:ind w:left="1760"/>
    </w:pPr>
    <w:rPr>
      <w:rFonts w:eastAsia="Times New Roman"/>
      <w:sz w:val="22"/>
      <w:szCs w:val="22"/>
    </w:rPr>
  </w:style>
  <w:style w:type="character" w:customStyle="1" w:styleId="ListParagraphChar">
    <w:name w:val="List Paragraph Char"/>
    <w:link w:val="ListParagraph"/>
    <w:uiPriority w:val="34"/>
    <w:locked/>
    <w:rsid w:val="00CC2BEA"/>
    <w:rPr>
      <w:rFonts w:ascii="Calibri" w:hAnsi="Calibri"/>
      <w:sz w:val="24"/>
      <w:szCs w:val="24"/>
    </w:rPr>
  </w:style>
  <w:style w:type="paragraph" w:customStyle="1" w:styleId="Sinespaciado">
    <w:name w:val="Sin espaciado"/>
    <w:basedOn w:val="Normal"/>
    <w:uiPriority w:val="1"/>
    <w:rsid w:val="00081B28"/>
    <w:rPr>
      <w:rFonts w:eastAsia="Calibri"/>
      <w:sz w:val="22"/>
      <w:szCs w:val="22"/>
    </w:rPr>
  </w:style>
  <w:style w:type="paragraph" w:styleId="EndnoteText">
    <w:name w:val="endnote text"/>
    <w:basedOn w:val="Normal"/>
    <w:link w:val="EndnoteTextChar"/>
    <w:rsid w:val="002B6D89"/>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pPr>
    <w:rPr>
      <w:rFonts w:ascii="CG Times" w:eastAsia="Batang" w:hAnsi="CG Times" w:cs="CG Times"/>
      <w:snapToGrid w:val="0"/>
      <w:sz w:val="20"/>
      <w:szCs w:val="20"/>
      <w:lang w:val="es-ES"/>
    </w:rPr>
  </w:style>
  <w:style w:type="character" w:customStyle="1" w:styleId="EndnoteTextChar">
    <w:name w:val="Endnote Text Char"/>
    <w:link w:val="EndnoteText"/>
    <w:rsid w:val="002B6D89"/>
    <w:rPr>
      <w:rFonts w:ascii="CG Times" w:eastAsia="Batang" w:hAnsi="CG Times" w:cs="CG Times"/>
      <w:snapToGrid w:val="0"/>
      <w:lang w:val="es-ES"/>
    </w:rPr>
  </w:style>
  <w:style w:type="character" w:styleId="EndnoteReference">
    <w:name w:val="endnote reference"/>
    <w:rsid w:val="002B6D89"/>
    <w:rPr>
      <w:vertAlign w:val="superscript"/>
    </w:rPr>
  </w:style>
  <w:style w:type="paragraph" w:styleId="HTMLPreformatted">
    <w:name w:val="HTML Preformatted"/>
    <w:basedOn w:val="Normal"/>
    <w:link w:val="HTMLPreformattedChar"/>
    <w:uiPriority w:val="99"/>
    <w:unhideWhenUsed/>
    <w:rsid w:val="002B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2B6D89"/>
    <w:rPr>
      <w:rFonts w:ascii="Courier New" w:eastAsia="Times New Roman" w:hAnsi="Courier New" w:cs="Courier New"/>
    </w:rPr>
  </w:style>
  <w:style w:type="paragraph" w:customStyle="1" w:styleId="Prrafos">
    <w:name w:val="Párrafos"/>
    <w:basedOn w:val="Normal"/>
    <w:uiPriority w:val="99"/>
    <w:rsid w:val="002B17CF"/>
    <w:pPr>
      <w:autoSpaceDE w:val="0"/>
      <w:autoSpaceDN w:val="0"/>
      <w:adjustRightInd w:val="0"/>
      <w:spacing w:after="144" w:line="270" w:lineRule="atLeast"/>
      <w:jc w:val="both"/>
      <w:textAlignment w:val="center"/>
    </w:pPr>
    <w:rPr>
      <w:rFonts w:eastAsia="Calibri" w:cs="Calibri"/>
      <w:color w:val="000000"/>
      <w:sz w:val="21"/>
      <w:szCs w:val="21"/>
      <w:lang w:val="es-ES_tradnl"/>
    </w:rPr>
  </w:style>
  <w:style w:type="character" w:customStyle="1" w:styleId="UnresolvedMention1">
    <w:name w:val="Unresolved Mention1"/>
    <w:basedOn w:val="DefaultParagraphFont"/>
    <w:uiPriority w:val="99"/>
    <w:semiHidden/>
    <w:unhideWhenUsed/>
    <w:rsid w:val="00357DCF"/>
    <w:rPr>
      <w:color w:val="605E5C"/>
      <w:shd w:val="clear" w:color="auto" w:fill="E1DFDD"/>
    </w:rPr>
  </w:style>
  <w:style w:type="numbering" w:customStyle="1" w:styleId="Estiloimportado1">
    <w:name w:val="Estilo importado 1"/>
    <w:rsid w:val="00214212"/>
    <w:pPr>
      <w:numPr>
        <w:numId w:val="1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90">
      <w:bodyDiv w:val="1"/>
      <w:marLeft w:val="0"/>
      <w:marRight w:val="0"/>
      <w:marTop w:val="0"/>
      <w:marBottom w:val="0"/>
      <w:divBdr>
        <w:top w:val="none" w:sz="0" w:space="0" w:color="auto"/>
        <w:left w:val="none" w:sz="0" w:space="0" w:color="auto"/>
        <w:bottom w:val="none" w:sz="0" w:space="0" w:color="auto"/>
        <w:right w:val="none" w:sz="0" w:space="0" w:color="auto"/>
      </w:divBdr>
    </w:div>
    <w:div w:id="87503665">
      <w:bodyDiv w:val="1"/>
      <w:marLeft w:val="0"/>
      <w:marRight w:val="0"/>
      <w:marTop w:val="0"/>
      <w:marBottom w:val="0"/>
      <w:divBdr>
        <w:top w:val="none" w:sz="0" w:space="0" w:color="auto"/>
        <w:left w:val="none" w:sz="0" w:space="0" w:color="auto"/>
        <w:bottom w:val="none" w:sz="0" w:space="0" w:color="auto"/>
        <w:right w:val="none" w:sz="0" w:space="0" w:color="auto"/>
      </w:divBdr>
      <w:divsChild>
        <w:div w:id="2100057494">
          <w:marLeft w:val="0"/>
          <w:marRight w:val="0"/>
          <w:marTop w:val="0"/>
          <w:marBottom w:val="0"/>
          <w:divBdr>
            <w:top w:val="none" w:sz="0" w:space="0" w:color="auto"/>
            <w:left w:val="none" w:sz="0" w:space="0" w:color="auto"/>
            <w:bottom w:val="none" w:sz="0" w:space="0" w:color="auto"/>
            <w:right w:val="none" w:sz="0" w:space="0" w:color="auto"/>
          </w:divBdr>
          <w:divsChild>
            <w:div w:id="837111486">
              <w:marLeft w:val="0"/>
              <w:marRight w:val="0"/>
              <w:marTop w:val="0"/>
              <w:marBottom w:val="0"/>
              <w:divBdr>
                <w:top w:val="none" w:sz="0" w:space="0" w:color="auto"/>
                <w:left w:val="none" w:sz="0" w:space="0" w:color="auto"/>
                <w:bottom w:val="none" w:sz="0" w:space="0" w:color="auto"/>
                <w:right w:val="none" w:sz="0" w:space="0" w:color="auto"/>
              </w:divBdr>
              <w:divsChild>
                <w:div w:id="2097238476">
                  <w:marLeft w:val="0"/>
                  <w:marRight w:val="0"/>
                  <w:marTop w:val="0"/>
                  <w:marBottom w:val="0"/>
                  <w:divBdr>
                    <w:top w:val="none" w:sz="0" w:space="0" w:color="auto"/>
                    <w:left w:val="none" w:sz="0" w:space="0" w:color="auto"/>
                    <w:bottom w:val="none" w:sz="0" w:space="0" w:color="auto"/>
                    <w:right w:val="none" w:sz="0" w:space="0" w:color="auto"/>
                  </w:divBdr>
                  <w:divsChild>
                    <w:div w:id="24412062">
                      <w:marLeft w:val="0"/>
                      <w:marRight w:val="0"/>
                      <w:marTop w:val="0"/>
                      <w:marBottom w:val="0"/>
                      <w:divBdr>
                        <w:top w:val="none" w:sz="0" w:space="0" w:color="auto"/>
                        <w:left w:val="none" w:sz="0" w:space="0" w:color="auto"/>
                        <w:bottom w:val="none" w:sz="0" w:space="0" w:color="auto"/>
                        <w:right w:val="none" w:sz="0" w:space="0" w:color="auto"/>
                      </w:divBdr>
                      <w:divsChild>
                        <w:div w:id="1132135174">
                          <w:marLeft w:val="0"/>
                          <w:marRight w:val="0"/>
                          <w:marTop w:val="0"/>
                          <w:marBottom w:val="0"/>
                          <w:divBdr>
                            <w:top w:val="none" w:sz="0" w:space="0" w:color="auto"/>
                            <w:left w:val="none" w:sz="0" w:space="0" w:color="auto"/>
                            <w:bottom w:val="none" w:sz="0" w:space="0" w:color="auto"/>
                            <w:right w:val="none" w:sz="0" w:space="0" w:color="auto"/>
                          </w:divBdr>
                          <w:divsChild>
                            <w:div w:id="930092178">
                              <w:marLeft w:val="0"/>
                              <w:marRight w:val="0"/>
                              <w:marTop w:val="0"/>
                              <w:marBottom w:val="0"/>
                              <w:divBdr>
                                <w:top w:val="none" w:sz="0" w:space="0" w:color="auto"/>
                                <w:left w:val="none" w:sz="0" w:space="0" w:color="auto"/>
                                <w:bottom w:val="none" w:sz="0" w:space="0" w:color="auto"/>
                                <w:right w:val="none" w:sz="0" w:space="0" w:color="auto"/>
                              </w:divBdr>
                              <w:divsChild>
                                <w:div w:id="1170757312">
                                  <w:marLeft w:val="0"/>
                                  <w:marRight w:val="0"/>
                                  <w:marTop w:val="0"/>
                                  <w:marBottom w:val="0"/>
                                  <w:divBdr>
                                    <w:top w:val="none" w:sz="0" w:space="0" w:color="auto"/>
                                    <w:left w:val="none" w:sz="0" w:space="0" w:color="auto"/>
                                    <w:bottom w:val="none" w:sz="0" w:space="0" w:color="auto"/>
                                    <w:right w:val="none" w:sz="0" w:space="0" w:color="auto"/>
                                  </w:divBdr>
                                  <w:divsChild>
                                    <w:div w:id="1861819132">
                                      <w:marLeft w:val="0"/>
                                      <w:marRight w:val="0"/>
                                      <w:marTop w:val="0"/>
                                      <w:marBottom w:val="0"/>
                                      <w:divBdr>
                                        <w:top w:val="none" w:sz="0" w:space="0" w:color="auto"/>
                                        <w:left w:val="none" w:sz="0" w:space="0" w:color="auto"/>
                                        <w:bottom w:val="none" w:sz="0" w:space="0" w:color="auto"/>
                                        <w:right w:val="none" w:sz="0" w:space="0" w:color="auto"/>
                                      </w:divBdr>
                                      <w:divsChild>
                                        <w:div w:id="1360084696">
                                          <w:marLeft w:val="0"/>
                                          <w:marRight w:val="0"/>
                                          <w:marTop w:val="0"/>
                                          <w:marBottom w:val="0"/>
                                          <w:divBdr>
                                            <w:top w:val="none" w:sz="0" w:space="0" w:color="auto"/>
                                            <w:left w:val="none" w:sz="0" w:space="0" w:color="auto"/>
                                            <w:bottom w:val="none" w:sz="0" w:space="0" w:color="auto"/>
                                            <w:right w:val="none" w:sz="0" w:space="0" w:color="auto"/>
                                          </w:divBdr>
                                          <w:divsChild>
                                            <w:div w:id="1543248690">
                                              <w:marLeft w:val="0"/>
                                              <w:marRight w:val="0"/>
                                              <w:marTop w:val="0"/>
                                              <w:marBottom w:val="0"/>
                                              <w:divBdr>
                                                <w:top w:val="none" w:sz="0" w:space="0" w:color="auto"/>
                                                <w:left w:val="none" w:sz="0" w:space="0" w:color="auto"/>
                                                <w:bottom w:val="none" w:sz="0" w:space="0" w:color="auto"/>
                                                <w:right w:val="none" w:sz="0" w:space="0" w:color="auto"/>
                                              </w:divBdr>
                                              <w:divsChild>
                                                <w:div w:id="1264611431">
                                                  <w:marLeft w:val="0"/>
                                                  <w:marRight w:val="0"/>
                                                  <w:marTop w:val="0"/>
                                                  <w:marBottom w:val="0"/>
                                                  <w:divBdr>
                                                    <w:top w:val="none" w:sz="0" w:space="0" w:color="auto"/>
                                                    <w:left w:val="none" w:sz="0" w:space="0" w:color="auto"/>
                                                    <w:bottom w:val="none" w:sz="0" w:space="0" w:color="auto"/>
                                                    <w:right w:val="none" w:sz="0" w:space="0" w:color="auto"/>
                                                  </w:divBdr>
                                                  <w:divsChild>
                                                    <w:div w:id="1286886511">
                                                      <w:marLeft w:val="0"/>
                                                      <w:marRight w:val="0"/>
                                                      <w:marTop w:val="0"/>
                                                      <w:marBottom w:val="0"/>
                                                      <w:divBdr>
                                                        <w:top w:val="single" w:sz="6" w:space="0" w:color="ABABAB"/>
                                                        <w:left w:val="single" w:sz="6" w:space="0" w:color="ABABAB"/>
                                                        <w:bottom w:val="none" w:sz="0" w:space="0" w:color="auto"/>
                                                        <w:right w:val="single" w:sz="6" w:space="0" w:color="ABABAB"/>
                                                      </w:divBdr>
                                                      <w:divsChild>
                                                        <w:div w:id="484857247">
                                                          <w:marLeft w:val="0"/>
                                                          <w:marRight w:val="0"/>
                                                          <w:marTop w:val="0"/>
                                                          <w:marBottom w:val="0"/>
                                                          <w:divBdr>
                                                            <w:top w:val="none" w:sz="0" w:space="0" w:color="auto"/>
                                                            <w:left w:val="none" w:sz="0" w:space="0" w:color="auto"/>
                                                            <w:bottom w:val="none" w:sz="0" w:space="0" w:color="auto"/>
                                                            <w:right w:val="none" w:sz="0" w:space="0" w:color="auto"/>
                                                          </w:divBdr>
                                                          <w:divsChild>
                                                            <w:div w:id="1042169577">
                                                              <w:marLeft w:val="0"/>
                                                              <w:marRight w:val="0"/>
                                                              <w:marTop w:val="0"/>
                                                              <w:marBottom w:val="0"/>
                                                              <w:divBdr>
                                                                <w:top w:val="none" w:sz="0" w:space="0" w:color="auto"/>
                                                                <w:left w:val="none" w:sz="0" w:space="0" w:color="auto"/>
                                                                <w:bottom w:val="none" w:sz="0" w:space="0" w:color="auto"/>
                                                                <w:right w:val="none" w:sz="0" w:space="0" w:color="auto"/>
                                                              </w:divBdr>
                                                              <w:divsChild>
                                                                <w:div w:id="1397047409">
                                                                  <w:marLeft w:val="0"/>
                                                                  <w:marRight w:val="0"/>
                                                                  <w:marTop w:val="0"/>
                                                                  <w:marBottom w:val="0"/>
                                                                  <w:divBdr>
                                                                    <w:top w:val="none" w:sz="0" w:space="0" w:color="auto"/>
                                                                    <w:left w:val="none" w:sz="0" w:space="0" w:color="auto"/>
                                                                    <w:bottom w:val="none" w:sz="0" w:space="0" w:color="auto"/>
                                                                    <w:right w:val="none" w:sz="0" w:space="0" w:color="auto"/>
                                                                  </w:divBdr>
                                                                  <w:divsChild>
                                                                    <w:div w:id="1860073633">
                                                                      <w:marLeft w:val="0"/>
                                                                      <w:marRight w:val="0"/>
                                                                      <w:marTop w:val="0"/>
                                                                      <w:marBottom w:val="0"/>
                                                                      <w:divBdr>
                                                                        <w:top w:val="none" w:sz="0" w:space="0" w:color="auto"/>
                                                                        <w:left w:val="none" w:sz="0" w:space="0" w:color="auto"/>
                                                                        <w:bottom w:val="none" w:sz="0" w:space="0" w:color="auto"/>
                                                                        <w:right w:val="none" w:sz="0" w:space="0" w:color="auto"/>
                                                                      </w:divBdr>
                                                                      <w:divsChild>
                                                                        <w:div w:id="1500386769">
                                                                          <w:marLeft w:val="0"/>
                                                                          <w:marRight w:val="0"/>
                                                                          <w:marTop w:val="0"/>
                                                                          <w:marBottom w:val="0"/>
                                                                          <w:divBdr>
                                                                            <w:top w:val="none" w:sz="0" w:space="0" w:color="auto"/>
                                                                            <w:left w:val="none" w:sz="0" w:space="0" w:color="auto"/>
                                                                            <w:bottom w:val="none" w:sz="0" w:space="0" w:color="auto"/>
                                                                            <w:right w:val="none" w:sz="0" w:space="0" w:color="auto"/>
                                                                          </w:divBdr>
                                                                          <w:divsChild>
                                                                            <w:div w:id="1052924563">
                                                                              <w:marLeft w:val="0"/>
                                                                              <w:marRight w:val="0"/>
                                                                              <w:marTop w:val="0"/>
                                                                              <w:marBottom w:val="0"/>
                                                                              <w:divBdr>
                                                                                <w:top w:val="none" w:sz="0" w:space="0" w:color="auto"/>
                                                                                <w:left w:val="none" w:sz="0" w:space="0" w:color="auto"/>
                                                                                <w:bottom w:val="none" w:sz="0" w:space="0" w:color="auto"/>
                                                                                <w:right w:val="none" w:sz="0" w:space="0" w:color="auto"/>
                                                                              </w:divBdr>
                                                                              <w:divsChild>
                                                                                <w:div w:id="551159901">
                                                                                  <w:marLeft w:val="0"/>
                                                                                  <w:marRight w:val="0"/>
                                                                                  <w:marTop w:val="0"/>
                                                                                  <w:marBottom w:val="0"/>
                                                                                  <w:divBdr>
                                                                                    <w:top w:val="none" w:sz="0" w:space="0" w:color="auto"/>
                                                                                    <w:left w:val="none" w:sz="0" w:space="0" w:color="auto"/>
                                                                                    <w:bottom w:val="none" w:sz="0" w:space="0" w:color="auto"/>
                                                                                    <w:right w:val="none" w:sz="0" w:space="0" w:color="auto"/>
                                                                                  </w:divBdr>
                                                                                </w:div>
                                                                                <w:div w:id="1225020912">
                                                                                  <w:marLeft w:val="0"/>
                                                                                  <w:marRight w:val="0"/>
                                                                                  <w:marTop w:val="0"/>
                                                                                  <w:marBottom w:val="0"/>
                                                                                  <w:divBdr>
                                                                                    <w:top w:val="none" w:sz="0" w:space="0" w:color="auto"/>
                                                                                    <w:left w:val="none" w:sz="0" w:space="0" w:color="auto"/>
                                                                                    <w:bottom w:val="none" w:sz="0" w:space="0" w:color="auto"/>
                                                                                    <w:right w:val="none" w:sz="0" w:space="0" w:color="auto"/>
                                                                                  </w:divBdr>
                                                                                </w:div>
                                                                                <w:div w:id="1558784864">
                                                                                  <w:marLeft w:val="0"/>
                                                                                  <w:marRight w:val="0"/>
                                                                                  <w:marTop w:val="0"/>
                                                                                  <w:marBottom w:val="0"/>
                                                                                  <w:divBdr>
                                                                                    <w:top w:val="none" w:sz="0" w:space="0" w:color="auto"/>
                                                                                    <w:left w:val="none" w:sz="0" w:space="0" w:color="auto"/>
                                                                                    <w:bottom w:val="none" w:sz="0" w:space="0" w:color="auto"/>
                                                                                    <w:right w:val="none" w:sz="0" w:space="0" w:color="auto"/>
                                                                                  </w:divBdr>
                                                                                </w:div>
                                                                                <w:div w:id="1619794794">
                                                                                  <w:marLeft w:val="0"/>
                                                                                  <w:marRight w:val="0"/>
                                                                                  <w:marTop w:val="0"/>
                                                                                  <w:marBottom w:val="0"/>
                                                                                  <w:divBdr>
                                                                                    <w:top w:val="none" w:sz="0" w:space="0" w:color="auto"/>
                                                                                    <w:left w:val="none" w:sz="0" w:space="0" w:color="auto"/>
                                                                                    <w:bottom w:val="none" w:sz="0" w:space="0" w:color="auto"/>
                                                                                    <w:right w:val="none" w:sz="0" w:space="0" w:color="auto"/>
                                                                                  </w:divBdr>
                                                                                </w:div>
                                                                                <w:div w:id="1654724768">
                                                                                  <w:marLeft w:val="0"/>
                                                                                  <w:marRight w:val="0"/>
                                                                                  <w:marTop w:val="0"/>
                                                                                  <w:marBottom w:val="0"/>
                                                                                  <w:divBdr>
                                                                                    <w:top w:val="none" w:sz="0" w:space="0" w:color="auto"/>
                                                                                    <w:left w:val="none" w:sz="0" w:space="0" w:color="auto"/>
                                                                                    <w:bottom w:val="none" w:sz="0" w:space="0" w:color="auto"/>
                                                                                    <w:right w:val="none" w:sz="0" w:space="0" w:color="auto"/>
                                                                                  </w:divBdr>
                                                                                </w:div>
                                                                                <w:div w:id="17314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18819">
      <w:bodyDiv w:val="1"/>
      <w:marLeft w:val="0"/>
      <w:marRight w:val="0"/>
      <w:marTop w:val="0"/>
      <w:marBottom w:val="0"/>
      <w:divBdr>
        <w:top w:val="none" w:sz="0" w:space="0" w:color="auto"/>
        <w:left w:val="none" w:sz="0" w:space="0" w:color="auto"/>
        <w:bottom w:val="none" w:sz="0" w:space="0" w:color="auto"/>
        <w:right w:val="none" w:sz="0" w:space="0" w:color="auto"/>
      </w:divBdr>
    </w:div>
    <w:div w:id="273514160">
      <w:bodyDiv w:val="1"/>
      <w:marLeft w:val="0"/>
      <w:marRight w:val="0"/>
      <w:marTop w:val="0"/>
      <w:marBottom w:val="0"/>
      <w:divBdr>
        <w:top w:val="none" w:sz="0" w:space="0" w:color="auto"/>
        <w:left w:val="none" w:sz="0" w:space="0" w:color="auto"/>
        <w:bottom w:val="none" w:sz="0" w:space="0" w:color="auto"/>
        <w:right w:val="none" w:sz="0" w:space="0" w:color="auto"/>
      </w:divBdr>
    </w:div>
    <w:div w:id="349725102">
      <w:bodyDiv w:val="1"/>
      <w:marLeft w:val="0"/>
      <w:marRight w:val="0"/>
      <w:marTop w:val="0"/>
      <w:marBottom w:val="0"/>
      <w:divBdr>
        <w:top w:val="none" w:sz="0" w:space="0" w:color="auto"/>
        <w:left w:val="none" w:sz="0" w:space="0" w:color="auto"/>
        <w:bottom w:val="none" w:sz="0" w:space="0" w:color="auto"/>
        <w:right w:val="none" w:sz="0" w:space="0" w:color="auto"/>
      </w:divBdr>
    </w:div>
    <w:div w:id="438260558">
      <w:bodyDiv w:val="1"/>
      <w:marLeft w:val="0"/>
      <w:marRight w:val="0"/>
      <w:marTop w:val="0"/>
      <w:marBottom w:val="0"/>
      <w:divBdr>
        <w:top w:val="none" w:sz="0" w:space="0" w:color="auto"/>
        <w:left w:val="none" w:sz="0" w:space="0" w:color="auto"/>
        <w:bottom w:val="none" w:sz="0" w:space="0" w:color="auto"/>
        <w:right w:val="none" w:sz="0" w:space="0" w:color="auto"/>
      </w:divBdr>
    </w:div>
    <w:div w:id="528565301">
      <w:bodyDiv w:val="1"/>
      <w:marLeft w:val="0"/>
      <w:marRight w:val="0"/>
      <w:marTop w:val="0"/>
      <w:marBottom w:val="0"/>
      <w:divBdr>
        <w:top w:val="none" w:sz="0" w:space="0" w:color="auto"/>
        <w:left w:val="none" w:sz="0" w:space="0" w:color="auto"/>
        <w:bottom w:val="none" w:sz="0" w:space="0" w:color="auto"/>
        <w:right w:val="none" w:sz="0" w:space="0" w:color="auto"/>
      </w:divBdr>
    </w:div>
    <w:div w:id="556936586">
      <w:bodyDiv w:val="1"/>
      <w:marLeft w:val="0"/>
      <w:marRight w:val="0"/>
      <w:marTop w:val="0"/>
      <w:marBottom w:val="0"/>
      <w:divBdr>
        <w:top w:val="none" w:sz="0" w:space="0" w:color="auto"/>
        <w:left w:val="none" w:sz="0" w:space="0" w:color="auto"/>
        <w:bottom w:val="none" w:sz="0" w:space="0" w:color="auto"/>
        <w:right w:val="none" w:sz="0" w:space="0" w:color="auto"/>
      </w:divBdr>
    </w:div>
    <w:div w:id="590353990">
      <w:bodyDiv w:val="1"/>
      <w:marLeft w:val="0"/>
      <w:marRight w:val="0"/>
      <w:marTop w:val="0"/>
      <w:marBottom w:val="0"/>
      <w:divBdr>
        <w:top w:val="none" w:sz="0" w:space="0" w:color="auto"/>
        <w:left w:val="none" w:sz="0" w:space="0" w:color="auto"/>
        <w:bottom w:val="none" w:sz="0" w:space="0" w:color="auto"/>
        <w:right w:val="none" w:sz="0" w:space="0" w:color="auto"/>
      </w:divBdr>
    </w:div>
    <w:div w:id="619191929">
      <w:bodyDiv w:val="1"/>
      <w:marLeft w:val="0"/>
      <w:marRight w:val="0"/>
      <w:marTop w:val="0"/>
      <w:marBottom w:val="0"/>
      <w:divBdr>
        <w:top w:val="none" w:sz="0" w:space="0" w:color="auto"/>
        <w:left w:val="none" w:sz="0" w:space="0" w:color="auto"/>
        <w:bottom w:val="none" w:sz="0" w:space="0" w:color="auto"/>
        <w:right w:val="none" w:sz="0" w:space="0" w:color="auto"/>
      </w:divBdr>
    </w:div>
    <w:div w:id="627660435">
      <w:bodyDiv w:val="1"/>
      <w:marLeft w:val="0"/>
      <w:marRight w:val="0"/>
      <w:marTop w:val="0"/>
      <w:marBottom w:val="0"/>
      <w:divBdr>
        <w:top w:val="none" w:sz="0" w:space="0" w:color="auto"/>
        <w:left w:val="none" w:sz="0" w:space="0" w:color="auto"/>
        <w:bottom w:val="none" w:sz="0" w:space="0" w:color="auto"/>
        <w:right w:val="none" w:sz="0" w:space="0" w:color="auto"/>
      </w:divBdr>
    </w:div>
    <w:div w:id="850290724">
      <w:bodyDiv w:val="1"/>
      <w:marLeft w:val="0"/>
      <w:marRight w:val="0"/>
      <w:marTop w:val="0"/>
      <w:marBottom w:val="0"/>
      <w:divBdr>
        <w:top w:val="none" w:sz="0" w:space="0" w:color="auto"/>
        <w:left w:val="none" w:sz="0" w:space="0" w:color="auto"/>
        <w:bottom w:val="none" w:sz="0" w:space="0" w:color="auto"/>
        <w:right w:val="none" w:sz="0" w:space="0" w:color="auto"/>
      </w:divBdr>
    </w:div>
    <w:div w:id="850951368">
      <w:bodyDiv w:val="1"/>
      <w:marLeft w:val="0"/>
      <w:marRight w:val="0"/>
      <w:marTop w:val="0"/>
      <w:marBottom w:val="0"/>
      <w:divBdr>
        <w:top w:val="none" w:sz="0" w:space="0" w:color="auto"/>
        <w:left w:val="none" w:sz="0" w:space="0" w:color="auto"/>
        <w:bottom w:val="none" w:sz="0" w:space="0" w:color="auto"/>
        <w:right w:val="none" w:sz="0" w:space="0" w:color="auto"/>
      </w:divBdr>
    </w:div>
    <w:div w:id="867254112">
      <w:bodyDiv w:val="1"/>
      <w:marLeft w:val="0"/>
      <w:marRight w:val="0"/>
      <w:marTop w:val="0"/>
      <w:marBottom w:val="0"/>
      <w:divBdr>
        <w:top w:val="none" w:sz="0" w:space="0" w:color="auto"/>
        <w:left w:val="none" w:sz="0" w:space="0" w:color="auto"/>
        <w:bottom w:val="none" w:sz="0" w:space="0" w:color="auto"/>
        <w:right w:val="none" w:sz="0" w:space="0" w:color="auto"/>
      </w:divBdr>
      <w:divsChild>
        <w:div w:id="1166625131">
          <w:marLeft w:val="0"/>
          <w:marRight w:val="0"/>
          <w:marTop w:val="0"/>
          <w:marBottom w:val="0"/>
          <w:divBdr>
            <w:top w:val="none" w:sz="0" w:space="0" w:color="auto"/>
            <w:left w:val="none" w:sz="0" w:space="0" w:color="auto"/>
            <w:bottom w:val="none" w:sz="0" w:space="0" w:color="auto"/>
            <w:right w:val="none" w:sz="0" w:space="0" w:color="auto"/>
          </w:divBdr>
          <w:divsChild>
            <w:div w:id="1343702259">
              <w:marLeft w:val="0"/>
              <w:marRight w:val="0"/>
              <w:marTop w:val="0"/>
              <w:marBottom w:val="0"/>
              <w:divBdr>
                <w:top w:val="none" w:sz="0" w:space="0" w:color="auto"/>
                <w:left w:val="none" w:sz="0" w:space="0" w:color="auto"/>
                <w:bottom w:val="none" w:sz="0" w:space="0" w:color="auto"/>
                <w:right w:val="none" w:sz="0" w:space="0" w:color="auto"/>
              </w:divBdr>
              <w:divsChild>
                <w:div w:id="1261834690">
                  <w:marLeft w:val="0"/>
                  <w:marRight w:val="0"/>
                  <w:marTop w:val="0"/>
                  <w:marBottom w:val="0"/>
                  <w:divBdr>
                    <w:top w:val="none" w:sz="0" w:space="0" w:color="auto"/>
                    <w:left w:val="none" w:sz="0" w:space="0" w:color="auto"/>
                    <w:bottom w:val="none" w:sz="0" w:space="0" w:color="auto"/>
                    <w:right w:val="none" w:sz="0" w:space="0" w:color="auto"/>
                  </w:divBdr>
                  <w:divsChild>
                    <w:div w:id="249236746">
                      <w:marLeft w:val="0"/>
                      <w:marRight w:val="0"/>
                      <w:marTop w:val="0"/>
                      <w:marBottom w:val="0"/>
                      <w:divBdr>
                        <w:top w:val="none" w:sz="0" w:space="0" w:color="auto"/>
                        <w:left w:val="none" w:sz="0" w:space="0" w:color="auto"/>
                        <w:bottom w:val="none" w:sz="0" w:space="0" w:color="auto"/>
                        <w:right w:val="none" w:sz="0" w:space="0" w:color="auto"/>
                      </w:divBdr>
                      <w:divsChild>
                        <w:div w:id="1547791808">
                          <w:marLeft w:val="0"/>
                          <w:marRight w:val="0"/>
                          <w:marTop w:val="0"/>
                          <w:marBottom w:val="0"/>
                          <w:divBdr>
                            <w:top w:val="none" w:sz="0" w:space="0" w:color="auto"/>
                            <w:left w:val="none" w:sz="0" w:space="0" w:color="auto"/>
                            <w:bottom w:val="none" w:sz="0" w:space="0" w:color="auto"/>
                            <w:right w:val="none" w:sz="0" w:space="0" w:color="auto"/>
                          </w:divBdr>
                          <w:divsChild>
                            <w:div w:id="1502617981">
                              <w:marLeft w:val="2070"/>
                              <w:marRight w:val="3960"/>
                              <w:marTop w:val="0"/>
                              <w:marBottom w:val="0"/>
                              <w:divBdr>
                                <w:top w:val="none" w:sz="0" w:space="0" w:color="auto"/>
                                <w:left w:val="none" w:sz="0" w:space="0" w:color="auto"/>
                                <w:bottom w:val="none" w:sz="0" w:space="0" w:color="auto"/>
                                <w:right w:val="none" w:sz="0" w:space="0" w:color="auto"/>
                              </w:divBdr>
                              <w:divsChild>
                                <w:div w:id="1291133980">
                                  <w:marLeft w:val="0"/>
                                  <w:marRight w:val="0"/>
                                  <w:marTop w:val="0"/>
                                  <w:marBottom w:val="0"/>
                                  <w:divBdr>
                                    <w:top w:val="none" w:sz="0" w:space="0" w:color="auto"/>
                                    <w:left w:val="none" w:sz="0" w:space="0" w:color="auto"/>
                                    <w:bottom w:val="none" w:sz="0" w:space="0" w:color="auto"/>
                                    <w:right w:val="none" w:sz="0" w:space="0" w:color="auto"/>
                                  </w:divBdr>
                                  <w:divsChild>
                                    <w:div w:id="1881089682">
                                      <w:marLeft w:val="0"/>
                                      <w:marRight w:val="0"/>
                                      <w:marTop w:val="0"/>
                                      <w:marBottom w:val="0"/>
                                      <w:divBdr>
                                        <w:top w:val="none" w:sz="0" w:space="0" w:color="auto"/>
                                        <w:left w:val="none" w:sz="0" w:space="0" w:color="auto"/>
                                        <w:bottom w:val="none" w:sz="0" w:space="0" w:color="auto"/>
                                        <w:right w:val="none" w:sz="0" w:space="0" w:color="auto"/>
                                      </w:divBdr>
                                      <w:divsChild>
                                        <w:div w:id="268662638">
                                          <w:marLeft w:val="0"/>
                                          <w:marRight w:val="0"/>
                                          <w:marTop w:val="0"/>
                                          <w:marBottom w:val="0"/>
                                          <w:divBdr>
                                            <w:top w:val="none" w:sz="0" w:space="0" w:color="auto"/>
                                            <w:left w:val="none" w:sz="0" w:space="0" w:color="auto"/>
                                            <w:bottom w:val="none" w:sz="0" w:space="0" w:color="auto"/>
                                            <w:right w:val="none" w:sz="0" w:space="0" w:color="auto"/>
                                          </w:divBdr>
                                          <w:divsChild>
                                            <w:div w:id="349526576">
                                              <w:marLeft w:val="0"/>
                                              <w:marRight w:val="0"/>
                                              <w:marTop w:val="90"/>
                                              <w:marBottom w:val="0"/>
                                              <w:divBdr>
                                                <w:top w:val="none" w:sz="0" w:space="0" w:color="auto"/>
                                                <w:left w:val="none" w:sz="0" w:space="0" w:color="auto"/>
                                                <w:bottom w:val="none" w:sz="0" w:space="0" w:color="auto"/>
                                                <w:right w:val="none" w:sz="0" w:space="0" w:color="auto"/>
                                              </w:divBdr>
                                              <w:divsChild>
                                                <w:div w:id="985013297">
                                                  <w:marLeft w:val="0"/>
                                                  <w:marRight w:val="0"/>
                                                  <w:marTop w:val="0"/>
                                                  <w:marBottom w:val="0"/>
                                                  <w:divBdr>
                                                    <w:top w:val="none" w:sz="0" w:space="0" w:color="auto"/>
                                                    <w:left w:val="none" w:sz="0" w:space="0" w:color="auto"/>
                                                    <w:bottom w:val="none" w:sz="0" w:space="0" w:color="auto"/>
                                                    <w:right w:val="none" w:sz="0" w:space="0" w:color="auto"/>
                                                  </w:divBdr>
                                                  <w:divsChild>
                                                    <w:div w:id="1148787729">
                                                      <w:marLeft w:val="0"/>
                                                      <w:marRight w:val="0"/>
                                                      <w:marTop w:val="0"/>
                                                      <w:marBottom w:val="0"/>
                                                      <w:divBdr>
                                                        <w:top w:val="none" w:sz="0" w:space="0" w:color="auto"/>
                                                        <w:left w:val="none" w:sz="0" w:space="0" w:color="auto"/>
                                                        <w:bottom w:val="none" w:sz="0" w:space="0" w:color="auto"/>
                                                        <w:right w:val="none" w:sz="0" w:space="0" w:color="auto"/>
                                                      </w:divBdr>
                                                      <w:divsChild>
                                                        <w:div w:id="1010448189">
                                                          <w:marLeft w:val="0"/>
                                                          <w:marRight w:val="0"/>
                                                          <w:marTop w:val="0"/>
                                                          <w:marBottom w:val="450"/>
                                                          <w:divBdr>
                                                            <w:top w:val="none" w:sz="0" w:space="0" w:color="auto"/>
                                                            <w:left w:val="none" w:sz="0" w:space="0" w:color="auto"/>
                                                            <w:bottom w:val="none" w:sz="0" w:space="0" w:color="auto"/>
                                                            <w:right w:val="none" w:sz="0" w:space="0" w:color="auto"/>
                                                          </w:divBdr>
                                                          <w:divsChild>
                                                            <w:div w:id="934557698">
                                                              <w:marLeft w:val="0"/>
                                                              <w:marRight w:val="0"/>
                                                              <w:marTop w:val="0"/>
                                                              <w:marBottom w:val="0"/>
                                                              <w:divBdr>
                                                                <w:top w:val="none" w:sz="0" w:space="0" w:color="auto"/>
                                                                <w:left w:val="none" w:sz="0" w:space="0" w:color="auto"/>
                                                                <w:bottom w:val="none" w:sz="0" w:space="0" w:color="auto"/>
                                                                <w:right w:val="none" w:sz="0" w:space="0" w:color="auto"/>
                                                              </w:divBdr>
                                                              <w:divsChild>
                                                                <w:div w:id="1032613780">
                                                                  <w:marLeft w:val="0"/>
                                                                  <w:marRight w:val="0"/>
                                                                  <w:marTop w:val="0"/>
                                                                  <w:marBottom w:val="0"/>
                                                                  <w:divBdr>
                                                                    <w:top w:val="none" w:sz="0" w:space="0" w:color="auto"/>
                                                                    <w:left w:val="none" w:sz="0" w:space="0" w:color="auto"/>
                                                                    <w:bottom w:val="none" w:sz="0" w:space="0" w:color="auto"/>
                                                                    <w:right w:val="none" w:sz="0" w:space="0" w:color="auto"/>
                                                                  </w:divBdr>
                                                                  <w:divsChild>
                                                                    <w:div w:id="1033772743">
                                                                      <w:marLeft w:val="0"/>
                                                                      <w:marRight w:val="0"/>
                                                                      <w:marTop w:val="0"/>
                                                                      <w:marBottom w:val="0"/>
                                                                      <w:divBdr>
                                                                        <w:top w:val="none" w:sz="0" w:space="0" w:color="auto"/>
                                                                        <w:left w:val="none" w:sz="0" w:space="0" w:color="auto"/>
                                                                        <w:bottom w:val="none" w:sz="0" w:space="0" w:color="auto"/>
                                                                        <w:right w:val="none" w:sz="0" w:space="0" w:color="auto"/>
                                                                      </w:divBdr>
                                                                      <w:divsChild>
                                                                        <w:div w:id="62723172">
                                                                          <w:marLeft w:val="0"/>
                                                                          <w:marRight w:val="0"/>
                                                                          <w:marTop w:val="0"/>
                                                                          <w:marBottom w:val="0"/>
                                                                          <w:divBdr>
                                                                            <w:top w:val="none" w:sz="0" w:space="0" w:color="auto"/>
                                                                            <w:left w:val="none" w:sz="0" w:space="0" w:color="auto"/>
                                                                            <w:bottom w:val="none" w:sz="0" w:space="0" w:color="auto"/>
                                                                            <w:right w:val="none" w:sz="0" w:space="0" w:color="auto"/>
                                                                          </w:divBdr>
                                                                          <w:divsChild>
                                                                            <w:div w:id="1812667984">
                                                                              <w:marLeft w:val="0"/>
                                                                              <w:marRight w:val="0"/>
                                                                              <w:marTop w:val="0"/>
                                                                              <w:marBottom w:val="0"/>
                                                                              <w:divBdr>
                                                                                <w:top w:val="none" w:sz="0" w:space="0" w:color="auto"/>
                                                                                <w:left w:val="none" w:sz="0" w:space="0" w:color="auto"/>
                                                                                <w:bottom w:val="none" w:sz="0" w:space="0" w:color="auto"/>
                                                                                <w:right w:val="none" w:sz="0" w:space="0" w:color="auto"/>
                                                                              </w:divBdr>
                                                                              <w:divsChild>
                                                                                <w:div w:id="333189664">
                                                                                  <w:marLeft w:val="0"/>
                                                                                  <w:marRight w:val="0"/>
                                                                                  <w:marTop w:val="0"/>
                                                                                  <w:marBottom w:val="0"/>
                                                                                  <w:divBdr>
                                                                                    <w:top w:val="none" w:sz="0" w:space="0" w:color="auto"/>
                                                                                    <w:left w:val="none" w:sz="0" w:space="0" w:color="auto"/>
                                                                                    <w:bottom w:val="none" w:sz="0" w:space="0" w:color="auto"/>
                                                                                    <w:right w:val="none" w:sz="0" w:space="0" w:color="auto"/>
                                                                                  </w:divBdr>
                                                                                  <w:divsChild>
                                                                                    <w:div w:id="1029379204">
                                                                                      <w:marLeft w:val="0"/>
                                                                                      <w:marRight w:val="0"/>
                                                                                      <w:marTop w:val="0"/>
                                                                                      <w:marBottom w:val="0"/>
                                                                                      <w:divBdr>
                                                                                        <w:top w:val="none" w:sz="0" w:space="0" w:color="auto"/>
                                                                                        <w:left w:val="none" w:sz="0" w:space="0" w:color="auto"/>
                                                                                        <w:bottom w:val="none" w:sz="0" w:space="0" w:color="auto"/>
                                                                                        <w:right w:val="none" w:sz="0" w:space="0" w:color="auto"/>
                                                                                      </w:divBdr>
                                                                                      <w:divsChild>
                                                                                        <w:div w:id="1444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679320">
      <w:bodyDiv w:val="1"/>
      <w:marLeft w:val="0"/>
      <w:marRight w:val="0"/>
      <w:marTop w:val="0"/>
      <w:marBottom w:val="0"/>
      <w:divBdr>
        <w:top w:val="none" w:sz="0" w:space="0" w:color="auto"/>
        <w:left w:val="none" w:sz="0" w:space="0" w:color="auto"/>
        <w:bottom w:val="none" w:sz="0" w:space="0" w:color="auto"/>
        <w:right w:val="none" w:sz="0" w:space="0" w:color="auto"/>
      </w:divBdr>
    </w:div>
    <w:div w:id="1118983679">
      <w:bodyDiv w:val="1"/>
      <w:marLeft w:val="0"/>
      <w:marRight w:val="0"/>
      <w:marTop w:val="0"/>
      <w:marBottom w:val="0"/>
      <w:divBdr>
        <w:top w:val="none" w:sz="0" w:space="0" w:color="auto"/>
        <w:left w:val="none" w:sz="0" w:space="0" w:color="auto"/>
        <w:bottom w:val="none" w:sz="0" w:space="0" w:color="auto"/>
        <w:right w:val="none" w:sz="0" w:space="0" w:color="auto"/>
      </w:divBdr>
    </w:div>
    <w:div w:id="1279022293">
      <w:bodyDiv w:val="1"/>
      <w:marLeft w:val="0"/>
      <w:marRight w:val="0"/>
      <w:marTop w:val="0"/>
      <w:marBottom w:val="0"/>
      <w:divBdr>
        <w:top w:val="none" w:sz="0" w:space="0" w:color="auto"/>
        <w:left w:val="none" w:sz="0" w:space="0" w:color="auto"/>
        <w:bottom w:val="none" w:sz="0" w:space="0" w:color="auto"/>
        <w:right w:val="none" w:sz="0" w:space="0" w:color="auto"/>
      </w:divBdr>
    </w:div>
    <w:div w:id="1487354221">
      <w:bodyDiv w:val="1"/>
      <w:marLeft w:val="0"/>
      <w:marRight w:val="0"/>
      <w:marTop w:val="0"/>
      <w:marBottom w:val="0"/>
      <w:divBdr>
        <w:top w:val="none" w:sz="0" w:space="0" w:color="auto"/>
        <w:left w:val="none" w:sz="0" w:space="0" w:color="auto"/>
        <w:bottom w:val="none" w:sz="0" w:space="0" w:color="auto"/>
        <w:right w:val="none" w:sz="0" w:space="0" w:color="auto"/>
      </w:divBdr>
    </w:div>
    <w:div w:id="1562520388">
      <w:bodyDiv w:val="1"/>
      <w:marLeft w:val="0"/>
      <w:marRight w:val="0"/>
      <w:marTop w:val="0"/>
      <w:marBottom w:val="0"/>
      <w:divBdr>
        <w:top w:val="none" w:sz="0" w:space="0" w:color="auto"/>
        <w:left w:val="none" w:sz="0" w:space="0" w:color="auto"/>
        <w:bottom w:val="none" w:sz="0" w:space="0" w:color="auto"/>
        <w:right w:val="none" w:sz="0" w:space="0" w:color="auto"/>
      </w:divBdr>
    </w:div>
    <w:div w:id="1581019300">
      <w:bodyDiv w:val="1"/>
      <w:marLeft w:val="0"/>
      <w:marRight w:val="0"/>
      <w:marTop w:val="0"/>
      <w:marBottom w:val="0"/>
      <w:divBdr>
        <w:top w:val="none" w:sz="0" w:space="0" w:color="auto"/>
        <w:left w:val="none" w:sz="0" w:space="0" w:color="auto"/>
        <w:bottom w:val="none" w:sz="0" w:space="0" w:color="auto"/>
        <w:right w:val="none" w:sz="0" w:space="0" w:color="auto"/>
      </w:divBdr>
    </w:div>
    <w:div w:id="1669939723">
      <w:bodyDiv w:val="1"/>
      <w:marLeft w:val="0"/>
      <w:marRight w:val="0"/>
      <w:marTop w:val="0"/>
      <w:marBottom w:val="0"/>
      <w:divBdr>
        <w:top w:val="none" w:sz="0" w:space="0" w:color="auto"/>
        <w:left w:val="none" w:sz="0" w:space="0" w:color="auto"/>
        <w:bottom w:val="none" w:sz="0" w:space="0" w:color="auto"/>
        <w:right w:val="none" w:sz="0" w:space="0" w:color="auto"/>
      </w:divBdr>
    </w:div>
    <w:div w:id="1700004949">
      <w:bodyDiv w:val="1"/>
      <w:marLeft w:val="0"/>
      <w:marRight w:val="0"/>
      <w:marTop w:val="0"/>
      <w:marBottom w:val="0"/>
      <w:divBdr>
        <w:top w:val="none" w:sz="0" w:space="0" w:color="auto"/>
        <w:left w:val="none" w:sz="0" w:space="0" w:color="auto"/>
        <w:bottom w:val="none" w:sz="0" w:space="0" w:color="auto"/>
        <w:right w:val="none" w:sz="0" w:space="0" w:color="auto"/>
      </w:divBdr>
    </w:div>
    <w:div w:id="1821657426">
      <w:bodyDiv w:val="1"/>
      <w:marLeft w:val="0"/>
      <w:marRight w:val="0"/>
      <w:marTop w:val="0"/>
      <w:marBottom w:val="0"/>
      <w:divBdr>
        <w:top w:val="none" w:sz="0" w:space="0" w:color="auto"/>
        <w:left w:val="none" w:sz="0" w:space="0" w:color="auto"/>
        <w:bottom w:val="none" w:sz="0" w:space="0" w:color="auto"/>
        <w:right w:val="none" w:sz="0" w:space="0" w:color="auto"/>
      </w:divBdr>
      <w:divsChild>
        <w:div w:id="413936262">
          <w:marLeft w:val="0"/>
          <w:marRight w:val="0"/>
          <w:marTop w:val="0"/>
          <w:marBottom w:val="0"/>
          <w:divBdr>
            <w:top w:val="none" w:sz="0" w:space="0" w:color="auto"/>
            <w:left w:val="none" w:sz="0" w:space="0" w:color="auto"/>
            <w:bottom w:val="none" w:sz="0" w:space="0" w:color="auto"/>
            <w:right w:val="none" w:sz="0" w:space="0" w:color="auto"/>
          </w:divBdr>
          <w:divsChild>
            <w:div w:id="926154899">
              <w:marLeft w:val="0"/>
              <w:marRight w:val="0"/>
              <w:marTop w:val="0"/>
              <w:marBottom w:val="0"/>
              <w:divBdr>
                <w:top w:val="none" w:sz="0" w:space="0" w:color="auto"/>
                <w:left w:val="none" w:sz="0" w:space="0" w:color="auto"/>
                <w:bottom w:val="none" w:sz="0" w:space="0" w:color="auto"/>
                <w:right w:val="none" w:sz="0" w:space="0" w:color="auto"/>
              </w:divBdr>
              <w:divsChild>
                <w:div w:id="6289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17743">
      <w:bodyDiv w:val="1"/>
      <w:marLeft w:val="0"/>
      <w:marRight w:val="0"/>
      <w:marTop w:val="0"/>
      <w:marBottom w:val="0"/>
      <w:divBdr>
        <w:top w:val="none" w:sz="0" w:space="0" w:color="auto"/>
        <w:left w:val="none" w:sz="0" w:space="0" w:color="auto"/>
        <w:bottom w:val="none" w:sz="0" w:space="0" w:color="auto"/>
        <w:right w:val="none" w:sz="0" w:space="0" w:color="auto"/>
      </w:divBdr>
    </w:div>
    <w:div w:id="1934167233">
      <w:bodyDiv w:val="1"/>
      <w:marLeft w:val="0"/>
      <w:marRight w:val="0"/>
      <w:marTop w:val="0"/>
      <w:marBottom w:val="0"/>
      <w:divBdr>
        <w:top w:val="none" w:sz="0" w:space="0" w:color="auto"/>
        <w:left w:val="none" w:sz="0" w:space="0" w:color="auto"/>
        <w:bottom w:val="none" w:sz="0" w:space="0" w:color="auto"/>
        <w:right w:val="none" w:sz="0" w:space="0" w:color="auto"/>
      </w:divBdr>
    </w:div>
    <w:div w:id="207168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https://pbs.twimg.com/media/D710wi9WkAA9n5f?format=jpg&amp;name=4096x4096" TargetMode="External"/><Relationship Id="rId21" Type="http://schemas.openxmlformats.org/officeDocument/2006/relationships/hyperlink" Target="https://www.oas.org/en/protocol/use_main_building.asp" TargetMode="External"/><Relationship Id="rId42" Type="http://schemas.openxmlformats.org/officeDocument/2006/relationships/image" Target="media/image9.jpeg"/><Relationship Id="rId63" Type="http://schemas.openxmlformats.org/officeDocument/2006/relationships/diagramQuickStyle" Target="diagrams/quickStyle1.xml"/><Relationship Id="rId84" Type="http://schemas.openxmlformats.org/officeDocument/2006/relationships/hyperlink" Target="http://www.cicad.oas.org/cicaddocs/Document.aspx?Id=5474" TargetMode="External"/><Relationship Id="rId138" Type="http://schemas.openxmlformats.org/officeDocument/2006/relationships/hyperlink" Target="https://www.instagram.com/summitamericas/" TargetMode="External"/><Relationship Id="rId159" Type="http://schemas.openxmlformats.org/officeDocument/2006/relationships/hyperlink" Target="http://scm.oas.org/doc_public/SPANISH/HIST_19/CP41626S03.doc" TargetMode="External"/><Relationship Id="rId170" Type="http://schemas.openxmlformats.org/officeDocument/2006/relationships/hyperlink" Target="http://www.oas.org/saf/DFAMS/2019/12/SF_TABLE_CONTPO_20191231_EN.pdf" TargetMode="External"/><Relationship Id="rId191" Type="http://schemas.openxmlformats.org/officeDocument/2006/relationships/hyperlink" Target="http://www.oas.org/es/cidh/informes/tematicos.asp" TargetMode="External"/><Relationship Id="rId205" Type="http://schemas.openxmlformats.org/officeDocument/2006/relationships/hyperlink" Target="http://www.annaobserva.org/" TargetMode="External"/><Relationship Id="rId226" Type="http://schemas.openxmlformats.org/officeDocument/2006/relationships/image" Target="media/image72.png"/><Relationship Id="rId247" Type="http://schemas.openxmlformats.org/officeDocument/2006/relationships/image" Target="cid:image001.jpg@01D5F182.5D61F140" TargetMode="External"/><Relationship Id="rId107" Type="http://schemas.openxmlformats.org/officeDocument/2006/relationships/image" Target="media/image45.jpeg"/><Relationship Id="rId11" Type="http://schemas.openxmlformats.org/officeDocument/2006/relationships/endnotes" Target="endnotes.xml"/><Relationship Id="rId32" Type="http://schemas.openxmlformats.org/officeDocument/2006/relationships/hyperlink" Target="https://www.flickr.com/photos/modelooea/albums/72157708174243395" TargetMode="External"/><Relationship Id="rId53" Type="http://schemas.openxmlformats.org/officeDocument/2006/relationships/image" Target="media/image15.png"/><Relationship Id="rId74" Type="http://schemas.openxmlformats.org/officeDocument/2006/relationships/image" Target="media/image27.jpeg"/><Relationship Id="rId128" Type="http://schemas.openxmlformats.org/officeDocument/2006/relationships/image" Target="media/image51.jpeg"/><Relationship Id="rId149" Type="http://schemas.openxmlformats.org/officeDocument/2006/relationships/hyperlink" Target="https://www.washingtonian.com/2019/07/18/at-this-new-exhibit-you-are-a-ghost-and-youre-haunting-the-museum/" TargetMode="External"/><Relationship Id="rId5" Type="http://schemas.openxmlformats.org/officeDocument/2006/relationships/customXml" Target="../customXml/item5.xml"/><Relationship Id="rId95" Type="http://schemas.openxmlformats.org/officeDocument/2006/relationships/image" Target="media/image39.png"/><Relationship Id="rId160" Type="http://schemas.openxmlformats.org/officeDocument/2006/relationships/hyperlink" Target="file:///F:/AppData/Local/Microsoft/Windows/AppData/Local/Microsoft/Windows/INetCache/Content.Outlook/O5TR1QU6/CP40979S03.doc" TargetMode="External"/><Relationship Id="rId181" Type="http://schemas.openxmlformats.org/officeDocument/2006/relationships/hyperlink" Target="https://www.youtube.com/user/OASVideos" TargetMode="External"/><Relationship Id="rId216" Type="http://schemas.openxmlformats.org/officeDocument/2006/relationships/hyperlink" Target="https://www.gob.pe/institucion/mtc/noticias/28007-firman-adhesion-a-la-alianza-de-mujeres-rurales-en-lima" TargetMode="External"/><Relationship Id="rId237" Type="http://schemas.openxmlformats.org/officeDocument/2006/relationships/hyperlink" Target="http://www.paho.org/hq/index.php?option=com_content&amp;view=article&amp;id=13246%3Ahealth-agenda-americas&amp;catid=9277%3Acontents&amp;Itemid=42349&amp;lang=es" TargetMode="External"/><Relationship Id="rId258" Type="http://schemas.openxmlformats.org/officeDocument/2006/relationships/image" Target="media/image88.emf"/><Relationship Id="rId22" Type="http://schemas.openxmlformats.org/officeDocument/2006/relationships/image" Target="media/image2.png"/><Relationship Id="rId43" Type="http://schemas.openxmlformats.org/officeDocument/2006/relationships/image" Target="media/image10.jpeg"/><Relationship Id="rId64" Type="http://schemas.openxmlformats.org/officeDocument/2006/relationships/diagramColors" Target="diagrams/colors1.xml"/><Relationship Id="rId118" Type="http://schemas.openxmlformats.org/officeDocument/2006/relationships/image" Target="media/image50.jpeg"/><Relationship Id="rId139" Type="http://schemas.openxmlformats.org/officeDocument/2006/relationships/image" Target="media/image53.png"/><Relationship Id="rId85" Type="http://schemas.openxmlformats.org/officeDocument/2006/relationships/image" Target="media/image30.jpeg"/><Relationship Id="rId150" Type="http://schemas.openxmlformats.org/officeDocument/2006/relationships/hyperlink" Target="https://www.infobae.com/america/cultura-america/2019/08/01/un-mural-secreto-del-artista-uruguayo-carlos-paez-vilaro-en-un-tunel-de-washington-fue-abierto-al-publico-tras-seis-decadas/" TargetMode="External"/><Relationship Id="rId171" Type="http://schemas.openxmlformats.org/officeDocument/2006/relationships/hyperlink" Target="http://www.oas.org/en/ser/dia/perm_observers/countries.asp" TargetMode="External"/><Relationship Id="rId192" Type="http://schemas.openxmlformats.org/officeDocument/2006/relationships/hyperlink" Target="http://www.oas.org/es/cidh/informes/pais.asp" TargetMode="External"/><Relationship Id="rId206" Type="http://schemas.openxmlformats.org/officeDocument/2006/relationships/hyperlink" Target="http://sinna.org/" TargetMode="External"/><Relationship Id="rId227" Type="http://schemas.openxmlformats.org/officeDocument/2006/relationships/hyperlink" Target="http://www.jid.org/" TargetMode="External"/><Relationship Id="rId248" Type="http://schemas.openxmlformats.org/officeDocument/2006/relationships/image" Target="media/image82.jpeg"/><Relationship Id="rId12" Type="http://schemas.openxmlformats.org/officeDocument/2006/relationships/image" Target="media/image1.jpeg"/><Relationship Id="rId33" Type="http://schemas.openxmlformats.org/officeDocument/2006/relationships/hyperlink" Target="https://www.flickr.com/photos/modelooea/albums/72157709144793452" TargetMode="External"/><Relationship Id="rId108" Type="http://schemas.openxmlformats.org/officeDocument/2006/relationships/hyperlink" Target="http://www.oas.org/es/sadye/inclusion-social/docs/II_Annual_Report_MIRPS.pdf" TargetMode="External"/><Relationship Id="rId129" Type="http://schemas.openxmlformats.org/officeDocument/2006/relationships/image" Target="media/image52.jpeg"/><Relationship Id="rId54" Type="http://schemas.openxmlformats.org/officeDocument/2006/relationships/image" Target="cid:image005.png@01D58B4D.8A31F490" TargetMode="External"/><Relationship Id="rId75" Type="http://schemas.openxmlformats.org/officeDocument/2006/relationships/hyperlink" Target="http://www.oas.org/es/sms/dps/" TargetMode="External"/><Relationship Id="rId96" Type="http://schemas.openxmlformats.org/officeDocument/2006/relationships/image" Target="media/image40.jpeg"/><Relationship Id="rId140" Type="http://schemas.openxmlformats.org/officeDocument/2006/relationships/hyperlink" Target="http://www.oas.org/columbus" TargetMode="External"/><Relationship Id="rId161" Type="http://schemas.openxmlformats.org/officeDocument/2006/relationships/hyperlink" Target="http://scm.oas.org/pdfs/2019/CP41537TAGCUADRORESUMEN2019.xls" TargetMode="External"/><Relationship Id="rId182" Type="http://schemas.openxmlformats.org/officeDocument/2006/relationships/hyperlink" Target="http://www.oas.org/es/centro_noticias/comunicados_prensa.asp" TargetMode="External"/><Relationship Id="rId217" Type="http://schemas.openxmlformats.org/officeDocument/2006/relationships/hyperlink" Target="https://www.facebook.com/243991155727808/posts/2232162216910682/"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s://www.iaru-r2.org/reconocimiento-de-citel-por-el-trabajo-efectuado-en-la-cmr-19/" TargetMode="External"/><Relationship Id="rId233" Type="http://schemas.openxmlformats.org/officeDocument/2006/relationships/hyperlink" Target="http://apps.iica.int/dashboardproyectos/" TargetMode="External"/><Relationship Id="rId238" Type="http://schemas.openxmlformats.org/officeDocument/2006/relationships/hyperlink" Target="http://www.un.org/sustainabledevelopment/es/la-agenda-de-desarrollo-sostenible/" TargetMode="External"/><Relationship Id="rId254" Type="http://schemas.openxmlformats.org/officeDocument/2006/relationships/image" Target="media/image84.emf"/><Relationship Id="rId259"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yperlink" Target="https://www.flickr.com/photos/oasoea/albums/72157704298860182" TargetMode="External"/><Relationship Id="rId49" Type="http://schemas.openxmlformats.org/officeDocument/2006/relationships/hyperlink" Target="https://www.facebook.com/OEAMACCIH/" TargetMode="External"/><Relationship Id="rId114" Type="http://schemas.openxmlformats.org/officeDocument/2006/relationships/image" Target="media/image48.jpeg"/><Relationship Id="rId119" Type="http://schemas.openxmlformats.org/officeDocument/2006/relationships/hyperlink" Target="http://ricg.org/es/publicaciones/hacia-una-politica-en-datos-abiertos-del-sistema-de-compra-publica/" TargetMode="External"/><Relationship Id="rId44" Type="http://schemas.openxmlformats.org/officeDocument/2006/relationships/image" Target="media/image11.jpeg"/><Relationship Id="rId60" Type="http://schemas.openxmlformats.org/officeDocument/2006/relationships/hyperlink" Target="https://www.mapp-oea.org" TargetMode="External"/><Relationship Id="rId65" Type="http://schemas.microsoft.com/office/2007/relationships/diagramDrawing" Target="diagrams/drawing1.xml"/><Relationship Id="rId81" Type="http://schemas.openxmlformats.org/officeDocument/2006/relationships/hyperlink" Target="http://www.cicad.oas.org/cicaddocs/Document.aspx?Id=5586" TargetMode="External"/><Relationship Id="rId86" Type="http://schemas.openxmlformats.org/officeDocument/2006/relationships/image" Target="media/image31.jpeg"/><Relationship Id="rId130" Type="http://schemas.openxmlformats.org/officeDocument/2006/relationships/hyperlink" Target="http://www.summit-americas.org/defaults.htm" TargetMode="External"/><Relationship Id="rId135" Type="http://schemas.openxmlformats.org/officeDocument/2006/relationships/hyperlink" Target="http://www.viiicumbreperu.org/us/database-of-good-practices/" TargetMode="External"/><Relationship Id="rId151" Type="http://schemas.openxmlformats.org/officeDocument/2006/relationships/image" Target="media/image56.jpeg"/><Relationship Id="rId156" Type="http://schemas.openxmlformats.org/officeDocument/2006/relationships/hyperlink" Target="http://scm.oas.org/doc_public/SPANISH/HIST_19/CP40458S03.doc" TargetMode="External"/><Relationship Id="rId177" Type="http://schemas.openxmlformats.org/officeDocument/2006/relationships/hyperlink" Target="https://twitter.com/oea_oficial" TargetMode="External"/><Relationship Id="rId198" Type="http://schemas.openxmlformats.org/officeDocument/2006/relationships/image" Target="media/image66.jpeg"/><Relationship Id="rId172" Type="http://schemas.openxmlformats.org/officeDocument/2006/relationships/image" Target="media/image63.jpeg"/><Relationship Id="rId193" Type="http://schemas.openxmlformats.org/officeDocument/2006/relationships/hyperlink" Target="http://www.oas.org/es/cidh/actividades/sesiones.asp" TargetMode="External"/><Relationship Id="rId202" Type="http://schemas.openxmlformats.org/officeDocument/2006/relationships/hyperlink" Target="http://www.iin.oea.org/boletines.html" TargetMode="External"/><Relationship Id="rId207" Type="http://schemas.openxmlformats.org/officeDocument/2006/relationships/hyperlink" Target="http://www.nuestravozacoloresiinoea.org" TargetMode="External"/><Relationship Id="rId223" Type="http://schemas.openxmlformats.org/officeDocument/2006/relationships/hyperlink" Target="https://andina.pe/agencia/noticia-amplian-convocatoria-para-emprendedores-utilizan-tecnologias-de-informacion-761034.aspx" TargetMode="External"/><Relationship Id="rId228" Type="http://schemas.openxmlformats.org/officeDocument/2006/relationships/image" Target="media/image73.jpeg"/><Relationship Id="rId244" Type="http://schemas.openxmlformats.org/officeDocument/2006/relationships/image" Target="media/image80.jpeg"/><Relationship Id="rId249" Type="http://schemas.openxmlformats.org/officeDocument/2006/relationships/image" Target="media/image83.jpeg"/><Relationship Id="rId13" Type="http://schemas.openxmlformats.org/officeDocument/2006/relationships/hyperlink" Target="http://www.oas.org/es/council/" TargetMode="External"/><Relationship Id="rId18" Type="http://schemas.openxmlformats.org/officeDocument/2006/relationships/hyperlink" Target="http://riacevents.org/ace/" TargetMode="External"/><Relationship Id="rId39" Type="http://schemas.openxmlformats.org/officeDocument/2006/relationships/hyperlink" Target="http://www.oas.org/eomdatabase/default.aspx?lang=es" TargetMode="External"/><Relationship Id="rId109" Type="http://schemas.openxmlformats.org/officeDocument/2006/relationships/image" Target="media/image46.jpeg"/><Relationship Id="rId260" Type="http://schemas.openxmlformats.org/officeDocument/2006/relationships/fontTable" Target="fontTable.xml"/><Relationship Id="rId34" Type="http://schemas.openxmlformats.org/officeDocument/2006/relationships/image" Target="media/image6.jpeg"/><Relationship Id="rId50" Type="http://schemas.openxmlformats.org/officeDocument/2006/relationships/image" Target="media/image13.emf"/><Relationship Id="rId55" Type="http://schemas.openxmlformats.org/officeDocument/2006/relationships/hyperlink" Target="https://twitter.com/PIFJOEA" TargetMode="External"/><Relationship Id="rId76" Type="http://schemas.openxmlformats.org/officeDocument/2006/relationships/hyperlink" Target="https://www.oas.org/ext/es/seguridad/red-prevencion-crimen/Recursos/Multimedios/ArtMID/1608/ArticleID/2628/Plan-de-Acci%C3%B3n-Hemisf%C3%A9rico--para-Orientar-la-Elaboraci%C3%B3n-de--Pol%C3%ADticas-P%C3%BAblicas-de-Prevenci%C3%B3n-y-Reducci%C3%B3n-del--Homicidio-Intencional" TargetMode="External"/><Relationship Id="rId97" Type="http://schemas.openxmlformats.org/officeDocument/2006/relationships/image" Target="media/image41.jpeg"/><Relationship Id="rId104" Type="http://schemas.openxmlformats.org/officeDocument/2006/relationships/hyperlink" Target="http://www.oas.org/es/sadye/inclusion-social/poblaciones-vulnerables/migracion.asp" TargetMode="External"/><Relationship Id="rId120" Type="http://schemas.openxmlformats.org/officeDocument/2006/relationships/hyperlink" Target="https://www.oas.org/es/sap/dgpe/escuelagob/escuela-de-gobierno.asp" TargetMode="External"/><Relationship Id="rId125" Type="http://schemas.openxmlformats.org/officeDocument/2006/relationships/hyperlink" Target="http://www.clarciev.com/" TargetMode="External"/><Relationship Id="rId141" Type="http://schemas.openxmlformats.org/officeDocument/2006/relationships/image" Target="media/image54.jpeg"/><Relationship Id="rId146" Type="http://schemas.openxmlformats.org/officeDocument/2006/relationships/hyperlink" Target="http://www.artealdia.com/News/CAROLINA-MAYORGA-CREATES-A-PINK-UNIVERSE" TargetMode="External"/><Relationship Id="rId167" Type="http://schemas.openxmlformats.org/officeDocument/2006/relationships/image" Target="media/image60.jpeg"/><Relationship Id="rId188" Type="http://schemas.openxmlformats.org/officeDocument/2006/relationships/hyperlink" Target="https://www.canalcidh.org/" TargetMode="External"/><Relationship Id="rId7" Type="http://schemas.openxmlformats.org/officeDocument/2006/relationships/styles" Target="styles.xml"/><Relationship Id="rId71" Type="http://schemas.openxmlformats.org/officeDocument/2006/relationships/image" Target="media/image24.jpeg"/><Relationship Id="rId92" Type="http://schemas.openxmlformats.org/officeDocument/2006/relationships/image" Target="media/image36.png"/><Relationship Id="rId162" Type="http://schemas.openxmlformats.org/officeDocument/2006/relationships/hyperlink" Target="http://scm.oas.org/pdfs/2019/CP41537TANEXOSCOMPILADOS2019.docx" TargetMode="External"/><Relationship Id="rId183" Type="http://schemas.openxmlformats.org/officeDocument/2006/relationships/hyperlink" Target="http://www.oas.org/es/centro_noticias/discursos.asp" TargetMode="External"/><Relationship Id="rId213" Type="http://schemas.openxmlformats.org/officeDocument/2006/relationships/hyperlink" Target="http://venamerica.org/web/viasat-y-la-oea-unen-esfuerzos-para-reducir-la-brecha-digital-en-las-americas/" TargetMode="External"/><Relationship Id="rId218" Type="http://schemas.openxmlformats.org/officeDocument/2006/relationships/hyperlink" Target="https://digitalpolicylaw.com/uruguay-se-une-a-alianza-en-pro-de-mujeres-rurales-conectadas/" TargetMode="External"/><Relationship Id="rId234" Type="http://schemas.openxmlformats.org/officeDocument/2006/relationships/hyperlink" Target="http://www.iica.int" TargetMode="External"/><Relationship Id="rId239" Type="http://schemas.openxmlformats.org/officeDocument/2006/relationships/hyperlink" Target="http://www.paho.org/hq/index.php?option=com_content&amp;view=article&amp;id=42&amp;Itemid=189" TargetMode="External"/><Relationship Id="rId2" Type="http://schemas.openxmlformats.org/officeDocument/2006/relationships/customXml" Target="../customXml/item2.xml"/><Relationship Id="rId29" Type="http://schemas.openxmlformats.org/officeDocument/2006/relationships/hyperlink" Target="https://www.flickr.com/photos/oasoea/sets/72157710184492097/" TargetMode="External"/><Relationship Id="rId250" Type="http://schemas.openxmlformats.org/officeDocument/2006/relationships/hyperlink" Target="https://ipgh.org/financiero.html" TargetMode="External"/><Relationship Id="rId255" Type="http://schemas.openxmlformats.org/officeDocument/2006/relationships/image" Target="media/image85.emf"/><Relationship Id="rId24" Type="http://schemas.openxmlformats.org/officeDocument/2006/relationships/hyperlink" Target="https://www.flickr.com/photos/oasoea/albums/72157690575792773" TargetMode="External"/><Relationship Id="rId40" Type="http://schemas.openxmlformats.org/officeDocument/2006/relationships/hyperlink" Target="http://www.oas.org/es/sap/deco/Coop_Tecnica.asp" TargetMode="External"/><Relationship Id="rId45" Type="http://schemas.openxmlformats.org/officeDocument/2006/relationships/image" Target="media/image12.jpeg"/><Relationship Id="rId66" Type="http://schemas.openxmlformats.org/officeDocument/2006/relationships/hyperlink" Target="http://www.cicad.oas.org/Main/Template.asp?File=/oid/sata/default_spa.asp)" TargetMode="External"/><Relationship Id="rId87" Type="http://schemas.openxmlformats.org/officeDocument/2006/relationships/image" Target="media/image32.jpeg"/><Relationship Id="rId110" Type="http://schemas.openxmlformats.org/officeDocument/2006/relationships/image" Target="media/image47.jpeg"/><Relationship Id="rId115" Type="http://schemas.openxmlformats.org/officeDocument/2006/relationships/hyperlink" Target="https://oritel.org/oea/seminarios/" TargetMode="External"/><Relationship Id="rId131" Type="http://schemas.openxmlformats.org/officeDocument/2006/relationships/hyperlink" Target="http://www.summit-americas.org/default_en.htm" TargetMode="External"/><Relationship Id="rId136" Type="http://schemas.openxmlformats.org/officeDocument/2006/relationships/hyperlink" Target="https://twitter.com/CumbreAmericas" TargetMode="External"/><Relationship Id="rId157" Type="http://schemas.openxmlformats.org/officeDocument/2006/relationships/hyperlink" Target="http://scm.oas.org/IDMS/Redirectpage.aspx?class=CAAP/GT/RVPP&amp;classNum=422&amp;lang=s" TargetMode="External"/><Relationship Id="rId178" Type="http://schemas.openxmlformats.org/officeDocument/2006/relationships/hyperlink" Target="https://www.facebook.com/OEAoficial/" TargetMode="External"/><Relationship Id="rId61" Type="http://schemas.openxmlformats.org/officeDocument/2006/relationships/diagramData" Target="diagrams/data1.xml"/><Relationship Id="rId82" Type="http://schemas.openxmlformats.org/officeDocument/2006/relationships/hyperlink" Target="http://www.cicad.oas.org/cicaddocs/Document.aspx?Id=5584" TargetMode="External"/><Relationship Id="rId152" Type="http://schemas.openxmlformats.org/officeDocument/2006/relationships/image" Target="media/image57.jpeg"/><Relationship Id="rId173" Type="http://schemas.openxmlformats.org/officeDocument/2006/relationships/image" Target="media/image64.jpeg"/><Relationship Id="rId194" Type="http://schemas.openxmlformats.org/officeDocument/2006/relationships/hyperlink" Target="http://www.oas.org/es/cidh/decisiones/resoluciones.asp" TargetMode="External"/><Relationship Id="rId199" Type="http://schemas.openxmlformats.org/officeDocument/2006/relationships/image" Target="media/image67.jpeg"/><Relationship Id="rId203" Type="http://schemas.openxmlformats.org/officeDocument/2006/relationships/hyperlink" Target="http://sinna.org/" TargetMode="External"/><Relationship Id="rId208" Type="http://schemas.openxmlformats.org/officeDocument/2006/relationships/image" Target="media/image69.jpeg"/><Relationship Id="rId229" Type="http://schemas.openxmlformats.org/officeDocument/2006/relationships/image" Target="media/image74.jpeg"/><Relationship Id="rId19" Type="http://schemas.openxmlformats.org/officeDocument/2006/relationships/hyperlink" Target="http://www.oas.org/es/cidi" TargetMode="External"/><Relationship Id="rId224" Type="http://schemas.openxmlformats.org/officeDocument/2006/relationships/hyperlink" Target="http://www.inictel-virtual.edu.pe/presentacion" TargetMode="External"/><Relationship Id="rId240" Type="http://schemas.openxmlformats.org/officeDocument/2006/relationships/hyperlink" Target="http://www.paho.org/hq/index.php?option=com_docman&amp;task=doc_download&amp;gid=27597&amp;Itemid=270&amp;lang=es" TargetMode="External"/><Relationship Id="rId245" Type="http://schemas.openxmlformats.org/officeDocument/2006/relationships/image" Target="cid:image003.jpg@01D5F182.5D61F140" TargetMode="External"/><Relationship Id="rId261" Type="http://schemas.openxmlformats.org/officeDocument/2006/relationships/theme" Target="theme/theme1.xml"/><Relationship Id="rId14" Type="http://schemas.openxmlformats.org/officeDocument/2006/relationships/hyperlink" Target="http://www.oas.org/es/council/CP/documentation/res_decs" TargetMode="External"/><Relationship Id="rId30" Type="http://schemas.openxmlformats.org/officeDocument/2006/relationships/image" Target="media/image5.jpeg"/><Relationship Id="rId35" Type="http://schemas.openxmlformats.org/officeDocument/2006/relationships/hyperlink" Target="https://www.flickr.com/photos/modelooea/albums/72157711782092106" TargetMode="External"/><Relationship Id="rId56" Type="http://schemas.openxmlformats.org/officeDocument/2006/relationships/hyperlink" Target="https://www.facebook.com/FacilitadoresJudicialesOEA/" TargetMode="External"/><Relationship Id="rId77" Type="http://schemas.openxmlformats.org/officeDocument/2006/relationships/image" Target="media/image28.jpeg"/><Relationship Id="rId100" Type="http://schemas.openxmlformats.org/officeDocument/2006/relationships/hyperlink" Target="http://www.oas.org/es/sadye/sociedad-civil/" TargetMode="External"/><Relationship Id="rId105" Type="http://schemas.openxmlformats.org/officeDocument/2006/relationships/hyperlink" Target="http://www.oas.org/es/cidi/cidi_CAM.asp" TargetMode="External"/><Relationship Id="rId126" Type="http://schemas.openxmlformats.org/officeDocument/2006/relationships/hyperlink" Target="https://twitter.com/clarciev" TargetMode="External"/><Relationship Id="rId147" Type="http://schemas.openxmlformats.org/officeDocument/2006/relationships/hyperlink" Target="https://www.wheretraveler.com/washington-dc/play/dc-museums-open-during-government-shutdown" TargetMode="External"/><Relationship Id="rId168"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130.emf"/><Relationship Id="rId72" Type="http://schemas.openxmlformats.org/officeDocument/2006/relationships/image" Target="media/image25.jpeg"/><Relationship Id="rId93" Type="http://schemas.openxmlformats.org/officeDocument/2006/relationships/image" Target="media/image37.jpeg"/><Relationship Id="rId98" Type="http://schemas.openxmlformats.org/officeDocument/2006/relationships/image" Target="media/image42.jpeg"/><Relationship Id="rId121" Type="http://schemas.openxmlformats.org/officeDocument/2006/relationships/hyperlink" Target="http://www.oas.org/es/sap/dgpe/OpenGovFellowship/" TargetMode="External"/><Relationship Id="rId142" Type="http://schemas.openxmlformats.org/officeDocument/2006/relationships/image" Target="media/image55.jpeg"/><Relationship Id="rId163" Type="http://schemas.openxmlformats.org/officeDocument/2006/relationships/hyperlink" Target="file:///F:/AppData/Local/Microsoft/Windows/AppData/Local/Microsoft/Windows/INetCache/Content.Outlook/O5TR1QU6/CP41623EMandatos.pdf" TargetMode="External"/><Relationship Id="rId184" Type="http://schemas.openxmlformats.org/officeDocument/2006/relationships/hyperlink" Target="http://www.oas.org/es/cidh/prensa/comunicados/2020/013.asp" TargetMode="External"/><Relationship Id="rId189" Type="http://schemas.openxmlformats.org/officeDocument/2006/relationships/hyperlink" Target="http://www.oas.org/es/cidh/prensa/comunicados/2020/033A.pdf" TargetMode="External"/><Relationship Id="rId219" Type="http://schemas.openxmlformats.org/officeDocument/2006/relationships/hyperlink" Target="https://www.huawei.com/mx/press-events/news/mx/2019/enero/nuevas-adhesiones-a-la-alianza-de-mujeres-rurales-de-la-citel" TargetMode="External"/><Relationship Id="rId3" Type="http://schemas.openxmlformats.org/officeDocument/2006/relationships/customXml" Target="../customXml/item3.xml"/><Relationship Id="rId214" Type="http://schemas.openxmlformats.org/officeDocument/2006/relationships/hyperlink" Target="https://thecaribbeanpost.com/oas-telefonica-and-fundacion-profuturo-signs-ict-agreements-with-latin-american-and-the-caribbean-caribbean-news-now/" TargetMode="External"/><Relationship Id="rId230" Type="http://schemas.openxmlformats.org/officeDocument/2006/relationships/image" Target="media/image75.jpeg"/><Relationship Id="rId235" Type="http://schemas.openxmlformats.org/officeDocument/2006/relationships/hyperlink" Target="http://iris.paho.org/xmlui/handle/123456789/7654" TargetMode="External"/><Relationship Id="rId251" Type="http://schemas.openxmlformats.org/officeDocument/2006/relationships/hyperlink" Target="https://ipgh.org/socios-cooperadores.html" TargetMode="External"/><Relationship Id="rId256" Type="http://schemas.openxmlformats.org/officeDocument/2006/relationships/image" Target="media/image86.emf"/><Relationship Id="rId25" Type="http://schemas.openxmlformats.org/officeDocument/2006/relationships/image" Target="media/image4.jpeg"/><Relationship Id="rId46" Type="http://schemas.openxmlformats.org/officeDocument/2006/relationships/hyperlink" Target="http://www.observatoriohonduras.org" TargetMode="External"/><Relationship Id="rId67" Type="http://schemas.openxmlformats.org/officeDocument/2006/relationships/hyperlink" Target="http://www.cicad.oas.org/Main/Template.asp?File=/mem/septima_ronda/default_spa.asp" TargetMode="External"/><Relationship Id="rId116" Type="http://schemas.openxmlformats.org/officeDocument/2006/relationships/image" Target="media/image49.jpeg"/><Relationship Id="rId137" Type="http://schemas.openxmlformats.org/officeDocument/2006/relationships/hyperlink" Target="https://www.facebook.com/CumbreAmericas/" TargetMode="External"/><Relationship Id="rId158" Type="http://schemas.openxmlformats.org/officeDocument/2006/relationships/hyperlink" Target="http://www.oas.org/es/saf/rendicion_cuentas/docs/Logros-Verificados-por-Pilar-Esp-Dic2019.pdf" TargetMode="External"/><Relationship Id="rId20" Type="http://schemas.openxmlformats.org/officeDocument/2006/relationships/hyperlink" Target="http://www.oas.org/en/protocol/" TargetMode="External"/><Relationship Id="rId41" Type="http://schemas.openxmlformats.org/officeDocument/2006/relationships/hyperlink" Target="https://www.facebook.com/deco.oea/" TargetMode="External"/><Relationship Id="rId62" Type="http://schemas.openxmlformats.org/officeDocument/2006/relationships/diagramLayout" Target="diagrams/layout1.xml"/><Relationship Id="rId83" Type="http://schemas.openxmlformats.org/officeDocument/2006/relationships/hyperlink" Target="http://www.cicad.oas.org/cicaddocs/Document.aspx?Id=5473" TargetMode="External"/><Relationship Id="rId88" Type="http://schemas.openxmlformats.org/officeDocument/2006/relationships/image" Target="media/image33.jpeg"/><Relationship Id="rId111" Type="http://schemas.openxmlformats.org/officeDocument/2006/relationships/hyperlink" Target="https://www.oas.org/es/centro_noticias/comunicado_prensa.asp?sCodigo=C-018/19" TargetMode="External"/><Relationship Id="rId132" Type="http://schemas.openxmlformats.org/officeDocument/2006/relationships/hyperlink" Target="http://compromisodelima.rree.gob.pe/compromiso/Consulta/Verificar" TargetMode="External"/><Relationship Id="rId153" Type="http://schemas.openxmlformats.org/officeDocument/2006/relationships/image" Target="media/image58.png"/><Relationship Id="rId174" Type="http://schemas.openxmlformats.org/officeDocument/2006/relationships/chart" Target="charts/chart1.xml"/><Relationship Id="rId179" Type="http://schemas.openxmlformats.org/officeDocument/2006/relationships/hyperlink" Target="https://www.flickr.com/photos/oasoea/" TargetMode="External"/><Relationship Id="rId195" Type="http://schemas.openxmlformats.org/officeDocument/2006/relationships/hyperlink" Target="https://twitter.com/CIDH?ref_src=twsrc%5Egoogle%7Ctwcamp%5Eserp%7Ctwgr%5Eauthor" TargetMode="External"/><Relationship Id="rId209" Type="http://schemas.openxmlformats.org/officeDocument/2006/relationships/image" Target="media/image70.jpeg"/><Relationship Id="rId190" Type="http://schemas.openxmlformats.org/officeDocument/2006/relationships/hyperlink" Target="http://www.oas.org/es/cidh/decisiones/casos.asp" TargetMode="External"/><Relationship Id="rId204" Type="http://schemas.openxmlformats.org/officeDocument/2006/relationships/hyperlink" Target="http://www.nnapes.org/docs/OTIIN-NAPPES-Version-Final.pdf" TargetMode="External"/><Relationship Id="rId220" Type="http://schemas.openxmlformats.org/officeDocument/2006/relationships/hyperlink" Target="https://computerworld.co/alianza-de-mujeres-rurales-de-la-citel/" TargetMode="External"/><Relationship Id="rId225" Type="http://schemas.openxmlformats.org/officeDocument/2006/relationships/hyperlink" Target="https://www.oas.org/en/ombuds/" TargetMode="External"/><Relationship Id="rId241" Type="http://schemas.openxmlformats.org/officeDocument/2006/relationships/hyperlink" Target="http://www.paho.org/hq/index.php?option=com_topics&amp;view=topics&amp;Itemid=40241&amp;lang=es" TargetMode="External"/><Relationship Id="rId246" Type="http://schemas.openxmlformats.org/officeDocument/2006/relationships/image" Target="media/image81.jpeg"/><Relationship Id="rId15" Type="http://schemas.openxmlformats.org/officeDocument/2006/relationships/hyperlink" Target="http://scm.oas.org/IDMS/Redirectpage.aspx?class=V.13.1%20CIDI/RME/doc&amp;classNum=3&amp;lang=s" TargetMode="External"/><Relationship Id="rId36" Type="http://schemas.openxmlformats.org/officeDocument/2006/relationships/image" Target="media/image7.jpeg"/><Relationship Id="rId57" Type="http://schemas.openxmlformats.org/officeDocument/2006/relationships/image" Target="media/image16.jpeg"/><Relationship Id="rId106" Type="http://schemas.openxmlformats.org/officeDocument/2006/relationships/image" Target="media/image44.jpeg"/><Relationship Id="rId127" Type="http://schemas.openxmlformats.org/officeDocument/2006/relationships/hyperlink" Target="https://twitter.com/DGPE_OAS" TargetMode="External"/><Relationship Id="rId10" Type="http://schemas.openxmlformats.org/officeDocument/2006/relationships/footnotes" Target="footnotes.xml"/><Relationship Id="rId31" Type="http://schemas.openxmlformats.org/officeDocument/2006/relationships/hyperlink" Target="https://www.flickr.com/photos/oasoea/albums/72157710141467096" TargetMode="External"/><Relationship Id="rId52" Type="http://schemas.openxmlformats.org/officeDocument/2006/relationships/image" Target="media/image14.jpeg"/><Relationship Id="rId73" Type="http://schemas.openxmlformats.org/officeDocument/2006/relationships/image" Target="media/image26.jpeg"/><Relationship Id="rId78" Type="http://schemas.openxmlformats.org/officeDocument/2006/relationships/image" Target="media/image29.jpeg"/><Relationship Id="rId94" Type="http://schemas.openxmlformats.org/officeDocument/2006/relationships/image" Target="media/image38.png"/><Relationship Id="rId99" Type="http://schemas.openxmlformats.org/officeDocument/2006/relationships/image" Target="media/image43.jpeg"/><Relationship Id="rId101" Type="http://schemas.openxmlformats.org/officeDocument/2006/relationships/hyperlink" Target="http://www.oas.org/es/sadye/acceso-justicia/" TargetMode="External"/><Relationship Id="rId122" Type="http://schemas.openxmlformats.org/officeDocument/2006/relationships/hyperlink" Target="http://ricg.org/es/home/" TargetMode="External"/><Relationship Id="rId143" Type="http://schemas.openxmlformats.org/officeDocument/2006/relationships/hyperlink" Target="http://museum.oas.org" TargetMode="External"/><Relationship Id="rId148" Type="http://schemas.openxmlformats.org/officeDocument/2006/relationships/hyperlink" Target="https://www.elnuevoherald.com/vivir-mejor/artes-letras/article230439349.html" TargetMode="External"/><Relationship Id="rId164" Type="http://schemas.openxmlformats.org/officeDocument/2006/relationships/hyperlink" Target="http://www.oas.org/es/saf/rendicion_cuentas/evaluacion.asp" TargetMode="External"/><Relationship Id="rId169" Type="http://schemas.openxmlformats.org/officeDocument/2006/relationships/image" Target="media/image62.png"/><Relationship Id="rId185" Type="http://schemas.openxmlformats.org/officeDocument/2006/relationships/hyperlink" Target="https://www.oas.org/es/cidh/prensa/comunicados/2019/333.as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vimeo.com/channels/oasvideonews" TargetMode="External"/><Relationship Id="rId210" Type="http://schemas.openxmlformats.org/officeDocument/2006/relationships/image" Target="media/image71.jpeg"/><Relationship Id="rId215" Type="http://schemas.openxmlformats.org/officeDocument/2006/relationships/hyperlink" Target="https://www.gob.pe/institucion/mtc/noticias/27930-mtc-inaugura-la-34-reunion-del-comite-consultivo-permanente-i-telecomunicaciones-tic" TargetMode="External"/><Relationship Id="rId236" Type="http://schemas.openxmlformats.org/officeDocument/2006/relationships/hyperlink" Target="https://iris.paho.org/handle/10665.2/51599?locale-attribute=es" TargetMode="External"/><Relationship Id="rId257" Type="http://schemas.openxmlformats.org/officeDocument/2006/relationships/image" Target="media/image87.emf"/><Relationship Id="rId26" Type="http://schemas.openxmlformats.org/officeDocument/2006/relationships/hyperlink" Target="https://www.flickr.com/photos/oasoea/albums/72157677410095937" TargetMode="External"/><Relationship Id="rId231" Type="http://schemas.openxmlformats.org/officeDocument/2006/relationships/image" Target="media/image76.png"/><Relationship Id="rId252" Type="http://schemas.openxmlformats.org/officeDocument/2006/relationships/footer" Target="footer1.xml"/><Relationship Id="rId47" Type="http://schemas.openxmlformats.org/officeDocument/2006/relationships/hyperlink" Target="http://www.oas.org/es/sap/dsdme/maccih/new/comunicacion.asp" TargetMode="External"/><Relationship Id="rId68" Type="http://schemas.openxmlformats.org/officeDocument/2006/relationships/hyperlink" Target="http://www.cicad.oas.org/reduccion_oferta/Linea_GENLEA/Articulo%20GENLEA-2Oct.pdf" TargetMode="External"/><Relationship Id="rId89" Type="http://schemas.openxmlformats.org/officeDocument/2006/relationships/image" Target="media/image34.jpeg"/><Relationship Id="rId112" Type="http://schemas.openxmlformats.org/officeDocument/2006/relationships/hyperlink" Target="http://www.oas.org/es/sadye/inclusion-social/protocolo-ssv/" TargetMode="External"/><Relationship Id="rId133" Type="http://schemas.openxmlformats.org/officeDocument/2006/relationships/hyperlink" Target="https://compromisodelima.rree.gob.pe/compromiso/Consulta/Verificar" TargetMode="External"/><Relationship Id="rId154" Type="http://schemas.openxmlformats.org/officeDocument/2006/relationships/hyperlink" Target="http://services/stps/" TargetMode="External"/><Relationship Id="rId175" Type="http://schemas.openxmlformats.org/officeDocument/2006/relationships/image" Target="media/image65.png"/><Relationship Id="rId196" Type="http://schemas.openxmlformats.org/officeDocument/2006/relationships/hyperlink" Target="https://www.canalcidh.org/" TargetMode="External"/><Relationship Id="rId200" Type="http://schemas.openxmlformats.org/officeDocument/2006/relationships/image" Target="media/image68.jpeg"/><Relationship Id="rId16" Type="http://schemas.openxmlformats.org/officeDocument/2006/relationships/hyperlink" Target="http://scm.oas.org/IDMS/Redirectpage.aspx?class=V.13.1%20CIDI/RME/doc&amp;classNum=6&amp;lang=e" TargetMode="External"/><Relationship Id="rId221" Type="http://schemas.openxmlformats.org/officeDocument/2006/relationships/hyperlink" Target="https://www.agronegocios.co/agricultura/las-mujeres-rurales-en-colombia-tendran-mas-oportunidades-con-las-tic-2916520" TargetMode="External"/><Relationship Id="rId242" Type="http://schemas.openxmlformats.org/officeDocument/2006/relationships/image" Target="media/image78.jpeg"/><Relationship Id="rId37" Type="http://schemas.openxmlformats.org/officeDocument/2006/relationships/image" Target="media/image8.png"/><Relationship Id="rId58" Type="http://schemas.openxmlformats.org/officeDocument/2006/relationships/hyperlink" Target="https://twitter.com/OEAHaiti" TargetMode="External"/><Relationship Id="rId79" Type="http://schemas.openxmlformats.org/officeDocument/2006/relationships/hyperlink" Target="http://www.oas.org/es/ssm/template.asp?file=/es/ssm/ddot/publicaciones/default_spa.asp" TargetMode="External"/><Relationship Id="rId102" Type="http://schemas.openxmlformats.org/officeDocument/2006/relationships/hyperlink" Target="http://www.fao.org/home/es/" TargetMode="External"/><Relationship Id="rId123" Type="http://schemas.openxmlformats.org/officeDocument/2006/relationships/hyperlink" Target="http://www2.redgealc.org/lineas-de-trabajo/datos-abiertos/" TargetMode="External"/><Relationship Id="rId144" Type="http://schemas.openxmlformats.org/officeDocument/2006/relationships/hyperlink" Target="http://museum.oas.org/collection.html" TargetMode="External"/><Relationship Id="rId90" Type="http://schemas.openxmlformats.org/officeDocument/2006/relationships/hyperlink" Target="http://doityourself.oas.org" TargetMode="External"/><Relationship Id="rId165" Type="http://schemas.openxmlformats.org/officeDocument/2006/relationships/hyperlink" Target="http://services/PFME/Monitoring/MonitoringAll.aspx" TargetMode="External"/><Relationship Id="rId186" Type="http://schemas.openxmlformats.org/officeDocument/2006/relationships/hyperlink" Target="http://www.oas.org/es/cidh/prensa/comunicados/2019/345.asp" TargetMode="External"/><Relationship Id="rId211" Type="http://schemas.openxmlformats.org/officeDocument/2006/relationships/hyperlink" Target="https://digitalpolicylaw.com/cmr19-como-se-preparo-la-region-para-el-mundial-del-espectro/" TargetMode="External"/><Relationship Id="rId232" Type="http://schemas.openxmlformats.org/officeDocument/2006/relationships/image" Target="media/image77.jpeg"/><Relationship Id="rId253" Type="http://schemas.openxmlformats.org/officeDocument/2006/relationships/footer" Target="footer2.xml"/><Relationship Id="rId27" Type="http://schemas.openxmlformats.org/officeDocument/2006/relationships/hyperlink" Target="https://www.flickr.com/photos/oasoea/albums/72157704298860182" TargetMode="External"/><Relationship Id="rId48" Type="http://schemas.openxmlformats.org/officeDocument/2006/relationships/hyperlink" Target="http://www.oas.org/documents/spa/press/CP40861SSEXTOINFORMEMACCIH.pdf" TargetMode="External"/><Relationship Id="rId69" Type="http://schemas.openxmlformats.org/officeDocument/2006/relationships/hyperlink" Target="http://www.cicad.oas.org/reduccion_oferta/resources/chems/Reglamento%20Modelo-Aprobado%20CICAD%2066-Final.pdf" TargetMode="External"/><Relationship Id="rId113" Type="http://schemas.openxmlformats.org/officeDocument/2006/relationships/hyperlink" Target="http://www.oas.org/es/sadye/inclusion-social/guiainteramericana/content/index.html" TargetMode="External"/><Relationship Id="rId134" Type="http://schemas.openxmlformats.org/officeDocument/2006/relationships/hyperlink" Target="http://www.viiicumbreperu.org/bancobuenaspracticas/" TargetMode="External"/><Relationship Id="rId80" Type="http://schemas.openxmlformats.org/officeDocument/2006/relationships/hyperlink" Target="http://www.cicad.oas.org/cicaddocs/Document.aspx?Id=5585" TargetMode="External"/><Relationship Id="rId155" Type="http://schemas.openxmlformats.org/officeDocument/2006/relationships/hyperlink" Target="http://scm.oas.org/IDMS/Redirectpage.aspx?class=CP/doc.&amp;classNum=5469&amp;lang=s" TargetMode="External"/><Relationship Id="rId176" Type="http://schemas.openxmlformats.org/officeDocument/2006/relationships/hyperlink" Target="http://www.oas.org/es/default.asp" TargetMode="External"/><Relationship Id="rId197" Type="http://schemas.openxmlformats.org/officeDocument/2006/relationships/hyperlink" Target="https://www.flickr.com/photos/cidh/albums" TargetMode="External"/><Relationship Id="rId201" Type="http://schemas.openxmlformats.org/officeDocument/2006/relationships/hyperlink" Target="http://www.iin.oea.org/" TargetMode="External"/><Relationship Id="rId222" Type="http://schemas.openxmlformats.org/officeDocument/2006/relationships/hyperlink" Target="https://www.conatel.gov.py/conatel/paraguay-fue-escenario-de-eventos-de-nivel-internacional-de-las-telecomunicaciones/" TargetMode="External"/><Relationship Id="rId243" Type="http://schemas.openxmlformats.org/officeDocument/2006/relationships/image" Target="media/image79.jpeg"/><Relationship Id="rId17" Type="http://schemas.openxmlformats.org/officeDocument/2006/relationships/hyperlink" Target="http://www.oas.org/es/sedi/ddes/imc/2019/" TargetMode="External"/><Relationship Id="rId38" Type="http://schemas.openxmlformats.org/officeDocument/2006/relationships/hyperlink" Target="http://www.oas.org/es/sap/deco/" TargetMode="External"/><Relationship Id="rId59" Type="http://schemas.openxmlformats.org/officeDocument/2006/relationships/hyperlink" Target="https://twitter.com/MAPPOEA" TargetMode="External"/><Relationship Id="rId103" Type="http://schemas.openxmlformats.org/officeDocument/2006/relationships/hyperlink" Target="https://www.iom.int/es" TargetMode="External"/><Relationship Id="rId124" Type="http://schemas.openxmlformats.org/officeDocument/2006/relationships/hyperlink" Target="http://www.oas.org/es/sap/dgpe/puica.asp" TargetMode="External"/><Relationship Id="rId70" Type="http://schemas.openxmlformats.org/officeDocument/2006/relationships/image" Target="media/image23.jpeg"/><Relationship Id="rId91" Type="http://schemas.openxmlformats.org/officeDocument/2006/relationships/image" Target="media/image35.png"/><Relationship Id="rId145" Type="http://schemas.openxmlformats.org/officeDocument/2006/relationships/hyperlink" Target="http://museum.oas.org/rental.html" TargetMode="External"/><Relationship Id="rId166" Type="http://schemas.openxmlformats.org/officeDocument/2006/relationships/image" Target="media/image59.jpeg"/><Relationship Id="rId187" Type="http://schemas.openxmlformats.org/officeDocument/2006/relationships/hyperlink" Target="https://www.oas.org/es/cidh/actividades/seguimiento/pdf/Directrices-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as.org/es/mesecvi/indicadores.asp" TargetMode="External"/><Relationship Id="rId13" Type="http://schemas.openxmlformats.org/officeDocument/2006/relationships/hyperlink" Target="https://bibliotecas.inah.gob.mx:8092/INICIO_IPGH.html" TargetMode="External"/><Relationship Id="rId3" Type="http://schemas.openxmlformats.org/officeDocument/2006/relationships/hyperlink" Target="http://www.oas.org/es/cim/mainstreaming.asp" TargetMode="External"/><Relationship Id="rId7" Type="http://schemas.openxmlformats.org/officeDocument/2006/relationships/hyperlink" Target="http://www.oas.org/es/cim/docs/GPAP-ES.pdf" TargetMode="External"/><Relationship Id="rId12" Type="http://schemas.openxmlformats.org/officeDocument/2006/relationships/hyperlink" Target="https://www.revistasipgh.org/" TargetMode="External"/><Relationship Id="rId2" Type="http://schemas.openxmlformats.org/officeDocument/2006/relationships/hyperlink" Target="http://www.oas.org/es/sap/dgpe/escuelagob/cursos_preparada-para-la-campa&#241;a-curso-de-fortalecimiento-mujeres-candidatas.asp" TargetMode="External"/><Relationship Id="rId16" Type="http://schemas.openxmlformats.org/officeDocument/2006/relationships/hyperlink" Target="https://ipgh.org/socios-cooperadores.html" TargetMode="External"/><Relationship Id="rId1" Type="http://schemas.openxmlformats.org/officeDocument/2006/relationships/hyperlink" Target="http://www.oas.org/es/cim/docs/DeclaracionSANTODOMINGO-ES.pdf" TargetMode="External"/><Relationship Id="rId6" Type="http://schemas.openxmlformats.org/officeDocument/2006/relationships/hyperlink" Target="http://www.comunicarigualdad.com.ar/diploma-de-comunicacion-y-genero/" TargetMode="External"/><Relationship Id="rId11" Type="http://schemas.openxmlformats.org/officeDocument/2006/relationships/hyperlink" Target="https://ipgh.org/pat-2019.html" TargetMode="External"/><Relationship Id="rId5" Type="http://schemas.openxmlformats.org/officeDocument/2006/relationships/hyperlink" Target="http://portal.portaleducoas.org/es/cursos/planificaci-n-estrat-gica-enfoque-g-nero" TargetMode="External"/><Relationship Id="rId15" Type="http://schemas.openxmlformats.org/officeDocument/2006/relationships/hyperlink" Target="https://ipgh.org/financiero.html" TargetMode="External"/><Relationship Id="rId10" Type="http://schemas.openxmlformats.org/officeDocument/2006/relationships/hyperlink" Target="http://www.oas.org/es/mesecvi/docs/LeyModeloFemicidio-ES.pdf" TargetMode="External"/><Relationship Id="rId4" Type="http://schemas.openxmlformats.org/officeDocument/2006/relationships/hyperlink" Target="http://portal.portaleducoas.org/es/cursos/enfoque-derechos-igualdad-g-nero-en-pol-ticas-programas-proyectos" TargetMode="External"/><Relationship Id="rId9" Type="http://schemas.openxmlformats.org/officeDocument/2006/relationships/hyperlink" Target="http://www.oas.org/es/mesecvi/docs/LeyModeloViolenciaPolitica-ES.pdf" TargetMode="External"/><Relationship Id="rId14" Type="http://schemas.openxmlformats.org/officeDocument/2006/relationships/hyperlink" Target="http://bit.ly/2Sd8kik"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9" b="1" i="0" u="none" strike="noStrike" kern="1200" baseline="0">
                <a:solidFill>
                  <a:schemeClr val="dk1">
                    <a:lumMod val="75000"/>
                    <a:lumOff val="25000"/>
                  </a:schemeClr>
                </a:solidFill>
                <a:latin typeface="+mn-lt"/>
                <a:ea typeface="+mn-ea"/>
                <a:cs typeface="+mn-cs"/>
              </a:defRPr>
            </a:pPr>
            <a:r>
              <a:rPr lang="en-US" sz="1407"/>
              <a:t>Contribuciones Observadores Permanentes</a:t>
            </a:r>
          </a:p>
        </c:rich>
      </c:tx>
      <c:layout>
        <c:manualLayout>
          <c:xMode val="edge"/>
          <c:yMode val="edge"/>
          <c:x val="0.19399292479744379"/>
          <c:y val="3.2506175698625905E-2"/>
        </c:manualLayout>
      </c:layout>
      <c:overlay val="0"/>
      <c:spPr>
        <a:noFill/>
        <a:ln>
          <a:noFill/>
        </a:ln>
        <a:effectLst/>
      </c:spPr>
    </c:title>
    <c:autoTitleDeleted val="0"/>
    <c:plotArea>
      <c:layout/>
      <c:barChart>
        <c:barDir val="col"/>
        <c:grouping val="clustered"/>
        <c:varyColors val="0"/>
        <c:ser>
          <c:idx val="1"/>
          <c:order val="0"/>
          <c:spPr>
            <a:solidFill>
              <a:schemeClr val="accent2">
                <a:alpha val="85000"/>
              </a:schemeClr>
            </a:solidFill>
            <a:ln w="9574" cap="flat" cmpd="sng" algn="ctr">
              <a:solidFill>
                <a:schemeClr val="lt1">
                  <a:alpha val="50000"/>
                </a:schemeClr>
              </a:solidFill>
              <a:round/>
            </a:ln>
            <a:effectLst/>
          </c:spPr>
          <c:invertIfNegative val="0"/>
          <c:dLbls>
            <c:dLbl>
              <c:idx val="0"/>
              <c:layout>
                <c:manualLayout>
                  <c:x val="4.0941658137154556E-3"/>
                  <c:y val="1.8841793711956132E-2"/>
                </c:manualLayout>
              </c:layout>
              <c:tx>
                <c:rich>
                  <a:bodyPr/>
                  <a:lstStyle/>
                  <a:p>
                    <a:r>
                      <a:rPr lang="en-US">
                        <a:solidFill>
                          <a:sysClr val="windowText" lastClr="000000"/>
                        </a:solidFill>
                      </a:rPr>
                      <a:t>[]</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5447-45B2-AF7F-4CCED1B03534}"/>
                </c:ext>
                <c:ext xmlns:c15="http://schemas.microsoft.com/office/drawing/2012/chart" uri="{CE6537A1-D6FC-4f65-9D91-7224C49458BB}"/>
              </c:extLst>
            </c:dLbl>
            <c:dLbl>
              <c:idx val="1"/>
              <c:layout>
                <c:manualLayout>
                  <c:x val="1.2282497441146366E-2"/>
                  <c:y val="1.4113661324249276E-2"/>
                </c:manualLayout>
              </c:layout>
              <c:tx>
                <c:rich>
                  <a:bodyPr/>
                  <a:lstStyle/>
                  <a:p>
                    <a:r>
                      <a:rPr lang="en-US">
                        <a:solidFill>
                          <a:sysClr val="windowText" lastClr="000000"/>
                        </a:solidFill>
                      </a:rPr>
                      <a:t>[]</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5447-45B2-AF7F-4CCED1B03534}"/>
                </c:ext>
                <c:ext xmlns:c15="http://schemas.microsoft.com/office/drawing/2012/chart" uri="{CE6537A1-D6FC-4f65-9D91-7224C49458BB}"/>
              </c:extLst>
            </c:dLbl>
            <c:dLbl>
              <c:idx val="2"/>
              <c:layout>
                <c:manualLayout>
                  <c:x val="8.1883316274309111E-3"/>
                  <c:y val="1.8841793711956219E-2"/>
                </c:manualLayout>
              </c:layout>
              <c:tx>
                <c:rich>
                  <a:bodyPr/>
                  <a:lstStyle/>
                  <a:p>
                    <a:r>
                      <a:rPr lang="en-US">
                        <a:solidFill>
                          <a:sysClr val="windowText" lastClr="000000"/>
                        </a:solidFill>
                      </a:rPr>
                      <a:t>[]</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447-45B2-AF7F-4CCED1B03534}"/>
                </c:ext>
                <c:ext xmlns:c15="http://schemas.microsoft.com/office/drawing/2012/chart" uri="{CE6537A1-D6FC-4f65-9D91-7224C49458BB}"/>
              </c:extLst>
            </c:dLbl>
            <c:dLbl>
              <c:idx val="3"/>
              <c:layout>
                <c:manualLayout>
                  <c:x val="0"/>
                  <c:y val="1.8841793711956174E-2"/>
                </c:manualLayout>
              </c:layout>
              <c:tx>
                <c:rich>
                  <a:bodyPr/>
                  <a:lstStyle/>
                  <a:p>
                    <a:r>
                      <a:rPr lang="en-US">
                        <a:solidFill>
                          <a:sysClr val="windowText" lastClr="000000"/>
                        </a:solidFill>
                      </a:rPr>
                      <a:t>[]</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5447-45B2-AF7F-4CCED1B035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5"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Sheet3!$A$7:$D$7</c:f>
              <c:numCache>
                <c:formatCode>General</c:formatCode>
                <c:ptCount val="4"/>
                <c:pt idx="0">
                  <c:v>2016</c:v>
                </c:pt>
                <c:pt idx="1">
                  <c:v>2017</c:v>
                </c:pt>
                <c:pt idx="2">
                  <c:v>2018</c:v>
                </c:pt>
                <c:pt idx="3">
                  <c:v>2019</c:v>
                </c:pt>
              </c:numCache>
            </c:numRef>
          </c:cat>
          <c:val>
            <c:numRef>
              <c:f>Sheet3!$A$9:$D$9</c:f>
              <c:numCache>
                <c:formatCode>#,##0</c:formatCode>
                <c:ptCount val="4"/>
                <c:pt idx="0">
                  <c:v>13886256</c:v>
                </c:pt>
                <c:pt idx="1">
                  <c:v>14586712</c:v>
                </c:pt>
                <c:pt idx="2">
                  <c:v>16135360</c:v>
                </c:pt>
                <c:pt idx="3">
                  <c:v>21072075</c:v>
                </c:pt>
              </c:numCache>
            </c:numRef>
          </c:val>
          <c:extLst xmlns:c16r2="http://schemas.microsoft.com/office/drawing/2015/06/chart">
            <c:ext xmlns:c16="http://schemas.microsoft.com/office/drawing/2014/chart" uri="{C3380CC4-5D6E-409C-BE32-E72D297353CC}">
              <c16:uniqueId val="{00000004-5447-45B2-AF7F-4CCED1B03534}"/>
            </c:ext>
          </c:extLst>
        </c:ser>
        <c:dLbls>
          <c:showLegendKey val="0"/>
          <c:showVal val="0"/>
          <c:showCatName val="0"/>
          <c:showSerName val="0"/>
          <c:showPercent val="0"/>
          <c:showBubbleSize val="0"/>
        </c:dLbls>
        <c:gapWidth val="65"/>
        <c:axId val="204016912"/>
        <c:axId val="204011032"/>
      </c:barChart>
      <c:catAx>
        <c:axId val="204016912"/>
        <c:scaling>
          <c:orientation val="minMax"/>
        </c:scaling>
        <c:delete val="0"/>
        <c:axPos val="b"/>
        <c:numFmt formatCode="General" sourceLinked="1"/>
        <c:majorTickMark val="out"/>
        <c:minorTickMark val="none"/>
        <c:tickLblPos val="nextTo"/>
        <c:spPr>
          <a:noFill/>
          <a:ln w="19147" cap="flat" cmpd="sng" algn="ctr">
            <a:solidFill>
              <a:schemeClr val="dk1">
                <a:lumMod val="75000"/>
                <a:lumOff val="25000"/>
              </a:schemeClr>
            </a:solidFill>
            <a:round/>
          </a:ln>
          <a:effectLst/>
        </c:spPr>
        <c:txPr>
          <a:bodyPr rot="-60000000" spcFirstLastPara="1" vertOverflow="ellipsis" vert="horz" wrap="square" anchor="ctr" anchorCtr="1"/>
          <a:lstStyle/>
          <a:p>
            <a:pPr>
              <a:defRPr sz="905" b="0" i="0" u="none" strike="noStrike" kern="1200" cap="all" baseline="0">
                <a:solidFill>
                  <a:schemeClr val="dk1">
                    <a:lumMod val="75000"/>
                    <a:lumOff val="25000"/>
                  </a:schemeClr>
                </a:solidFill>
                <a:latin typeface="+mn-lt"/>
                <a:ea typeface="+mn-ea"/>
                <a:cs typeface="+mn-cs"/>
              </a:defRPr>
            </a:pPr>
            <a:endParaRPr lang="en-US"/>
          </a:p>
        </c:txPr>
        <c:crossAx val="204011032"/>
        <c:crosses val="autoZero"/>
        <c:auto val="1"/>
        <c:lblAlgn val="ctr"/>
        <c:lblOffset val="100"/>
        <c:noMultiLvlLbl val="0"/>
      </c:catAx>
      <c:valAx>
        <c:axId val="204011032"/>
        <c:scaling>
          <c:orientation val="minMax"/>
        </c:scaling>
        <c:delete val="0"/>
        <c:axPos val="l"/>
        <c:majorGridlines>
          <c:spPr>
            <a:ln w="957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5" b="0" i="0" u="none" strike="noStrike" kern="1200" baseline="0">
                <a:solidFill>
                  <a:schemeClr val="dk1">
                    <a:lumMod val="75000"/>
                    <a:lumOff val="25000"/>
                  </a:schemeClr>
                </a:solidFill>
                <a:latin typeface="+mn-lt"/>
                <a:ea typeface="+mn-ea"/>
                <a:cs typeface="+mn-cs"/>
              </a:defRPr>
            </a:pPr>
            <a:endParaRPr lang="en-US"/>
          </a:p>
        </c:txPr>
        <c:crossAx val="204016912"/>
        <c:crosses val="autoZero"/>
        <c:crossBetween val="between"/>
      </c:valAx>
      <c:spPr>
        <a:noFill/>
        <a:ln w="2553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74" cap="flat" cmpd="sng" algn="ctr">
      <a:solidFill>
        <a:schemeClr val="dk1">
          <a:lumMod val="25000"/>
          <a:lumOff val="75000"/>
        </a:schemeClr>
      </a:solidFill>
      <a:round/>
    </a:ln>
    <a:effectLst/>
  </c:spPr>
  <c:txPr>
    <a:bodyPr/>
    <a:lstStyle/>
    <a:p>
      <a:pPr>
        <a:defRPr/>
      </a:pPr>
      <a:endParaRPr lang="en-US"/>
    </a:p>
  </c:txPr>
  <c:externalData r:id="rId2">
    <c:autoUpdate val="0"/>
  </c:externalData>
  <c:userShapes r:id="rId3"/>
</c:chartSpace>
</file>

<file path=word/diagrams/_rels/data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31242A-138C-4FDC-A830-C0306CA8A315}" type="doc">
      <dgm:prSet loTypeId="urn:microsoft.com/office/officeart/2008/layout/BendingPictureCaption" loCatId="picture" qsTypeId="urn:microsoft.com/office/officeart/2005/8/quickstyle/3d1" qsCatId="3D" csTypeId="urn:microsoft.com/office/officeart/2005/8/colors/accent2_1" csCatId="accent2" phldr="1"/>
      <dgm:spPr/>
      <dgm:t>
        <a:bodyPr/>
        <a:lstStyle/>
        <a:p>
          <a:endParaRPr lang="en-US"/>
        </a:p>
      </dgm:t>
    </dgm:pt>
    <dgm:pt modelId="{582FE682-7252-42AE-8D54-9E1C5BB0425C}">
      <dgm:prSet phldrT="[Text]" custT="1"/>
      <dgm:spPr>
        <a:xfrm>
          <a:off x="602766" y="2398099"/>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El Viceministro de MIPyMEs del Paraguay, Isaac Godoy, y el CEO Danny Sánchez-Mola fiman un Memorandun de Entendimiento para lanzar el Plan de Digitalización de las MIPyMEs de la OEA para la digitalización de 30,000 MIPyMEs durante el VI Diálogo Interamericano de Autoridades de Alto Nivel de las MIPyMEs </a:t>
          </a:r>
        </a:p>
      </dgm:t>
    </dgm:pt>
    <dgm:pt modelId="{FBCACBC8-9B83-4D39-A3FF-15DB4B140FD8}" type="parTrans" cxnId="{EF0321F9-54B6-4B70-AD2F-016F88FDC1E0}">
      <dgm:prSet/>
      <dgm:spPr/>
      <dgm:t>
        <a:bodyPr/>
        <a:lstStyle/>
        <a:p>
          <a:endParaRPr lang="en-US" sz="2000"/>
        </a:p>
      </dgm:t>
    </dgm:pt>
    <dgm:pt modelId="{7195B9AE-F01B-461A-A8A0-315E3F8374FA}" type="sibTrans" cxnId="{EF0321F9-54B6-4B70-AD2F-016F88FDC1E0}">
      <dgm:prSet/>
      <dgm:spPr/>
      <dgm:t>
        <a:bodyPr/>
        <a:lstStyle/>
        <a:p>
          <a:endParaRPr lang="en-US" sz="2000"/>
        </a:p>
      </dgm:t>
    </dgm:pt>
    <dgm:pt modelId="{BA79C7EF-23D4-4E88-AC82-E9A3FB47A33D}">
      <dgm:prSet phldrT="[Text]" custT="1"/>
      <dgm:spPr>
        <a:xfrm>
          <a:off x="4087762" y="5161346"/>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S.E. Anton Edmunds, Embajador de Santa Lucía ante los Estados Unidos y Representante Permanente ante la OEA, Secretaria Ejecutiva Kim Osborne y Maria Celeste Fuenmayor, representante de la Comisión Interamericana de Telecomunicaciones (CITEL) firman el Acuerdo  Programa Educativo ProFuturo, 29 de octubre de 2019</a:t>
          </a:r>
        </a:p>
      </dgm:t>
    </dgm:pt>
    <dgm:pt modelId="{DB1B73A1-ABB7-45D7-957D-D379A0BE151A}" type="parTrans" cxnId="{BB996009-0470-4DE2-A598-BD32E672325F}">
      <dgm:prSet/>
      <dgm:spPr/>
      <dgm:t>
        <a:bodyPr/>
        <a:lstStyle/>
        <a:p>
          <a:endParaRPr lang="en-US" sz="2000"/>
        </a:p>
      </dgm:t>
    </dgm:pt>
    <dgm:pt modelId="{E75CE7DA-2017-4F54-9D7F-934DED04B1F8}" type="sibTrans" cxnId="{BB996009-0470-4DE2-A598-BD32E672325F}">
      <dgm:prSet/>
      <dgm:spPr/>
      <dgm:t>
        <a:bodyPr/>
        <a:lstStyle/>
        <a:p>
          <a:endParaRPr lang="en-US" sz="2000"/>
        </a:p>
      </dgm:t>
    </dgm:pt>
    <dgm:pt modelId="{E5F6050C-8478-42A7-BB58-6B64B6FEAAC1}">
      <dgm:prSet phldrT="[Text]" custT="1"/>
      <dgm:spPr>
        <a:xfrm>
          <a:off x="602766" y="7924594"/>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El Secretario General Luis Almagro and Juan Pablo Lira, Director Ejecutivo de la Agencia Chilena de Cooperación Internacional para el Desarrollo (AGCID) firman el Acuerdo para ampliar la oferta de becas para los países de la CARICOM en las áras de cambio climático, gestión de riesgos de desastre y construcción de resiliencia </a:t>
          </a:r>
        </a:p>
      </dgm:t>
    </dgm:pt>
    <dgm:pt modelId="{C23FA1FC-9B02-4CD5-B17A-640714E7A7EF}" type="parTrans" cxnId="{5AB953E2-89E7-4625-B8EF-A8222C7B9686}">
      <dgm:prSet/>
      <dgm:spPr/>
      <dgm:t>
        <a:bodyPr/>
        <a:lstStyle/>
        <a:p>
          <a:endParaRPr lang="en-US" sz="2000"/>
        </a:p>
      </dgm:t>
    </dgm:pt>
    <dgm:pt modelId="{F6FEB71E-F683-4055-BF85-37BF0D3BA71B}" type="sibTrans" cxnId="{5AB953E2-89E7-4625-B8EF-A8222C7B9686}">
      <dgm:prSet/>
      <dgm:spPr/>
      <dgm:t>
        <a:bodyPr/>
        <a:lstStyle/>
        <a:p>
          <a:endParaRPr lang="en-US" sz="2000"/>
        </a:p>
      </dgm:t>
    </dgm:pt>
    <dgm:pt modelId="{E00D6207-49FD-41CB-A8D1-2DD454B31F54}">
      <dgm:prSet phldrT="[Text]" custT="1"/>
      <dgm:spPr>
        <a:xfrm>
          <a:off x="4087762" y="7924594"/>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Los Estados Miembros de la CARICOM firman un Memorando de Entendimiento para lanzar la Red de SBDCs caribeños que enlazará los programas nacionales, fortalecerá el intercambio de buenas prácticas y conectará a sus clientes con oportunidades comerciales internacionales</a:t>
          </a:r>
        </a:p>
      </dgm:t>
    </dgm:pt>
    <dgm:pt modelId="{F8964892-7D07-4D3F-81FD-23A181CCD5D6}" type="parTrans" cxnId="{B91414D9-A1F2-4068-894C-45F1B79D19B5}">
      <dgm:prSet/>
      <dgm:spPr/>
      <dgm:t>
        <a:bodyPr/>
        <a:lstStyle/>
        <a:p>
          <a:endParaRPr lang="en-US" sz="2000"/>
        </a:p>
      </dgm:t>
    </dgm:pt>
    <dgm:pt modelId="{382AEC34-FEF0-4308-AE5B-F6ACC879CE89}" type="sibTrans" cxnId="{B91414D9-A1F2-4068-894C-45F1B79D19B5}">
      <dgm:prSet/>
      <dgm:spPr/>
      <dgm:t>
        <a:bodyPr/>
        <a:lstStyle/>
        <a:p>
          <a:endParaRPr lang="en-US" sz="2000"/>
        </a:p>
      </dgm:t>
    </dgm:pt>
    <dgm:pt modelId="{F16C40A4-4315-4E88-A94B-9CE34294C992}">
      <dgm:prSet custT="1"/>
      <dgm:spPr>
        <a:xfrm>
          <a:off x="4087762" y="2398099"/>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Más de 20,000 científicos, investigadores, socios de los sectores público y privado (en el sitio y en línea) de todo el Hemisferio participaron en el lanzamiento de Prospecta Américas - una  plataforma  de previsión cientifica y tecnóogica dentro de la OEA - realizado en Lima, Perú, en octubre de 2019</a:t>
          </a:r>
        </a:p>
      </dgm:t>
    </dgm:pt>
    <dgm:pt modelId="{3A0E7766-0C61-4D23-A52E-416EE668C872}" type="parTrans" cxnId="{E0BC79A8-C546-4FA6-A5F6-0261352E55A4}">
      <dgm:prSet/>
      <dgm:spPr/>
      <dgm:t>
        <a:bodyPr/>
        <a:lstStyle/>
        <a:p>
          <a:endParaRPr lang="en-US" sz="2000"/>
        </a:p>
      </dgm:t>
    </dgm:pt>
    <dgm:pt modelId="{A054DF25-F3B4-44EA-9AC4-5CC3F49D9857}" type="sibTrans" cxnId="{E0BC79A8-C546-4FA6-A5F6-0261352E55A4}">
      <dgm:prSet/>
      <dgm:spPr/>
      <dgm:t>
        <a:bodyPr/>
        <a:lstStyle/>
        <a:p>
          <a:endParaRPr lang="en-US" sz="2000"/>
        </a:p>
      </dgm:t>
    </dgm:pt>
    <dgm:pt modelId="{B09345C3-DD63-4EDE-BDAD-02E96712968C}">
      <dgm:prSet phldrT="[Text]" custT="1"/>
      <dgm:spPr>
        <a:xfrm>
          <a:off x="602766" y="5077430"/>
          <a:ext cx="2566224" cy="72859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La Secretaría Ejecutiva para el Desarrollo integral de la OEA, Kim Osborne, y el Secretario General del Comité Coordinador Intergubernamental de los países de la Cuenca del Plata (CIC), Jorge Metz, firman un acuerdo para la implementación del proyecto "Preparando el terreno para la Implementación del Programa Estratégico de Acción de la Cuenca del Plata," durante un ceremonia en la sede de la OEA, en  in Washington, DC, en junio de 2019</a:t>
          </a:r>
        </a:p>
      </dgm:t>
    </dgm:pt>
    <dgm:pt modelId="{487BD28B-9672-4758-B431-076B1E092C8E}" type="parTrans" cxnId="{E9FF45AC-B503-4054-AA03-3702485DA0B0}">
      <dgm:prSet/>
      <dgm:spPr/>
      <dgm:t>
        <a:bodyPr/>
        <a:lstStyle/>
        <a:p>
          <a:endParaRPr lang="en-US" sz="2000"/>
        </a:p>
      </dgm:t>
    </dgm:pt>
    <dgm:pt modelId="{C027E23E-89AF-4CDF-A45B-21E5643E838C}" type="sibTrans" cxnId="{E9FF45AC-B503-4054-AA03-3702485DA0B0}">
      <dgm:prSet/>
      <dgm:spPr/>
      <dgm:t>
        <a:bodyPr/>
        <a:lstStyle/>
        <a:p>
          <a:endParaRPr lang="en-US" sz="2000"/>
        </a:p>
      </dgm:t>
    </dgm:pt>
    <dgm:pt modelId="{CDD730F1-D92D-423A-ADE0-82C61765336F}" type="pres">
      <dgm:prSet presAssocID="{2431242A-138C-4FDC-A830-C0306CA8A315}" presName="diagram" presStyleCnt="0">
        <dgm:presLayoutVars>
          <dgm:dir/>
        </dgm:presLayoutVars>
      </dgm:prSet>
      <dgm:spPr/>
      <dgm:t>
        <a:bodyPr/>
        <a:lstStyle/>
        <a:p>
          <a:endParaRPr lang="en-US"/>
        </a:p>
      </dgm:t>
    </dgm:pt>
    <dgm:pt modelId="{8C983BE3-37AC-48F2-BC25-D3270A25AF86}" type="pres">
      <dgm:prSet presAssocID="{582FE682-7252-42AE-8D54-9E1C5BB0425C}" presName="composite" presStyleCnt="0"/>
      <dgm:spPr/>
    </dgm:pt>
    <dgm:pt modelId="{A5567920-4D59-4C0D-8958-32E3599D758D}" type="pres">
      <dgm:prSet presAssocID="{582FE682-7252-42AE-8D54-9E1C5BB0425C}" presName="Image" presStyleLbl="bgShp" presStyleIdx="0" presStyleCnt="6"/>
      <dgm:spPr>
        <a:xfrm>
          <a:off x="812" y="596349"/>
          <a:ext cx="2978087" cy="2200795"/>
        </a:xfrm>
        <a:prstGeom prst="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pt>
    <dgm:pt modelId="{71715CBB-86EE-45B9-8CBE-68634FEE1454}" type="pres">
      <dgm:prSet presAssocID="{582FE682-7252-42AE-8D54-9E1C5BB0425C}" presName="Parent" presStyleLbl="node0" presStyleIdx="0" presStyleCnt="6">
        <dgm:presLayoutVars>
          <dgm:bulletEnabled val="1"/>
        </dgm:presLayoutVars>
      </dgm:prSet>
      <dgm:spPr/>
      <dgm:t>
        <a:bodyPr/>
        <a:lstStyle/>
        <a:p>
          <a:endParaRPr lang="en-US"/>
        </a:p>
      </dgm:t>
    </dgm:pt>
    <dgm:pt modelId="{755B5397-4D2F-4C01-97AA-3D4974CE6E69}" type="pres">
      <dgm:prSet presAssocID="{7195B9AE-F01B-461A-A8A0-315E3F8374FA}" presName="sibTrans" presStyleCnt="0"/>
      <dgm:spPr/>
    </dgm:pt>
    <dgm:pt modelId="{FB24FA0C-740F-4A30-968B-97EA8FDF057D}" type="pres">
      <dgm:prSet presAssocID="{F16C40A4-4315-4E88-A94B-9CE34294C992}" presName="composite" presStyleCnt="0"/>
      <dgm:spPr/>
    </dgm:pt>
    <dgm:pt modelId="{91B4D238-5826-4DE7-937D-A52A61CE2EF2}" type="pres">
      <dgm:prSet presAssocID="{F16C40A4-4315-4E88-A94B-9CE34294C992}" presName="Image" presStyleLbl="bgShp" presStyleIdx="1" presStyleCnt="6"/>
      <dgm:spPr>
        <a:xfrm>
          <a:off x="3485808" y="596349"/>
          <a:ext cx="2978087" cy="2200795"/>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pt>
    <dgm:pt modelId="{92A7F574-BEA4-4308-8EE4-C6708972C05C}" type="pres">
      <dgm:prSet presAssocID="{F16C40A4-4315-4E88-A94B-9CE34294C992}" presName="Parent" presStyleLbl="node0" presStyleIdx="1" presStyleCnt="6">
        <dgm:presLayoutVars>
          <dgm:bulletEnabled val="1"/>
        </dgm:presLayoutVars>
      </dgm:prSet>
      <dgm:spPr/>
      <dgm:t>
        <a:bodyPr/>
        <a:lstStyle/>
        <a:p>
          <a:endParaRPr lang="en-US"/>
        </a:p>
      </dgm:t>
    </dgm:pt>
    <dgm:pt modelId="{CD7262A9-B606-4E27-9407-9A5B143E7D73}" type="pres">
      <dgm:prSet presAssocID="{A054DF25-F3B4-44EA-9AC4-5CC3F49D9857}" presName="sibTrans" presStyleCnt="0"/>
      <dgm:spPr/>
    </dgm:pt>
    <dgm:pt modelId="{CA1F2536-F448-47FC-B2BC-5B68A0E3B9A0}" type="pres">
      <dgm:prSet presAssocID="{B09345C3-DD63-4EDE-BDAD-02E96712968C}" presName="composite" presStyleCnt="0"/>
      <dgm:spPr/>
    </dgm:pt>
    <dgm:pt modelId="{C9950F00-E5F0-4657-B841-3E01435B9418}" type="pres">
      <dgm:prSet presAssocID="{B09345C3-DD63-4EDE-BDAD-02E96712968C}" presName="Image" presStyleLbl="bgShp" presStyleIdx="2" presStyleCnt="6"/>
      <dgm:spPr>
        <a:xfrm>
          <a:off x="812" y="3331624"/>
          <a:ext cx="2978087" cy="2200795"/>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pt>
    <dgm:pt modelId="{532F6191-5C8E-4961-A82A-A93547C3076B}" type="pres">
      <dgm:prSet presAssocID="{B09345C3-DD63-4EDE-BDAD-02E96712968C}" presName="Parent" presStyleLbl="node0" presStyleIdx="2" presStyleCnt="6" custScaleY="118143">
        <dgm:presLayoutVars>
          <dgm:bulletEnabled val="1"/>
        </dgm:presLayoutVars>
      </dgm:prSet>
      <dgm:spPr/>
      <dgm:t>
        <a:bodyPr/>
        <a:lstStyle/>
        <a:p>
          <a:endParaRPr lang="en-US"/>
        </a:p>
      </dgm:t>
    </dgm:pt>
    <dgm:pt modelId="{49233962-046B-44EC-AC9F-7A0D97A2B838}" type="pres">
      <dgm:prSet presAssocID="{C027E23E-89AF-4CDF-A45B-21E5643E838C}" presName="sibTrans" presStyleCnt="0"/>
      <dgm:spPr/>
    </dgm:pt>
    <dgm:pt modelId="{30A41B7B-9443-4F10-B415-F4A2EAB3BB8D}" type="pres">
      <dgm:prSet presAssocID="{BA79C7EF-23D4-4E88-AC82-E9A3FB47A33D}" presName="composite" presStyleCnt="0"/>
      <dgm:spPr/>
    </dgm:pt>
    <dgm:pt modelId="{B1B18B98-CB2D-4230-A41C-A172A8F908F8}" type="pres">
      <dgm:prSet presAssocID="{BA79C7EF-23D4-4E88-AC82-E9A3FB47A33D}" presName="Image" presStyleLbl="bgShp" presStyleIdx="3" presStyleCnt="6"/>
      <dgm:spPr>
        <a:xfrm>
          <a:off x="3485808" y="3359596"/>
          <a:ext cx="2978087" cy="2200795"/>
        </a:xfrm>
        <a:prstGeom prst="rect">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l="-3000" r="-3000"/>
          </a:stretch>
        </a:blipFill>
        <a:ln>
          <a:noFill/>
        </a:ln>
        <a:effectLst/>
        <a:scene3d>
          <a:camera prst="orthographicFront"/>
          <a:lightRig rig="flat" dir="t"/>
        </a:scene3d>
        <a:sp3d z="-190500" extrusionH="12700" prstMaterial="plastic">
          <a:bevelT w="50800" h="50800"/>
        </a:sp3d>
      </dgm:spPr>
    </dgm:pt>
    <dgm:pt modelId="{7A11A138-B64B-4B6D-A580-236166A0E0AB}" type="pres">
      <dgm:prSet presAssocID="{BA79C7EF-23D4-4E88-AC82-E9A3FB47A33D}" presName="Parent" presStyleLbl="node0" presStyleIdx="3" presStyleCnt="6">
        <dgm:presLayoutVars>
          <dgm:bulletEnabled val="1"/>
        </dgm:presLayoutVars>
      </dgm:prSet>
      <dgm:spPr/>
      <dgm:t>
        <a:bodyPr/>
        <a:lstStyle/>
        <a:p>
          <a:endParaRPr lang="en-US"/>
        </a:p>
      </dgm:t>
    </dgm:pt>
    <dgm:pt modelId="{16E9A224-2786-4F62-A798-D4D330792FBF}" type="pres">
      <dgm:prSet presAssocID="{E75CE7DA-2017-4F54-9D7F-934DED04B1F8}" presName="sibTrans" presStyleCnt="0"/>
      <dgm:spPr/>
    </dgm:pt>
    <dgm:pt modelId="{F83D19D9-91D5-4D3C-BFFA-60103100534B}" type="pres">
      <dgm:prSet presAssocID="{E5F6050C-8478-42A7-BB58-6B64B6FEAAC1}" presName="composite" presStyleCnt="0"/>
      <dgm:spPr/>
    </dgm:pt>
    <dgm:pt modelId="{EBEE855D-0F43-4873-951D-C226F58D8F02}" type="pres">
      <dgm:prSet presAssocID="{E5F6050C-8478-42A7-BB58-6B64B6FEAAC1}" presName="Image" presStyleLbl="bgShp" presStyleIdx="4" presStyleCnt="6"/>
      <dgm:spPr>
        <a:xfrm>
          <a:off x="812" y="6122843"/>
          <a:ext cx="2978087" cy="2200795"/>
        </a:xfrm>
        <a:prstGeom prst="rect">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pt>
    <dgm:pt modelId="{BFD51160-B9C0-4685-8340-1702F2023A3D}" type="pres">
      <dgm:prSet presAssocID="{E5F6050C-8478-42A7-BB58-6B64B6FEAAC1}" presName="Parent" presStyleLbl="node0" presStyleIdx="4" presStyleCnt="6">
        <dgm:presLayoutVars>
          <dgm:bulletEnabled val="1"/>
        </dgm:presLayoutVars>
      </dgm:prSet>
      <dgm:spPr/>
      <dgm:t>
        <a:bodyPr/>
        <a:lstStyle/>
        <a:p>
          <a:endParaRPr lang="en-US"/>
        </a:p>
      </dgm:t>
    </dgm:pt>
    <dgm:pt modelId="{B7105897-E6EC-4324-B894-1C623AC7F31A}" type="pres">
      <dgm:prSet presAssocID="{F6FEB71E-F683-4055-BF85-37BF0D3BA71B}" presName="sibTrans" presStyleCnt="0"/>
      <dgm:spPr/>
    </dgm:pt>
    <dgm:pt modelId="{957BB4F5-B612-408F-B854-CF7BC7D899C6}" type="pres">
      <dgm:prSet presAssocID="{E00D6207-49FD-41CB-A8D1-2DD454B31F54}" presName="composite" presStyleCnt="0"/>
      <dgm:spPr/>
    </dgm:pt>
    <dgm:pt modelId="{268DBEF3-3DA0-4E83-BDFF-5350AFBCED42}" type="pres">
      <dgm:prSet presAssocID="{E00D6207-49FD-41CB-A8D1-2DD454B31F54}" presName="Image" presStyleLbl="bgShp" presStyleIdx="5" presStyleCnt="6"/>
      <dgm:spPr>
        <a:xfrm>
          <a:off x="3485808" y="6122843"/>
          <a:ext cx="2978087" cy="2200795"/>
        </a:xfrm>
        <a:prstGeom prst="rect">
          <a:avLst/>
        </a:prstGeom>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pt>
    <dgm:pt modelId="{9A576609-1601-4937-9549-8DB77B7E6FDA}" type="pres">
      <dgm:prSet presAssocID="{E00D6207-49FD-41CB-A8D1-2DD454B31F54}" presName="Parent" presStyleLbl="node0" presStyleIdx="5" presStyleCnt="6">
        <dgm:presLayoutVars>
          <dgm:bulletEnabled val="1"/>
        </dgm:presLayoutVars>
      </dgm:prSet>
      <dgm:spPr/>
      <dgm:t>
        <a:bodyPr/>
        <a:lstStyle/>
        <a:p>
          <a:endParaRPr lang="en-US"/>
        </a:p>
      </dgm:t>
    </dgm:pt>
  </dgm:ptLst>
  <dgm:cxnLst>
    <dgm:cxn modelId="{EF0321F9-54B6-4B70-AD2F-016F88FDC1E0}" srcId="{2431242A-138C-4FDC-A830-C0306CA8A315}" destId="{582FE682-7252-42AE-8D54-9E1C5BB0425C}" srcOrd="0" destOrd="0" parTransId="{FBCACBC8-9B83-4D39-A3FF-15DB4B140FD8}" sibTransId="{7195B9AE-F01B-461A-A8A0-315E3F8374FA}"/>
    <dgm:cxn modelId="{E0BC79A8-C546-4FA6-A5F6-0261352E55A4}" srcId="{2431242A-138C-4FDC-A830-C0306CA8A315}" destId="{F16C40A4-4315-4E88-A94B-9CE34294C992}" srcOrd="1" destOrd="0" parTransId="{3A0E7766-0C61-4D23-A52E-416EE668C872}" sibTransId="{A054DF25-F3B4-44EA-9AC4-5CC3F49D9857}"/>
    <dgm:cxn modelId="{E9FF45AC-B503-4054-AA03-3702485DA0B0}" srcId="{2431242A-138C-4FDC-A830-C0306CA8A315}" destId="{B09345C3-DD63-4EDE-BDAD-02E96712968C}" srcOrd="2" destOrd="0" parTransId="{487BD28B-9672-4758-B431-076B1E092C8E}" sibTransId="{C027E23E-89AF-4CDF-A45B-21E5643E838C}"/>
    <dgm:cxn modelId="{BB996009-0470-4DE2-A598-BD32E672325F}" srcId="{2431242A-138C-4FDC-A830-C0306CA8A315}" destId="{BA79C7EF-23D4-4E88-AC82-E9A3FB47A33D}" srcOrd="3" destOrd="0" parTransId="{DB1B73A1-ABB7-45D7-957D-D379A0BE151A}" sibTransId="{E75CE7DA-2017-4F54-9D7F-934DED04B1F8}"/>
    <dgm:cxn modelId="{0440DCE1-7E24-4BE1-A3F2-D9CF291E373D}" type="presOf" srcId="{F16C40A4-4315-4E88-A94B-9CE34294C992}" destId="{92A7F574-BEA4-4308-8EE4-C6708972C05C}" srcOrd="0" destOrd="0" presId="urn:microsoft.com/office/officeart/2008/layout/BendingPictureCaption"/>
    <dgm:cxn modelId="{9AE48126-7590-4AD6-94B2-B8E0994D1AAD}" type="presOf" srcId="{E5F6050C-8478-42A7-BB58-6B64B6FEAAC1}" destId="{BFD51160-B9C0-4685-8340-1702F2023A3D}" srcOrd="0" destOrd="0" presId="urn:microsoft.com/office/officeart/2008/layout/BendingPictureCaption"/>
    <dgm:cxn modelId="{B91414D9-A1F2-4068-894C-45F1B79D19B5}" srcId="{2431242A-138C-4FDC-A830-C0306CA8A315}" destId="{E00D6207-49FD-41CB-A8D1-2DD454B31F54}" srcOrd="5" destOrd="0" parTransId="{F8964892-7D07-4D3F-81FD-23A181CCD5D6}" sibTransId="{382AEC34-FEF0-4308-AE5B-F6ACC879CE89}"/>
    <dgm:cxn modelId="{D13E1858-EB5B-40FA-B8C0-C6F553579930}" type="presOf" srcId="{B09345C3-DD63-4EDE-BDAD-02E96712968C}" destId="{532F6191-5C8E-4961-A82A-A93547C3076B}" srcOrd="0" destOrd="0" presId="urn:microsoft.com/office/officeart/2008/layout/BendingPictureCaption"/>
    <dgm:cxn modelId="{78408CCB-4D97-48FF-9108-176DD5725F43}" type="presOf" srcId="{BA79C7EF-23D4-4E88-AC82-E9A3FB47A33D}" destId="{7A11A138-B64B-4B6D-A580-236166A0E0AB}" srcOrd="0" destOrd="0" presId="urn:microsoft.com/office/officeart/2008/layout/BendingPictureCaption"/>
    <dgm:cxn modelId="{5AB953E2-89E7-4625-B8EF-A8222C7B9686}" srcId="{2431242A-138C-4FDC-A830-C0306CA8A315}" destId="{E5F6050C-8478-42A7-BB58-6B64B6FEAAC1}" srcOrd="4" destOrd="0" parTransId="{C23FA1FC-9B02-4CD5-B17A-640714E7A7EF}" sibTransId="{F6FEB71E-F683-4055-BF85-37BF0D3BA71B}"/>
    <dgm:cxn modelId="{535006B3-B03A-421D-83B2-A86DCAC1FF12}" type="presOf" srcId="{582FE682-7252-42AE-8D54-9E1C5BB0425C}" destId="{71715CBB-86EE-45B9-8CBE-68634FEE1454}" srcOrd="0" destOrd="0" presId="urn:microsoft.com/office/officeart/2008/layout/BendingPictureCaption"/>
    <dgm:cxn modelId="{BDD28B56-DF01-42D3-83D1-15BAAD470AD7}" type="presOf" srcId="{E00D6207-49FD-41CB-A8D1-2DD454B31F54}" destId="{9A576609-1601-4937-9549-8DB77B7E6FDA}" srcOrd="0" destOrd="0" presId="urn:microsoft.com/office/officeart/2008/layout/BendingPictureCaption"/>
    <dgm:cxn modelId="{CFA3262F-E0C4-4038-8831-6EF6D617345C}" type="presOf" srcId="{2431242A-138C-4FDC-A830-C0306CA8A315}" destId="{CDD730F1-D92D-423A-ADE0-82C61765336F}" srcOrd="0" destOrd="0" presId="urn:microsoft.com/office/officeart/2008/layout/BendingPictureCaption"/>
    <dgm:cxn modelId="{552F5FB6-2894-48B0-812A-748810F41D99}" type="presParOf" srcId="{CDD730F1-D92D-423A-ADE0-82C61765336F}" destId="{8C983BE3-37AC-48F2-BC25-D3270A25AF86}" srcOrd="0" destOrd="0" presId="urn:microsoft.com/office/officeart/2008/layout/BendingPictureCaption"/>
    <dgm:cxn modelId="{8580404B-2D77-499B-9AA2-645B2D7C8A8B}" type="presParOf" srcId="{8C983BE3-37AC-48F2-BC25-D3270A25AF86}" destId="{A5567920-4D59-4C0D-8958-32E3599D758D}" srcOrd="0" destOrd="0" presId="urn:microsoft.com/office/officeart/2008/layout/BendingPictureCaption"/>
    <dgm:cxn modelId="{A1F31AA4-9CCB-422D-85D1-C14018FFAAA9}" type="presParOf" srcId="{8C983BE3-37AC-48F2-BC25-D3270A25AF86}" destId="{71715CBB-86EE-45B9-8CBE-68634FEE1454}" srcOrd="1" destOrd="0" presId="urn:microsoft.com/office/officeart/2008/layout/BendingPictureCaption"/>
    <dgm:cxn modelId="{A034D332-8165-41EC-A637-47F7BD570E07}" type="presParOf" srcId="{CDD730F1-D92D-423A-ADE0-82C61765336F}" destId="{755B5397-4D2F-4C01-97AA-3D4974CE6E69}" srcOrd="1" destOrd="0" presId="urn:microsoft.com/office/officeart/2008/layout/BendingPictureCaption"/>
    <dgm:cxn modelId="{4F876EE1-32EB-4660-96E0-0E6FBBD5001A}" type="presParOf" srcId="{CDD730F1-D92D-423A-ADE0-82C61765336F}" destId="{FB24FA0C-740F-4A30-968B-97EA8FDF057D}" srcOrd="2" destOrd="0" presId="urn:microsoft.com/office/officeart/2008/layout/BendingPictureCaption"/>
    <dgm:cxn modelId="{2680FE72-CA8B-41C9-9A49-70A188009680}" type="presParOf" srcId="{FB24FA0C-740F-4A30-968B-97EA8FDF057D}" destId="{91B4D238-5826-4DE7-937D-A52A61CE2EF2}" srcOrd="0" destOrd="0" presId="urn:microsoft.com/office/officeart/2008/layout/BendingPictureCaption"/>
    <dgm:cxn modelId="{6AD7A69D-0442-4B6A-8724-EF513F972245}" type="presParOf" srcId="{FB24FA0C-740F-4A30-968B-97EA8FDF057D}" destId="{92A7F574-BEA4-4308-8EE4-C6708972C05C}" srcOrd="1" destOrd="0" presId="urn:microsoft.com/office/officeart/2008/layout/BendingPictureCaption"/>
    <dgm:cxn modelId="{3284DC98-60F1-4ED8-8B63-E84F5645127A}" type="presParOf" srcId="{CDD730F1-D92D-423A-ADE0-82C61765336F}" destId="{CD7262A9-B606-4E27-9407-9A5B143E7D73}" srcOrd="3" destOrd="0" presId="urn:microsoft.com/office/officeart/2008/layout/BendingPictureCaption"/>
    <dgm:cxn modelId="{94AA1282-18C3-48EF-BEEB-A2679F562F1F}" type="presParOf" srcId="{CDD730F1-D92D-423A-ADE0-82C61765336F}" destId="{CA1F2536-F448-47FC-B2BC-5B68A0E3B9A0}" srcOrd="4" destOrd="0" presId="urn:microsoft.com/office/officeart/2008/layout/BendingPictureCaption"/>
    <dgm:cxn modelId="{EB101CDF-0716-46D3-933E-1043F30341C3}" type="presParOf" srcId="{CA1F2536-F448-47FC-B2BC-5B68A0E3B9A0}" destId="{C9950F00-E5F0-4657-B841-3E01435B9418}" srcOrd="0" destOrd="0" presId="urn:microsoft.com/office/officeart/2008/layout/BendingPictureCaption"/>
    <dgm:cxn modelId="{C572C2E8-B444-4F09-A0AF-1B02F338FD56}" type="presParOf" srcId="{CA1F2536-F448-47FC-B2BC-5B68A0E3B9A0}" destId="{532F6191-5C8E-4961-A82A-A93547C3076B}" srcOrd="1" destOrd="0" presId="urn:microsoft.com/office/officeart/2008/layout/BendingPictureCaption"/>
    <dgm:cxn modelId="{6719E96F-CA40-4C2C-A306-432677F3DC8D}" type="presParOf" srcId="{CDD730F1-D92D-423A-ADE0-82C61765336F}" destId="{49233962-046B-44EC-AC9F-7A0D97A2B838}" srcOrd="5" destOrd="0" presId="urn:microsoft.com/office/officeart/2008/layout/BendingPictureCaption"/>
    <dgm:cxn modelId="{64DC84C9-EA25-4713-86BE-76D341FA4049}" type="presParOf" srcId="{CDD730F1-D92D-423A-ADE0-82C61765336F}" destId="{30A41B7B-9443-4F10-B415-F4A2EAB3BB8D}" srcOrd="6" destOrd="0" presId="urn:microsoft.com/office/officeart/2008/layout/BendingPictureCaption"/>
    <dgm:cxn modelId="{3DB63258-3386-48E7-A3F5-845AE7BB1DC8}" type="presParOf" srcId="{30A41B7B-9443-4F10-B415-F4A2EAB3BB8D}" destId="{B1B18B98-CB2D-4230-A41C-A172A8F908F8}" srcOrd="0" destOrd="0" presId="urn:microsoft.com/office/officeart/2008/layout/BendingPictureCaption"/>
    <dgm:cxn modelId="{D3BAE824-BED9-43AC-8630-A28F0CE32E68}" type="presParOf" srcId="{30A41B7B-9443-4F10-B415-F4A2EAB3BB8D}" destId="{7A11A138-B64B-4B6D-A580-236166A0E0AB}" srcOrd="1" destOrd="0" presId="urn:microsoft.com/office/officeart/2008/layout/BendingPictureCaption"/>
    <dgm:cxn modelId="{C4B4EF6B-D056-4F76-884C-101214F82B84}" type="presParOf" srcId="{CDD730F1-D92D-423A-ADE0-82C61765336F}" destId="{16E9A224-2786-4F62-A798-D4D330792FBF}" srcOrd="7" destOrd="0" presId="urn:microsoft.com/office/officeart/2008/layout/BendingPictureCaption"/>
    <dgm:cxn modelId="{E2BC1000-43E9-453C-A2E9-8E9351FA76FF}" type="presParOf" srcId="{CDD730F1-D92D-423A-ADE0-82C61765336F}" destId="{F83D19D9-91D5-4D3C-BFFA-60103100534B}" srcOrd="8" destOrd="0" presId="urn:microsoft.com/office/officeart/2008/layout/BendingPictureCaption"/>
    <dgm:cxn modelId="{AC6C3EFE-7D01-4ADD-8636-AA4059EBFEA7}" type="presParOf" srcId="{F83D19D9-91D5-4D3C-BFFA-60103100534B}" destId="{EBEE855D-0F43-4873-951D-C226F58D8F02}" srcOrd="0" destOrd="0" presId="urn:microsoft.com/office/officeart/2008/layout/BendingPictureCaption"/>
    <dgm:cxn modelId="{B5A7365A-5ECC-4825-BF87-0561C4EC3ABB}" type="presParOf" srcId="{F83D19D9-91D5-4D3C-BFFA-60103100534B}" destId="{BFD51160-B9C0-4685-8340-1702F2023A3D}" srcOrd="1" destOrd="0" presId="urn:microsoft.com/office/officeart/2008/layout/BendingPictureCaption"/>
    <dgm:cxn modelId="{F33BB9E4-5EB8-47B6-B422-993024D41C19}" type="presParOf" srcId="{CDD730F1-D92D-423A-ADE0-82C61765336F}" destId="{B7105897-E6EC-4324-B894-1C623AC7F31A}" srcOrd="9" destOrd="0" presId="urn:microsoft.com/office/officeart/2008/layout/BendingPictureCaption"/>
    <dgm:cxn modelId="{AD9876B8-994B-4043-B0EC-62B91BB5A1ED}" type="presParOf" srcId="{CDD730F1-D92D-423A-ADE0-82C61765336F}" destId="{957BB4F5-B612-408F-B854-CF7BC7D899C6}" srcOrd="10" destOrd="0" presId="urn:microsoft.com/office/officeart/2008/layout/BendingPictureCaption"/>
    <dgm:cxn modelId="{4FCFFA56-D0B0-4F97-B12C-BA51227E5416}" type="presParOf" srcId="{957BB4F5-B612-408F-B854-CF7BC7D899C6}" destId="{268DBEF3-3DA0-4E83-BDFF-5350AFBCED42}" srcOrd="0" destOrd="0" presId="urn:microsoft.com/office/officeart/2008/layout/BendingPictureCaption"/>
    <dgm:cxn modelId="{9B7EB95E-B0DB-43CE-8524-687243834B64}" type="presParOf" srcId="{957BB4F5-B612-408F-B854-CF7BC7D899C6}" destId="{9A576609-1601-4937-9549-8DB77B7E6FDA}" srcOrd="1" destOrd="0" presId="urn:microsoft.com/office/officeart/2008/layout/BendingPictureCaption"/>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567920-4D59-4C0D-8958-32E3599D758D}">
      <dsp:nvSpPr>
        <dsp:cNvPr id="0" name=""/>
        <dsp:cNvSpPr/>
      </dsp:nvSpPr>
      <dsp:spPr>
        <a:xfrm>
          <a:off x="812" y="596728"/>
          <a:ext cx="2977803" cy="2200585"/>
        </a:xfrm>
        <a:prstGeom prst="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1715CBB-86EE-45B9-8CBE-68634FEE1454}">
      <dsp:nvSpPr>
        <dsp:cNvPr id="0" name=""/>
        <dsp:cNvSpPr/>
      </dsp:nvSpPr>
      <dsp:spPr>
        <a:xfrm>
          <a:off x="602708" y="2398306"/>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El Viceministro de MIPyMEs del Paraguay, Isaac Godoy, y el CEO Danny Sánchez-Mola fiman un Memorandun de Entendimiento para lanzar el Plan de Digitalización de las MIPyMEs de la OEA para la digitalización de 30,000 MIPyMEs durante el VI Diálogo Interamericano de Autoridades de Alto Nivel de las MIPyMEs </a:t>
          </a:r>
        </a:p>
      </dsp:txBody>
      <dsp:txXfrm>
        <a:off x="602708" y="2398306"/>
        <a:ext cx="2565979" cy="616647"/>
      </dsp:txXfrm>
    </dsp:sp>
    <dsp:sp modelId="{91B4D238-5826-4DE7-937D-A52A61CE2EF2}">
      <dsp:nvSpPr>
        <dsp:cNvPr id="0" name=""/>
        <dsp:cNvSpPr/>
      </dsp:nvSpPr>
      <dsp:spPr>
        <a:xfrm>
          <a:off x="3485476" y="596728"/>
          <a:ext cx="2977803" cy="2200585"/>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2A7F574-BEA4-4308-8EE4-C6708972C05C}">
      <dsp:nvSpPr>
        <dsp:cNvPr id="0" name=""/>
        <dsp:cNvSpPr/>
      </dsp:nvSpPr>
      <dsp:spPr>
        <a:xfrm>
          <a:off x="4087372" y="2398306"/>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Más de 20,000 científicos, investigadores, socios de los sectores público y privado (en el sitio y en línea) de todo el Hemisferio participaron en el lanzamiento de Prospecta Américas - una  plataforma  de previsión cientifica y tecnóogica dentro de la OEA - realizado en Lima, Perú, en octubre de 2019</a:t>
          </a:r>
        </a:p>
      </dsp:txBody>
      <dsp:txXfrm>
        <a:off x="4087372" y="2398306"/>
        <a:ext cx="2565979" cy="616647"/>
      </dsp:txXfrm>
    </dsp:sp>
    <dsp:sp modelId="{C9950F00-E5F0-4657-B841-3E01435B9418}">
      <dsp:nvSpPr>
        <dsp:cNvPr id="0" name=""/>
        <dsp:cNvSpPr/>
      </dsp:nvSpPr>
      <dsp:spPr>
        <a:xfrm>
          <a:off x="812" y="3331742"/>
          <a:ext cx="2977803" cy="2200585"/>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32F6191-5C8E-4961-A82A-A93547C3076B}">
      <dsp:nvSpPr>
        <dsp:cNvPr id="0" name=""/>
        <dsp:cNvSpPr/>
      </dsp:nvSpPr>
      <dsp:spPr>
        <a:xfrm>
          <a:off x="602708" y="5077381"/>
          <a:ext cx="2565979" cy="72852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La Secretaría Ejecutiva para el Desarrollo integral de la OEA, Kim Osborne, y el Secretario General del Comité Coordinador Intergubernamental de los países de la Cuenca del Plata (CIC), Jorge Metz, firman un acuerdo para la implementación del proyecto "Preparando el terreno para la Implementación del Programa Estratégico de Acción de la Cuenca del Plata," durante un ceremonia en la sede de la OEA, en  in Washington, DC, en junio de 2019</a:t>
          </a:r>
        </a:p>
      </dsp:txBody>
      <dsp:txXfrm>
        <a:off x="602708" y="5077381"/>
        <a:ext cx="2565979" cy="728526"/>
      </dsp:txXfrm>
    </dsp:sp>
    <dsp:sp modelId="{B1B18B98-CB2D-4230-A41C-A172A8F908F8}">
      <dsp:nvSpPr>
        <dsp:cNvPr id="0" name=""/>
        <dsp:cNvSpPr/>
      </dsp:nvSpPr>
      <dsp:spPr>
        <a:xfrm>
          <a:off x="3485476" y="3359711"/>
          <a:ext cx="2977803" cy="2200585"/>
        </a:xfrm>
        <a:prstGeom prst="rect">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l="-3000" r="-3000"/>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A11A138-B64B-4B6D-A580-236166A0E0AB}">
      <dsp:nvSpPr>
        <dsp:cNvPr id="0" name=""/>
        <dsp:cNvSpPr/>
      </dsp:nvSpPr>
      <dsp:spPr>
        <a:xfrm>
          <a:off x="4087372" y="5161290"/>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S.E. Anton Edmunds, Embajador de Santa Lucía ante los Estados Unidos y Representante Permanente ante la OEA, Secretaria Ejecutiva Kim Osborne y Maria Celeste Fuenmayor, representante de la Comisión Interamericana de Telecomunicaciones (CITEL) firman el Acuerdo  Programa Educativo ProFuturo, 29 de octubre de 2019</a:t>
          </a:r>
        </a:p>
      </dsp:txBody>
      <dsp:txXfrm>
        <a:off x="4087372" y="5161290"/>
        <a:ext cx="2565979" cy="616647"/>
      </dsp:txXfrm>
    </dsp:sp>
    <dsp:sp modelId="{EBEE855D-0F43-4873-951D-C226F58D8F02}">
      <dsp:nvSpPr>
        <dsp:cNvPr id="0" name=""/>
        <dsp:cNvSpPr/>
      </dsp:nvSpPr>
      <dsp:spPr>
        <a:xfrm>
          <a:off x="812" y="6122695"/>
          <a:ext cx="2977803" cy="2200585"/>
        </a:xfrm>
        <a:prstGeom prst="rect">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BFD51160-B9C0-4685-8340-1702F2023A3D}">
      <dsp:nvSpPr>
        <dsp:cNvPr id="0" name=""/>
        <dsp:cNvSpPr/>
      </dsp:nvSpPr>
      <dsp:spPr>
        <a:xfrm>
          <a:off x="602708" y="7924273"/>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El Secretario General Luis Almagro and Juan Pablo Lira, Director Ejecutivo de la Agencia Chilena de Cooperación Internacional para el Desarrollo (AGCID) firman el Acuerdo para ampliar la oferta de becas para los países de la CARICOM en las áras de cambio climático, gestión de riesgos de desastre y construcción de resiliencia </a:t>
          </a:r>
        </a:p>
      </dsp:txBody>
      <dsp:txXfrm>
        <a:off x="602708" y="7924273"/>
        <a:ext cx="2565979" cy="616647"/>
      </dsp:txXfrm>
    </dsp:sp>
    <dsp:sp modelId="{268DBEF3-3DA0-4E83-BDFF-5350AFBCED42}">
      <dsp:nvSpPr>
        <dsp:cNvPr id="0" name=""/>
        <dsp:cNvSpPr/>
      </dsp:nvSpPr>
      <dsp:spPr>
        <a:xfrm>
          <a:off x="3485476" y="6122695"/>
          <a:ext cx="2977803" cy="2200585"/>
        </a:xfrm>
        <a:prstGeom prst="rect">
          <a:avLst/>
        </a:prstGeom>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A576609-1601-4937-9549-8DB77B7E6FDA}">
      <dsp:nvSpPr>
        <dsp:cNvPr id="0" name=""/>
        <dsp:cNvSpPr/>
      </dsp:nvSpPr>
      <dsp:spPr>
        <a:xfrm>
          <a:off x="4087372" y="7924273"/>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Los Estados Miembros de la CARICOM firman un Memorando de Entendimiento para lanzar la Red de SBDCs caribeños que enlazará los programas nacionales, fortalecerá el intercambio de buenas prácticas y conectará a sus clientes con oportunidades comerciales internacionales</a:t>
          </a:r>
        </a:p>
      </dsp:txBody>
      <dsp:txXfrm>
        <a:off x="4087372" y="7924273"/>
        <a:ext cx="2565979" cy="616647"/>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0.09615</cdr:y>
    </cdr:from>
    <cdr:to>
      <cdr:x>0.22535</cdr:x>
      <cdr:y>0.26596</cdr:y>
    </cdr:to>
    <cdr:sp macro="" textlink="">
      <cdr:nvSpPr>
        <cdr:cNvPr id="2" name="TextBox 1"/>
        <cdr:cNvSpPr txBox="1"/>
      </cdr:nvSpPr>
      <cdr:spPr>
        <a:xfrm xmlns:a="http://schemas.openxmlformats.org/drawingml/2006/main">
          <a:off x="0" y="258277"/>
          <a:ext cx="762000" cy="456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En dólares americanos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E684DBF2FB84BB951F42A6B0FC861" ma:contentTypeVersion="2" ma:contentTypeDescription="Create a new document." ma:contentTypeScope="" ma:versionID="b0fdd02ef96913f27891a12c99dfe7b7">
  <xsd:schema xmlns:xsd="http://www.w3.org/2001/XMLSchema" xmlns:xs="http://www.w3.org/2001/XMLSchema" xmlns:p="http://schemas.microsoft.com/office/2006/metadata/properties" xmlns:ns1="http://schemas.microsoft.com/sharepoint/v3" xmlns:ns2="89f4cd83-a2d3-4405-9b45-6aff5241ff81" targetNamespace="http://schemas.microsoft.com/office/2006/metadata/properties" ma:root="true" ma:fieldsID="035ebb9a2f44faf05c70baa707822c4d" ns1:_="" ns2:_="">
    <xsd:import namespace="http://schemas.microsoft.com/sharepoint/v3"/>
    <xsd:import namespace="89f4cd83-a2d3-4405-9b45-6aff5241ff8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f4cd83-a2d3-4405-9b45-6aff5241ff8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CF28B-B2F5-4D4A-9C4E-F334C6A3B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f4cd83-a2d3-4405-9b45-6aff5241f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434C05-0429-4501-9B86-06633F4BFF39}">
  <ds:schemaRefs>
    <ds:schemaRef ds:uri="http://schemas.openxmlformats.org/package/2006/metadata/core-properties"/>
    <ds:schemaRef ds:uri="http://www.w3.org/XML/1998/namespace"/>
    <ds:schemaRef ds:uri="http://schemas.microsoft.com/office/infopath/2007/PartnerControls"/>
    <ds:schemaRef ds:uri="http://purl.org/dc/terms/"/>
    <ds:schemaRef ds:uri="http://purl.org/dc/dcmitype/"/>
    <ds:schemaRef ds:uri="http://schemas.microsoft.com/office/2006/metadata/properties"/>
    <ds:schemaRef ds:uri="http://schemas.microsoft.com/office/2006/documentManagement/types"/>
    <ds:schemaRef ds:uri="http://schemas.microsoft.com/sharepoint/v3"/>
    <ds:schemaRef ds:uri="http://purl.org/dc/elements/1.1/"/>
    <ds:schemaRef ds:uri="89f4cd83-a2d3-4405-9b45-6aff5241ff81"/>
  </ds:schemaRefs>
</ds:datastoreItem>
</file>

<file path=customXml/itemProps3.xml><?xml version="1.0" encoding="utf-8"?>
<ds:datastoreItem xmlns:ds="http://schemas.openxmlformats.org/officeDocument/2006/customXml" ds:itemID="{77366EED-3D56-42F4-A031-8FDF05F60B68}">
  <ds:schemaRefs>
    <ds:schemaRef ds:uri="http://schemas.microsoft.com/sharepoint/v3/contenttype/forms"/>
  </ds:schemaRefs>
</ds:datastoreItem>
</file>

<file path=customXml/itemProps4.xml><?xml version="1.0" encoding="utf-8"?>
<ds:datastoreItem xmlns:ds="http://schemas.openxmlformats.org/officeDocument/2006/customXml" ds:itemID="{878219C3-451D-4591-AAC2-E73912C997D1}">
  <ds:schemaRefs>
    <ds:schemaRef ds:uri="http://schemas.microsoft.com/office/2006/metadata/longProperties"/>
  </ds:schemaRefs>
</ds:datastoreItem>
</file>

<file path=customXml/itemProps5.xml><?xml version="1.0" encoding="utf-8"?>
<ds:datastoreItem xmlns:ds="http://schemas.openxmlformats.org/officeDocument/2006/customXml" ds:itemID="{A951187D-EC5C-44C7-AAC8-049064A7A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46448</Words>
  <Characters>264757</Characters>
  <Application>Microsoft Office Word</Application>
  <DocSecurity>4</DocSecurity>
  <Lines>2206</Lines>
  <Paragraphs>621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310584</CharactersWithSpaces>
  <SharedDoc>false</SharedDoc>
  <HLinks>
    <vt:vector size="1524" baseType="variant">
      <vt:variant>
        <vt:i4>6160400</vt:i4>
      </vt:variant>
      <vt:variant>
        <vt:i4>915</vt:i4>
      </vt:variant>
      <vt:variant>
        <vt:i4>0</vt:i4>
      </vt:variant>
      <vt:variant>
        <vt:i4>5</vt:i4>
      </vt:variant>
      <vt:variant>
        <vt:lpwstr>https://ipgh.org/socios-cooperadores.html</vt:lpwstr>
      </vt:variant>
      <vt:variant>
        <vt:lpwstr/>
      </vt:variant>
      <vt:variant>
        <vt:i4>3670068</vt:i4>
      </vt:variant>
      <vt:variant>
        <vt:i4>912</vt:i4>
      </vt:variant>
      <vt:variant>
        <vt:i4>0</vt:i4>
      </vt:variant>
      <vt:variant>
        <vt:i4>5</vt:i4>
      </vt:variant>
      <vt:variant>
        <vt:lpwstr>https://ipgh.org/financiero.html</vt:lpwstr>
      </vt:variant>
      <vt:variant>
        <vt:lpwstr>cuotas</vt:lpwstr>
      </vt:variant>
      <vt:variant>
        <vt:i4>655473</vt:i4>
      </vt:variant>
      <vt:variant>
        <vt:i4>909</vt:i4>
      </vt:variant>
      <vt:variant>
        <vt:i4>0</vt:i4>
      </vt:variant>
      <vt:variant>
        <vt:i4>5</vt:i4>
      </vt:variant>
      <vt:variant>
        <vt:lpwstr>http://www.paho.org/hq/index.php?option=com_topics&amp;view=topics&amp;Itemid=40241&amp;lang=es</vt:lpwstr>
      </vt:variant>
      <vt:variant>
        <vt:lpwstr/>
      </vt:variant>
      <vt:variant>
        <vt:i4>4718675</vt:i4>
      </vt:variant>
      <vt:variant>
        <vt:i4>906</vt:i4>
      </vt:variant>
      <vt:variant>
        <vt:i4>0</vt:i4>
      </vt:variant>
      <vt:variant>
        <vt:i4>5</vt:i4>
      </vt:variant>
      <vt:variant>
        <vt:lpwstr>http://www.paho.org/hq/index.php?option=com_docman&amp;task=doc_download&amp;gid=27597&amp;Itemid=270&amp;lang=es</vt:lpwstr>
      </vt:variant>
      <vt:variant>
        <vt:lpwstr/>
      </vt:variant>
      <vt:variant>
        <vt:i4>6619203</vt:i4>
      </vt:variant>
      <vt:variant>
        <vt:i4>903</vt:i4>
      </vt:variant>
      <vt:variant>
        <vt:i4>0</vt:i4>
      </vt:variant>
      <vt:variant>
        <vt:i4>5</vt:i4>
      </vt:variant>
      <vt:variant>
        <vt:lpwstr>http://www.paho.org/hq/index.php?option=com_content&amp;view=article&amp;id=42&amp;Itemid=189</vt:lpwstr>
      </vt:variant>
      <vt:variant>
        <vt:lpwstr/>
      </vt:variant>
      <vt:variant>
        <vt:i4>7143547</vt:i4>
      </vt:variant>
      <vt:variant>
        <vt:i4>900</vt:i4>
      </vt:variant>
      <vt:variant>
        <vt:i4>0</vt:i4>
      </vt:variant>
      <vt:variant>
        <vt:i4>5</vt:i4>
      </vt:variant>
      <vt:variant>
        <vt:lpwstr>http://www.un.org/sustainabledevelopment/es/la-agenda-de-desarrollo-sostenible/</vt:lpwstr>
      </vt:variant>
      <vt:variant>
        <vt:lpwstr/>
      </vt:variant>
      <vt:variant>
        <vt:i4>7536716</vt:i4>
      </vt:variant>
      <vt:variant>
        <vt:i4>897</vt:i4>
      </vt:variant>
      <vt:variant>
        <vt:i4>0</vt:i4>
      </vt:variant>
      <vt:variant>
        <vt:i4>5</vt:i4>
      </vt:variant>
      <vt:variant>
        <vt:lpwstr>http://www.paho.org/hq/index.php?option=com_content&amp;view=article&amp;id=13246%3Ahealth-agenda-americas&amp;catid=9277%3Acontents&amp;Itemid=42349&amp;lang=es</vt:lpwstr>
      </vt:variant>
      <vt:variant>
        <vt:lpwstr/>
      </vt:variant>
      <vt:variant>
        <vt:i4>3276927</vt:i4>
      </vt:variant>
      <vt:variant>
        <vt:i4>894</vt:i4>
      </vt:variant>
      <vt:variant>
        <vt:i4>0</vt:i4>
      </vt:variant>
      <vt:variant>
        <vt:i4>5</vt:i4>
      </vt:variant>
      <vt:variant>
        <vt:lpwstr>https://iris.paho.org/handle/10665.2/51599?locale-attribute=es</vt:lpwstr>
      </vt:variant>
      <vt:variant>
        <vt:lpwstr/>
      </vt:variant>
      <vt:variant>
        <vt:i4>1966095</vt:i4>
      </vt:variant>
      <vt:variant>
        <vt:i4>891</vt:i4>
      </vt:variant>
      <vt:variant>
        <vt:i4>0</vt:i4>
      </vt:variant>
      <vt:variant>
        <vt:i4>5</vt:i4>
      </vt:variant>
      <vt:variant>
        <vt:lpwstr>http://iris.paho.org/xmlui/handle/123456789/7654</vt:lpwstr>
      </vt:variant>
      <vt:variant>
        <vt:lpwstr/>
      </vt:variant>
      <vt:variant>
        <vt:i4>5111877</vt:i4>
      </vt:variant>
      <vt:variant>
        <vt:i4>888</vt:i4>
      </vt:variant>
      <vt:variant>
        <vt:i4>0</vt:i4>
      </vt:variant>
      <vt:variant>
        <vt:i4>5</vt:i4>
      </vt:variant>
      <vt:variant>
        <vt:lpwstr>http://www.iica.int/</vt:lpwstr>
      </vt:variant>
      <vt:variant>
        <vt:lpwstr/>
      </vt:variant>
      <vt:variant>
        <vt:i4>5832710</vt:i4>
      </vt:variant>
      <vt:variant>
        <vt:i4>885</vt:i4>
      </vt:variant>
      <vt:variant>
        <vt:i4>0</vt:i4>
      </vt:variant>
      <vt:variant>
        <vt:i4>5</vt:i4>
      </vt:variant>
      <vt:variant>
        <vt:lpwstr>http://apps.iica.int/dashboardproyectos/</vt:lpwstr>
      </vt:variant>
      <vt:variant>
        <vt:lpwstr/>
      </vt:variant>
      <vt:variant>
        <vt:i4>2949221</vt:i4>
      </vt:variant>
      <vt:variant>
        <vt:i4>879</vt:i4>
      </vt:variant>
      <vt:variant>
        <vt:i4>0</vt:i4>
      </vt:variant>
      <vt:variant>
        <vt:i4>5</vt:i4>
      </vt:variant>
      <vt:variant>
        <vt:lpwstr>http://www.jid.org/</vt:lpwstr>
      </vt:variant>
      <vt:variant>
        <vt:lpwstr/>
      </vt:variant>
      <vt:variant>
        <vt:i4>7471221</vt:i4>
      </vt:variant>
      <vt:variant>
        <vt:i4>876</vt:i4>
      </vt:variant>
      <vt:variant>
        <vt:i4>0</vt:i4>
      </vt:variant>
      <vt:variant>
        <vt:i4>5</vt:i4>
      </vt:variant>
      <vt:variant>
        <vt:lpwstr>https://www.oas.org/en/ombuds/</vt:lpwstr>
      </vt:variant>
      <vt:variant>
        <vt:lpwstr/>
      </vt:variant>
      <vt:variant>
        <vt:i4>6815840</vt:i4>
      </vt:variant>
      <vt:variant>
        <vt:i4>873</vt:i4>
      </vt:variant>
      <vt:variant>
        <vt:i4>0</vt:i4>
      </vt:variant>
      <vt:variant>
        <vt:i4>5</vt:i4>
      </vt:variant>
      <vt:variant>
        <vt:lpwstr>http://www.inictel-virtual.edu.pe/presentacion</vt:lpwstr>
      </vt:variant>
      <vt:variant>
        <vt:lpwstr/>
      </vt:variant>
      <vt:variant>
        <vt:i4>5177426</vt:i4>
      </vt:variant>
      <vt:variant>
        <vt:i4>870</vt:i4>
      </vt:variant>
      <vt:variant>
        <vt:i4>0</vt:i4>
      </vt:variant>
      <vt:variant>
        <vt:i4>5</vt:i4>
      </vt:variant>
      <vt:variant>
        <vt:lpwstr>https://andina.pe/agencia/noticia-amplian-convocatoria-para-emprendedores-utilizan-tecnologias-de-informacion-761034.aspx</vt:lpwstr>
      </vt:variant>
      <vt:variant>
        <vt:lpwstr/>
      </vt:variant>
      <vt:variant>
        <vt:i4>6946849</vt:i4>
      </vt:variant>
      <vt:variant>
        <vt:i4>867</vt:i4>
      </vt:variant>
      <vt:variant>
        <vt:i4>0</vt:i4>
      </vt:variant>
      <vt:variant>
        <vt:i4>5</vt:i4>
      </vt:variant>
      <vt:variant>
        <vt:lpwstr>https://www.conatel.gov.py/conatel/paraguay-fue-escenario-de-eventos-de-nivel-internacional-de-las-telecomunicaciones/</vt:lpwstr>
      </vt:variant>
      <vt:variant>
        <vt:lpwstr/>
      </vt:variant>
      <vt:variant>
        <vt:i4>983056</vt:i4>
      </vt:variant>
      <vt:variant>
        <vt:i4>864</vt:i4>
      </vt:variant>
      <vt:variant>
        <vt:i4>0</vt:i4>
      </vt:variant>
      <vt:variant>
        <vt:i4>5</vt:i4>
      </vt:variant>
      <vt:variant>
        <vt:lpwstr>https://www.agronegocios.co/agricultura/las-mujeres-rurales-en-colombia-tendran-mas-oportunidades-con-las-tic-2916520</vt:lpwstr>
      </vt:variant>
      <vt:variant>
        <vt:lpwstr/>
      </vt:variant>
      <vt:variant>
        <vt:i4>458758</vt:i4>
      </vt:variant>
      <vt:variant>
        <vt:i4>861</vt:i4>
      </vt:variant>
      <vt:variant>
        <vt:i4>0</vt:i4>
      </vt:variant>
      <vt:variant>
        <vt:i4>5</vt:i4>
      </vt:variant>
      <vt:variant>
        <vt:lpwstr>https://computerworld.co/alianza-de-mujeres-rurales-de-la-citel/</vt:lpwstr>
      </vt:variant>
      <vt:variant>
        <vt:lpwstr/>
      </vt:variant>
      <vt:variant>
        <vt:i4>7995454</vt:i4>
      </vt:variant>
      <vt:variant>
        <vt:i4>858</vt:i4>
      </vt:variant>
      <vt:variant>
        <vt:i4>0</vt:i4>
      </vt:variant>
      <vt:variant>
        <vt:i4>5</vt:i4>
      </vt:variant>
      <vt:variant>
        <vt:lpwstr>https://www.huawei.com/mx/press-events/news/mx/2019/enero/nuevas-adhesiones-a-la-alianza-de-mujeres-rurales-de-la-citel</vt:lpwstr>
      </vt:variant>
      <vt:variant>
        <vt:lpwstr/>
      </vt:variant>
      <vt:variant>
        <vt:i4>2687076</vt:i4>
      </vt:variant>
      <vt:variant>
        <vt:i4>855</vt:i4>
      </vt:variant>
      <vt:variant>
        <vt:i4>0</vt:i4>
      </vt:variant>
      <vt:variant>
        <vt:i4>5</vt:i4>
      </vt:variant>
      <vt:variant>
        <vt:lpwstr>https://digitalpolicylaw.com/uruguay-se-une-a-alianza-en-pro-de-mujeres-rurales-conectadas/</vt:lpwstr>
      </vt:variant>
      <vt:variant>
        <vt:lpwstr/>
      </vt:variant>
      <vt:variant>
        <vt:i4>1376259</vt:i4>
      </vt:variant>
      <vt:variant>
        <vt:i4>852</vt:i4>
      </vt:variant>
      <vt:variant>
        <vt:i4>0</vt:i4>
      </vt:variant>
      <vt:variant>
        <vt:i4>5</vt:i4>
      </vt:variant>
      <vt:variant>
        <vt:lpwstr>https://www.facebook.com/243991155727808/posts/2232162216910682/</vt:lpwstr>
      </vt:variant>
      <vt:variant>
        <vt:lpwstr/>
      </vt:variant>
      <vt:variant>
        <vt:i4>4849756</vt:i4>
      </vt:variant>
      <vt:variant>
        <vt:i4>849</vt:i4>
      </vt:variant>
      <vt:variant>
        <vt:i4>0</vt:i4>
      </vt:variant>
      <vt:variant>
        <vt:i4>5</vt:i4>
      </vt:variant>
      <vt:variant>
        <vt:lpwstr>https://www.gob.pe/institucion/mtc/noticias/28007-firman-adhesion-a-la-alianza-de-mujeres-rurales-en-lima</vt:lpwstr>
      </vt:variant>
      <vt:variant>
        <vt:lpwstr/>
      </vt:variant>
      <vt:variant>
        <vt:i4>7602285</vt:i4>
      </vt:variant>
      <vt:variant>
        <vt:i4>846</vt:i4>
      </vt:variant>
      <vt:variant>
        <vt:i4>0</vt:i4>
      </vt:variant>
      <vt:variant>
        <vt:i4>5</vt:i4>
      </vt:variant>
      <vt:variant>
        <vt:lpwstr>https://www.gob.pe/institucion/mtc/noticias/27930-mtc-inaugura-la-34-reunion-del-comite-consultivo-permanente-i-telecomunicaciones-tic</vt:lpwstr>
      </vt:variant>
      <vt:variant>
        <vt:lpwstr/>
      </vt:variant>
      <vt:variant>
        <vt:i4>7667816</vt:i4>
      </vt:variant>
      <vt:variant>
        <vt:i4>843</vt:i4>
      </vt:variant>
      <vt:variant>
        <vt:i4>0</vt:i4>
      </vt:variant>
      <vt:variant>
        <vt:i4>5</vt:i4>
      </vt:variant>
      <vt:variant>
        <vt:lpwstr>https://thecaribbeanpost.com/oas-telefonica-and-fundacion-profuturo-signs-ict-agreements-with-latin-american-and-the-caribbean-caribbean-news-now/</vt:lpwstr>
      </vt:variant>
      <vt:variant>
        <vt:lpwstr/>
      </vt:variant>
      <vt:variant>
        <vt:i4>4259913</vt:i4>
      </vt:variant>
      <vt:variant>
        <vt:i4>840</vt:i4>
      </vt:variant>
      <vt:variant>
        <vt:i4>0</vt:i4>
      </vt:variant>
      <vt:variant>
        <vt:i4>5</vt:i4>
      </vt:variant>
      <vt:variant>
        <vt:lpwstr>http://venamerica.org/web/viasat-y-la-oea-unen-esfuerzos-para-reducir-la-brecha-digital-en-las-americas/</vt:lpwstr>
      </vt:variant>
      <vt:variant>
        <vt:lpwstr/>
      </vt:variant>
      <vt:variant>
        <vt:i4>3670125</vt:i4>
      </vt:variant>
      <vt:variant>
        <vt:i4>837</vt:i4>
      </vt:variant>
      <vt:variant>
        <vt:i4>0</vt:i4>
      </vt:variant>
      <vt:variant>
        <vt:i4>5</vt:i4>
      </vt:variant>
      <vt:variant>
        <vt:lpwstr>https://www.iaru-r2.org/reconocimiento-de-citel-por-el-trabajo-efectuado-en-la-cmr-19/</vt:lpwstr>
      </vt:variant>
      <vt:variant>
        <vt:lpwstr/>
      </vt:variant>
      <vt:variant>
        <vt:i4>2752575</vt:i4>
      </vt:variant>
      <vt:variant>
        <vt:i4>834</vt:i4>
      </vt:variant>
      <vt:variant>
        <vt:i4>0</vt:i4>
      </vt:variant>
      <vt:variant>
        <vt:i4>5</vt:i4>
      </vt:variant>
      <vt:variant>
        <vt:lpwstr>https://digitalpolicylaw.com/cmr19-como-se-preparo-la-region-para-el-mundial-del-espectro/</vt:lpwstr>
      </vt:variant>
      <vt:variant>
        <vt:lpwstr/>
      </vt:variant>
      <vt:variant>
        <vt:i4>262209</vt:i4>
      </vt:variant>
      <vt:variant>
        <vt:i4>831</vt:i4>
      </vt:variant>
      <vt:variant>
        <vt:i4>0</vt:i4>
      </vt:variant>
      <vt:variant>
        <vt:i4>5</vt:i4>
      </vt:variant>
      <vt:variant>
        <vt:lpwstr>http://www.oas.org/es/mesecvi/docs/LeyModeloFemicidio-ES.pdf</vt:lpwstr>
      </vt:variant>
      <vt:variant>
        <vt:lpwstr/>
      </vt:variant>
      <vt:variant>
        <vt:i4>65618</vt:i4>
      </vt:variant>
      <vt:variant>
        <vt:i4>828</vt:i4>
      </vt:variant>
      <vt:variant>
        <vt:i4>0</vt:i4>
      </vt:variant>
      <vt:variant>
        <vt:i4>5</vt:i4>
      </vt:variant>
      <vt:variant>
        <vt:lpwstr>http://www.oas.org/es/mesecvi/docs/LeyModeloViolenciaPolitica-ES.pdf</vt:lpwstr>
      </vt:variant>
      <vt:variant>
        <vt:lpwstr/>
      </vt:variant>
      <vt:variant>
        <vt:i4>1900623</vt:i4>
      </vt:variant>
      <vt:variant>
        <vt:i4>825</vt:i4>
      </vt:variant>
      <vt:variant>
        <vt:i4>0</vt:i4>
      </vt:variant>
      <vt:variant>
        <vt:i4>5</vt:i4>
      </vt:variant>
      <vt:variant>
        <vt:lpwstr>http://www.oas.org/es/mesecvi/indicadores.asp</vt:lpwstr>
      </vt:variant>
      <vt:variant>
        <vt:lpwstr/>
      </vt:variant>
      <vt:variant>
        <vt:i4>6357048</vt:i4>
      </vt:variant>
      <vt:variant>
        <vt:i4>822</vt:i4>
      </vt:variant>
      <vt:variant>
        <vt:i4>0</vt:i4>
      </vt:variant>
      <vt:variant>
        <vt:i4>5</vt:i4>
      </vt:variant>
      <vt:variant>
        <vt:lpwstr>http://www.oas.org/es/cim/docs/GPAP-ES.pdf</vt:lpwstr>
      </vt:variant>
      <vt:variant>
        <vt:lpwstr/>
      </vt:variant>
      <vt:variant>
        <vt:i4>6029322</vt:i4>
      </vt:variant>
      <vt:variant>
        <vt:i4>819</vt:i4>
      </vt:variant>
      <vt:variant>
        <vt:i4>0</vt:i4>
      </vt:variant>
      <vt:variant>
        <vt:i4>5</vt:i4>
      </vt:variant>
      <vt:variant>
        <vt:lpwstr>http://www.comunicarigualdad.com.ar/diploma-de-comunicacion-y-genero/</vt:lpwstr>
      </vt:variant>
      <vt:variant>
        <vt:lpwstr/>
      </vt:variant>
      <vt:variant>
        <vt:i4>6291560</vt:i4>
      </vt:variant>
      <vt:variant>
        <vt:i4>816</vt:i4>
      </vt:variant>
      <vt:variant>
        <vt:i4>0</vt:i4>
      </vt:variant>
      <vt:variant>
        <vt:i4>5</vt:i4>
      </vt:variant>
      <vt:variant>
        <vt:lpwstr>http://portal.portaleducoas.org/es/cursos/planificaci-n-estrat-gica-enfoque-g-nero</vt:lpwstr>
      </vt:variant>
      <vt:variant>
        <vt:lpwstr/>
      </vt:variant>
      <vt:variant>
        <vt:i4>7274557</vt:i4>
      </vt:variant>
      <vt:variant>
        <vt:i4>813</vt:i4>
      </vt:variant>
      <vt:variant>
        <vt:i4>0</vt:i4>
      </vt:variant>
      <vt:variant>
        <vt:i4>5</vt:i4>
      </vt:variant>
      <vt:variant>
        <vt:lpwstr>http://portal.portaleducoas.org/es/cursos/enfoque-derechos-igualdad-g-nero-en-pol-ticas-programas-proyectos</vt:lpwstr>
      </vt:variant>
      <vt:variant>
        <vt:lpwstr/>
      </vt:variant>
      <vt:variant>
        <vt:i4>7536692</vt:i4>
      </vt:variant>
      <vt:variant>
        <vt:i4>810</vt:i4>
      </vt:variant>
      <vt:variant>
        <vt:i4>0</vt:i4>
      </vt:variant>
      <vt:variant>
        <vt:i4>5</vt:i4>
      </vt:variant>
      <vt:variant>
        <vt:lpwstr>http://www.oas.org/es/cim/mainstreaming.asp</vt:lpwstr>
      </vt:variant>
      <vt:variant>
        <vt:lpwstr/>
      </vt:variant>
      <vt:variant>
        <vt:i4>6750354</vt:i4>
      </vt:variant>
      <vt:variant>
        <vt:i4>807</vt:i4>
      </vt:variant>
      <vt:variant>
        <vt:i4>0</vt:i4>
      </vt:variant>
      <vt:variant>
        <vt:i4>5</vt:i4>
      </vt:variant>
      <vt:variant>
        <vt:lpwstr>http://www.oas.org/es/sap/dgpe/escuelagob/cursos_preparada-para-la-campaña-curso-de-fortalecimiento-mujeres-candidatas.asp</vt:lpwstr>
      </vt:variant>
      <vt:variant>
        <vt:lpwstr/>
      </vt:variant>
      <vt:variant>
        <vt:i4>1900637</vt:i4>
      </vt:variant>
      <vt:variant>
        <vt:i4>804</vt:i4>
      </vt:variant>
      <vt:variant>
        <vt:i4>0</vt:i4>
      </vt:variant>
      <vt:variant>
        <vt:i4>5</vt:i4>
      </vt:variant>
      <vt:variant>
        <vt:lpwstr>http://www.oas.org/es/cim/docs/DeclaracionSANTODOMINGO-ES.pdf</vt:lpwstr>
      </vt:variant>
      <vt:variant>
        <vt:lpwstr/>
      </vt:variant>
      <vt:variant>
        <vt:i4>5177417</vt:i4>
      </vt:variant>
      <vt:variant>
        <vt:i4>801</vt:i4>
      </vt:variant>
      <vt:variant>
        <vt:i4>0</vt:i4>
      </vt:variant>
      <vt:variant>
        <vt:i4>5</vt:i4>
      </vt:variant>
      <vt:variant>
        <vt:lpwstr>http://www.nuestravozacoloresiinoea.org/</vt:lpwstr>
      </vt:variant>
      <vt:variant>
        <vt:lpwstr/>
      </vt:variant>
      <vt:variant>
        <vt:i4>6226002</vt:i4>
      </vt:variant>
      <vt:variant>
        <vt:i4>798</vt:i4>
      </vt:variant>
      <vt:variant>
        <vt:i4>0</vt:i4>
      </vt:variant>
      <vt:variant>
        <vt:i4>5</vt:i4>
      </vt:variant>
      <vt:variant>
        <vt:lpwstr>http://sinna.org/</vt:lpwstr>
      </vt:variant>
      <vt:variant>
        <vt:lpwstr/>
      </vt:variant>
      <vt:variant>
        <vt:i4>2293874</vt:i4>
      </vt:variant>
      <vt:variant>
        <vt:i4>795</vt:i4>
      </vt:variant>
      <vt:variant>
        <vt:i4>0</vt:i4>
      </vt:variant>
      <vt:variant>
        <vt:i4>5</vt:i4>
      </vt:variant>
      <vt:variant>
        <vt:lpwstr>http://www.annaobserva.org/</vt:lpwstr>
      </vt:variant>
      <vt:variant>
        <vt:lpwstr/>
      </vt:variant>
      <vt:variant>
        <vt:i4>393304</vt:i4>
      </vt:variant>
      <vt:variant>
        <vt:i4>792</vt:i4>
      </vt:variant>
      <vt:variant>
        <vt:i4>0</vt:i4>
      </vt:variant>
      <vt:variant>
        <vt:i4>5</vt:i4>
      </vt:variant>
      <vt:variant>
        <vt:lpwstr>http://www.nnapes.org/docs/OTIIN-NAPPES-Version-Final.pdf</vt:lpwstr>
      </vt:variant>
      <vt:variant>
        <vt:lpwstr/>
      </vt:variant>
      <vt:variant>
        <vt:i4>6226002</vt:i4>
      </vt:variant>
      <vt:variant>
        <vt:i4>789</vt:i4>
      </vt:variant>
      <vt:variant>
        <vt:i4>0</vt:i4>
      </vt:variant>
      <vt:variant>
        <vt:i4>5</vt:i4>
      </vt:variant>
      <vt:variant>
        <vt:lpwstr>http://sinna.org/</vt:lpwstr>
      </vt:variant>
      <vt:variant>
        <vt:lpwstr/>
      </vt:variant>
      <vt:variant>
        <vt:i4>4718685</vt:i4>
      </vt:variant>
      <vt:variant>
        <vt:i4>786</vt:i4>
      </vt:variant>
      <vt:variant>
        <vt:i4>0</vt:i4>
      </vt:variant>
      <vt:variant>
        <vt:i4>5</vt:i4>
      </vt:variant>
      <vt:variant>
        <vt:lpwstr>http://www.iin.oea.org/boletines.html</vt:lpwstr>
      </vt:variant>
      <vt:variant>
        <vt:lpwstr/>
      </vt:variant>
      <vt:variant>
        <vt:i4>2752558</vt:i4>
      </vt:variant>
      <vt:variant>
        <vt:i4>783</vt:i4>
      </vt:variant>
      <vt:variant>
        <vt:i4>0</vt:i4>
      </vt:variant>
      <vt:variant>
        <vt:i4>5</vt:i4>
      </vt:variant>
      <vt:variant>
        <vt:lpwstr>http://www.iin.oea.org/</vt:lpwstr>
      </vt:variant>
      <vt:variant>
        <vt:lpwstr/>
      </vt:variant>
      <vt:variant>
        <vt:i4>720916</vt:i4>
      </vt:variant>
      <vt:variant>
        <vt:i4>780</vt:i4>
      </vt:variant>
      <vt:variant>
        <vt:i4>0</vt:i4>
      </vt:variant>
      <vt:variant>
        <vt:i4>5</vt:i4>
      </vt:variant>
      <vt:variant>
        <vt:lpwstr>https://www.flickr.com/photos/cidh/albums</vt:lpwstr>
      </vt:variant>
      <vt:variant>
        <vt:lpwstr/>
      </vt:variant>
      <vt:variant>
        <vt:i4>3932200</vt:i4>
      </vt:variant>
      <vt:variant>
        <vt:i4>777</vt:i4>
      </vt:variant>
      <vt:variant>
        <vt:i4>0</vt:i4>
      </vt:variant>
      <vt:variant>
        <vt:i4>5</vt:i4>
      </vt:variant>
      <vt:variant>
        <vt:lpwstr>https://www.canalcidh.org/</vt:lpwstr>
      </vt:variant>
      <vt:variant>
        <vt:lpwstr/>
      </vt:variant>
      <vt:variant>
        <vt:i4>3211345</vt:i4>
      </vt:variant>
      <vt:variant>
        <vt:i4>774</vt:i4>
      </vt:variant>
      <vt:variant>
        <vt:i4>0</vt:i4>
      </vt:variant>
      <vt:variant>
        <vt:i4>5</vt:i4>
      </vt:variant>
      <vt:variant>
        <vt:lpwstr>https://twitter.com/CIDH?ref_src=twsrc%5Egoogle%7Ctwcamp%5Eserp%7Ctwgr%5Eauthor</vt:lpwstr>
      </vt:variant>
      <vt:variant>
        <vt:lpwstr/>
      </vt:variant>
      <vt:variant>
        <vt:i4>4128824</vt:i4>
      </vt:variant>
      <vt:variant>
        <vt:i4>771</vt:i4>
      </vt:variant>
      <vt:variant>
        <vt:i4>0</vt:i4>
      </vt:variant>
      <vt:variant>
        <vt:i4>5</vt:i4>
      </vt:variant>
      <vt:variant>
        <vt:lpwstr>http://www.oas.org/es/cidh/decisiones/resoluciones.asp</vt:lpwstr>
      </vt:variant>
      <vt:variant>
        <vt:lpwstr/>
      </vt:variant>
      <vt:variant>
        <vt:i4>3342369</vt:i4>
      </vt:variant>
      <vt:variant>
        <vt:i4>768</vt:i4>
      </vt:variant>
      <vt:variant>
        <vt:i4>0</vt:i4>
      </vt:variant>
      <vt:variant>
        <vt:i4>5</vt:i4>
      </vt:variant>
      <vt:variant>
        <vt:lpwstr>http://www.oas.org/es/cidh/actividades/sesiones.asp</vt:lpwstr>
      </vt:variant>
      <vt:variant>
        <vt:lpwstr/>
      </vt:variant>
      <vt:variant>
        <vt:i4>4194370</vt:i4>
      </vt:variant>
      <vt:variant>
        <vt:i4>765</vt:i4>
      </vt:variant>
      <vt:variant>
        <vt:i4>0</vt:i4>
      </vt:variant>
      <vt:variant>
        <vt:i4>5</vt:i4>
      </vt:variant>
      <vt:variant>
        <vt:lpwstr>http://www.oas.org/es/cidh/informes/pais.asp</vt:lpwstr>
      </vt:variant>
      <vt:variant>
        <vt:lpwstr/>
      </vt:variant>
      <vt:variant>
        <vt:i4>1835034</vt:i4>
      </vt:variant>
      <vt:variant>
        <vt:i4>762</vt:i4>
      </vt:variant>
      <vt:variant>
        <vt:i4>0</vt:i4>
      </vt:variant>
      <vt:variant>
        <vt:i4>5</vt:i4>
      </vt:variant>
      <vt:variant>
        <vt:lpwstr>http://www.oas.org/es/cidh/informes/tematicos.asp</vt:lpwstr>
      </vt:variant>
      <vt:variant>
        <vt:lpwstr/>
      </vt:variant>
      <vt:variant>
        <vt:i4>7733347</vt:i4>
      </vt:variant>
      <vt:variant>
        <vt:i4>759</vt:i4>
      </vt:variant>
      <vt:variant>
        <vt:i4>0</vt:i4>
      </vt:variant>
      <vt:variant>
        <vt:i4>5</vt:i4>
      </vt:variant>
      <vt:variant>
        <vt:lpwstr>http://www.oas.org/es/cidh/decisiones/casos.asp</vt:lpwstr>
      </vt:variant>
      <vt:variant>
        <vt:lpwstr/>
      </vt:variant>
      <vt:variant>
        <vt:i4>2490493</vt:i4>
      </vt:variant>
      <vt:variant>
        <vt:i4>756</vt:i4>
      </vt:variant>
      <vt:variant>
        <vt:i4>0</vt:i4>
      </vt:variant>
      <vt:variant>
        <vt:i4>5</vt:i4>
      </vt:variant>
      <vt:variant>
        <vt:lpwstr>http://www.oas.org/es/cidh/prensa/comunicados/2020/033A.pdf</vt:lpwstr>
      </vt:variant>
      <vt:variant>
        <vt:lpwstr/>
      </vt:variant>
      <vt:variant>
        <vt:i4>3932200</vt:i4>
      </vt:variant>
      <vt:variant>
        <vt:i4>753</vt:i4>
      </vt:variant>
      <vt:variant>
        <vt:i4>0</vt:i4>
      </vt:variant>
      <vt:variant>
        <vt:i4>5</vt:i4>
      </vt:variant>
      <vt:variant>
        <vt:lpwstr>https://www.canalcidh.org/</vt:lpwstr>
      </vt:variant>
      <vt:variant>
        <vt:lpwstr/>
      </vt:variant>
      <vt:variant>
        <vt:i4>8192052</vt:i4>
      </vt:variant>
      <vt:variant>
        <vt:i4>750</vt:i4>
      </vt:variant>
      <vt:variant>
        <vt:i4>0</vt:i4>
      </vt:variant>
      <vt:variant>
        <vt:i4>5</vt:i4>
      </vt:variant>
      <vt:variant>
        <vt:lpwstr>https://www.oas.org/es/cidh/actividades/seguimiento/pdf/Directrices-es.pdf</vt:lpwstr>
      </vt:variant>
      <vt:variant>
        <vt:lpwstr/>
      </vt:variant>
      <vt:variant>
        <vt:i4>7405621</vt:i4>
      </vt:variant>
      <vt:variant>
        <vt:i4>747</vt:i4>
      </vt:variant>
      <vt:variant>
        <vt:i4>0</vt:i4>
      </vt:variant>
      <vt:variant>
        <vt:i4>5</vt:i4>
      </vt:variant>
      <vt:variant>
        <vt:lpwstr>http://www.oas.org/es/cidh/prensa/comunicados/2019/345.asp</vt:lpwstr>
      </vt:variant>
      <vt:variant>
        <vt:lpwstr/>
      </vt:variant>
      <vt:variant>
        <vt:i4>2752620</vt:i4>
      </vt:variant>
      <vt:variant>
        <vt:i4>744</vt:i4>
      </vt:variant>
      <vt:variant>
        <vt:i4>0</vt:i4>
      </vt:variant>
      <vt:variant>
        <vt:i4>5</vt:i4>
      </vt:variant>
      <vt:variant>
        <vt:lpwstr>https://www.oas.org/es/cidh/prensa/comunicados/2019/333.asp</vt:lpwstr>
      </vt:variant>
      <vt:variant>
        <vt:lpwstr/>
      </vt:variant>
      <vt:variant>
        <vt:i4>8192051</vt:i4>
      </vt:variant>
      <vt:variant>
        <vt:i4>741</vt:i4>
      </vt:variant>
      <vt:variant>
        <vt:i4>0</vt:i4>
      </vt:variant>
      <vt:variant>
        <vt:i4>5</vt:i4>
      </vt:variant>
      <vt:variant>
        <vt:lpwstr>http://www.oas.org/es/cidh/prensa/comunicados/2020/013.asp</vt:lpwstr>
      </vt:variant>
      <vt:variant>
        <vt:lpwstr/>
      </vt:variant>
      <vt:variant>
        <vt:i4>6291474</vt:i4>
      </vt:variant>
      <vt:variant>
        <vt:i4>738</vt:i4>
      </vt:variant>
      <vt:variant>
        <vt:i4>0</vt:i4>
      </vt:variant>
      <vt:variant>
        <vt:i4>5</vt:i4>
      </vt:variant>
      <vt:variant>
        <vt:lpwstr>http://www.oas.org/en/ser/dia/perm_observers/countries.asp</vt:lpwstr>
      </vt:variant>
      <vt:variant>
        <vt:lpwstr/>
      </vt:variant>
      <vt:variant>
        <vt:i4>7209005</vt:i4>
      </vt:variant>
      <vt:variant>
        <vt:i4>735</vt:i4>
      </vt:variant>
      <vt:variant>
        <vt:i4>0</vt:i4>
      </vt:variant>
      <vt:variant>
        <vt:i4>5</vt:i4>
      </vt:variant>
      <vt:variant>
        <vt:lpwstr>http://www.oas.org/saf/DFAMS/2019/12/SF_TABLE_CONTPO_20191231_EN.pdf</vt:lpwstr>
      </vt:variant>
      <vt:variant>
        <vt:lpwstr/>
      </vt:variant>
      <vt:variant>
        <vt:i4>6291496</vt:i4>
      </vt:variant>
      <vt:variant>
        <vt:i4>732</vt:i4>
      </vt:variant>
      <vt:variant>
        <vt:i4>0</vt:i4>
      </vt:variant>
      <vt:variant>
        <vt:i4>5</vt:i4>
      </vt:variant>
      <vt:variant>
        <vt:lpwstr>http://services/PFME/Monitoring/MonitoringAll.aspx</vt:lpwstr>
      </vt:variant>
      <vt:variant>
        <vt:lpwstr/>
      </vt:variant>
      <vt:variant>
        <vt:i4>5308535</vt:i4>
      </vt:variant>
      <vt:variant>
        <vt:i4>729</vt:i4>
      </vt:variant>
      <vt:variant>
        <vt:i4>0</vt:i4>
      </vt:variant>
      <vt:variant>
        <vt:i4>5</vt:i4>
      </vt:variant>
      <vt:variant>
        <vt:lpwstr>http://www.oas.org/es/saf/rendicion_cuentas/evaluacion.asp</vt:lpwstr>
      </vt:variant>
      <vt:variant>
        <vt:lpwstr/>
      </vt:variant>
      <vt:variant>
        <vt:i4>5308433</vt:i4>
      </vt:variant>
      <vt:variant>
        <vt:i4>726</vt:i4>
      </vt:variant>
      <vt:variant>
        <vt:i4>0</vt:i4>
      </vt:variant>
      <vt:variant>
        <vt:i4>5</vt:i4>
      </vt:variant>
      <vt:variant>
        <vt:lpwstr>F:\AppData\Local\Microsoft\Windows\AppData\Local\Microsoft\Windows\INetCache\Content.Outlook\O5TR1QU6\CP41623EMandatos.pdf</vt:lpwstr>
      </vt:variant>
      <vt:variant>
        <vt:lpwstr/>
      </vt:variant>
      <vt:variant>
        <vt:i4>8126564</vt:i4>
      </vt:variant>
      <vt:variant>
        <vt:i4>723</vt:i4>
      </vt:variant>
      <vt:variant>
        <vt:i4>0</vt:i4>
      </vt:variant>
      <vt:variant>
        <vt:i4>5</vt:i4>
      </vt:variant>
      <vt:variant>
        <vt:lpwstr>http://scm.oas.org/pdfs/2019/CP41537TANEXOSCOMPILADOS2019.docx</vt:lpwstr>
      </vt:variant>
      <vt:variant>
        <vt:lpwstr/>
      </vt:variant>
      <vt:variant>
        <vt:i4>5570630</vt:i4>
      </vt:variant>
      <vt:variant>
        <vt:i4>720</vt:i4>
      </vt:variant>
      <vt:variant>
        <vt:i4>0</vt:i4>
      </vt:variant>
      <vt:variant>
        <vt:i4>5</vt:i4>
      </vt:variant>
      <vt:variant>
        <vt:lpwstr>http://scm.oas.org/pdfs/2019/CP41537TAGCUADRORESUMEN2019.xls</vt:lpwstr>
      </vt:variant>
      <vt:variant>
        <vt:lpwstr/>
      </vt:variant>
      <vt:variant>
        <vt:i4>6488098</vt:i4>
      </vt:variant>
      <vt:variant>
        <vt:i4>717</vt:i4>
      </vt:variant>
      <vt:variant>
        <vt:i4>0</vt:i4>
      </vt:variant>
      <vt:variant>
        <vt:i4>5</vt:i4>
      </vt:variant>
      <vt:variant>
        <vt:lpwstr>F:\AppData\Local\Microsoft\Windows\AppData\Local\Microsoft\Windows\INetCache\Content.Outlook\O5TR1QU6\CP40979S03.doc</vt:lpwstr>
      </vt:variant>
      <vt:variant>
        <vt:lpwstr/>
      </vt:variant>
      <vt:variant>
        <vt:i4>458836</vt:i4>
      </vt:variant>
      <vt:variant>
        <vt:i4>714</vt:i4>
      </vt:variant>
      <vt:variant>
        <vt:i4>0</vt:i4>
      </vt:variant>
      <vt:variant>
        <vt:i4>5</vt:i4>
      </vt:variant>
      <vt:variant>
        <vt:lpwstr>http://scm.oas.org/doc_public/SPANISH/HIST_19/CP41626S03.doc</vt:lpwstr>
      </vt:variant>
      <vt:variant>
        <vt:lpwstr/>
      </vt:variant>
      <vt:variant>
        <vt:i4>327707</vt:i4>
      </vt:variant>
      <vt:variant>
        <vt:i4>711</vt:i4>
      </vt:variant>
      <vt:variant>
        <vt:i4>0</vt:i4>
      </vt:variant>
      <vt:variant>
        <vt:i4>5</vt:i4>
      </vt:variant>
      <vt:variant>
        <vt:lpwstr>http://scm.oas.org/pdfs/2019/CP41389SSEMIANNUALREPORT2019.pdf</vt:lpwstr>
      </vt:variant>
      <vt:variant>
        <vt:lpwstr/>
      </vt:variant>
      <vt:variant>
        <vt:i4>4915277</vt:i4>
      </vt:variant>
      <vt:variant>
        <vt:i4>708</vt:i4>
      </vt:variant>
      <vt:variant>
        <vt:i4>0</vt:i4>
      </vt:variant>
      <vt:variant>
        <vt:i4>5</vt:i4>
      </vt:variant>
      <vt:variant>
        <vt:lpwstr>http://scm.oas.org/pdfs/2019/CP40350SINFORME.pdf</vt:lpwstr>
      </vt:variant>
      <vt:variant>
        <vt:lpwstr/>
      </vt:variant>
      <vt:variant>
        <vt:i4>3538944</vt:i4>
      </vt:variant>
      <vt:variant>
        <vt:i4>705</vt:i4>
      </vt:variant>
      <vt:variant>
        <vt:i4>0</vt:i4>
      </vt:variant>
      <vt:variant>
        <vt:i4>5</vt:i4>
      </vt:variant>
      <vt:variant>
        <vt:lpwstr>http://www.oas.org/es/saf/rendicion_cuentas/docs/Logros-Verificados-por-Pilar-Esp-Dic2019.pdf</vt:lpwstr>
      </vt:variant>
      <vt:variant>
        <vt:lpwstr/>
      </vt:variant>
      <vt:variant>
        <vt:i4>1572957</vt:i4>
      </vt:variant>
      <vt:variant>
        <vt:i4>702</vt:i4>
      </vt:variant>
      <vt:variant>
        <vt:i4>0</vt:i4>
      </vt:variant>
      <vt:variant>
        <vt:i4>5</vt:i4>
      </vt:variant>
      <vt:variant>
        <vt:lpwstr>http://scm.oas.org/IDMS/Redirectpage.aspx?class=CAAP/GT/RVPP&amp;classNum=422&amp;lang=s</vt:lpwstr>
      </vt:variant>
      <vt:variant>
        <vt:lpwstr/>
      </vt:variant>
      <vt:variant>
        <vt:i4>65624</vt:i4>
      </vt:variant>
      <vt:variant>
        <vt:i4>699</vt:i4>
      </vt:variant>
      <vt:variant>
        <vt:i4>0</vt:i4>
      </vt:variant>
      <vt:variant>
        <vt:i4>5</vt:i4>
      </vt:variant>
      <vt:variant>
        <vt:lpwstr>http://scm.oas.org/doc_public/SPANISH/HIST_19/CP40458S03.doc</vt:lpwstr>
      </vt:variant>
      <vt:variant>
        <vt:lpwstr/>
      </vt:variant>
      <vt:variant>
        <vt:i4>131075</vt:i4>
      </vt:variant>
      <vt:variant>
        <vt:i4>696</vt:i4>
      </vt:variant>
      <vt:variant>
        <vt:i4>0</vt:i4>
      </vt:variant>
      <vt:variant>
        <vt:i4>5</vt:i4>
      </vt:variant>
      <vt:variant>
        <vt:lpwstr>http://scm.oas.org/IDMS/Redirectpage.aspx?class=CP/doc.&amp;classNum=5469&amp;lang=s</vt:lpwstr>
      </vt:variant>
      <vt:variant>
        <vt:lpwstr/>
      </vt:variant>
      <vt:variant>
        <vt:i4>917513</vt:i4>
      </vt:variant>
      <vt:variant>
        <vt:i4>693</vt:i4>
      </vt:variant>
      <vt:variant>
        <vt:i4>0</vt:i4>
      </vt:variant>
      <vt:variant>
        <vt:i4>5</vt:i4>
      </vt:variant>
      <vt:variant>
        <vt:lpwstr>http://services/stps/</vt:lpwstr>
      </vt:variant>
      <vt:variant>
        <vt:lpwstr/>
      </vt:variant>
      <vt:variant>
        <vt:i4>6946916</vt:i4>
      </vt:variant>
      <vt:variant>
        <vt:i4>690</vt:i4>
      </vt:variant>
      <vt:variant>
        <vt:i4>0</vt:i4>
      </vt:variant>
      <vt:variant>
        <vt:i4>5</vt:i4>
      </vt:variant>
      <vt:variant>
        <vt:lpwstr>https://www.infobae.com/america/cultura-america/2019/08/01/un-mural-secreto-del-artista-uruguayo-carlos-paez-vilaro-en-un-tunel-de-washington-fue-abierto-al-publico-tras-seis-decadas/</vt:lpwstr>
      </vt:variant>
      <vt:variant>
        <vt:lpwstr/>
      </vt:variant>
      <vt:variant>
        <vt:i4>2752638</vt:i4>
      </vt:variant>
      <vt:variant>
        <vt:i4>687</vt:i4>
      </vt:variant>
      <vt:variant>
        <vt:i4>0</vt:i4>
      </vt:variant>
      <vt:variant>
        <vt:i4>5</vt:i4>
      </vt:variant>
      <vt:variant>
        <vt:lpwstr>https://www.washingtonian.com/2019/07/18/at-this-new-exhibit-you-are-a-ghost-and-youre-haunting-the-museum/</vt:lpwstr>
      </vt:variant>
      <vt:variant>
        <vt:lpwstr/>
      </vt:variant>
      <vt:variant>
        <vt:i4>4587601</vt:i4>
      </vt:variant>
      <vt:variant>
        <vt:i4>684</vt:i4>
      </vt:variant>
      <vt:variant>
        <vt:i4>0</vt:i4>
      </vt:variant>
      <vt:variant>
        <vt:i4>5</vt:i4>
      </vt:variant>
      <vt:variant>
        <vt:lpwstr>https://www.elnuevoherald.com/vivir-mejor/artes-letras/article230439349.html</vt:lpwstr>
      </vt:variant>
      <vt:variant>
        <vt:lpwstr/>
      </vt:variant>
      <vt:variant>
        <vt:i4>3670063</vt:i4>
      </vt:variant>
      <vt:variant>
        <vt:i4>681</vt:i4>
      </vt:variant>
      <vt:variant>
        <vt:i4>0</vt:i4>
      </vt:variant>
      <vt:variant>
        <vt:i4>5</vt:i4>
      </vt:variant>
      <vt:variant>
        <vt:lpwstr>https://www.wheretraveler.com/washington-dc/play/dc-museums-open-during-government-shutdown</vt:lpwstr>
      </vt:variant>
      <vt:variant>
        <vt:lpwstr/>
      </vt:variant>
      <vt:variant>
        <vt:i4>4128830</vt:i4>
      </vt:variant>
      <vt:variant>
        <vt:i4>678</vt:i4>
      </vt:variant>
      <vt:variant>
        <vt:i4>0</vt:i4>
      </vt:variant>
      <vt:variant>
        <vt:i4>5</vt:i4>
      </vt:variant>
      <vt:variant>
        <vt:lpwstr>http://www.artealdia.com/News/CAROLINA-MAYORGA-CREATES-A-PINK-UNIVERSE</vt:lpwstr>
      </vt:variant>
      <vt:variant>
        <vt:lpwstr/>
      </vt:variant>
      <vt:variant>
        <vt:i4>262215</vt:i4>
      </vt:variant>
      <vt:variant>
        <vt:i4>675</vt:i4>
      </vt:variant>
      <vt:variant>
        <vt:i4>0</vt:i4>
      </vt:variant>
      <vt:variant>
        <vt:i4>5</vt:i4>
      </vt:variant>
      <vt:variant>
        <vt:lpwstr>http://museum.oas.org/rental.html</vt:lpwstr>
      </vt:variant>
      <vt:variant>
        <vt:lpwstr/>
      </vt:variant>
      <vt:variant>
        <vt:i4>1966155</vt:i4>
      </vt:variant>
      <vt:variant>
        <vt:i4>672</vt:i4>
      </vt:variant>
      <vt:variant>
        <vt:i4>0</vt:i4>
      </vt:variant>
      <vt:variant>
        <vt:i4>5</vt:i4>
      </vt:variant>
      <vt:variant>
        <vt:lpwstr>http://museum.oas.org/collection.html</vt:lpwstr>
      </vt:variant>
      <vt:variant>
        <vt:lpwstr/>
      </vt:variant>
      <vt:variant>
        <vt:i4>8126560</vt:i4>
      </vt:variant>
      <vt:variant>
        <vt:i4>669</vt:i4>
      </vt:variant>
      <vt:variant>
        <vt:i4>0</vt:i4>
      </vt:variant>
      <vt:variant>
        <vt:i4>5</vt:i4>
      </vt:variant>
      <vt:variant>
        <vt:lpwstr>http://museum.oas.org/</vt:lpwstr>
      </vt:variant>
      <vt:variant>
        <vt:lpwstr/>
      </vt:variant>
      <vt:variant>
        <vt:i4>2621498</vt:i4>
      </vt:variant>
      <vt:variant>
        <vt:i4>666</vt:i4>
      </vt:variant>
      <vt:variant>
        <vt:i4>0</vt:i4>
      </vt:variant>
      <vt:variant>
        <vt:i4>5</vt:i4>
      </vt:variant>
      <vt:variant>
        <vt:lpwstr>http://www.oas.org/columbus</vt:lpwstr>
      </vt:variant>
      <vt:variant>
        <vt:lpwstr/>
      </vt:variant>
      <vt:variant>
        <vt:i4>5832785</vt:i4>
      </vt:variant>
      <vt:variant>
        <vt:i4>663</vt:i4>
      </vt:variant>
      <vt:variant>
        <vt:i4>0</vt:i4>
      </vt:variant>
      <vt:variant>
        <vt:i4>5</vt:i4>
      </vt:variant>
      <vt:variant>
        <vt:lpwstr>https://www.instagram.com/summitamericas/</vt:lpwstr>
      </vt:variant>
      <vt:variant>
        <vt:lpwstr/>
      </vt:variant>
      <vt:variant>
        <vt:i4>1638491</vt:i4>
      </vt:variant>
      <vt:variant>
        <vt:i4>660</vt:i4>
      </vt:variant>
      <vt:variant>
        <vt:i4>0</vt:i4>
      </vt:variant>
      <vt:variant>
        <vt:i4>5</vt:i4>
      </vt:variant>
      <vt:variant>
        <vt:lpwstr>https://www.facebook.com/CumbreAmericas/</vt:lpwstr>
      </vt:variant>
      <vt:variant>
        <vt:lpwstr/>
      </vt:variant>
      <vt:variant>
        <vt:i4>6553637</vt:i4>
      </vt:variant>
      <vt:variant>
        <vt:i4>657</vt:i4>
      </vt:variant>
      <vt:variant>
        <vt:i4>0</vt:i4>
      </vt:variant>
      <vt:variant>
        <vt:i4>5</vt:i4>
      </vt:variant>
      <vt:variant>
        <vt:lpwstr>https://twitter.com/CumbreAmericas</vt:lpwstr>
      </vt:variant>
      <vt:variant>
        <vt:lpwstr/>
      </vt:variant>
      <vt:variant>
        <vt:i4>1507416</vt:i4>
      </vt:variant>
      <vt:variant>
        <vt:i4>654</vt:i4>
      </vt:variant>
      <vt:variant>
        <vt:i4>0</vt:i4>
      </vt:variant>
      <vt:variant>
        <vt:i4>5</vt:i4>
      </vt:variant>
      <vt:variant>
        <vt:lpwstr>http://www.viiicumbreperu.org/us/database-of-good-practices/</vt:lpwstr>
      </vt:variant>
      <vt:variant>
        <vt:lpwstr/>
      </vt:variant>
      <vt:variant>
        <vt:i4>2621480</vt:i4>
      </vt:variant>
      <vt:variant>
        <vt:i4>651</vt:i4>
      </vt:variant>
      <vt:variant>
        <vt:i4>0</vt:i4>
      </vt:variant>
      <vt:variant>
        <vt:i4>5</vt:i4>
      </vt:variant>
      <vt:variant>
        <vt:lpwstr>http://www.viiicumbreperu.org/bancobuenaspracticas/</vt:lpwstr>
      </vt:variant>
      <vt:variant>
        <vt:lpwstr/>
      </vt:variant>
      <vt:variant>
        <vt:i4>3670133</vt:i4>
      </vt:variant>
      <vt:variant>
        <vt:i4>648</vt:i4>
      </vt:variant>
      <vt:variant>
        <vt:i4>0</vt:i4>
      </vt:variant>
      <vt:variant>
        <vt:i4>5</vt:i4>
      </vt:variant>
      <vt:variant>
        <vt:lpwstr>https://compromisodelima.rree.gob.pe/compromiso/Consulta/Verificar</vt:lpwstr>
      </vt:variant>
      <vt:variant>
        <vt:lpwstr/>
      </vt:variant>
      <vt:variant>
        <vt:i4>1966162</vt:i4>
      </vt:variant>
      <vt:variant>
        <vt:i4>645</vt:i4>
      </vt:variant>
      <vt:variant>
        <vt:i4>0</vt:i4>
      </vt:variant>
      <vt:variant>
        <vt:i4>5</vt:i4>
      </vt:variant>
      <vt:variant>
        <vt:lpwstr>http://compromisodelima.rree.gob.pe/compromiso/Consulta/Verificar</vt:lpwstr>
      </vt:variant>
      <vt:variant>
        <vt:lpwstr/>
      </vt:variant>
      <vt:variant>
        <vt:i4>4849778</vt:i4>
      </vt:variant>
      <vt:variant>
        <vt:i4>642</vt:i4>
      </vt:variant>
      <vt:variant>
        <vt:i4>0</vt:i4>
      </vt:variant>
      <vt:variant>
        <vt:i4>5</vt:i4>
      </vt:variant>
      <vt:variant>
        <vt:lpwstr>http://www.summit-americas.org/default_en.htm</vt:lpwstr>
      </vt:variant>
      <vt:variant>
        <vt:lpwstr/>
      </vt:variant>
      <vt:variant>
        <vt:i4>3080240</vt:i4>
      </vt:variant>
      <vt:variant>
        <vt:i4>639</vt:i4>
      </vt:variant>
      <vt:variant>
        <vt:i4>0</vt:i4>
      </vt:variant>
      <vt:variant>
        <vt:i4>5</vt:i4>
      </vt:variant>
      <vt:variant>
        <vt:lpwstr>http://www.summit-americas.org/defaults.htm</vt:lpwstr>
      </vt:variant>
      <vt:variant>
        <vt:lpwstr/>
      </vt:variant>
      <vt:variant>
        <vt:i4>458879</vt:i4>
      </vt:variant>
      <vt:variant>
        <vt:i4>636</vt:i4>
      </vt:variant>
      <vt:variant>
        <vt:i4>0</vt:i4>
      </vt:variant>
      <vt:variant>
        <vt:i4>5</vt:i4>
      </vt:variant>
      <vt:variant>
        <vt:lpwstr>https://twitter.com/DGPE_OAS</vt:lpwstr>
      </vt:variant>
      <vt:variant>
        <vt:lpwstr/>
      </vt:variant>
      <vt:variant>
        <vt:i4>1572945</vt:i4>
      </vt:variant>
      <vt:variant>
        <vt:i4>633</vt:i4>
      </vt:variant>
      <vt:variant>
        <vt:i4>0</vt:i4>
      </vt:variant>
      <vt:variant>
        <vt:i4>5</vt:i4>
      </vt:variant>
      <vt:variant>
        <vt:lpwstr>https://twitter.com/clarciev</vt:lpwstr>
      </vt:variant>
      <vt:variant>
        <vt:lpwstr/>
      </vt:variant>
      <vt:variant>
        <vt:i4>4259935</vt:i4>
      </vt:variant>
      <vt:variant>
        <vt:i4>630</vt:i4>
      </vt:variant>
      <vt:variant>
        <vt:i4>0</vt:i4>
      </vt:variant>
      <vt:variant>
        <vt:i4>5</vt:i4>
      </vt:variant>
      <vt:variant>
        <vt:lpwstr>http://www.clarciev.com/</vt:lpwstr>
      </vt:variant>
      <vt:variant>
        <vt:lpwstr/>
      </vt:variant>
      <vt:variant>
        <vt:i4>5242946</vt:i4>
      </vt:variant>
      <vt:variant>
        <vt:i4>627</vt:i4>
      </vt:variant>
      <vt:variant>
        <vt:i4>0</vt:i4>
      </vt:variant>
      <vt:variant>
        <vt:i4>5</vt:i4>
      </vt:variant>
      <vt:variant>
        <vt:lpwstr>http://www.oas.org/es/sap/dgpe/puica.asp</vt:lpwstr>
      </vt:variant>
      <vt:variant>
        <vt:lpwstr/>
      </vt:variant>
      <vt:variant>
        <vt:i4>6553696</vt:i4>
      </vt:variant>
      <vt:variant>
        <vt:i4>624</vt:i4>
      </vt:variant>
      <vt:variant>
        <vt:i4>0</vt:i4>
      </vt:variant>
      <vt:variant>
        <vt:i4>5</vt:i4>
      </vt:variant>
      <vt:variant>
        <vt:lpwstr>http://www2.redgealc.org/lineas-de-trabajo/datos-abiertos/</vt:lpwstr>
      </vt:variant>
      <vt:variant>
        <vt:lpwstr/>
      </vt:variant>
      <vt:variant>
        <vt:i4>1048655</vt:i4>
      </vt:variant>
      <vt:variant>
        <vt:i4>621</vt:i4>
      </vt:variant>
      <vt:variant>
        <vt:i4>0</vt:i4>
      </vt:variant>
      <vt:variant>
        <vt:i4>5</vt:i4>
      </vt:variant>
      <vt:variant>
        <vt:lpwstr>http://ricg.org/es/home/</vt:lpwstr>
      </vt:variant>
      <vt:variant>
        <vt:lpwstr/>
      </vt:variant>
      <vt:variant>
        <vt:i4>4456455</vt:i4>
      </vt:variant>
      <vt:variant>
        <vt:i4>618</vt:i4>
      </vt:variant>
      <vt:variant>
        <vt:i4>0</vt:i4>
      </vt:variant>
      <vt:variant>
        <vt:i4>5</vt:i4>
      </vt:variant>
      <vt:variant>
        <vt:lpwstr>http://www.oas.org/es/sap/dgpe/OpenGovFellowship/</vt:lpwstr>
      </vt:variant>
      <vt:variant>
        <vt:lpwstr/>
      </vt:variant>
      <vt:variant>
        <vt:i4>4128865</vt:i4>
      </vt:variant>
      <vt:variant>
        <vt:i4>615</vt:i4>
      </vt:variant>
      <vt:variant>
        <vt:i4>0</vt:i4>
      </vt:variant>
      <vt:variant>
        <vt:i4>5</vt:i4>
      </vt:variant>
      <vt:variant>
        <vt:lpwstr>https://www.oas.org/es/sap/dgpe/escuelagob/escuela-de-gobierno.asp</vt:lpwstr>
      </vt:variant>
      <vt:variant>
        <vt:lpwstr/>
      </vt:variant>
      <vt:variant>
        <vt:i4>5046363</vt:i4>
      </vt:variant>
      <vt:variant>
        <vt:i4>612</vt:i4>
      </vt:variant>
      <vt:variant>
        <vt:i4>0</vt:i4>
      </vt:variant>
      <vt:variant>
        <vt:i4>5</vt:i4>
      </vt:variant>
      <vt:variant>
        <vt:lpwstr>http://ricg.org/es/publicaciones/hacia-una-politica-en-datos-abiertos-del-sistema-de-compra-publica/</vt:lpwstr>
      </vt:variant>
      <vt:variant>
        <vt:lpwstr/>
      </vt:variant>
      <vt:variant>
        <vt:i4>4128877</vt:i4>
      </vt:variant>
      <vt:variant>
        <vt:i4>609</vt:i4>
      </vt:variant>
      <vt:variant>
        <vt:i4>0</vt:i4>
      </vt:variant>
      <vt:variant>
        <vt:i4>5</vt:i4>
      </vt:variant>
      <vt:variant>
        <vt:lpwstr>https://oritel.org/oea/seminarios/</vt:lpwstr>
      </vt:variant>
      <vt:variant>
        <vt:lpwstr/>
      </vt:variant>
      <vt:variant>
        <vt:i4>589883</vt:i4>
      </vt:variant>
      <vt:variant>
        <vt:i4>606</vt:i4>
      </vt:variant>
      <vt:variant>
        <vt:i4>0</vt:i4>
      </vt:variant>
      <vt:variant>
        <vt:i4>5</vt:i4>
      </vt:variant>
      <vt:variant>
        <vt:lpwstr>http://www.oas.org/es/sadye/inclusion-social/guiainteramericana/content/index.html</vt:lpwstr>
      </vt:variant>
      <vt:variant>
        <vt:lpwstr>/?_k=y9e4ak</vt:lpwstr>
      </vt:variant>
      <vt:variant>
        <vt:i4>7209010</vt:i4>
      </vt:variant>
      <vt:variant>
        <vt:i4>603</vt:i4>
      </vt:variant>
      <vt:variant>
        <vt:i4>0</vt:i4>
      </vt:variant>
      <vt:variant>
        <vt:i4>5</vt:i4>
      </vt:variant>
      <vt:variant>
        <vt:lpwstr>http://www.oas.org/es/sadye/inclusion-social/protocolo-ssv/</vt:lpwstr>
      </vt:variant>
      <vt:variant>
        <vt:lpwstr/>
      </vt:variant>
      <vt:variant>
        <vt:i4>65600</vt:i4>
      </vt:variant>
      <vt:variant>
        <vt:i4>600</vt:i4>
      </vt:variant>
      <vt:variant>
        <vt:i4>0</vt:i4>
      </vt:variant>
      <vt:variant>
        <vt:i4>5</vt:i4>
      </vt:variant>
      <vt:variant>
        <vt:lpwstr>https://www.oas.org/es/centro_noticias/comunicado_prensa.asp?sCodigo=C-018/19</vt:lpwstr>
      </vt:variant>
      <vt:variant>
        <vt:lpwstr/>
      </vt:variant>
      <vt:variant>
        <vt:i4>7274564</vt:i4>
      </vt:variant>
      <vt:variant>
        <vt:i4>597</vt:i4>
      </vt:variant>
      <vt:variant>
        <vt:i4>0</vt:i4>
      </vt:variant>
      <vt:variant>
        <vt:i4>5</vt:i4>
      </vt:variant>
      <vt:variant>
        <vt:lpwstr>http://www.oas.org/es/sadye/inclusion-social/docs/II_Annual_Report_MIRPS.pdf</vt:lpwstr>
      </vt:variant>
      <vt:variant>
        <vt:lpwstr/>
      </vt:variant>
      <vt:variant>
        <vt:i4>1114230</vt:i4>
      </vt:variant>
      <vt:variant>
        <vt:i4>594</vt:i4>
      </vt:variant>
      <vt:variant>
        <vt:i4>0</vt:i4>
      </vt:variant>
      <vt:variant>
        <vt:i4>5</vt:i4>
      </vt:variant>
      <vt:variant>
        <vt:lpwstr>http://www.oas.org/es/cidi/cidi_CAM.asp</vt:lpwstr>
      </vt:variant>
      <vt:variant>
        <vt:lpwstr/>
      </vt:variant>
      <vt:variant>
        <vt:i4>6291497</vt:i4>
      </vt:variant>
      <vt:variant>
        <vt:i4>591</vt:i4>
      </vt:variant>
      <vt:variant>
        <vt:i4>0</vt:i4>
      </vt:variant>
      <vt:variant>
        <vt:i4>5</vt:i4>
      </vt:variant>
      <vt:variant>
        <vt:lpwstr>http://www.oas.org/es/sadye/inclusion-social/poblaciones-vulnerables/migracion.asp</vt:lpwstr>
      </vt:variant>
      <vt:variant>
        <vt:lpwstr/>
      </vt:variant>
      <vt:variant>
        <vt:i4>3866684</vt:i4>
      </vt:variant>
      <vt:variant>
        <vt:i4>588</vt:i4>
      </vt:variant>
      <vt:variant>
        <vt:i4>0</vt:i4>
      </vt:variant>
      <vt:variant>
        <vt:i4>5</vt:i4>
      </vt:variant>
      <vt:variant>
        <vt:lpwstr>https://www.iom.int/es</vt:lpwstr>
      </vt:variant>
      <vt:variant>
        <vt:lpwstr/>
      </vt:variant>
      <vt:variant>
        <vt:i4>7536685</vt:i4>
      </vt:variant>
      <vt:variant>
        <vt:i4>585</vt:i4>
      </vt:variant>
      <vt:variant>
        <vt:i4>0</vt:i4>
      </vt:variant>
      <vt:variant>
        <vt:i4>5</vt:i4>
      </vt:variant>
      <vt:variant>
        <vt:lpwstr>http://www.fao.org/home/es/</vt:lpwstr>
      </vt:variant>
      <vt:variant>
        <vt:lpwstr/>
      </vt:variant>
      <vt:variant>
        <vt:i4>1900572</vt:i4>
      </vt:variant>
      <vt:variant>
        <vt:i4>582</vt:i4>
      </vt:variant>
      <vt:variant>
        <vt:i4>0</vt:i4>
      </vt:variant>
      <vt:variant>
        <vt:i4>5</vt:i4>
      </vt:variant>
      <vt:variant>
        <vt:lpwstr>http://www.oas.org/es/sadye/acceso-justicia/</vt:lpwstr>
      </vt:variant>
      <vt:variant>
        <vt:lpwstr/>
      </vt:variant>
      <vt:variant>
        <vt:i4>3997818</vt:i4>
      </vt:variant>
      <vt:variant>
        <vt:i4>579</vt:i4>
      </vt:variant>
      <vt:variant>
        <vt:i4>0</vt:i4>
      </vt:variant>
      <vt:variant>
        <vt:i4>5</vt:i4>
      </vt:variant>
      <vt:variant>
        <vt:lpwstr>http://www.oas.org/es/sadye/sociedad-civil/</vt:lpwstr>
      </vt:variant>
      <vt:variant>
        <vt:lpwstr/>
      </vt:variant>
      <vt:variant>
        <vt:i4>589848</vt:i4>
      </vt:variant>
      <vt:variant>
        <vt:i4>576</vt:i4>
      </vt:variant>
      <vt:variant>
        <vt:i4>0</vt:i4>
      </vt:variant>
      <vt:variant>
        <vt:i4>5</vt:i4>
      </vt:variant>
      <vt:variant>
        <vt:lpwstr>http://doityourself.oas.org/</vt:lpwstr>
      </vt:variant>
      <vt:variant>
        <vt:lpwstr/>
      </vt:variant>
      <vt:variant>
        <vt:i4>5636103</vt:i4>
      </vt:variant>
      <vt:variant>
        <vt:i4>573</vt:i4>
      </vt:variant>
      <vt:variant>
        <vt:i4>0</vt:i4>
      </vt:variant>
      <vt:variant>
        <vt:i4>5</vt:i4>
      </vt:variant>
      <vt:variant>
        <vt:lpwstr>http://www.cicad.oas.org/cicaddocs/Document.aspx?Id=5474</vt:lpwstr>
      </vt:variant>
      <vt:variant>
        <vt:lpwstr/>
      </vt:variant>
      <vt:variant>
        <vt:i4>5308423</vt:i4>
      </vt:variant>
      <vt:variant>
        <vt:i4>570</vt:i4>
      </vt:variant>
      <vt:variant>
        <vt:i4>0</vt:i4>
      </vt:variant>
      <vt:variant>
        <vt:i4>5</vt:i4>
      </vt:variant>
      <vt:variant>
        <vt:lpwstr>http://www.cicad.oas.org/cicaddocs/Document.aspx?Id=5473</vt:lpwstr>
      </vt:variant>
      <vt:variant>
        <vt:lpwstr/>
      </vt:variant>
      <vt:variant>
        <vt:i4>5701640</vt:i4>
      </vt:variant>
      <vt:variant>
        <vt:i4>567</vt:i4>
      </vt:variant>
      <vt:variant>
        <vt:i4>0</vt:i4>
      </vt:variant>
      <vt:variant>
        <vt:i4>5</vt:i4>
      </vt:variant>
      <vt:variant>
        <vt:lpwstr>http://www.cicad.oas.org/cicaddocs/Document.aspx?Id=5584</vt:lpwstr>
      </vt:variant>
      <vt:variant>
        <vt:lpwstr/>
      </vt:variant>
      <vt:variant>
        <vt:i4>5570568</vt:i4>
      </vt:variant>
      <vt:variant>
        <vt:i4>564</vt:i4>
      </vt:variant>
      <vt:variant>
        <vt:i4>0</vt:i4>
      </vt:variant>
      <vt:variant>
        <vt:i4>5</vt:i4>
      </vt:variant>
      <vt:variant>
        <vt:lpwstr>http://www.cicad.oas.org/cicaddocs/Document.aspx?Id=5586</vt:lpwstr>
      </vt:variant>
      <vt:variant>
        <vt:lpwstr/>
      </vt:variant>
      <vt:variant>
        <vt:i4>5636104</vt:i4>
      </vt:variant>
      <vt:variant>
        <vt:i4>561</vt:i4>
      </vt:variant>
      <vt:variant>
        <vt:i4>0</vt:i4>
      </vt:variant>
      <vt:variant>
        <vt:i4>5</vt:i4>
      </vt:variant>
      <vt:variant>
        <vt:lpwstr>http://www.cicad.oas.org/cicaddocs/Document.aspx?Id=5585</vt:lpwstr>
      </vt:variant>
      <vt:variant>
        <vt:lpwstr/>
      </vt:variant>
      <vt:variant>
        <vt:i4>7733248</vt:i4>
      </vt:variant>
      <vt:variant>
        <vt:i4>558</vt:i4>
      </vt:variant>
      <vt:variant>
        <vt:i4>0</vt:i4>
      </vt:variant>
      <vt:variant>
        <vt:i4>5</vt:i4>
      </vt:variant>
      <vt:variant>
        <vt:lpwstr>http://www.oas.org/es/ssm/template.asp?file=/es/ssm/ddot/publicaciones/default_spa.asp</vt:lpwstr>
      </vt:variant>
      <vt:variant>
        <vt:lpwstr/>
      </vt:variant>
      <vt:variant>
        <vt:i4>3735658</vt:i4>
      </vt:variant>
      <vt:variant>
        <vt:i4>555</vt:i4>
      </vt:variant>
      <vt:variant>
        <vt:i4>0</vt:i4>
      </vt:variant>
      <vt:variant>
        <vt:i4>5</vt:i4>
      </vt:variant>
      <vt:variant>
        <vt:lpwstr>https://www.oas.org/ext/es/seguridad/red-prevencion-crimen/Recursos/Multimedios/ArtMID/1608/ArticleID/2628/Plan-de-Acci%C3%B3n-Hemisf%C3%A9rico--para-Orientar-la-Elaboraci%C3%B3n-de--Pol%C3%ADticas-P%C3%BAblicas-de-Prevenci%C3%B3n-y-Reducci%C3%B3n-del--Homicidio-Intencional</vt:lpwstr>
      </vt:variant>
      <vt:variant>
        <vt:lpwstr/>
      </vt:variant>
      <vt:variant>
        <vt:i4>6815782</vt:i4>
      </vt:variant>
      <vt:variant>
        <vt:i4>552</vt:i4>
      </vt:variant>
      <vt:variant>
        <vt:i4>0</vt:i4>
      </vt:variant>
      <vt:variant>
        <vt:i4>5</vt:i4>
      </vt:variant>
      <vt:variant>
        <vt:lpwstr>http://www.oas.org/es/sms/dps/</vt:lpwstr>
      </vt:variant>
      <vt:variant>
        <vt:lpwstr/>
      </vt:variant>
      <vt:variant>
        <vt:i4>6357084</vt:i4>
      </vt:variant>
      <vt:variant>
        <vt:i4>549</vt:i4>
      </vt:variant>
      <vt:variant>
        <vt:i4>0</vt:i4>
      </vt:variant>
      <vt:variant>
        <vt:i4>5</vt:i4>
      </vt:variant>
      <vt:variant>
        <vt:lpwstr>http://www.cicad.oas.org/reduccion_oferta/resources/chems/Reglamento Modelo-Aprobado CICAD 66-Final.pdf</vt:lpwstr>
      </vt:variant>
      <vt:variant>
        <vt:lpwstr/>
      </vt:variant>
      <vt:variant>
        <vt:i4>655449</vt:i4>
      </vt:variant>
      <vt:variant>
        <vt:i4>546</vt:i4>
      </vt:variant>
      <vt:variant>
        <vt:i4>0</vt:i4>
      </vt:variant>
      <vt:variant>
        <vt:i4>5</vt:i4>
      </vt:variant>
      <vt:variant>
        <vt:lpwstr>http://www.cicad.oas.org/reduccion_oferta/Linea_GENLEA/Articulo GENLEA-2Oct.pdf</vt:lpwstr>
      </vt:variant>
      <vt:variant>
        <vt:lpwstr/>
      </vt:variant>
      <vt:variant>
        <vt:i4>3211388</vt:i4>
      </vt:variant>
      <vt:variant>
        <vt:i4>543</vt:i4>
      </vt:variant>
      <vt:variant>
        <vt:i4>0</vt:i4>
      </vt:variant>
      <vt:variant>
        <vt:i4>5</vt:i4>
      </vt:variant>
      <vt:variant>
        <vt:lpwstr>http://www.cicad.oas.org/Main/Template.asp?File=/mem/septima_ronda/default_spa.asp</vt:lpwstr>
      </vt:variant>
      <vt:variant>
        <vt:lpwstr/>
      </vt:variant>
      <vt:variant>
        <vt:i4>5701741</vt:i4>
      </vt:variant>
      <vt:variant>
        <vt:i4>540</vt:i4>
      </vt:variant>
      <vt:variant>
        <vt:i4>0</vt:i4>
      </vt:variant>
      <vt:variant>
        <vt:i4>5</vt:i4>
      </vt:variant>
      <vt:variant>
        <vt:lpwstr>http://www.cicad.oas.org/Main/Template.asp?File=/oid/sata/default_spa.asp)</vt:lpwstr>
      </vt:variant>
      <vt:variant>
        <vt:lpwstr/>
      </vt:variant>
      <vt:variant>
        <vt:i4>6225993</vt:i4>
      </vt:variant>
      <vt:variant>
        <vt:i4>537</vt:i4>
      </vt:variant>
      <vt:variant>
        <vt:i4>0</vt:i4>
      </vt:variant>
      <vt:variant>
        <vt:i4>5</vt:i4>
      </vt:variant>
      <vt:variant>
        <vt:lpwstr>https://www.mapp-oea.org/</vt:lpwstr>
      </vt:variant>
      <vt:variant>
        <vt:lpwstr/>
      </vt:variant>
      <vt:variant>
        <vt:i4>7143463</vt:i4>
      </vt:variant>
      <vt:variant>
        <vt:i4>534</vt:i4>
      </vt:variant>
      <vt:variant>
        <vt:i4>0</vt:i4>
      </vt:variant>
      <vt:variant>
        <vt:i4>5</vt:i4>
      </vt:variant>
      <vt:variant>
        <vt:lpwstr>https://twitter.com/MAPPOEA</vt:lpwstr>
      </vt:variant>
      <vt:variant>
        <vt:lpwstr/>
      </vt:variant>
      <vt:variant>
        <vt:i4>1310798</vt:i4>
      </vt:variant>
      <vt:variant>
        <vt:i4>531</vt:i4>
      </vt:variant>
      <vt:variant>
        <vt:i4>0</vt:i4>
      </vt:variant>
      <vt:variant>
        <vt:i4>5</vt:i4>
      </vt:variant>
      <vt:variant>
        <vt:lpwstr>https://twitter.com/OEAHaiti</vt:lpwstr>
      </vt:variant>
      <vt:variant>
        <vt:lpwstr/>
      </vt:variant>
      <vt:variant>
        <vt:i4>1966155</vt:i4>
      </vt:variant>
      <vt:variant>
        <vt:i4>528</vt:i4>
      </vt:variant>
      <vt:variant>
        <vt:i4>0</vt:i4>
      </vt:variant>
      <vt:variant>
        <vt:i4>5</vt:i4>
      </vt:variant>
      <vt:variant>
        <vt:lpwstr>https://www.facebook.com/FacilitadoresJudicialesOEA/</vt:lpwstr>
      </vt:variant>
      <vt:variant>
        <vt:lpwstr/>
      </vt:variant>
      <vt:variant>
        <vt:i4>8323116</vt:i4>
      </vt:variant>
      <vt:variant>
        <vt:i4>525</vt:i4>
      </vt:variant>
      <vt:variant>
        <vt:i4>0</vt:i4>
      </vt:variant>
      <vt:variant>
        <vt:i4>5</vt:i4>
      </vt:variant>
      <vt:variant>
        <vt:lpwstr>https://twitter.com/PIFJOEA</vt:lpwstr>
      </vt:variant>
      <vt:variant>
        <vt:lpwstr/>
      </vt:variant>
      <vt:variant>
        <vt:i4>2228260</vt:i4>
      </vt:variant>
      <vt:variant>
        <vt:i4>522</vt:i4>
      </vt:variant>
      <vt:variant>
        <vt:i4>0</vt:i4>
      </vt:variant>
      <vt:variant>
        <vt:i4>5</vt:i4>
      </vt:variant>
      <vt:variant>
        <vt:lpwstr>https://www.facebook.com/OEAMACCIH/</vt:lpwstr>
      </vt:variant>
      <vt:variant>
        <vt:lpwstr/>
      </vt:variant>
      <vt:variant>
        <vt:i4>4653057</vt:i4>
      </vt:variant>
      <vt:variant>
        <vt:i4>519</vt:i4>
      </vt:variant>
      <vt:variant>
        <vt:i4>0</vt:i4>
      </vt:variant>
      <vt:variant>
        <vt:i4>5</vt:i4>
      </vt:variant>
      <vt:variant>
        <vt:lpwstr>http://www.oas.org/documents/spa/press/CP40861SSEXTOINFORMEMACCIH.pdf</vt:lpwstr>
      </vt:variant>
      <vt:variant>
        <vt:lpwstr/>
      </vt:variant>
      <vt:variant>
        <vt:i4>2818081</vt:i4>
      </vt:variant>
      <vt:variant>
        <vt:i4>516</vt:i4>
      </vt:variant>
      <vt:variant>
        <vt:i4>0</vt:i4>
      </vt:variant>
      <vt:variant>
        <vt:i4>5</vt:i4>
      </vt:variant>
      <vt:variant>
        <vt:lpwstr>http://www.oas.org/es/sap/dsdme/maccih/new/comunicacion.asp</vt:lpwstr>
      </vt:variant>
      <vt:variant>
        <vt:lpwstr/>
      </vt:variant>
      <vt:variant>
        <vt:i4>4390986</vt:i4>
      </vt:variant>
      <vt:variant>
        <vt:i4>513</vt:i4>
      </vt:variant>
      <vt:variant>
        <vt:i4>0</vt:i4>
      </vt:variant>
      <vt:variant>
        <vt:i4>5</vt:i4>
      </vt:variant>
      <vt:variant>
        <vt:lpwstr>http://www.observatoriohonduras.org/</vt:lpwstr>
      </vt:variant>
      <vt:variant>
        <vt:lpwstr/>
      </vt:variant>
      <vt:variant>
        <vt:i4>2424866</vt:i4>
      </vt:variant>
      <vt:variant>
        <vt:i4>510</vt:i4>
      </vt:variant>
      <vt:variant>
        <vt:i4>0</vt:i4>
      </vt:variant>
      <vt:variant>
        <vt:i4>5</vt:i4>
      </vt:variant>
      <vt:variant>
        <vt:lpwstr>https://www.facebook.com/deco.oea/</vt:lpwstr>
      </vt:variant>
      <vt:variant>
        <vt:lpwstr/>
      </vt:variant>
      <vt:variant>
        <vt:i4>5701755</vt:i4>
      </vt:variant>
      <vt:variant>
        <vt:i4>507</vt:i4>
      </vt:variant>
      <vt:variant>
        <vt:i4>0</vt:i4>
      </vt:variant>
      <vt:variant>
        <vt:i4>5</vt:i4>
      </vt:variant>
      <vt:variant>
        <vt:lpwstr>http://www.oas.org/es/sap/deco/Coop_Tecnica.asp</vt:lpwstr>
      </vt:variant>
      <vt:variant>
        <vt:lpwstr/>
      </vt:variant>
      <vt:variant>
        <vt:i4>8192113</vt:i4>
      </vt:variant>
      <vt:variant>
        <vt:i4>504</vt:i4>
      </vt:variant>
      <vt:variant>
        <vt:i4>0</vt:i4>
      </vt:variant>
      <vt:variant>
        <vt:i4>5</vt:i4>
      </vt:variant>
      <vt:variant>
        <vt:lpwstr>http://www.oas.org/eomdatabase/default.aspx?lang=es</vt:lpwstr>
      </vt:variant>
      <vt:variant>
        <vt:lpwstr/>
      </vt:variant>
      <vt:variant>
        <vt:i4>3211317</vt:i4>
      </vt:variant>
      <vt:variant>
        <vt:i4>501</vt:i4>
      </vt:variant>
      <vt:variant>
        <vt:i4>0</vt:i4>
      </vt:variant>
      <vt:variant>
        <vt:i4>5</vt:i4>
      </vt:variant>
      <vt:variant>
        <vt:lpwstr>http://www.oas.org/es/sap/deco/</vt:lpwstr>
      </vt:variant>
      <vt:variant>
        <vt:lpwstr/>
      </vt:variant>
      <vt:variant>
        <vt:i4>1703940</vt:i4>
      </vt:variant>
      <vt:variant>
        <vt:i4>498</vt:i4>
      </vt:variant>
      <vt:variant>
        <vt:i4>0</vt:i4>
      </vt:variant>
      <vt:variant>
        <vt:i4>5</vt:i4>
      </vt:variant>
      <vt:variant>
        <vt:lpwstr>https://www.flickr.com/photos/modelooea/albums/72157711782092106</vt:lpwstr>
      </vt:variant>
      <vt:variant>
        <vt:lpwstr/>
      </vt:variant>
      <vt:variant>
        <vt:i4>1703939</vt:i4>
      </vt:variant>
      <vt:variant>
        <vt:i4>495</vt:i4>
      </vt:variant>
      <vt:variant>
        <vt:i4>0</vt:i4>
      </vt:variant>
      <vt:variant>
        <vt:i4>5</vt:i4>
      </vt:variant>
      <vt:variant>
        <vt:lpwstr>https://www.flickr.com/photos/modelooea/albums/72157709144793452</vt:lpwstr>
      </vt:variant>
      <vt:variant>
        <vt:lpwstr/>
      </vt:variant>
      <vt:variant>
        <vt:i4>1507336</vt:i4>
      </vt:variant>
      <vt:variant>
        <vt:i4>492</vt:i4>
      </vt:variant>
      <vt:variant>
        <vt:i4>0</vt:i4>
      </vt:variant>
      <vt:variant>
        <vt:i4>5</vt:i4>
      </vt:variant>
      <vt:variant>
        <vt:lpwstr>https://www.flickr.com/photos/modelooea/albums/72157708174243395</vt:lpwstr>
      </vt:variant>
      <vt:variant>
        <vt:lpwstr/>
      </vt:variant>
      <vt:variant>
        <vt:i4>4456479</vt:i4>
      </vt:variant>
      <vt:variant>
        <vt:i4>489</vt:i4>
      </vt:variant>
      <vt:variant>
        <vt:i4>0</vt:i4>
      </vt:variant>
      <vt:variant>
        <vt:i4>5</vt:i4>
      </vt:variant>
      <vt:variant>
        <vt:lpwstr>https://www.flickr.com/photos/oasoea/albums/72157710141467096</vt:lpwstr>
      </vt:variant>
      <vt:variant>
        <vt:lpwstr/>
      </vt:variant>
      <vt:variant>
        <vt:i4>720990</vt:i4>
      </vt:variant>
      <vt:variant>
        <vt:i4>486</vt:i4>
      </vt:variant>
      <vt:variant>
        <vt:i4>0</vt:i4>
      </vt:variant>
      <vt:variant>
        <vt:i4>5</vt:i4>
      </vt:variant>
      <vt:variant>
        <vt:lpwstr>https://www.flickr.com/photos/oasoea/sets/72157710184492097/</vt:lpwstr>
      </vt:variant>
      <vt:variant>
        <vt:lpwstr/>
      </vt:variant>
      <vt:variant>
        <vt:i4>4653077</vt:i4>
      </vt:variant>
      <vt:variant>
        <vt:i4>483</vt:i4>
      </vt:variant>
      <vt:variant>
        <vt:i4>0</vt:i4>
      </vt:variant>
      <vt:variant>
        <vt:i4>5</vt:i4>
      </vt:variant>
      <vt:variant>
        <vt:lpwstr>https://www.flickr.com/photos/oasoea/albums/72157704298860182</vt:lpwstr>
      </vt:variant>
      <vt:variant>
        <vt:lpwstr/>
      </vt:variant>
      <vt:variant>
        <vt:i4>4653077</vt:i4>
      </vt:variant>
      <vt:variant>
        <vt:i4>480</vt:i4>
      </vt:variant>
      <vt:variant>
        <vt:i4>0</vt:i4>
      </vt:variant>
      <vt:variant>
        <vt:i4>5</vt:i4>
      </vt:variant>
      <vt:variant>
        <vt:lpwstr>https://www.flickr.com/photos/oasoea/albums/72157704298860182</vt:lpwstr>
      </vt:variant>
      <vt:variant>
        <vt:lpwstr/>
      </vt:variant>
      <vt:variant>
        <vt:i4>4915227</vt:i4>
      </vt:variant>
      <vt:variant>
        <vt:i4>477</vt:i4>
      </vt:variant>
      <vt:variant>
        <vt:i4>0</vt:i4>
      </vt:variant>
      <vt:variant>
        <vt:i4>5</vt:i4>
      </vt:variant>
      <vt:variant>
        <vt:lpwstr>https://www.flickr.com/photos/oasoea/albums/72157677410095937</vt:lpwstr>
      </vt:variant>
      <vt:variant>
        <vt:lpwstr/>
      </vt:variant>
      <vt:variant>
        <vt:i4>5111839</vt:i4>
      </vt:variant>
      <vt:variant>
        <vt:i4>474</vt:i4>
      </vt:variant>
      <vt:variant>
        <vt:i4>0</vt:i4>
      </vt:variant>
      <vt:variant>
        <vt:i4>5</vt:i4>
      </vt:variant>
      <vt:variant>
        <vt:lpwstr>https://www.flickr.com/photos/oasoea/albums/72157690575792773</vt:lpwstr>
      </vt:variant>
      <vt:variant>
        <vt:lpwstr/>
      </vt:variant>
      <vt:variant>
        <vt:i4>8060970</vt:i4>
      </vt:variant>
      <vt:variant>
        <vt:i4>471</vt:i4>
      </vt:variant>
      <vt:variant>
        <vt:i4>0</vt:i4>
      </vt:variant>
      <vt:variant>
        <vt:i4>5</vt:i4>
      </vt:variant>
      <vt:variant>
        <vt:lpwstr>https://www.oas.org/en/protocol/use_main_building.asp</vt:lpwstr>
      </vt:variant>
      <vt:variant>
        <vt:lpwstr/>
      </vt:variant>
      <vt:variant>
        <vt:i4>8126515</vt:i4>
      </vt:variant>
      <vt:variant>
        <vt:i4>468</vt:i4>
      </vt:variant>
      <vt:variant>
        <vt:i4>0</vt:i4>
      </vt:variant>
      <vt:variant>
        <vt:i4>5</vt:i4>
      </vt:variant>
      <vt:variant>
        <vt:lpwstr>http://www.oas.org/en/protocol/</vt:lpwstr>
      </vt:variant>
      <vt:variant>
        <vt:lpwstr/>
      </vt:variant>
      <vt:variant>
        <vt:i4>7667766</vt:i4>
      </vt:variant>
      <vt:variant>
        <vt:i4>465</vt:i4>
      </vt:variant>
      <vt:variant>
        <vt:i4>0</vt:i4>
      </vt:variant>
      <vt:variant>
        <vt:i4>5</vt:i4>
      </vt:variant>
      <vt:variant>
        <vt:lpwstr>http://www.oas.org/es/cidi</vt:lpwstr>
      </vt:variant>
      <vt:variant>
        <vt:lpwstr/>
      </vt:variant>
      <vt:variant>
        <vt:i4>7536740</vt:i4>
      </vt:variant>
      <vt:variant>
        <vt:i4>462</vt:i4>
      </vt:variant>
      <vt:variant>
        <vt:i4>0</vt:i4>
      </vt:variant>
      <vt:variant>
        <vt:i4>5</vt:i4>
      </vt:variant>
      <vt:variant>
        <vt:lpwstr>http://riacevents.org/ace/</vt:lpwstr>
      </vt:variant>
      <vt:variant>
        <vt:lpwstr/>
      </vt:variant>
      <vt:variant>
        <vt:i4>1835031</vt:i4>
      </vt:variant>
      <vt:variant>
        <vt:i4>459</vt:i4>
      </vt:variant>
      <vt:variant>
        <vt:i4>0</vt:i4>
      </vt:variant>
      <vt:variant>
        <vt:i4>5</vt:i4>
      </vt:variant>
      <vt:variant>
        <vt:lpwstr>http://www.oas.org/es/sedi/ddes/imc/2019/</vt:lpwstr>
      </vt:variant>
      <vt:variant>
        <vt:lpwstr/>
      </vt:variant>
      <vt:variant>
        <vt:i4>3604592</vt:i4>
      </vt:variant>
      <vt:variant>
        <vt:i4>456</vt:i4>
      </vt:variant>
      <vt:variant>
        <vt:i4>0</vt:i4>
      </vt:variant>
      <vt:variant>
        <vt:i4>5</vt:i4>
      </vt:variant>
      <vt:variant>
        <vt:lpwstr>http://scm.oas.org/IDMS/Redirectpage.aspx?class=V.13.1%20CIDI/RME/doc&amp;classNum=6&amp;lang=e</vt:lpwstr>
      </vt:variant>
      <vt:variant>
        <vt:lpwstr/>
      </vt:variant>
      <vt:variant>
        <vt:i4>3276912</vt:i4>
      </vt:variant>
      <vt:variant>
        <vt:i4>453</vt:i4>
      </vt:variant>
      <vt:variant>
        <vt:i4>0</vt:i4>
      </vt:variant>
      <vt:variant>
        <vt:i4>5</vt:i4>
      </vt:variant>
      <vt:variant>
        <vt:lpwstr>http://scm.oas.org/IDMS/Redirectpage.aspx?class=V.13.1%20CIDI/RME/doc&amp;classNum=3&amp;lang=s</vt:lpwstr>
      </vt:variant>
      <vt:variant>
        <vt:lpwstr/>
      </vt:variant>
      <vt:variant>
        <vt:i4>1245255</vt:i4>
      </vt:variant>
      <vt:variant>
        <vt:i4>450</vt:i4>
      </vt:variant>
      <vt:variant>
        <vt:i4>0</vt:i4>
      </vt:variant>
      <vt:variant>
        <vt:i4>5</vt:i4>
      </vt:variant>
      <vt:variant>
        <vt:lpwstr>http://scm.oas.org/IDMS/Redirectpage.aspx?class=cidi/inf.&amp;classNum=335&amp;lang=p</vt:lpwstr>
      </vt:variant>
      <vt:variant>
        <vt:lpwstr/>
      </vt:variant>
      <vt:variant>
        <vt:i4>1245255</vt:i4>
      </vt:variant>
      <vt:variant>
        <vt:i4>447</vt:i4>
      </vt:variant>
      <vt:variant>
        <vt:i4>0</vt:i4>
      </vt:variant>
      <vt:variant>
        <vt:i4>5</vt:i4>
      </vt:variant>
      <vt:variant>
        <vt:lpwstr>http://scm.oas.org/IDMS/Redirectpage.aspx?class=cidi/inf.&amp;classNum=335&amp;lang=f</vt:lpwstr>
      </vt:variant>
      <vt:variant>
        <vt:lpwstr/>
      </vt:variant>
      <vt:variant>
        <vt:i4>1245255</vt:i4>
      </vt:variant>
      <vt:variant>
        <vt:i4>444</vt:i4>
      </vt:variant>
      <vt:variant>
        <vt:i4>0</vt:i4>
      </vt:variant>
      <vt:variant>
        <vt:i4>5</vt:i4>
      </vt:variant>
      <vt:variant>
        <vt:lpwstr>http://scm.oas.org/IDMS/Redirectpage.aspx?class=cidi/inf.&amp;classNum=335&amp;lang=e</vt:lpwstr>
      </vt:variant>
      <vt:variant>
        <vt:lpwstr/>
      </vt:variant>
      <vt:variant>
        <vt:i4>1245255</vt:i4>
      </vt:variant>
      <vt:variant>
        <vt:i4>441</vt:i4>
      </vt:variant>
      <vt:variant>
        <vt:i4>0</vt:i4>
      </vt:variant>
      <vt:variant>
        <vt:i4>5</vt:i4>
      </vt:variant>
      <vt:variant>
        <vt:lpwstr>http://scm.oas.org/IDMS/Redirectpage.aspx?class=cidi/inf.&amp;classNum=335&amp;lang=s</vt:lpwstr>
      </vt:variant>
      <vt:variant>
        <vt:lpwstr/>
      </vt:variant>
      <vt:variant>
        <vt:i4>1376327</vt:i4>
      </vt:variant>
      <vt:variant>
        <vt:i4>438</vt:i4>
      </vt:variant>
      <vt:variant>
        <vt:i4>0</vt:i4>
      </vt:variant>
      <vt:variant>
        <vt:i4>5</vt:i4>
      </vt:variant>
      <vt:variant>
        <vt:lpwstr>http://scm.oas.org/IDMS/Redirectpage.aspx?class=CIDI/INF.&amp;classNum=333&amp;lang=p</vt:lpwstr>
      </vt:variant>
      <vt:variant>
        <vt:lpwstr/>
      </vt:variant>
      <vt:variant>
        <vt:i4>1376327</vt:i4>
      </vt:variant>
      <vt:variant>
        <vt:i4>435</vt:i4>
      </vt:variant>
      <vt:variant>
        <vt:i4>0</vt:i4>
      </vt:variant>
      <vt:variant>
        <vt:i4>5</vt:i4>
      </vt:variant>
      <vt:variant>
        <vt:lpwstr>http://scm.oas.org/IDMS/Redirectpage.aspx?class=CIDI/INF.&amp;classNum=333&amp;lang=f</vt:lpwstr>
      </vt:variant>
      <vt:variant>
        <vt:lpwstr/>
      </vt:variant>
      <vt:variant>
        <vt:i4>1376327</vt:i4>
      </vt:variant>
      <vt:variant>
        <vt:i4>432</vt:i4>
      </vt:variant>
      <vt:variant>
        <vt:i4>0</vt:i4>
      </vt:variant>
      <vt:variant>
        <vt:i4>5</vt:i4>
      </vt:variant>
      <vt:variant>
        <vt:lpwstr>http://scm.oas.org/IDMS/Redirectpage.aspx?class=CIDI/INF.&amp;classNum=333&amp;lang=e</vt:lpwstr>
      </vt:variant>
      <vt:variant>
        <vt:lpwstr/>
      </vt:variant>
      <vt:variant>
        <vt:i4>1376327</vt:i4>
      </vt:variant>
      <vt:variant>
        <vt:i4>429</vt:i4>
      </vt:variant>
      <vt:variant>
        <vt:i4>0</vt:i4>
      </vt:variant>
      <vt:variant>
        <vt:i4>5</vt:i4>
      </vt:variant>
      <vt:variant>
        <vt:lpwstr>http://scm.oas.org/IDMS/Redirectpage.aspx?class=CIDI/INF.&amp;classNum=333&amp;lang=s</vt:lpwstr>
      </vt:variant>
      <vt:variant>
        <vt:lpwstr/>
      </vt:variant>
      <vt:variant>
        <vt:i4>1507399</vt:i4>
      </vt:variant>
      <vt:variant>
        <vt:i4>426</vt:i4>
      </vt:variant>
      <vt:variant>
        <vt:i4>0</vt:i4>
      </vt:variant>
      <vt:variant>
        <vt:i4>5</vt:i4>
      </vt:variant>
      <vt:variant>
        <vt:lpwstr>http://scm.oas.org/IDMS/Redirectpage.aspx?class=cidi/inf.&amp;classNum=331&amp;lang=p</vt:lpwstr>
      </vt:variant>
      <vt:variant>
        <vt:lpwstr/>
      </vt:variant>
      <vt:variant>
        <vt:i4>1507399</vt:i4>
      </vt:variant>
      <vt:variant>
        <vt:i4>423</vt:i4>
      </vt:variant>
      <vt:variant>
        <vt:i4>0</vt:i4>
      </vt:variant>
      <vt:variant>
        <vt:i4>5</vt:i4>
      </vt:variant>
      <vt:variant>
        <vt:lpwstr>http://scm.oas.org/IDMS/Redirectpage.aspx?class=cidi/inf.&amp;classNum=331&amp;lang=f</vt:lpwstr>
      </vt:variant>
      <vt:variant>
        <vt:lpwstr/>
      </vt:variant>
      <vt:variant>
        <vt:i4>1507399</vt:i4>
      </vt:variant>
      <vt:variant>
        <vt:i4>420</vt:i4>
      </vt:variant>
      <vt:variant>
        <vt:i4>0</vt:i4>
      </vt:variant>
      <vt:variant>
        <vt:i4>5</vt:i4>
      </vt:variant>
      <vt:variant>
        <vt:lpwstr>http://scm.oas.org/IDMS/Redirectpage.aspx?class=cidi/inf.&amp;classNum=331&amp;lang=e</vt:lpwstr>
      </vt:variant>
      <vt:variant>
        <vt:lpwstr/>
      </vt:variant>
      <vt:variant>
        <vt:i4>1507399</vt:i4>
      </vt:variant>
      <vt:variant>
        <vt:i4>417</vt:i4>
      </vt:variant>
      <vt:variant>
        <vt:i4>0</vt:i4>
      </vt:variant>
      <vt:variant>
        <vt:i4>5</vt:i4>
      </vt:variant>
      <vt:variant>
        <vt:lpwstr>http://scm.oas.org/IDMS/Redirectpage.aspx?class=cidi/inf.&amp;classNum=331&amp;lang=s</vt:lpwstr>
      </vt:variant>
      <vt:variant>
        <vt:lpwstr/>
      </vt:variant>
      <vt:variant>
        <vt:i4>1179718</vt:i4>
      </vt:variant>
      <vt:variant>
        <vt:i4>414</vt:i4>
      </vt:variant>
      <vt:variant>
        <vt:i4>0</vt:i4>
      </vt:variant>
      <vt:variant>
        <vt:i4>5</vt:i4>
      </vt:variant>
      <vt:variant>
        <vt:lpwstr>http://scm.oas.org/IDMS/Redirectpage.aspx?class=cidi/inf.&amp;classNum=324&amp;lang=e</vt:lpwstr>
      </vt:variant>
      <vt:variant>
        <vt:lpwstr/>
      </vt:variant>
      <vt:variant>
        <vt:i4>1179718</vt:i4>
      </vt:variant>
      <vt:variant>
        <vt:i4>411</vt:i4>
      </vt:variant>
      <vt:variant>
        <vt:i4>0</vt:i4>
      </vt:variant>
      <vt:variant>
        <vt:i4>5</vt:i4>
      </vt:variant>
      <vt:variant>
        <vt:lpwstr>http://scm.oas.org/IDMS/Redirectpage.aspx?class=cidi/inf.&amp;classNum=324&amp;lang=p</vt:lpwstr>
      </vt:variant>
      <vt:variant>
        <vt:lpwstr/>
      </vt:variant>
      <vt:variant>
        <vt:i4>1179718</vt:i4>
      </vt:variant>
      <vt:variant>
        <vt:i4>408</vt:i4>
      </vt:variant>
      <vt:variant>
        <vt:i4>0</vt:i4>
      </vt:variant>
      <vt:variant>
        <vt:i4>5</vt:i4>
      </vt:variant>
      <vt:variant>
        <vt:lpwstr>http://scm.oas.org/IDMS/Redirectpage.aspx?class=cidi/inf.&amp;classNum=324&amp;lang=f</vt:lpwstr>
      </vt:variant>
      <vt:variant>
        <vt:lpwstr/>
      </vt:variant>
      <vt:variant>
        <vt:i4>1179718</vt:i4>
      </vt:variant>
      <vt:variant>
        <vt:i4>405</vt:i4>
      </vt:variant>
      <vt:variant>
        <vt:i4>0</vt:i4>
      </vt:variant>
      <vt:variant>
        <vt:i4>5</vt:i4>
      </vt:variant>
      <vt:variant>
        <vt:lpwstr>http://scm.oas.org/IDMS/Redirectpage.aspx?class=cidi/inf.&amp;classNum=324&amp;lang=s</vt:lpwstr>
      </vt:variant>
      <vt:variant>
        <vt:lpwstr/>
      </vt:variant>
      <vt:variant>
        <vt:i4>1966149</vt:i4>
      </vt:variant>
      <vt:variant>
        <vt:i4>402</vt:i4>
      </vt:variant>
      <vt:variant>
        <vt:i4>0</vt:i4>
      </vt:variant>
      <vt:variant>
        <vt:i4>5</vt:i4>
      </vt:variant>
      <vt:variant>
        <vt:lpwstr>http://scm.oas.org/IDMS/Redirectpage.aspx?class=cidi/inf.&amp;classNum=318&amp;lang=p</vt:lpwstr>
      </vt:variant>
      <vt:variant>
        <vt:lpwstr/>
      </vt:variant>
      <vt:variant>
        <vt:i4>1966149</vt:i4>
      </vt:variant>
      <vt:variant>
        <vt:i4>399</vt:i4>
      </vt:variant>
      <vt:variant>
        <vt:i4>0</vt:i4>
      </vt:variant>
      <vt:variant>
        <vt:i4>5</vt:i4>
      </vt:variant>
      <vt:variant>
        <vt:lpwstr>http://scm.oas.org/IDMS/Redirectpage.aspx?class=cidi/inf.&amp;classNum=318&amp;lang=f</vt:lpwstr>
      </vt:variant>
      <vt:variant>
        <vt:lpwstr/>
      </vt:variant>
      <vt:variant>
        <vt:i4>1966149</vt:i4>
      </vt:variant>
      <vt:variant>
        <vt:i4>396</vt:i4>
      </vt:variant>
      <vt:variant>
        <vt:i4>0</vt:i4>
      </vt:variant>
      <vt:variant>
        <vt:i4>5</vt:i4>
      </vt:variant>
      <vt:variant>
        <vt:lpwstr>http://scm.oas.org/IDMS/Redirectpage.aspx?class=cidi/inf.&amp;classNum=318&amp;lang=e</vt:lpwstr>
      </vt:variant>
      <vt:variant>
        <vt:lpwstr/>
      </vt:variant>
      <vt:variant>
        <vt:i4>1966149</vt:i4>
      </vt:variant>
      <vt:variant>
        <vt:i4>393</vt:i4>
      </vt:variant>
      <vt:variant>
        <vt:i4>0</vt:i4>
      </vt:variant>
      <vt:variant>
        <vt:i4>5</vt:i4>
      </vt:variant>
      <vt:variant>
        <vt:lpwstr>http://scm.oas.org/IDMS/Redirectpage.aspx?class=cidi/inf.&amp;classNum=318&amp;lang=s</vt:lpwstr>
      </vt:variant>
      <vt:variant>
        <vt:lpwstr/>
      </vt:variant>
      <vt:variant>
        <vt:i4>1441861</vt:i4>
      </vt:variant>
      <vt:variant>
        <vt:i4>390</vt:i4>
      </vt:variant>
      <vt:variant>
        <vt:i4>0</vt:i4>
      </vt:variant>
      <vt:variant>
        <vt:i4>5</vt:i4>
      </vt:variant>
      <vt:variant>
        <vt:lpwstr>http://scm.oas.org/IDMS/Redirectpage.aspx?class=cidi/inf.&amp;classNum=310&amp;lang=p</vt:lpwstr>
      </vt:variant>
      <vt:variant>
        <vt:lpwstr/>
      </vt:variant>
      <vt:variant>
        <vt:i4>1441861</vt:i4>
      </vt:variant>
      <vt:variant>
        <vt:i4>387</vt:i4>
      </vt:variant>
      <vt:variant>
        <vt:i4>0</vt:i4>
      </vt:variant>
      <vt:variant>
        <vt:i4>5</vt:i4>
      </vt:variant>
      <vt:variant>
        <vt:lpwstr>http://scm.oas.org/IDMS/Redirectpage.aspx?class=cidi/inf.&amp;classNum=310&amp;lang=f</vt:lpwstr>
      </vt:variant>
      <vt:variant>
        <vt:lpwstr/>
      </vt:variant>
      <vt:variant>
        <vt:i4>1441861</vt:i4>
      </vt:variant>
      <vt:variant>
        <vt:i4>384</vt:i4>
      </vt:variant>
      <vt:variant>
        <vt:i4>0</vt:i4>
      </vt:variant>
      <vt:variant>
        <vt:i4>5</vt:i4>
      </vt:variant>
      <vt:variant>
        <vt:lpwstr>http://scm.oas.org/IDMS/Redirectpage.aspx?class=cidi/inf.&amp;classNum=310&amp;lang=e</vt:lpwstr>
      </vt:variant>
      <vt:variant>
        <vt:lpwstr/>
      </vt:variant>
      <vt:variant>
        <vt:i4>1441861</vt:i4>
      </vt:variant>
      <vt:variant>
        <vt:i4>381</vt:i4>
      </vt:variant>
      <vt:variant>
        <vt:i4>0</vt:i4>
      </vt:variant>
      <vt:variant>
        <vt:i4>5</vt:i4>
      </vt:variant>
      <vt:variant>
        <vt:lpwstr>http://scm.oas.org/IDMS/Redirectpage.aspx?class=cidi/inf.&amp;classNum=310&amp;lang=s</vt:lpwstr>
      </vt:variant>
      <vt:variant>
        <vt:lpwstr/>
      </vt:variant>
      <vt:variant>
        <vt:i4>1179716</vt:i4>
      </vt:variant>
      <vt:variant>
        <vt:i4>378</vt:i4>
      </vt:variant>
      <vt:variant>
        <vt:i4>0</vt:i4>
      </vt:variant>
      <vt:variant>
        <vt:i4>5</vt:i4>
      </vt:variant>
      <vt:variant>
        <vt:lpwstr>http://scm.oas.org/IDMS/Redirectpage.aspx?class=cidi/inf.&amp;classNum=304&amp;lang=p</vt:lpwstr>
      </vt:variant>
      <vt:variant>
        <vt:lpwstr/>
      </vt:variant>
      <vt:variant>
        <vt:i4>1179716</vt:i4>
      </vt:variant>
      <vt:variant>
        <vt:i4>375</vt:i4>
      </vt:variant>
      <vt:variant>
        <vt:i4>0</vt:i4>
      </vt:variant>
      <vt:variant>
        <vt:i4>5</vt:i4>
      </vt:variant>
      <vt:variant>
        <vt:lpwstr>http://scm.oas.org/IDMS/Redirectpage.aspx?class=cidi/inf.&amp;classNum=304&amp;lang=f</vt:lpwstr>
      </vt:variant>
      <vt:variant>
        <vt:lpwstr/>
      </vt:variant>
      <vt:variant>
        <vt:i4>1179716</vt:i4>
      </vt:variant>
      <vt:variant>
        <vt:i4>372</vt:i4>
      </vt:variant>
      <vt:variant>
        <vt:i4>0</vt:i4>
      </vt:variant>
      <vt:variant>
        <vt:i4>5</vt:i4>
      </vt:variant>
      <vt:variant>
        <vt:lpwstr>http://scm.oas.org/IDMS/Redirectpage.aspx?class=cidi/inf.&amp;classNum=304&amp;lang=e</vt:lpwstr>
      </vt:variant>
      <vt:variant>
        <vt:lpwstr/>
      </vt:variant>
      <vt:variant>
        <vt:i4>1179716</vt:i4>
      </vt:variant>
      <vt:variant>
        <vt:i4>369</vt:i4>
      </vt:variant>
      <vt:variant>
        <vt:i4>0</vt:i4>
      </vt:variant>
      <vt:variant>
        <vt:i4>5</vt:i4>
      </vt:variant>
      <vt:variant>
        <vt:lpwstr>http://scm.oas.org/IDMS/Redirectpage.aspx?class=cidi/inf.&amp;classNum=304&amp;lang=s</vt:lpwstr>
      </vt:variant>
      <vt:variant>
        <vt:lpwstr/>
      </vt:variant>
      <vt:variant>
        <vt:i4>2490372</vt:i4>
      </vt:variant>
      <vt:variant>
        <vt:i4>366</vt:i4>
      </vt:variant>
      <vt:variant>
        <vt:i4>0</vt:i4>
      </vt:variant>
      <vt:variant>
        <vt:i4>5</vt:i4>
      </vt:variant>
      <vt:variant>
        <vt:lpwstr>http://www.oas.org/es/council/CP/documentation/res_decs</vt:lpwstr>
      </vt:variant>
      <vt:variant>
        <vt:lpwstr/>
      </vt:variant>
      <vt:variant>
        <vt:i4>3276840</vt:i4>
      </vt:variant>
      <vt:variant>
        <vt:i4>363</vt:i4>
      </vt:variant>
      <vt:variant>
        <vt:i4>0</vt:i4>
      </vt:variant>
      <vt:variant>
        <vt:i4>5</vt:i4>
      </vt:variant>
      <vt:variant>
        <vt:lpwstr>http://www.oas.org/es/council/</vt:lpwstr>
      </vt:variant>
      <vt:variant>
        <vt:lpwstr/>
      </vt:variant>
      <vt:variant>
        <vt:i4>2359310</vt:i4>
      </vt:variant>
      <vt:variant>
        <vt:i4>356</vt:i4>
      </vt:variant>
      <vt:variant>
        <vt:i4>0</vt:i4>
      </vt:variant>
      <vt:variant>
        <vt:i4>5</vt:i4>
      </vt:variant>
      <vt:variant>
        <vt:lpwstr/>
      </vt:variant>
      <vt:variant>
        <vt:lpwstr>_Toc9258292</vt:lpwstr>
      </vt:variant>
      <vt:variant>
        <vt:i4>2359310</vt:i4>
      </vt:variant>
      <vt:variant>
        <vt:i4>350</vt:i4>
      </vt:variant>
      <vt:variant>
        <vt:i4>0</vt:i4>
      </vt:variant>
      <vt:variant>
        <vt:i4>5</vt:i4>
      </vt:variant>
      <vt:variant>
        <vt:lpwstr/>
      </vt:variant>
      <vt:variant>
        <vt:lpwstr>_Toc9258291</vt:lpwstr>
      </vt:variant>
      <vt:variant>
        <vt:i4>2359310</vt:i4>
      </vt:variant>
      <vt:variant>
        <vt:i4>344</vt:i4>
      </vt:variant>
      <vt:variant>
        <vt:i4>0</vt:i4>
      </vt:variant>
      <vt:variant>
        <vt:i4>5</vt:i4>
      </vt:variant>
      <vt:variant>
        <vt:lpwstr/>
      </vt:variant>
      <vt:variant>
        <vt:lpwstr>_Toc9258290</vt:lpwstr>
      </vt:variant>
      <vt:variant>
        <vt:i4>2424846</vt:i4>
      </vt:variant>
      <vt:variant>
        <vt:i4>338</vt:i4>
      </vt:variant>
      <vt:variant>
        <vt:i4>0</vt:i4>
      </vt:variant>
      <vt:variant>
        <vt:i4>5</vt:i4>
      </vt:variant>
      <vt:variant>
        <vt:lpwstr/>
      </vt:variant>
      <vt:variant>
        <vt:lpwstr>_Toc9258289</vt:lpwstr>
      </vt:variant>
      <vt:variant>
        <vt:i4>2424846</vt:i4>
      </vt:variant>
      <vt:variant>
        <vt:i4>332</vt:i4>
      </vt:variant>
      <vt:variant>
        <vt:i4>0</vt:i4>
      </vt:variant>
      <vt:variant>
        <vt:i4>5</vt:i4>
      </vt:variant>
      <vt:variant>
        <vt:lpwstr/>
      </vt:variant>
      <vt:variant>
        <vt:lpwstr>_Toc9258288</vt:lpwstr>
      </vt:variant>
      <vt:variant>
        <vt:i4>2424846</vt:i4>
      </vt:variant>
      <vt:variant>
        <vt:i4>326</vt:i4>
      </vt:variant>
      <vt:variant>
        <vt:i4>0</vt:i4>
      </vt:variant>
      <vt:variant>
        <vt:i4>5</vt:i4>
      </vt:variant>
      <vt:variant>
        <vt:lpwstr/>
      </vt:variant>
      <vt:variant>
        <vt:lpwstr>_Toc9258287</vt:lpwstr>
      </vt:variant>
      <vt:variant>
        <vt:i4>2424846</vt:i4>
      </vt:variant>
      <vt:variant>
        <vt:i4>320</vt:i4>
      </vt:variant>
      <vt:variant>
        <vt:i4>0</vt:i4>
      </vt:variant>
      <vt:variant>
        <vt:i4>5</vt:i4>
      </vt:variant>
      <vt:variant>
        <vt:lpwstr/>
      </vt:variant>
      <vt:variant>
        <vt:lpwstr>_Toc9258286</vt:lpwstr>
      </vt:variant>
      <vt:variant>
        <vt:i4>2424846</vt:i4>
      </vt:variant>
      <vt:variant>
        <vt:i4>314</vt:i4>
      </vt:variant>
      <vt:variant>
        <vt:i4>0</vt:i4>
      </vt:variant>
      <vt:variant>
        <vt:i4>5</vt:i4>
      </vt:variant>
      <vt:variant>
        <vt:lpwstr/>
      </vt:variant>
      <vt:variant>
        <vt:lpwstr>_Toc9258285</vt:lpwstr>
      </vt:variant>
      <vt:variant>
        <vt:i4>2424846</vt:i4>
      </vt:variant>
      <vt:variant>
        <vt:i4>308</vt:i4>
      </vt:variant>
      <vt:variant>
        <vt:i4>0</vt:i4>
      </vt:variant>
      <vt:variant>
        <vt:i4>5</vt:i4>
      </vt:variant>
      <vt:variant>
        <vt:lpwstr/>
      </vt:variant>
      <vt:variant>
        <vt:lpwstr>_Toc9258283</vt:lpwstr>
      </vt:variant>
      <vt:variant>
        <vt:i4>2424846</vt:i4>
      </vt:variant>
      <vt:variant>
        <vt:i4>302</vt:i4>
      </vt:variant>
      <vt:variant>
        <vt:i4>0</vt:i4>
      </vt:variant>
      <vt:variant>
        <vt:i4>5</vt:i4>
      </vt:variant>
      <vt:variant>
        <vt:lpwstr/>
      </vt:variant>
      <vt:variant>
        <vt:lpwstr>_Toc9258282</vt:lpwstr>
      </vt:variant>
      <vt:variant>
        <vt:i4>2424846</vt:i4>
      </vt:variant>
      <vt:variant>
        <vt:i4>296</vt:i4>
      </vt:variant>
      <vt:variant>
        <vt:i4>0</vt:i4>
      </vt:variant>
      <vt:variant>
        <vt:i4>5</vt:i4>
      </vt:variant>
      <vt:variant>
        <vt:lpwstr/>
      </vt:variant>
      <vt:variant>
        <vt:lpwstr>_Toc9258281</vt:lpwstr>
      </vt:variant>
      <vt:variant>
        <vt:i4>2424846</vt:i4>
      </vt:variant>
      <vt:variant>
        <vt:i4>290</vt:i4>
      </vt:variant>
      <vt:variant>
        <vt:i4>0</vt:i4>
      </vt:variant>
      <vt:variant>
        <vt:i4>5</vt:i4>
      </vt:variant>
      <vt:variant>
        <vt:lpwstr/>
      </vt:variant>
      <vt:variant>
        <vt:lpwstr>_Toc9258280</vt:lpwstr>
      </vt:variant>
      <vt:variant>
        <vt:i4>2752526</vt:i4>
      </vt:variant>
      <vt:variant>
        <vt:i4>284</vt:i4>
      </vt:variant>
      <vt:variant>
        <vt:i4>0</vt:i4>
      </vt:variant>
      <vt:variant>
        <vt:i4>5</vt:i4>
      </vt:variant>
      <vt:variant>
        <vt:lpwstr/>
      </vt:variant>
      <vt:variant>
        <vt:lpwstr>_Toc9258279</vt:lpwstr>
      </vt:variant>
      <vt:variant>
        <vt:i4>2752526</vt:i4>
      </vt:variant>
      <vt:variant>
        <vt:i4>278</vt:i4>
      </vt:variant>
      <vt:variant>
        <vt:i4>0</vt:i4>
      </vt:variant>
      <vt:variant>
        <vt:i4>5</vt:i4>
      </vt:variant>
      <vt:variant>
        <vt:lpwstr/>
      </vt:variant>
      <vt:variant>
        <vt:lpwstr>_Toc9258278</vt:lpwstr>
      </vt:variant>
      <vt:variant>
        <vt:i4>2752526</vt:i4>
      </vt:variant>
      <vt:variant>
        <vt:i4>272</vt:i4>
      </vt:variant>
      <vt:variant>
        <vt:i4>0</vt:i4>
      </vt:variant>
      <vt:variant>
        <vt:i4>5</vt:i4>
      </vt:variant>
      <vt:variant>
        <vt:lpwstr/>
      </vt:variant>
      <vt:variant>
        <vt:lpwstr>_Toc9258277</vt:lpwstr>
      </vt:variant>
      <vt:variant>
        <vt:i4>2752526</vt:i4>
      </vt:variant>
      <vt:variant>
        <vt:i4>266</vt:i4>
      </vt:variant>
      <vt:variant>
        <vt:i4>0</vt:i4>
      </vt:variant>
      <vt:variant>
        <vt:i4>5</vt:i4>
      </vt:variant>
      <vt:variant>
        <vt:lpwstr/>
      </vt:variant>
      <vt:variant>
        <vt:lpwstr>_Toc9258276</vt:lpwstr>
      </vt:variant>
      <vt:variant>
        <vt:i4>2752526</vt:i4>
      </vt:variant>
      <vt:variant>
        <vt:i4>260</vt:i4>
      </vt:variant>
      <vt:variant>
        <vt:i4>0</vt:i4>
      </vt:variant>
      <vt:variant>
        <vt:i4>5</vt:i4>
      </vt:variant>
      <vt:variant>
        <vt:lpwstr/>
      </vt:variant>
      <vt:variant>
        <vt:lpwstr>_Toc9258275</vt:lpwstr>
      </vt:variant>
      <vt:variant>
        <vt:i4>2752526</vt:i4>
      </vt:variant>
      <vt:variant>
        <vt:i4>254</vt:i4>
      </vt:variant>
      <vt:variant>
        <vt:i4>0</vt:i4>
      </vt:variant>
      <vt:variant>
        <vt:i4>5</vt:i4>
      </vt:variant>
      <vt:variant>
        <vt:lpwstr/>
      </vt:variant>
      <vt:variant>
        <vt:lpwstr>_Toc9258274</vt:lpwstr>
      </vt:variant>
      <vt:variant>
        <vt:i4>2752526</vt:i4>
      </vt:variant>
      <vt:variant>
        <vt:i4>248</vt:i4>
      </vt:variant>
      <vt:variant>
        <vt:i4>0</vt:i4>
      </vt:variant>
      <vt:variant>
        <vt:i4>5</vt:i4>
      </vt:variant>
      <vt:variant>
        <vt:lpwstr/>
      </vt:variant>
      <vt:variant>
        <vt:lpwstr>_Toc9258273</vt:lpwstr>
      </vt:variant>
      <vt:variant>
        <vt:i4>2752526</vt:i4>
      </vt:variant>
      <vt:variant>
        <vt:i4>242</vt:i4>
      </vt:variant>
      <vt:variant>
        <vt:i4>0</vt:i4>
      </vt:variant>
      <vt:variant>
        <vt:i4>5</vt:i4>
      </vt:variant>
      <vt:variant>
        <vt:lpwstr/>
      </vt:variant>
      <vt:variant>
        <vt:lpwstr>_Toc9258272</vt:lpwstr>
      </vt:variant>
      <vt:variant>
        <vt:i4>2752526</vt:i4>
      </vt:variant>
      <vt:variant>
        <vt:i4>236</vt:i4>
      </vt:variant>
      <vt:variant>
        <vt:i4>0</vt:i4>
      </vt:variant>
      <vt:variant>
        <vt:i4>5</vt:i4>
      </vt:variant>
      <vt:variant>
        <vt:lpwstr/>
      </vt:variant>
      <vt:variant>
        <vt:lpwstr>_Toc9258271</vt:lpwstr>
      </vt:variant>
      <vt:variant>
        <vt:i4>2752526</vt:i4>
      </vt:variant>
      <vt:variant>
        <vt:i4>230</vt:i4>
      </vt:variant>
      <vt:variant>
        <vt:i4>0</vt:i4>
      </vt:variant>
      <vt:variant>
        <vt:i4>5</vt:i4>
      </vt:variant>
      <vt:variant>
        <vt:lpwstr/>
      </vt:variant>
      <vt:variant>
        <vt:lpwstr>_Toc9258270</vt:lpwstr>
      </vt:variant>
      <vt:variant>
        <vt:i4>2818062</vt:i4>
      </vt:variant>
      <vt:variant>
        <vt:i4>224</vt:i4>
      </vt:variant>
      <vt:variant>
        <vt:i4>0</vt:i4>
      </vt:variant>
      <vt:variant>
        <vt:i4>5</vt:i4>
      </vt:variant>
      <vt:variant>
        <vt:lpwstr/>
      </vt:variant>
      <vt:variant>
        <vt:lpwstr>_Toc9258269</vt:lpwstr>
      </vt:variant>
      <vt:variant>
        <vt:i4>2818062</vt:i4>
      </vt:variant>
      <vt:variant>
        <vt:i4>218</vt:i4>
      </vt:variant>
      <vt:variant>
        <vt:i4>0</vt:i4>
      </vt:variant>
      <vt:variant>
        <vt:i4>5</vt:i4>
      </vt:variant>
      <vt:variant>
        <vt:lpwstr/>
      </vt:variant>
      <vt:variant>
        <vt:lpwstr>_Toc9258268</vt:lpwstr>
      </vt:variant>
      <vt:variant>
        <vt:i4>2818062</vt:i4>
      </vt:variant>
      <vt:variant>
        <vt:i4>212</vt:i4>
      </vt:variant>
      <vt:variant>
        <vt:i4>0</vt:i4>
      </vt:variant>
      <vt:variant>
        <vt:i4>5</vt:i4>
      </vt:variant>
      <vt:variant>
        <vt:lpwstr/>
      </vt:variant>
      <vt:variant>
        <vt:lpwstr>_Toc9258267</vt:lpwstr>
      </vt:variant>
      <vt:variant>
        <vt:i4>2818062</vt:i4>
      </vt:variant>
      <vt:variant>
        <vt:i4>206</vt:i4>
      </vt:variant>
      <vt:variant>
        <vt:i4>0</vt:i4>
      </vt:variant>
      <vt:variant>
        <vt:i4>5</vt:i4>
      </vt:variant>
      <vt:variant>
        <vt:lpwstr/>
      </vt:variant>
      <vt:variant>
        <vt:lpwstr>_Toc9258266</vt:lpwstr>
      </vt:variant>
      <vt:variant>
        <vt:i4>2818062</vt:i4>
      </vt:variant>
      <vt:variant>
        <vt:i4>200</vt:i4>
      </vt:variant>
      <vt:variant>
        <vt:i4>0</vt:i4>
      </vt:variant>
      <vt:variant>
        <vt:i4>5</vt:i4>
      </vt:variant>
      <vt:variant>
        <vt:lpwstr/>
      </vt:variant>
      <vt:variant>
        <vt:lpwstr>_Toc9258265</vt:lpwstr>
      </vt:variant>
      <vt:variant>
        <vt:i4>2818062</vt:i4>
      </vt:variant>
      <vt:variant>
        <vt:i4>194</vt:i4>
      </vt:variant>
      <vt:variant>
        <vt:i4>0</vt:i4>
      </vt:variant>
      <vt:variant>
        <vt:i4>5</vt:i4>
      </vt:variant>
      <vt:variant>
        <vt:lpwstr/>
      </vt:variant>
      <vt:variant>
        <vt:lpwstr>_Toc9258263</vt:lpwstr>
      </vt:variant>
      <vt:variant>
        <vt:i4>2818062</vt:i4>
      </vt:variant>
      <vt:variant>
        <vt:i4>188</vt:i4>
      </vt:variant>
      <vt:variant>
        <vt:i4>0</vt:i4>
      </vt:variant>
      <vt:variant>
        <vt:i4>5</vt:i4>
      </vt:variant>
      <vt:variant>
        <vt:lpwstr/>
      </vt:variant>
      <vt:variant>
        <vt:lpwstr>_Toc9258262</vt:lpwstr>
      </vt:variant>
      <vt:variant>
        <vt:i4>2818062</vt:i4>
      </vt:variant>
      <vt:variant>
        <vt:i4>182</vt:i4>
      </vt:variant>
      <vt:variant>
        <vt:i4>0</vt:i4>
      </vt:variant>
      <vt:variant>
        <vt:i4>5</vt:i4>
      </vt:variant>
      <vt:variant>
        <vt:lpwstr/>
      </vt:variant>
      <vt:variant>
        <vt:lpwstr>_Toc9258261</vt:lpwstr>
      </vt:variant>
      <vt:variant>
        <vt:i4>2818062</vt:i4>
      </vt:variant>
      <vt:variant>
        <vt:i4>176</vt:i4>
      </vt:variant>
      <vt:variant>
        <vt:i4>0</vt:i4>
      </vt:variant>
      <vt:variant>
        <vt:i4>5</vt:i4>
      </vt:variant>
      <vt:variant>
        <vt:lpwstr/>
      </vt:variant>
      <vt:variant>
        <vt:lpwstr>_Toc9258260</vt:lpwstr>
      </vt:variant>
      <vt:variant>
        <vt:i4>2621454</vt:i4>
      </vt:variant>
      <vt:variant>
        <vt:i4>170</vt:i4>
      </vt:variant>
      <vt:variant>
        <vt:i4>0</vt:i4>
      </vt:variant>
      <vt:variant>
        <vt:i4>5</vt:i4>
      </vt:variant>
      <vt:variant>
        <vt:lpwstr/>
      </vt:variant>
      <vt:variant>
        <vt:lpwstr>_Toc9258259</vt:lpwstr>
      </vt:variant>
      <vt:variant>
        <vt:i4>2621454</vt:i4>
      </vt:variant>
      <vt:variant>
        <vt:i4>164</vt:i4>
      </vt:variant>
      <vt:variant>
        <vt:i4>0</vt:i4>
      </vt:variant>
      <vt:variant>
        <vt:i4>5</vt:i4>
      </vt:variant>
      <vt:variant>
        <vt:lpwstr/>
      </vt:variant>
      <vt:variant>
        <vt:lpwstr>_Toc9258258</vt:lpwstr>
      </vt:variant>
      <vt:variant>
        <vt:i4>2621454</vt:i4>
      </vt:variant>
      <vt:variant>
        <vt:i4>158</vt:i4>
      </vt:variant>
      <vt:variant>
        <vt:i4>0</vt:i4>
      </vt:variant>
      <vt:variant>
        <vt:i4>5</vt:i4>
      </vt:variant>
      <vt:variant>
        <vt:lpwstr/>
      </vt:variant>
      <vt:variant>
        <vt:lpwstr>_Toc9258257</vt:lpwstr>
      </vt:variant>
      <vt:variant>
        <vt:i4>2621454</vt:i4>
      </vt:variant>
      <vt:variant>
        <vt:i4>152</vt:i4>
      </vt:variant>
      <vt:variant>
        <vt:i4>0</vt:i4>
      </vt:variant>
      <vt:variant>
        <vt:i4>5</vt:i4>
      </vt:variant>
      <vt:variant>
        <vt:lpwstr/>
      </vt:variant>
      <vt:variant>
        <vt:lpwstr>_Toc9258256</vt:lpwstr>
      </vt:variant>
      <vt:variant>
        <vt:i4>2621454</vt:i4>
      </vt:variant>
      <vt:variant>
        <vt:i4>146</vt:i4>
      </vt:variant>
      <vt:variant>
        <vt:i4>0</vt:i4>
      </vt:variant>
      <vt:variant>
        <vt:i4>5</vt:i4>
      </vt:variant>
      <vt:variant>
        <vt:lpwstr/>
      </vt:variant>
      <vt:variant>
        <vt:lpwstr>_Toc9258255</vt:lpwstr>
      </vt:variant>
      <vt:variant>
        <vt:i4>2621454</vt:i4>
      </vt:variant>
      <vt:variant>
        <vt:i4>140</vt:i4>
      </vt:variant>
      <vt:variant>
        <vt:i4>0</vt:i4>
      </vt:variant>
      <vt:variant>
        <vt:i4>5</vt:i4>
      </vt:variant>
      <vt:variant>
        <vt:lpwstr/>
      </vt:variant>
      <vt:variant>
        <vt:lpwstr>_Toc9258254</vt:lpwstr>
      </vt:variant>
      <vt:variant>
        <vt:i4>2621454</vt:i4>
      </vt:variant>
      <vt:variant>
        <vt:i4>134</vt:i4>
      </vt:variant>
      <vt:variant>
        <vt:i4>0</vt:i4>
      </vt:variant>
      <vt:variant>
        <vt:i4>5</vt:i4>
      </vt:variant>
      <vt:variant>
        <vt:lpwstr/>
      </vt:variant>
      <vt:variant>
        <vt:lpwstr>_Toc9258253</vt:lpwstr>
      </vt:variant>
      <vt:variant>
        <vt:i4>2621454</vt:i4>
      </vt:variant>
      <vt:variant>
        <vt:i4>128</vt:i4>
      </vt:variant>
      <vt:variant>
        <vt:i4>0</vt:i4>
      </vt:variant>
      <vt:variant>
        <vt:i4>5</vt:i4>
      </vt:variant>
      <vt:variant>
        <vt:lpwstr/>
      </vt:variant>
      <vt:variant>
        <vt:lpwstr>_Toc9258252</vt:lpwstr>
      </vt:variant>
      <vt:variant>
        <vt:i4>3080206</vt:i4>
      </vt:variant>
      <vt:variant>
        <vt:i4>122</vt:i4>
      </vt:variant>
      <vt:variant>
        <vt:i4>0</vt:i4>
      </vt:variant>
      <vt:variant>
        <vt:i4>5</vt:i4>
      </vt:variant>
      <vt:variant>
        <vt:lpwstr/>
      </vt:variant>
      <vt:variant>
        <vt:lpwstr>_Toc9258227</vt:lpwstr>
      </vt:variant>
      <vt:variant>
        <vt:i4>3080206</vt:i4>
      </vt:variant>
      <vt:variant>
        <vt:i4>116</vt:i4>
      </vt:variant>
      <vt:variant>
        <vt:i4>0</vt:i4>
      </vt:variant>
      <vt:variant>
        <vt:i4>5</vt:i4>
      </vt:variant>
      <vt:variant>
        <vt:lpwstr/>
      </vt:variant>
      <vt:variant>
        <vt:lpwstr>_Toc9258226</vt:lpwstr>
      </vt:variant>
      <vt:variant>
        <vt:i4>3080206</vt:i4>
      </vt:variant>
      <vt:variant>
        <vt:i4>110</vt:i4>
      </vt:variant>
      <vt:variant>
        <vt:i4>0</vt:i4>
      </vt:variant>
      <vt:variant>
        <vt:i4>5</vt:i4>
      </vt:variant>
      <vt:variant>
        <vt:lpwstr/>
      </vt:variant>
      <vt:variant>
        <vt:lpwstr>_Toc9258225</vt:lpwstr>
      </vt:variant>
      <vt:variant>
        <vt:i4>3080206</vt:i4>
      </vt:variant>
      <vt:variant>
        <vt:i4>104</vt:i4>
      </vt:variant>
      <vt:variant>
        <vt:i4>0</vt:i4>
      </vt:variant>
      <vt:variant>
        <vt:i4>5</vt:i4>
      </vt:variant>
      <vt:variant>
        <vt:lpwstr/>
      </vt:variant>
      <vt:variant>
        <vt:lpwstr>_Toc9258224</vt:lpwstr>
      </vt:variant>
      <vt:variant>
        <vt:i4>3080206</vt:i4>
      </vt:variant>
      <vt:variant>
        <vt:i4>98</vt:i4>
      </vt:variant>
      <vt:variant>
        <vt:i4>0</vt:i4>
      </vt:variant>
      <vt:variant>
        <vt:i4>5</vt:i4>
      </vt:variant>
      <vt:variant>
        <vt:lpwstr/>
      </vt:variant>
      <vt:variant>
        <vt:lpwstr>_Toc9258223</vt:lpwstr>
      </vt:variant>
      <vt:variant>
        <vt:i4>3080206</vt:i4>
      </vt:variant>
      <vt:variant>
        <vt:i4>92</vt:i4>
      </vt:variant>
      <vt:variant>
        <vt:i4>0</vt:i4>
      </vt:variant>
      <vt:variant>
        <vt:i4>5</vt:i4>
      </vt:variant>
      <vt:variant>
        <vt:lpwstr/>
      </vt:variant>
      <vt:variant>
        <vt:lpwstr>_Toc9258222</vt:lpwstr>
      </vt:variant>
      <vt:variant>
        <vt:i4>3080206</vt:i4>
      </vt:variant>
      <vt:variant>
        <vt:i4>86</vt:i4>
      </vt:variant>
      <vt:variant>
        <vt:i4>0</vt:i4>
      </vt:variant>
      <vt:variant>
        <vt:i4>5</vt:i4>
      </vt:variant>
      <vt:variant>
        <vt:lpwstr/>
      </vt:variant>
      <vt:variant>
        <vt:lpwstr>_Toc9258221</vt:lpwstr>
      </vt:variant>
      <vt:variant>
        <vt:i4>3080206</vt:i4>
      </vt:variant>
      <vt:variant>
        <vt:i4>80</vt:i4>
      </vt:variant>
      <vt:variant>
        <vt:i4>0</vt:i4>
      </vt:variant>
      <vt:variant>
        <vt:i4>5</vt:i4>
      </vt:variant>
      <vt:variant>
        <vt:lpwstr/>
      </vt:variant>
      <vt:variant>
        <vt:lpwstr>_Toc9258220</vt:lpwstr>
      </vt:variant>
      <vt:variant>
        <vt:i4>2883598</vt:i4>
      </vt:variant>
      <vt:variant>
        <vt:i4>74</vt:i4>
      </vt:variant>
      <vt:variant>
        <vt:i4>0</vt:i4>
      </vt:variant>
      <vt:variant>
        <vt:i4>5</vt:i4>
      </vt:variant>
      <vt:variant>
        <vt:lpwstr/>
      </vt:variant>
      <vt:variant>
        <vt:lpwstr>_Toc9258219</vt:lpwstr>
      </vt:variant>
      <vt:variant>
        <vt:i4>2883598</vt:i4>
      </vt:variant>
      <vt:variant>
        <vt:i4>68</vt:i4>
      </vt:variant>
      <vt:variant>
        <vt:i4>0</vt:i4>
      </vt:variant>
      <vt:variant>
        <vt:i4>5</vt:i4>
      </vt:variant>
      <vt:variant>
        <vt:lpwstr/>
      </vt:variant>
      <vt:variant>
        <vt:lpwstr>_Toc9258218</vt:lpwstr>
      </vt:variant>
      <vt:variant>
        <vt:i4>2883598</vt:i4>
      </vt:variant>
      <vt:variant>
        <vt:i4>62</vt:i4>
      </vt:variant>
      <vt:variant>
        <vt:i4>0</vt:i4>
      </vt:variant>
      <vt:variant>
        <vt:i4>5</vt:i4>
      </vt:variant>
      <vt:variant>
        <vt:lpwstr/>
      </vt:variant>
      <vt:variant>
        <vt:lpwstr>_Toc9258217</vt:lpwstr>
      </vt:variant>
      <vt:variant>
        <vt:i4>2883598</vt:i4>
      </vt:variant>
      <vt:variant>
        <vt:i4>56</vt:i4>
      </vt:variant>
      <vt:variant>
        <vt:i4>0</vt:i4>
      </vt:variant>
      <vt:variant>
        <vt:i4>5</vt:i4>
      </vt:variant>
      <vt:variant>
        <vt:lpwstr/>
      </vt:variant>
      <vt:variant>
        <vt:lpwstr>_Toc9258216</vt:lpwstr>
      </vt:variant>
      <vt:variant>
        <vt:i4>2883598</vt:i4>
      </vt:variant>
      <vt:variant>
        <vt:i4>50</vt:i4>
      </vt:variant>
      <vt:variant>
        <vt:i4>0</vt:i4>
      </vt:variant>
      <vt:variant>
        <vt:i4>5</vt:i4>
      </vt:variant>
      <vt:variant>
        <vt:lpwstr/>
      </vt:variant>
      <vt:variant>
        <vt:lpwstr>_Toc9258215</vt:lpwstr>
      </vt:variant>
      <vt:variant>
        <vt:i4>2883598</vt:i4>
      </vt:variant>
      <vt:variant>
        <vt:i4>44</vt:i4>
      </vt:variant>
      <vt:variant>
        <vt:i4>0</vt:i4>
      </vt:variant>
      <vt:variant>
        <vt:i4>5</vt:i4>
      </vt:variant>
      <vt:variant>
        <vt:lpwstr/>
      </vt:variant>
      <vt:variant>
        <vt:lpwstr>_Toc9258214</vt:lpwstr>
      </vt:variant>
      <vt:variant>
        <vt:i4>2883598</vt:i4>
      </vt:variant>
      <vt:variant>
        <vt:i4>38</vt:i4>
      </vt:variant>
      <vt:variant>
        <vt:i4>0</vt:i4>
      </vt:variant>
      <vt:variant>
        <vt:i4>5</vt:i4>
      </vt:variant>
      <vt:variant>
        <vt:lpwstr/>
      </vt:variant>
      <vt:variant>
        <vt:lpwstr>_Toc9258213</vt:lpwstr>
      </vt:variant>
      <vt:variant>
        <vt:i4>2883598</vt:i4>
      </vt:variant>
      <vt:variant>
        <vt:i4>32</vt:i4>
      </vt:variant>
      <vt:variant>
        <vt:i4>0</vt:i4>
      </vt:variant>
      <vt:variant>
        <vt:i4>5</vt:i4>
      </vt:variant>
      <vt:variant>
        <vt:lpwstr/>
      </vt:variant>
      <vt:variant>
        <vt:lpwstr>_Toc9258212</vt:lpwstr>
      </vt:variant>
      <vt:variant>
        <vt:i4>2883598</vt:i4>
      </vt:variant>
      <vt:variant>
        <vt:i4>26</vt:i4>
      </vt:variant>
      <vt:variant>
        <vt:i4>0</vt:i4>
      </vt:variant>
      <vt:variant>
        <vt:i4>5</vt:i4>
      </vt:variant>
      <vt:variant>
        <vt:lpwstr/>
      </vt:variant>
      <vt:variant>
        <vt:lpwstr>_Toc9258211</vt:lpwstr>
      </vt:variant>
      <vt:variant>
        <vt:i4>2883598</vt:i4>
      </vt:variant>
      <vt:variant>
        <vt:i4>20</vt:i4>
      </vt:variant>
      <vt:variant>
        <vt:i4>0</vt:i4>
      </vt:variant>
      <vt:variant>
        <vt:i4>5</vt:i4>
      </vt:variant>
      <vt:variant>
        <vt:lpwstr/>
      </vt:variant>
      <vt:variant>
        <vt:lpwstr>_Toc9258210</vt:lpwstr>
      </vt:variant>
      <vt:variant>
        <vt:i4>2949134</vt:i4>
      </vt:variant>
      <vt:variant>
        <vt:i4>14</vt:i4>
      </vt:variant>
      <vt:variant>
        <vt:i4>0</vt:i4>
      </vt:variant>
      <vt:variant>
        <vt:i4>5</vt:i4>
      </vt:variant>
      <vt:variant>
        <vt:lpwstr/>
      </vt:variant>
      <vt:variant>
        <vt:lpwstr>_Toc9258209</vt:lpwstr>
      </vt:variant>
      <vt:variant>
        <vt:i4>2949134</vt:i4>
      </vt:variant>
      <vt:variant>
        <vt:i4>8</vt:i4>
      </vt:variant>
      <vt:variant>
        <vt:i4>0</vt:i4>
      </vt:variant>
      <vt:variant>
        <vt:i4>5</vt:i4>
      </vt:variant>
      <vt:variant>
        <vt:lpwstr/>
      </vt:variant>
      <vt:variant>
        <vt:lpwstr>_Toc9258206</vt:lpwstr>
      </vt:variant>
      <vt:variant>
        <vt:i4>2949134</vt:i4>
      </vt:variant>
      <vt:variant>
        <vt:i4>2</vt:i4>
      </vt:variant>
      <vt:variant>
        <vt:i4>0</vt:i4>
      </vt:variant>
      <vt:variant>
        <vt:i4>5</vt:i4>
      </vt:variant>
      <vt:variant>
        <vt:lpwstr/>
      </vt:variant>
      <vt:variant>
        <vt:lpwstr>_Toc9258205</vt:lpwstr>
      </vt:variant>
      <vt:variant>
        <vt:i4>6160400</vt:i4>
      </vt:variant>
      <vt:variant>
        <vt:i4>15</vt:i4>
      </vt:variant>
      <vt:variant>
        <vt:i4>0</vt:i4>
      </vt:variant>
      <vt:variant>
        <vt:i4>5</vt:i4>
      </vt:variant>
      <vt:variant>
        <vt:lpwstr>https://ipgh.org/socios-cooperadores.html</vt:lpwstr>
      </vt:variant>
      <vt:variant>
        <vt:lpwstr/>
      </vt:variant>
      <vt:variant>
        <vt:i4>3670068</vt:i4>
      </vt:variant>
      <vt:variant>
        <vt:i4>12</vt:i4>
      </vt:variant>
      <vt:variant>
        <vt:i4>0</vt:i4>
      </vt:variant>
      <vt:variant>
        <vt:i4>5</vt:i4>
      </vt:variant>
      <vt:variant>
        <vt:lpwstr>https://ipgh.org/financiero.html</vt:lpwstr>
      </vt:variant>
      <vt:variant>
        <vt:lpwstr>cuotas</vt:lpwstr>
      </vt:variant>
      <vt:variant>
        <vt:i4>6029322</vt:i4>
      </vt:variant>
      <vt:variant>
        <vt:i4>9</vt:i4>
      </vt:variant>
      <vt:variant>
        <vt:i4>0</vt:i4>
      </vt:variant>
      <vt:variant>
        <vt:i4>5</vt:i4>
      </vt:variant>
      <vt:variant>
        <vt:lpwstr>http://bit.ly/2Sd8kik</vt:lpwstr>
      </vt:variant>
      <vt:variant>
        <vt:lpwstr/>
      </vt:variant>
      <vt:variant>
        <vt:i4>2883658</vt:i4>
      </vt:variant>
      <vt:variant>
        <vt:i4>6</vt:i4>
      </vt:variant>
      <vt:variant>
        <vt:i4>0</vt:i4>
      </vt:variant>
      <vt:variant>
        <vt:i4>5</vt:i4>
      </vt:variant>
      <vt:variant>
        <vt:lpwstr>https://bibliotecas.inah.gob.mx:8092/INICIO_IPGH.html</vt:lpwstr>
      </vt:variant>
      <vt:variant>
        <vt:lpwstr/>
      </vt:variant>
      <vt:variant>
        <vt:i4>5439492</vt:i4>
      </vt:variant>
      <vt:variant>
        <vt:i4>3</vt:i4>
      </vt:variant>
      <vt:variant>
        <vt:i4>0</vt:i4>
      </vt:variant>
      <vt:variant>
        <vt:i4>5</vt:i4>
      </vt:variant>
      <vt:variant>
        <vt:lpwstr>https://www.revistasipgh.org/</vt:lpwstr>
      </vt:variant>
      <vt:variant>
        <vt:lpwstr/>
      </vt:variant>
      <vt:variant>
        <vt:i4>3145853</vt:i4>
      </vt:variant>
      <vt:variant>
        <vt:i4>0</vt:i4>
      </vt:variant>
      <vt:variant>
        <vt:i4>0</vt:i4>
      </vt:variant>
      <vt:variant>
        <vt:i4>5</vt:i4>
      </vt:variant>
      <vt:variant>
        <vt:lpwstr>https://ipgh.org/pat-2019.html</vt:lpwstr>
      </vt:variant>
      <vt:variant>
        <vt:lpwstr/>
      </vt:variant>
      <vt:variant>
        <vt:i4>6881292</vt:i4>
      </vt:variant>
      <vt:variant>
        <vt:i4>-1</vt:i4>
      </vt:variant>
      <vt:variant>
        <vt:i4>1154</vt:i4>
      </vt:variant>
      <vt:variant>
        <vt:i4>1</vt:i4>
      </vt:variant>
      <vt:variant>
        <vt:lpwstr>cid:image005.png@01D58B4D.8A31F490</vt:lpwstr>
      </vt:variant>
      <vt:variant>
        <vt:lpwstr/>
      </vt:variant>
      <vt:variant>
        <vt:i4>983065</vt:i4>
      </vt:variant>
      <vt:variant>
        <vt:i4>-1</vt:i4>
      </vt:variant>
      <vt:variant>
        <vt:i4>1178</vt:i4>
      </vt:variant>
      <vt:variant>
        <vt:i4>1</vt:i4>
      </vt:variant>
      <vt:variant>
        <vt:lpwstr>https://pbs.twimg.com/media/D710wi9WkAA9n5f?format=jpg&amp;name=4096x4096</vt:lpwstr>
      </vt:variant>
      <vt:variant>
        <vt:lpwstr/>
      </vt:variant>
      <vt:variant>
        <vt:i4>2424850</vt:i4>
      </vt:variant>
      <vt:variant>
        <vt:i4>-1</vt:i4>
      </vt:variant>
      <vt:variant>
        <vt:i4>1193</vt:i4>
      </vt:variant>
      <vt:variant>
        <vt:i4>1</vt:i4>
      </vt:variant>
      <vt:variant>
        <vt:lpwstr>cid:image001.jpg@01D5F182.5D61F140</vt:lpwstr>
      </vt:variant>
      <vt:variant>
        <vt:lpwstr/>
      </vt:variant>
      <vt:variant>
        <vt:i4>2555922</vt:i4>
      </vt:variant>
      <vt:variant>
        <vt:i4>-1</vt:i4>
      </vt:variant>
      <vt:variant>
        <vt:i4>1192</vt:i4>
      </vt:variant>
      <vt:variant>
        <vt:i4>1</vt:i4>
      </vt:variant>
      <vt:variant>
        <vt:lpwstr>cid:image003.jpg@01D5F182.5D61F140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guribe</dc:creator>
  <cp:keywords/>
  <cp:lastModifiedBy>Salas, Soledad</cp:lastModifiedBy>
  <cp:revision>2</cp:revision>
  <cp:lastPrinted>2020-03-10T13:20:00Z</cp:lastPrinted>
  <dcterms:created xsi:type="dcterms:W3CDTF">2020-05-18T21:10:00Z</dcterms:created>
  <dcterms:modified xsi:type="dcterms:W3CDTF">2020-05-18T21:10:00Z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display_urn:schemas-microsoft-com:office:office#Author">
    <vt:lpwstr>Uribe, Gloria</vt:lpwstr>
  </property>
  <property fmtid="{D5CDD505-2E9C-101B-9397-08002B2CF9AE}" pid="4" name="ContentTypeId">
    <vt:lpwstr>0x0101009E8E684DBF2FB84BB951F42A6B0FC861</vt:lpwstr>
  </property>
</Properties>
</file>